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7E090" w14:textId="0F7A803C" w:rsidR="00764D6A" w:rsidRPr="005F4D33" w:rsidRDefault="004F5354" w:rsidP="00077D23">
      <w:pPr>
        <w:pStyle w:val="Heading1"/>
        <w:rPr>
          <w:rStyle w:val="TitleChar"/>
          <w:rFonts w:eastAsiaTheme="minorHAnsi" w:cstheme="minorBidi"/>
          <w:b w:val="0"/>
          <w:color w:val="auto"/>
          <w:szCs w:val="28"/>
        </w:rPr>
      </w:pPr>
      <w:bookmarkStart w:id="0" w:name="_Toc184220063"/>
      <w:r w:rsidRPr="005F4D33">
        <w:rPr>
          <w:rStyle w:val="TitleChar"/>
          <w:rFonts w:eastAsiaTheme="minorHAnsi" w:cstheme="minorBidi"/>
          <w:color w:val="auto"/>
          <w:szCs w:val="28"/>
        </w:rPr>
        <w:t xml:space="preserve">Australia’s </w:t>
      </w:r>
      <w:r w:rsidR="00A14385" w:rsidRPr="005F4D33">
        <w:rPr>
          <w:rStyle w:val="TitleChar"/>
          <w:rFonts w:eastAsiaTheme="minorHAnsi" w:cstheme="minorBidi"/>
          <w:color w:val="auto"/>
          <w:szCs w:val="28"/>
        </w:rPr>
        <w:t xml:space="preserve">Circular Economy </w:t>
      </w:r>
      <w:r w:rsidR="0000676A" w:rsidRPr="005F4D33">
        <w:rPr>
          <w:rStyle w:val="TitleChar"/>
          <w:rFonts w:eastAsiaTheme="minorHAnsi" w:cstheme="minorBidi"/>
          <w:color w:val="auto"/>
          <w:szCs w:val="28"/>
        </w:rPr>
        <w:t>Framework</w:t>
      </w:r>
      <w:bookmarkEnd w:id="0"/>
    </w:p>
    <w:p w14:paraId="712F435C" w14:textId="78B646AB" w:rsidR="005162C9" w:rsidRPr="005162C9" w:rsidRDefault="004F5354" w:rsidP="005D3790">
      <w:pPr>
        <w:rPr>
          <w:sz w:val="36"/>
          <w:szCs w:val="40"/>
        </w:rPr>
      </w:pPr>
      <w:r w:rsidRPr="005F4D33">
        <w:rPr>
          <w:sz w:val="36"/>
          <w:szCs w:val="40"/>
        </w:rPr>
        <w:t>2024</w:t>
      </w:r>
      <w:bookmarkStart w:id="1" w:name="_Hlk153811325"/>
      <w:bookmarkEnd w:id="1"/>
    </w:p>
    <w:p w14:paraId="547278EB" w14:textId="20BB065C" w:rsidR="004772A3" w:rsidRPr="005F4D33" w:rsidRDefault="004E05E1" w:rsidP="005D3790">
      <w:pPr>
        <w:rPr>
          <w:sz w:val="14"/>
          <w:szCs w:val="18"/>
        </w:rPr>
      </w:pPr>
      <w:r w:rsidRPr="004E05E1">
        <w:rPr>
          <w:noProof/>
          <w:sz w:val="14"/>
          <w:szCs w:val="18"/>
        </w:rPr>
        <w:drawing>
          <wp:inline distT="0" distB="0" distL="0" distR="0" wp14:anchorId="41EFB5B0" wp14:editId="38CEDA22">
            <wp:extent cx="5331125" cy="7500905"/>
            <wp:effectExtent l="0" t="0" r="3175" b="5080"/>
            <wp:docPr id="174361228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12281"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5333793" cy="7504659"/>
                    </a:xfrm>
                    <a:prstGeom prst="rect">
                      <a:avLst/>
                    </a:prstGeom>
                  </pic:spPr>
                </pic:pic>
              </a:graphicData>
            </a:graphic>
          </wp:inline>
        </w:drawing>
      </w:r>
    </w:p>
    <w:p w14:paraId="5CC6CDFC" w14:textId="77777777" w:rsidR="005162C9" w:rsidRDefault="005162C9">
      <w:pPr>
        <w:spacing w:after="0"/>
        <w:rPr>
          <w:sz w:val="14"/>
          <w:szCs w:val="14"/>
        </w:rPr>
      </w:pPr>
      <w:r>
        <w:rPr>
          <w:sz w:val="14"/>
          <w:szCs w:val="14"/>
        </w:rPr>
        <w:br w:type="page"/>
      </w:r>
    </w:p>
    <w:p w14:paraId="112564A2" w14:textId="1B77C4D5" w:rsidR="00764D6A" w:rsidRPr="005F4D33" w:rsidRDefault="004F5354" w:rsidP="00EA7B36">
      <w:r w:rsidRPr="005F4D33">
        <w:lastRenderedPageBreak/>
        <w:t xml:space="preserve">© Commonwealth of Australia </w:t>
      </w:r>
      <w:r w:rsidR="00B97E61" w:rsidRPr="005F4D33">
        <w:t>202</w:t>
      </w:r>
      <w:r w:rsidR="0016363E" w:rsidRPr="005F4D33">
        <w:t>4</w:t>
      </w:r>
    </w:p>
    <w:p w14:paraId="62925CB6" w14:textId="77777777" w:rsidR="00764D6A" w:rsidRPr="005F4D33" w:rsidRDefault="004F5354" w:rsidP="00EA7B36">
      <w:pPr>
        <w:rPr>
          <w:rStyle w:val="Strong"/>
          <w:sz w:val="14"/>
          <w:szCs w:val="14"/>
        </w:rPr>
      </w:pPr>
      <w:r w:rsidRPr="005F4D33">
        <w:rPr>
          <w:rStyle w:val="Strong"/>
          <w:sz w:val="14"/>
          <w:szCs w:val="14"/>
        </w:rPr>
        <w:t>Ownership of intellectual property rights</w:t>
      </w:r>
    </w:p>
    <w:p w14:paraId="23FBA55C" w14:textId="77777777" w:rsidR="00764D6A" w:rsidRPr="005F4D33" w:rsidRDefault="004F5354" w:rsidP="00EA7B36">
      <w:r w:rsidRPr="005F4D33">
        <w:t>Unless otherwise noted, copyright (and any other intellectual property rights) in this publication is owned by the Commonwealth of Australia (referred to as the Commonwealth).</w:t>
      </w:r>
    </w:p>
    <w:p w14:paraId="08037BD7" w14:textId="77777777" w:rsidR="00764D6A" w:rsidRPr="005F4D33" w:rsidRDefault="004F5354" w:rsidP="00EA7B36">
      <w:pPr>
        <w:rPr>
          <w:rStyle w:val="Strong"/>
          <w:sz w:val="14"/>
          <w:szCs w:val="14"/>
        </w:rPr>
      </w:pPr>
      <w:r w:rsidRPr="005F4D33">
        <w:rPr>
          <w:rStyle w:val="Strong"/>
          <w:sz w:val="14"/>
          <w:szCs w:val="14"/>
        </w:rPr>
        <w:t>Creative Commons licence</w:t>
      </w:r>
    </w:p>
    <w:p w14:paraId="08B28A2D" w14:textId="77777777" w:rsidR="00764D6A" w:rsidRPr="005F4D33" w:rsidRDefault="004F5354" w:rsidP="00EA7B36">
      <w:r w:rsidRPr="005F4D33">
        <w:t xml:space="preserve">All material in this publication is licensed under a </w:t>
      </w:r>
      <w:hyperlink r:id="rId12" w:history="1">
        <w:r w:rsidRPr="005F4D33">
          <w:rPr>
            <w:rStyle w:val="Hyperlink"/>
            <w:color w:val="auto"/>
            <w:sz w:val="14"/>
            <w:szCs w:val="14"/>
          </w:rPr>
          <w:t>Creative Commons Attribution 4.0 International Licence</w:t>
        </w:r>
      </w:hyperlink>
      <w:r w:rsidRPr="005F4D33">
        <w:t xml:space="preserve"> except content supplied by third parties, logos and the Commonwealth Coat of Arms.</w:t>
      </w:r>
    </w:p>
    <w:p w14:paraId="446B9420" w14:textId="77777777" w:rsidR="00764D6A" w:rsidRPr="005F4D33" w:rsidRDefault="004F5354" w:rsidP="00EA7B36">
      <w:r w:rsidRPr="005F4D33">
        <w:t xml:space="preserve">Inquiries about the licence and any use of this document should be emailed to </w:t>
      </w:r>
      <w:hyperlink r:id="rId13" w:history="1">
        <w:r w:rsidR="00D86640" w:rsidRPr="005F4D33">
          <w:rPr>
            <w:rStyle w:val="Hyperlink"/>
            <w:color w:val="auto"/>
            <w:sz w:val="14"/>
            <w:szCs w:val="14"/>
          </w:rPr>
          <w:t>copyright@dcceew.gov.au</w:t>
        </w:r>
      </w:hyperlink>
      <w:r w:rsidRPr="005F4D33">
        <w:t>.</w:t>
      </w:r>
    </w:p>
    <w:p w14:paraId="51D915A3" w14:textId="77777777" w:rsidR="005162C9" w:rsidRPr="005F4D33" w:rsidRDefault="005162C9" w:rsidP="00EA7B36">
      <w:r w:rsidRPr="005F4D33">
        <w:rPr>
          <w:noProof/>
          <w:shd w:val="clear" w:color="auto" w:fill="E6E6E6"/>
          <w:lang w:eastAsia="en-AU"/>
        </w:rPr>
        <w:drawing>
          <wp:inline distT="0" distB="0" distL="0" distR="0" wp14:anchorId="7B9FB089" wp14:editId="38446F6E">
            <wp:extent cx="724535" cy="25527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101FE6EF" w14:textId="77777777" w:rsidR="005162C9" w:rsidRPr="005F4D33" w:rsidRDefault="005162C9" w:rsidP="00EA7B36">
      <w:pPr>
        <w:rPr>
          <w:rStyle w:val="Strong"/>
          <w:sz w:val="14"/>
          <w:szCs w:val="14"/>
        </w:rPr>
      </w:pPr>
      <w:r w:rsidRPr="005F4D33">
        <w:rPr>
          <w:rStyle w:val="Strong"/>
          <w:sz w:val="14"/>
          <w:szCs w:val="14"/>
        </w:rPr>
        <w:t>Cataloguing data</w:t>
      </w:r>
    </w:p>
    <w:p w14:paraId="32EB14B3" w14:textId="77777777" w:rsidR="005162C9" w:rsidRPr="005F4D33" w:rsidRDefault="005162C9" w:rsidP="00EA7B36">
      <w:r w:rsidRPr="005F4D33">
        <w:t xml:space="preserve">This publication (and any material sourced from it) should be attributed as: DCCEEW 2024, </w:t>
      </w:r>
      <w:r w:rsidRPr="005F4D33">
        <w:rPr>
          <w:i/>
        </w:rPr>
        <w:t>Australia’s Circular Economy Framework</w:t>
      </w:r>
      <w:r w:rsidRPr="005F4D33">
        <w:t>, Department of Climate Change, Energy, the Environment and Water, Canberra, December. CC BY 4.0.</w:t>
      </w:r>
    </w:p>
    <w:p w14:paraId="7F85E181" w14:textId="77777777" w:rsidR="005162C9" w:rsidRPr="005F4D33" w:rsidRDefault="005162C9" w:rsidP="00EA7B36">
      <w:r w:rsidRPr="005F4D33">
        <w:t xml:space="preserve">This publication is available at </w:t>
      </w:r>
      <w:hyperlink r:id="rId15" w:history="1">
        <w:r w:rsidRPr="005F4D33">
          <w:rPr>
            <w:rStyle w:val="Hyperlink"/>
            <w:color w:val="auto"/>
            <w:sz w:val="14"/>
            <w:szCs w:val="14"/>
          </w:rPr>
          <w:t>dcceew.gov.au/publications</w:t>
        </w:r>
      </w:hyperlink>
      <w:r w:rsidRPr="005F4D33">
        <w:t>.</w:t>
      </w:r>
    </w:p>
    <w:p w14:paraId="4E2900D5" w14:textId="77777777" w:rsidR="005162C9" w:rsidRPr="005F4D33" w:rsidRDefault="005162C9" w:rsidP="00EA7B36">
      <w:r w:rsidRPr="005F4D33">
        <w:t>Department of Climate Change, Energy, the Environment and Water</w:t>
      </w:r>
    </w:p>
    <w:p w14:paraId="1611C5AC" w14:textId="77777777" w:rsidR="005162C9" w:rsidRPr="005F4D33" w:rsidRDefault="005162C9" w:rsidP="00EA7B36">
      <w:r w:rsidRPr="005F4D33">
        <w:t>GPO Box 3090 Canberra ACT 2601</w:t>
      </w:r>
    </w:p>
    <w:p w14:paraId="42D9063D" w14:textId="77777777" w:rsidR="005162C9" w:rsidRPr="005F4D33" w:rsidRDefault="005162C9" w:rsidP="00EA7B36">
      <w:r w:rsidRPr="005F4D33">
        <w:t>Telephone 1800 900 090</w:t>
      </w:r>
    </w:p>
    <w:p w14:paraId="1AD13930" w14:textId="77777777" w:rsidR="005162C9" w:rsidRPr="005F4D33" w:rsidRDefault="005162C9" w:rsidP="00EA7B36">
      <w:bookmarkStart w:id="2" w:name="_Hlk108621036"/>
      <w:r w:rsidRPr="005F4D33">
        <w:t xml:space="preserve">Web </w:t>
      </w:r>
      <w:hyperlink r:id="rId16" w:history="1">
        <w:r w:rsidRPr="005F4D33">
          <w:rPr>
            <w:rStyle w:val="Hyperlink"/>
            <w:color w:val="auto"/>
            <w:sz w:val="14"/>
            <w:szCs w:val="14"/>
          </w:rPr>
          <w:t>dcceew.gov.au</w:t>
        </w:r>
      </w:hyperlink>
    </w:p>
    <w:bookmarkEnd w:id="2"/>
    <w:p w14:paraId="678BB6E9" w14:textId="77777777" w:rsidR="005162C9" w:rsidRPr="005F4D33" w:rsidRDefault="005162C9" w:rsidP="00EA7B36">
      <w:r w:rsidRPr="005F4D33">
        <w:rPr>
          <w:rStyle w:val="Strong"/>
          <w:sz w:val="14"/>
          <w:szCs w:val="14"/>
        </w:rPr>
        <w:t>Disclaimer</w:t>
      </w:r>
    </w:p>
    <w:p w14:paraId="75F4E5A1" w14:textId="77777777" w:rsidR="005162C9" w:rsidRPr="005F4D33" w:rsidRDefault="005162C9" w:rsidP="00EA7B36">
      <w:r w:rsidRPr="005F4D33">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4F1A3B49" w14:textId="77777777" w:rsidR="005162C9" w:rsidRPr="005F4D33" w:rsidRDefault="005162C9" w:rsidP="00EA7B36">
      <w:pPr>
        <w:rPr>
          <w:szCs w:val="18"/>
        </w:rPr>
      </w:pPr>
      <w:r w:rsidRPr="005F4D33">
        <w:rPr>
          <w:b/>
          <w:bCs/>
          <w:szCs w:val="18"/>
        </w:rPr>
        <w:t>Acknowledgement of Country</w:t>
      </w:r>
    </w:p>
    <w:p w14:paraId="3C614BA4" w14:textId="77777777" w:rsidR="005162C9" w:rsidRPr="005F4D33" w:rsidRDefault="005162C9" w:rsidP="00EA7B36">
      <w:pPr>
        <w:rPr>
          <w:szCs w:val="18"/>
        </w:rPr>
      </w:pPr>
      <w:r w:rsidRPr="005F4D33">
        <w:rPr>
          <w:szCs w:val="18"/>
        </w:rPr>
        <w:t>We acknowledge the Traditional Owners of Country throughout Australia and recognise their continuing connection to land, waters and culture. We pay our respects to their Elders past and present.</w:t>
      </w:r>
    </w:p>
    <w:p w14:paraId="66CC3319" w14:textId="77777777" w:rsidR="00FD52E6" w:rsidRPr="005F4D33" w:rsidRDefault="00FD52E6" w:rsidP="00823DED">
      <w:pPr>
        <w:rPr>
          <w:sz w:val="14"/>
          <w:szCs w:val="18"/>
        </w:rPr>
      </w:pPr>
    </w:p>
    <w:p w14:paraId="42D131D4" w14:textId="77777777" w:rsidR="00FD52E6" w:rsidRPr="005F4D33" w:rsidRDefault="004F5354" w:rsidP="006D4652">
      <w:pPr>
        <w:rPr>
          <w:sz w:val="14"/>
          <w:szCs w:val="18"/>
        </w:rPr>
      </w:pPr>
      <w:r w:rsidRPr="005F4D33">
        <w:rPr>
          <w:sz w:val="14"/>
          <w:szCs w:val="18"/>
        </w:rPr>
        <w:br w:type="page"/>
      </w:r>
    </w:p>
    <w:bookmarkStart w:id="3" w:name="_Toc184220064" w:displacedByCustomXml="next"/>
    <w:sdt>
      <w:sdtPr>
        <w:rPr>
          <w:rFonts w:asciiTheme="minorHAnsi" w:hAnsiTheme="minorHAnsi"/>
          <w:b w:val="0"/>
          <w:bCs w:val="0"/>
          <w:color w:val="auto"/>
          <w:spacing w:val="0"/>
          <w:kern w:val="0"/>
          <w:sz w:val="14"/>
          <w:szCs w:val="14"/>
          <w:shd w:val="clear" w:color="auto" w:fill="E6E6E6"/>
        </w:rPr>
        <w:id w:val="-2034867941"/>
        <w:docPartObj>
          <w:docPartGallery w:val="Table of Contents"/>
          <w:docPartUnique/>
        </w:docPartObj>
      </w:sdtPr>
      <w:sdtEndPr/>
      <w:sdtContent>
        <w:p w14:paraId="6E71737F" w14:textId="053B8701" w:rsidR="00712C2C" w:rsidRPr="005F4D33" w:rsidRDefault="004F5354" w:rsidP="007017F0">
          <w:pPr>
            <w:pStyle w:val="Heading1"/>
            <w:rPr>
              <w:color w:val="auto"/>
            </w:rPr>
          </w:pPr>
          <w:r w:rsidRPr="005F4D33">
            <w:rPr>
              <w:color w:val="auto"/>
            </w:rPr>
            <w:t>Contents</w:t>
          </w:r>
          <w:bookmarkEnd w:id="3"/>
        </w:p>
        <w:p w14:paraId="2FE8E9CE" w14:textId="4B3196E8" w:rsidR="00FE0A8E" w:rsidRDefault="004F5354">
          <w:pPr>
            <w:pStyle w:val="TOC1"/>
            <w:rPr>
              <w:rFonts w:eastAsiaTheme="minorEastAsia"/>
              <w:b w:val="0"/>
              <w:kern w:val="2"/>
              <w:sz w:val="24"/>
              <w:szCs w:val="24"/>
              <w:lang w:eastAsia="en-AU"/>
              <w14:ligatures w14:val="standardContextual"/>
            </w:rPr>
          </w:pPr>
          <w:r w:rsidRPr="005F4D33">
            <w:rPr>
              <w:sz w:val="14"/>
              <w:szCs w:val="14"/>
              <w:shd w:val="clear" w:color="auto" w:fill="E6E6E6"/>
            </w:rPr>
            <w:fldChar w:fldCharType="begin"/>
          </w:r>
          <w:r w:rsidRPr="005F4D33">
            <w:rPr>
              <w:sz w:val="14"/>
              <w:szCs w:val="14"/>
            </w:rPr>
            <w:instrText xml:space="preserve"> TOC \o "1-3" \h \z \u </w:instrText>
          </w:r>
          <w:r w:rsidRPr="005F4D33">
            <w:rPr>
              <w:sz w:val="14"/>
              <w:szCs w:val="14"/>
              <w:shd w:val="clear" w:color="auto" w:fill="E6E6E6"/>
            </w:rPr>
            <w:fldChar w:fldCharType="separate"/>
          </w:r>
          <w:hyperlink w:anchor="_Toc184220063" w:history="1">
            <w:r w:rsidR="00FE0A8E" w:rsidRPr="00A25710">
              <w:rPr>
                <w:rStyle w:val="Hyperlink"/>
              </w:rPr>
              <w:t>Australia’s Circular Economy Framework</w:t>
            </w:r>
            <w:r w:rsidR="00FE0A8E">
              <w:rPr>
                <w:webHidden/>
              </w:rPr>
              <w:tab/>
            </w:r>
            <w:r w:rsidR="00FE0A8E">
              <w:rPr>
                <w:webHidden/>
              </w:rPr>
              <w:fldChar w:fldCharType="begin"/>
            </w:r>
            <w:r w:rsidR="00FE0A8E">
              <w:rPr>
                <w:webHidden/>
              </w:rPr>
              <w:instrText xml:space="preserve"> PAGEREF _Toc184220063 \h </w:instrText>
            </w:r>
            <w:r w:rsidR="00FE0A8E">
              <w:rPr>
                <w:webHidden/>
              </w:rPr>
            </w:r>
            <w:r w:rsidR="00FE0A8E">
              <w:rPr>
                <w:webHidden/>
              </w:rPr>
              <w:fldChar w:fldCharType="separate"/>
            </w:r>
            <w:r w:rsidR="00437C7B">
              <w:rPr>
                <w:webHidden/>
              </w:rPr>
              <w:t>1</w:t>
            </w:r>
            <w:r w:rsidR="00FE0A8E">
              <w:rPr>
                <w:webHidden/>
              </w:rPr>
              <w:fldChar w:fldCharType="end"/>
            </w:r>
          </w:hyperlink>
        </w:p>
        <w:p w14:paraId="155E519D" w14:textId="22EA5BBA" w:rsidR="00FE0A8E" w:rsidRDefault="00FE0A8E">
          <w:pPr>
            <w:pStyle w:val="TOC1"/>
            <w:rPr>
              <w:rFonts w:eastAsiaTheme="minorEastAsia"/>
              <w:b w:val="0"/>
              <w:kern w:val="2"/>
              <w:sz w:val="24"/>
              <w:szCs w:val="24"/>
              <w:lang w:eastAsia="en-AU"/>
              <w14:ligatures w14:val="standardContextual"/>
            </w:rPr>
          </w:pPr>
          <w:hyperlink w:anchor="_Toc184220064" w:history="1">
            <w:r w:rsidRPr="00A25710">
              <w:rPr>
                <w:rStyle w:val="Hyperlink"/>
              </w:rPr>
              <w:t>Contents</w:t>
            </w:r>
            <w:r>
              <w:rPr>
                <w:webHidden/>
              </w:rPr>
              <w:tab/>
            </w:r>
            <w:r>
              <w:rPr>
                <w:webHidden/>
              </w:rPr>
              <w:fldChar w:fldCharType="begin"/>
            </w:r>
            <w:r>
              <w:rPr>
                <w:webHidden/>
              </w:rPr>
              <w:instrText xml:space="preserve"> PAGEREF _Toc184220064 \h </w:instrText>
            </w:r>
            <w:r>
              <w:rPr>
                <w:webHidden/>
              </w:rPr>
            </w:r>
            <w:r>
              <w:rPr>
                <w:webHidden/>
              </w:rPr>
              <w:fldChar w:fldCharType="separate"/>
            </w:r>
            <w:r w:rsidR="00437C7B">
              <w:rPr>
                <w:webHidden/>
              </w:rPr>
              <w:t>3</w:t>
            </w:r>
            <w:r>
              <w:rPr>
                <w:webHidden/>
              </w:rPr>
              <w:fldChar w:fldCharType="end"/>
            </w:r>
          </w:hyperlink>
        </w:p>
        <w:p w14:paraId="5E6DBC57" w14:textId="76B3D3B6" w:rsidR="00FE0A8E" w:rsidRDefault="00FE0A8E">
          <w:pPr>
            <w:pStyle w:val="TOC2"/>
            <w:tabs>
              <w:tab w:val="left" w:pos="960"/>
            </w:tabs>
            <w:rPr>
              <w:rFonts w:eastAsiaTheme="minorEastAsia"/>
              <w:kern w:val="2"/>
              <w:sz w:val="24"/>
              <w:szCs w:val="24"/>
              <w:lang w:eastAsia="en-AU"/>
              <w14:ligatures w14:val="standardContextual"/>
            </w:rPr>
          </w:pPr>
          <w:hyperlink w:anchor="_Toc184220065" w:history="1">
            <w:r w:rsidRPr="00A25710">
              <w:rPr>
                <w:rStyle w:val="Hyperlink"/>
              </w:rPr>
              <w:t>1</w:t>
            </w:r>
            <w:r>
              <w:rPr>
                <w:rFonts w:eastAsiaTheme="minorEastAsia"/>
                <w:kern w:val="2"/>
                <w:sz w:val="24"/>
                <w:szCs w:val="24"/>
                <w:lang w:eastAsia="en-AU"/>
                <w14:ligatures w14:val="standardContextual"/>
              </w:rPr>
              <w:tab/>
            </w:r>
            <w:r w:rsidRPr="00A25710">
              <w:rPr>
                <w:rStyle w:val="Hyperlink"/>
              </w:rPr>
              <w:t>Australia’s Mission</w:t>
            </w:r>
            <w:r>
              <w:rPr>
                <w:webHidden/>
              </w:rPr>
              <w:tab/>
            </w:r>
            <w:r>
              <w:rPr>
                <w:webHidden/>
              </w:rPr>
              <w:fldChar w:fldCharType="begin"/>
            </w:r>
            <w:r>
              <w:rPr>
                <w:webHidden/>
              </w:rPr>
              <w:instrText xml:space="preserve"> PAGEREF _Toc184220065 \h </w:instrText>
            </w:r>
            <w:r>
              <w:rPr>
                <w:webHidden/>
              </w:rPr>
            </w:r>
            <w:r>
              <w:rPr>
                <w:webHidden/>
              </w:rPr>
              <w:fldChar w:fldCharType="separate"/>
            </w:r>
            <w:r w:rsidR="00437C7B">
              <w:rPr>
                <w:webHidden/>
              </w:rPr>
              <w:t>5</w:t>
            </w:r>
            <w:r>
              <w:rPr>
                <w:webHidden/>
              </w:rPr>
              <w:fldChar w:fldCharType="end"/>
            </w:r>
          </w:hyperlink>
        </w:p>
        <w:p w14:paraId="32DF3A4F" w14:textId="7EB99F70" w:rsidR="00FE0A8E" w:rsidRDefault="00FE0A8E">
          <w:pPr>
            <w:pStyle w:val="TOC3"/>
            <w:rPr>
              <w:rFonts w:eastAsiaTheme="minorEastAsia"/>
              <w:kern w:val="2"/>
              <w:sz w:val="24"/>
              <w:szCs w:val="24"/>
              <w:lang w:eastAsia="en-AU"/>
              <w14:ligatures w14:val="standardContextual"/>
            </w:rPr>
          </w:pPr>
          <w:hyperlink w:anchor="_Toc184220066" w:history="1">
            <w:r w:rsidRPr="00A25710">
              <w:rPr>
                <w:rStyle w:val="Hyperlink"/>
              </w:rPr>
              <w:t>Double the circularity of the economy by 2035</w:t>
            </w:r>
            <w:r>
              <w:rPr>
                <w:webHidden/>
              </w:rPr>
              <w:tab/>
            </w:r>
            <w:r>
              <w:rPr>
                <w:webHidden/>
              </w:rPr>
              <w:fldChar w:fldCharType="begin"/>
            </w:r>
            <w:r>
              <w:rPr>
                <w:webHidden/>
              </w:rPr>
              <w:instrText xml:space="preserve"> PAGEREF _Toc184220066 \h </w:instrText>
            </w:r>
            <w:r>
              <w:rPr>
                <w:webHidden/>
              </w:rPr>
            </w:r>
            <w:r>
              <w:rPr>
                <w:webHidden/>
              </w:rPr>
              <w:fldChar w:fldCharType="separate"/>
            </w:r>
            <w:r w:rsidR="00437C7B">
              <w:rPr>
                <w:webHidden/>
              </w:rPr>
              <w:t>5</w:t>
            </w:r>
            <w:r>
              <w:rPr>
                <w:webHidden/>
              </w:rPr>
              <w:fldChar w:fldCharType="end"/>
            </w:r>
          </w:hyperlink>
        </w:p>
        <w:p w14:paraId="38CCC756" w14:textId="5B016216" w:rsidR="00FE0A8E" w:rsidRDefault="00FE0A8E">
          <w:pPr>
            <w:pStyle w:val="TOC3"/>
            <w:rPr>
              <w:rFonts w:eastAsiaTheme="minorEastAsia"/>
              <w:kern w:val="2"/>
              <w:sz w:val="24"/>
              <w:szCs w:val="24"/>
              <w:lang w:eastAsia="en-AU"/>
              <w14:ligatures w14:val="standardContextual"/>
            </w:rPr>
          </w:pPr>
          <w:hyperlink w:anchor="_Toc184220067" w:history="1">
            <w:r w:rsidRPr="00A25710">
              <w:rPr>
                <w:rStyle w:val="Hyperlink"/>
              </w:rPr>
              <w:t>Ambition and focus</w:t>
            </w:r>
            <w:r>
              <w:rPr>
                <w:webHidden/>
              </w:rPr>
              <w:tab/>
            </w:r>
            <w:r>
              <w:rPr>
                <w:webHidden/>
              </w:rPr>
              <w:fldChar w:fldCharType="begin"/>
            </w:r>
            <w:r>
              <w:rPr>
                <w:webHidden/>
              </w:rPr>
              <w:instrText xml:space="preserve"> PAGEREF _Toc184220067 \h </w:instrText>
            </w:r>
            <w:r>
              <w:rPr>
                <w:webHidden/>
              </w:rPr>
            </w:r>
            <w:r>
              <w:rPr>
                <w:webHidden/>
              </w:rPr>
              <w:fldChar w:fldCharType="separate"/>
            </w:r>
            <w:r w:rsidR="00437C7B">
              <w:rPr>
                <w:webHidden/>
              </w:rPr>
              <w:t>5</w:t>
            </w:r>
            <w:r>
              <w:rPr>
                <w:webHidden/>
              </w:rPr>
              <w:fldChar w:fldCharType="end"/>
            </w:r>
          </w:hyperlink>
        </w:p>
        <w:p w14:paraId="2307F188" w14:textId="6BAAAD60" w:rsidR="00FE0A8E" w:rsidRDefault="00FE0A8E">
          <w:pPr>
            <w:pStyle w:val="TOC3"/>
            <w:rPr>
              <w:rFonts w:eastAsiaTheme="minorEastAsia"/>
              <w:kern w:val="2"/>
              <w:sz w:val="24"/>
              <w:szCs w:val="24"/>
              <w:lang w:eastAsia="en-AU"/>
              <w14:ligatures w14:val="standardContextual"/>
            </w:rPr>
          </w:pPr>
          <w:hyperlink w:anchor="_Toc184220068" w:history="1">
            <w:r w:rsidRPr="00A25710">
              <w:rPr>
                <w:rStyle w:val="Hyperlink"/>
              </w:rPr>
              <w:t>A commitment to First Nations peoples and knowledge</w:t>
            </w:r>
            <w:r>
              <w:rPr>
                <w:webHidden/>
              </w:rPr>
              <w:tab/>
            </w:r>
            <w:r>
              <w:rPr>
                <w:webHidden/>
              </w:rPr>
              <w:fldChar w:fldCharType="begin"/>
            </w:r>
            <w:r>
              <w:rPr>
                <w:webHidden/>
              </w:rPr>
              <w:instrText xml:space="preserve"> PAGEREF _Toc184220068 \h </w:instrText>
            </w:r>
            <w:r>
              <w:rPr>
                <w:webHidden/>
              </w:rPr>
            </w:r>
            <w:r>
              <w:rPr>
                <w:webHidden/>
              </w:rPr>
              <w:fldChar w:fldCharType="separate"/>
            </w:r>
            <w:r w:rsidR="00437C7B">
              <w:rPr>
                <w:webHidden/>
              </w:rPr>
              <w:t>6</w:t>
            </w:r>
            <w:r>
              <w:rPr>
                <w:webHidden/>
              </w:rPr>
              <w:fldChar w:fldCharType="end"/>
            </w:r>
          </w:hyperlink>
        </w:p>
        <w:p w14:paraId="02C9A63B" w14:textId="45615658" w:rsidR="00FE0A8E" w:rsidRDefault="00FE0A8E">
          <w:pPr>
            <w:pStyle w:val="TOC2"/>
            <w:tabs>
              <w:tab w:val="left" w:pos="960"/>
            </w:tabs>
            <w:rPr>
              <w:rFonts w:eastAsiaTheme="minorEastAsia"/>
              <w:kern w:val="2"/>
              <w:sz w:val="24"/>
              <w:szCs w:val="24"/>
              <w:lang w:eastAsia="en-AU"/>
              <w14:ligatures w14:val="standardContextual"/>
            </w:rPr>
          </w:pPr>
          <w:hyperlink w:anchor="_Toc184220069" w:history="1">
            <w:r w:rsidRPr="00A25710">
              <w:rPr>
                <w:rStyle w:val="Hyperlink"/>
              </w:rPr>
              <w:t>2</w:t>
            </w:r>
            <w:r>
              <w:rPr>
                <w:rFonts w:eastAsiaTheme="minorEastAsia"/>
                <w:kern w:val="2"/>
                <w:sz w:val="24"/>
                <w:szCs w:val="24"/>
                <w:lang w:eastAsia="en-AU"/>
                <w14:ligatures w14:val="standardContextual"/>
              </w:rPr>
              <w:tab/>
            </w:r>
            <w:r w:rsidRPr="00A25710">
              <w:rPr>
                <w:rStyle w:val="Hyperlink"/>
              </w:rPr>
              <w:t>Framework at a glance</w:t>
            </w:r>
            <w:r>
              <w:rPr>
                <w:webHidden/>
              </w:rPr>
              <w:tab/>
            </w:r>
            <w:r>
              <w:rPr>
                <w:webHidden/>
              </w:rPr>
              <w:fldChar w:fldCharType="begin"/>
            </w:r>
            <w:r>
              <w:rPr>
                <w:webHidden/>
              </w:rPr>
              <w:instrText xml:space="preserve"> PAGEREF _Toc184220069 \h </w:instrText>
            </w:r>
            <w:r>
              <w:rPr>
                <w:webHidden/>
              </w:rPr>
            </w:r>
            <w:r>
              <w:rPr>
                <w:webHidden/>
              </w:rPr>
              <w:fldChar w:fldCharType="separate"/>
            </w:r>
            <w:r w:rsidR="00437C7B">
              <w:rPr>
                <w:webHidden/>
              </w:rPr>
              <w:t>7</w:t>
            </w:r>
            <w:r>
              <w:rPr>
                <w:webHidden/>
              </w:rPr>
              <w:fldChar w:fldCharType="end"/>
            </w:r>
          </w:hyperlink>
        </w:p>
        <w:p w14:paraId="0CFAE547" w14:textId="107EE383" w:rsidR="00FE0A8E" w:rsidRDefault="00FE0A8E">
          <w:pPr>
            <w:pStyle w:val="TOC2"/>
            <w:tabs>
              <w:tab w:val="left" w:pos="960"/>
            </w:tabs>
            <w:rPr>
              <w:rFonts w:eastAsiaTheme="minorEastAsia"/>
              <w:kern w:val="2"/>
              <w:sz w:val="24"/>
              <w:szCs w:val="24"/>
              <w:lang w:eastAsia="en-AU"/>
              <w14:ligatures w14:val="standardContextual"/>
            </w:rPr>
          </w:pPr>
          <w:hyperlink w:anchor="_Toc184220070" w:history="1">
            <w:r w:rsidRPr="00A25710">
              <w:rPr>
                <w:rStyle w:val="Hyperlink"/>
              </w:rPr>
              <w:t>3</w:t>
            </w:r>
            <w:r>
              <w:rPr>
                <w:rFonts w:eastAsiaTheme="minorEastAsia"/>
                <w:kern w:val="2"/>
                <w:sz w:val="24"/>
                <w:szCs w:val="24"/>
                <w:lang w:eastAsia="en-AU"/>
                <w14:ligatures w14:val="standardContextual"/>
              </w:rPr>
              <w:tab/>
            </w:r>
            <w:r w:rsidRPr="00A25710">
              <w:rPr>
                <w:rStyle w:val="Hyperlink"/>
              </w:rPr>
              <w:t>What is a circular economy?</w:t>
            </w:r>
            <w:r>
              <w:rPr>
                <w:webHidden/>
              </w:rPr>
              <w:tab/>
            </w:r>
            <w:r>
              <w:rPr>
                <w:webHidden/>
              </w:rPr>
              <w:fldChar w:fldCharType="begin"/>
            </w:r>
            <w:r>
              <w:rPr>
                <w:webHidden/>
              </w:rPr>
              <w:instrText xml:space="preserve"> PAGEREF _Toc184220070 \h </w:instrText>
            </w:r>
            <w:r>
              <w:rPr>
                <w:webHidden/>
              </w:rPr>
            </w:r>
            <w:r>
              <w:rPr>
                <w:webHidden/>
              </w:rPr>
              <w:fldChar w:fldCharType="separate"/>
            </w:r>
            <w:r w:rsidR="00437C7B">
              <w:rPr>
                <w:webHidden/>
              </w:rPr>
              <w:t>8</w:t>
            </w:r>
            <w:r>
              <w:rPr>
                <w:webHidden/>
              </w:rPr>
              <w:fldChar w:fldCharType="end"/>
            </w:r>
          </w:hyperlink>
        </w:p>
        <w:p w14:paraId="103A7EFC" w14:textId="3C927419" w:rsidR="00FE0A8E" w:rsidRDefault="00FE0A8E">
          <w:pPr>
            <w:pStyle w:val="TOC3"/>
            <w:rPr>
              <w:rFonts w:eastAsiaTheme="minorEastAsia"/>
              <w:kern w:val="2"/>
              <w:sz w:val="24"/>
              <w:szCs w:val="24"/>
              <w:lang w:eastAsia="en-AU"/>
              <w14:ligatures w14:val="standardContextual"/>
            </w:rPr>
          </w:pPr>
          <w:hyperlink w:anchor="_Toc184220071" w:history="1">
            <w:r w:rsidRPr="00A25710">
              <w:rPr>
                <w:rStyle w:val="Hyperlink"/>
              </w:rPr>
              <w:t>How circular is Australia?</w:t>
            </w:r>
            <w:r>
              <w:rPr>
                <w:webHidden/>
              </w:rPr>
              <w:tab/>
            </w:r>
            <w:r>
              <w:rPr>
                <w:webHidden/>
              </w:rPr>
              <w:fldChar w:fldCharType="begin"/>
            </w:r>
            <w:r>
              <w:rPr>
                <w:webHidden/>
              </w:rPr>
              <w:instrText xml:space="preserve"> PAGEREF _Toc184220071 \h </w:instrText>
            </w:r>
            <w:r>
              <w:rPr>
                <w:webHidden/>
              </w:rPr>
            </w:r>
            <w:r>
              <w:rPr>
                <w:webHidden/>
              </w:rPr>
              <w:fldChar w:fldCharType="separate"/>
            </w:r>
            <w:r w:rsidR="00437C7B">
              <w:rPr>
                <w:webHidden/>
              </w:rPr>
              <w:t>9</w:t>
            </w:r>
            <w:r>
              <w:rPr>
                <w:webHidden/>
              </w:rPr>
              <w:fldChar w:fldCharType="end"/>
            </w:r>
          </w:hyperlink>
        </w:p>
        <w:p w14:paraId="2F2637C5" w14:textId="6E0855F1" w:rsidR="00FE0A8E" w:rsidRDefault="00FE0A8E">
          <w:pPr>
            <w:pStyle w:val="TOC3"/>
            <w:rPr>
              <w:rFonts w:eastAsiaTheme="minorEastAsia"/>
              <w:kern w:val="2"/>
              <w:sz w:val="24"/>
              <w:szCs w:val="24"/>
              <w:lang w:eastAsia="en-AU"/>
              <w14:ligatures w14:val="standardContextual"/>
            </w:rPr>
          </w:pPr>
          <w:hyperlink w:anchor="_Toc184220072" w:history="1">
            <w:r w:rsidRPr="00A25710">
              <w:rPr>
                <w:rStyle w:val="Hyperlink"/>
              </w:rPr>
              <w:t>Australia’s circular economy potential</w:t>
            </w:r>
            <w:r>
              <w:rPr>
                <w:webHidden/>
              </w:rPr>
              <w:tab/>
            </w:r>
            <w:r>
              <w:rPr>
                <w:webHidden/>
              </w:rPr>
              <w:fldChar w:fldCharType="begin"/>
            </w:r>
            <w:r>
              <w:rPr>
                <w:webHidden/>
              </w:rPr>
              <w:instrText xml:space="preserve"> PAGEREF _Toc184220072 \h </w:instrText>
            </w:r>
            <w:r>
              <w:rPr>
                <w:webHidden/>
              </w:rPr>
            </w:r>
            <w:r>
              <w:rPr>
                <w:webHidden/>
              </w:rPr>
              <w:fldChar w:fldCharType="separate"/>
            </w:r>
            <w:r w:rsidR="00437C7B">
              <w:rPr>
                <w:webHidden/>
              </w:rPr>
              <w:t>9</w:t>
            </w:r>
            <w:r>
              <w:rPr>
                <w:webHidden/>
              </w:rPr>
              <w:fldChar w:fldCharType="end"/>
            </w:r>
          </w:hyperlink>
        </w:p>
        <w:p w14:paraId="68364DEE" w14:textId="72AF56F6" w:rsidR="00FE0A8E" w:rsidRDefault="00FE0A8E">
          <w:pPr>
            <w:pStyle w:val="TOC2"/>
            <w:tabs>
              <w:tab w:val="left" w:pos="960"/>
            </w:tabs>
            <w:rPr>
              <w:rFonts w:eastAsiaTheme="minorEastAsia"/>
              <w:kern w:val="2"/>
              <w:sz w:val="24"/>
              <w:szCs w:val="24"/>
              <w:lang w:eastAsia="en-AU"/>
              <w14:ligatures w14:val="standardContextual"/>
            </w:rPr>
          </w:pPr>
          <w:hyperlink w:anchor="_Toc184220073" w:history="1">
            <w:r w:rsidRPr="00A25710">
              <w:rPr>
                <w:rStyle w:val="Hyperlink"/>
              </w:rPr>
              <w:t>4</w:t>
            </w:r>
            <w:r>
              <w:rPr>
                <w:rFonts w:eastAsiaTheme="minorEastAsia"/>
                <w:kern w:val="2"/>
                <w:sz w:val="24"/>
                <w:szCs w:val="24"/>
                <w:lang w:eastAsia="en-AU"/>
                <w14:ligatures w14:val="standardContextual"/>
              </w:rPr>
              <w:tab/>
            </w:r>
            <w:r w:rsidRPr="00A25710">
              <w:rPr>
                <w:rStyle w:val="Hyperlink"/>
              </w:rPr>
              <w:t>Australia’s targets</w:t>
            </w:r>
            <w:r>
              <w:rPr>
                <w:webHidden/>
              </w:rPr>
              <w:tab/>
            </w:r>
            <w:r>
              <w:rPr>
                <w:webHidden/>
              </w:rPr>
              <w:fldChar w:fldCharType="begin"/>
            </w:r>
            <w:r>
              <w:rPr>
                <w:webHidden/>
              </w:rPr>
              <w:instrText xml:space="preserve"> PAGEREF _Toc184220073 \h </w:instrText>
            </w:r>
            <w:r>
              <w:rPr>
                <w:webHidden/>
              </w:rPr>
            </w:r>
            <w:r>
              <w:rPr>
                <w:webHidden/>
              </w:rPr>
              <w:fldChar w:fldCharType="separate"/>
            </w:r>
            <w:r w:rsidR="00437C7B">
              <w:rPr>
                <w:webHidden/>
              </w:rPr>
              <w:t>12</w:t>
            </w:r>
            <w:r>
              <w:rPr>
                <w:webHidden/>
              </w:rPr>
              <w:fldChar w:fldCharType="end"/>
            </w:r>
          </w:hyperlink>
        </w:p>
        <w:p w14:paraId="06587EFD" w14:textId="2D70E4D8" w:rsidR="00FE0A8E" w:rsidRDefault="00FE0A8E">
          <w:pPr>
            <w:pStyle w:val="TOC3"/>
            <w:rPr>
              <w:rFonts w:eastAsiaTheme="minorEastAsia"/>
              <w:kern w:val="2"/>
              <w:sz w:val="24"/>
              <w:szCs w:val="24"/>
              <w:lang w:eastAsia="en-AU"/>
              <w14:ligatures w14:val="standardContextual"/>
            </w:rPr>
          </w:pPr>
          <w:hyperlink w:anchor="_Toc184220074" w:history="1">
            <w:r w:rsidRPr="00A25710">
              <w:rPr>
                <w:rStyle w:val="Hyperlink"/>
              </w:rPr>
              <w:t>Target 1: Reducing material footprint by 10%</w:t>
            </w:r>
            <w:r>
              <w:rPr>
                <w:webHidden/>
              </w:rPr>
              <w:tab/>
            </w:r>
            <w:r>
              <w:rPr>
                <w:webHidden/>
              </w:rPr>
              <w:fldChar w:fldCharType="begin"/>
            </w:r>
            <w:r>
              <w:rPr>
                <w:webHidden/>
              </w:rPr>
              <w:instrText xml:space="preserve"> PAGEREF _Toc184220074 \h </w:instrText>
            </w:r>
            <w:r>
              <w:rPr>
                <w:webHidden/>
              </w:rPr>
            </w:r>
            <w:r>
              <w:rPr>
                <w:webHidden/>
              </w:rPr>
              <w:fldChar w:fldCharType="separate"/>
            </w:r>
            <w:r w:rsidR="00437C7B">
              <w:rPr>
                <w:webHidden/>
              </w:rPr>
              <w:t>12</w:t>
            </w:r>
            <w:r>
              <w:rPr>
                <w:webHidden/>
              </w:rPr>
              <w:fldChar w:fldCharType="end"/>
            </w:r>
          </w:hyperlink>
        </w:p>
        <w:p w14:paraId="0C0C71B3" w14:textId="3C59C7D1" w:rsidR="00FE0A8E" w:rsidRDefault="00FE0A8E">
          <w:pPr>
            <w:pStyle w:val="TOC3"/>
            <w:rPr>
              <w:rFonts w:eastAsiaTheme="minorEastAsia"/>
              <w:kern w:val="2"/>
              <w:sz w:val="24"/>
              <w:szCs w:val="24"/>
              <w:lang w:eastAsia="en-AU"/>
              <w14:ligatures w14:val="standardContextual"/>
            </w:rPr>
          </w:pPr>
          <w:hyperlink w:anchor="_Toc184220075" w:history="1">
            <w:r w:rsidRPr="00A25710">
              <w:rPr>
                <w:rStyle w:val="Hyperlink"/>
              </w:rPr>
              <w:t>Target 2: Lifting materials productivity by 30%</w:t>
            </w:r>
            <w:r>
              <w:rPr>
                <w:webHidden/>
              </w:rPr>
              <w:tab/>
            </w:r>
            <w:r>
              <w:rPr>
                <w:webHidden/>
              </w:rPr>
              <w:fldChar w:fldCharType="begin"/>
            </w:r>
            <w:r>
              <w:rPr>
                <w:webHidden/>
              </w:rPr>
              <w:instrText xml:space="preserve"> PAGEREF _Toc184220075 \h </w:instrText>
            </w:r>
            <w:r>
              <w:rPr>
                <w:webHidden/>
              </w:rPr>
            </w:r>
            <w:r>
              <w:rPr>
                <w:webHidden/>
              </w:rPr>
              <w:fldChar w:fldCharType="separate"/>
            </w:r>
            <w:r w:rsidR="00437C7B">
              <w:rPr>
                <w:webHidden/>
              </w:rPr>
              <w:t>12</w:t>
            </w:r>
            <w:r>
              <w:rPr>
                <w:webHidden/>
              </w:rPr>
              <w:fldChar w:fldCharType="end"/>
            </w:r>
          </w:hyperlink>
        </w:p>
        <w:p w14:paraId="5472A5EF" w14:textId="73147E6C" w:rsidR="00FE0A8E" w:rsidRDefault="00FE0A8E">
          <w:pPr>
            <w:pStyle w:val="TOC3"/>
            <w:rPr>
              <w:rFonts w:eastAsiaTheme="minorEastAsia"/>
              <w:kern w:val="2"/>
              <w:sz w:val="24"/>
              <w:szCs w:val="24"/>
              <w:lang w:eastAsia="en-AU"/>
              <w14:ligatures w14:val="standardContextual"/>
            </w:rPr>
          </w:pPr>
          <w:hyperlink w:anchor="_Toc184220076" w:history="1">
            <w:r w:rsidRPr="00A25710">
              <w:rPr>
                <w:rStyle w:val="Hyperlink"/>
              </w:rPr>
              <w:t>Target 3: Safely recovering 80% of our resources</w:t>
            </w:r>
            <w:r>
              <w:rPr>
                <w:webHidden/>
              </w:rPr>
              <w:tab/>
            </w:r>
            <w:r>
              <w:rPr>
                <w:webHidden/>
              </w:rPr>
              <w:fldChar w:fldCharType="begin"/>
            </w:r>
            <w:r>
              <w:rPr>
                <w:webHidden/>
              </w:rPr>
              <w:instrText xml:space="preserve"> PAGEREF _Toc184220076 \h </w:instrText>
            </w:r>
            <w:r>
              <w:rPr>
                <w:webHidden/>
              </w:rPr>
            </w:r>
            <w:r>
              <w:rPr>
                <w:webHidden/>
              </w:rPr>
              <w:fldChar w:fldCharType="separate"/>
            </w:r>
            <w:r w:rsidR="00437C7B">
              <w:rPr>
                <w:webHidden/>
              </w:rPr>
              <w:t>12</w:t>
            </w:r>
            <w:r>
              <w:rPr>
                <w:webHidden/>
              </w:rPr>
              <w:fldChar w:fldCharType="end"/>
            </w:r>
          </w:hyperlink>
        </w:p>
        <w:p w14:paraId="4D54ADB8" w14:textId="1B30B4F0" w:rsidR="00FE0A8E" w:rsidRDefault="00FE0A8E">
          <w:pPr>
            <w:pStyle w:val="TOC2"/>
            <w:tabs>
              <w:tab w:val="left" w:pos="960"/>
            </w:tabs>
            <w:rPr>
              <w:rFonts w:eastAsiaTheme="minorEastAsia"/>
              <w:kern w:val="2"/>
              <w:sz w:val="24"/>
              <w:szCs w:val="24"/>
              <w:lang w:eastAsia="en-AU"/>
              <w14:ligatures w14:val="standardContextual"/>
            </w:rPr>
          </w:pPr>
          <w:hyperlink w:anchor="_Toc184220077" w:history="1">
            <w:r w:rsidRPr="00A25710">
              <w:rPr>
                <w:rStyle w:val="Hyperlink"/>
              </w:rPr>
              <w:t>5</w:t>
            </w:r>
            <w:r>
              <w:rPr>
                <w:rFonts w:eastAsiaTheme="minorEastAsia"/>
                <w:kern w:val="2"/>
                <w:sz w:val="24"/>
                <w:szCs w:val="24"/>
                <w:lang w:eastAsia="en-AU"/>
                <w14:ligatures w14:val="standardContextual"/>
              </w:rPr>
              <w:tab/>
            </w:r>
            <w:r w:rsidRPr="00A25710">
              <w:rPr>
                <w:rStyle w:val="Hyperlink"/>
              </w:rPr>
              <w:t>Reasons to go circular</w:t>
            </w:r>
            <w:r>
              <w:rPr>
                <w:webHidden/>
              </w:rPr>
              <w:tab/>
            </w:r>
            <w:r>
              <w:rPr>
                <w:webHidden/>
              </w:rPr>
              <w:fldChar w:fldCharType="begin"/>
            </w:r>
            <w:r>
              <w:rPr>
                <w:webHidden/>
              </w:rPr>
              <w:instrText xml:space="preserve"> PAGEREF _Toc184220077 \h </w:instrText>
            </w:r>
            <w:r>
              <w:rPr>
                <w:webHidden/>
              </w:rPr>
            </w:r>
            <w:r>
              <w:rPr>
                <w:webHidden/>
              </w:rPr>
              <w:fldChar w:fldCharType="separate"/>
            </w:r>
            <w:r w:rsidR="00437C7B">
              <w:rPr>
                <w:webHidden/>
              </w:rPr>
              <w:t>14</w:t>
            </w:r>
            <w:r>
              <w:rPr>
                <w:webHidden/>
              </w:rPr>
              <w:fldChar w:fldCharType="end"/>
            </w:r>
          </w:hyperlink>
        </w:p>
        <w:p w14:paraId="44995B43" w14:textId="44A64B43" w:rsidR="00FE0A8E" w:rsidRDefault="00FE0A8E">
          <w:pPr>
            <w:pStyle w:val="TOC3"/>
            <w:rPr>
              <w:rFonts w:eastAsiaTheme="minorEastAsia"/>
              <w:kern w:val="2"/>
              <w:sz w:val="24"/>
              <w:szCs w:val="24"/>
              <w:lang w:eastAsia="en-AU"/>
              <w14:ligatures w14:val="standardContextual"/>
            </w:rPr>
          </w:pPr>
          <w:hyperlink w:anchor="_Toc184220078" w:history="1">
            <w:r w:rsidRPr="00A25710">
              <w:rPr>
                <w:rStyle w:val="Hyperlink"/>
              </w:rPr>
              <w:t>International trade</w:t>
            </w:r>
            <w:r>
              <w:rPr>
                <w:webHidden/>
              </w:rPr>
              <w:tab/>
            </w:r>
            <w:r>
              <w:rPr>
                <w:webHidden/>
              </w:rPr>
              <w:fldChar w:fldCharType="begin"/>
            </w:r>
            <w:r>
              <w:rPr>
                <w:webHidden/>
              </w:rPr>
              <w:instrText xml:space="preserve"> PAGEREF _Toc184220078 \h </w:instrText>
            </w:r>
            <w:r>
              <w:rPr>
                <w:webHidden/>
              </w:rPr>
            </w:r>
            <w:r>
              <w:rPr>
                <w:webHidden/>
              </w:rPr>
              <w:fldChar w:fldCharType="separate"/>
            </w:r>
            <w:r w:rsidR="00437C7B">
              <w:rPr>
                <w:webHidden/>
              </w:rPr>
              <w:t>14</w:t>
            </w:r>
            <w:r>
              <w:rPr>
                <w:webHidden/>
              </w:rPr>
              <w:fldChar w:fldCharType="end"/>
            </w:r>
          </w:hyperlink>
        </w:p>
        <w:p w14:paraId="4A4EF700" w14:textId="0282DED2" w:rsidR="00FE0A8E" w:rsidRDefault="00FE0A8E">
          <w:pPr>
            <w:pStyle w:val="TOC3"/>
            <w:rPr>
              <w:rFonts w:eastAsiaTheme="minorEastAsia"/>
              <w:kern w:val="2"/>
              <w:sz w:val="24"/>
              <w:szCs w:val="24"/>
              <w:lang w:eastAsia="en-AU"/>
              <w14:ligatures w14:val="standardContextual"/>
            </w:rPr>
          </w:pPr>
          <w:hyperlink w:anchor="_Toc184220079" w:history="1">
            <w:r w:rsidRPr="00A25710">
              <w:rPr>
                <w:rStyle w:val="Hyperlink"/>
              </w:rPr>
              <w:t>Economics, investment and resilience</w:t>
            </w:r>
            <w:r>
              <w:rPr>
                <w:webHidden/>
              </w:rPr>
              <w:tab/>
            </w:r>
            <w:r>
              <w:rPr>
                <w:webHidden/>
              </w:rPr>
              <w:fldChar w:fldCharType="begin"/>
            </w:r>
            <w:r>
              <w:rPr>
                <w:webHidden/>
              </w:rPr>
              <w:instrText xml:space="preserve"> PAGEREF _Toc184220079 \h </w:instrText>
            </w:r>
            <w:r>
              <w:rPr>
                <w:webHidden/>
              </w:rPr>
            </w:r>
            <w:r>
              <w:rPr>
                <w:webHidden/>
              </w:rPr>
              <w:fldChar w:fldCharType="separate"/>
            </w:r>
            <w:r w:rsidR="00437C7B">
              <w:rPr>
                <w:webHidden/>
              </w:rPr>
              <w:t>15</w:t>
            </w:r>
            <w:r>
              <w:rPr>
                <w:webHidden/>
              </w:rPr>
              <w:fldChar w:fldCharType="end"/>
            </w:r>
          </w:hyperlink>
        </w:p>
        <w:p w14:paraId="526696C9" w14:textId="6226609D" w:rsidR="00FE0A8E" w:rsidRDefault="00FE0A8E">
          <w:pPr>
            <w:pStyle w:val="TOC3"/>
            <w:rPr>
              <w:rFonts w:eastAsiaTheme="minorEastAsia"/>
              <w:kern w:val="2"/>
              <w:sz w:val="24"/>
              <w:szCs w:val="24"/>
              <w:lang w:eastAsia="en-AU"/>
              <w14:ligatures w14:val="standardContextual"/>
            </w:rPr>
          </w:pPr>
          <w:hyperlink w:anchor="_Toc184220080" w:history="1">
            <w:r w:rsidRPr="00A25710">
              <w:rPr>
                <w:rStyle w:val="Hyperlink"/>
              </w:rPr>
              <w:t>Environmental and social benefits</w:t>
            </w:r>
            <w:r>
              <w:rPr>
                <w:webHidden/>
              </w:rPr>
              <w:tab/>
            </w:r>
            <w:r>
              <w:rPr>
                <w:webHidden/>
              </w:rPr>
              <w:fldChar w:fldCharType="begin"/>
            </w:r>
            <w:r>
              <w:rPr>
                <w:webHidden/>
              </w:rPr>
              <w:instrText xml:space="preserve"> PAGEREF _Toc184220080 \h </w:instrText>
            </w:r>
            <w:r>
              <w:rPr>
                <w:webHidden/>
              </w:rPr>
            </w:r>
            <w:r>
              <w:rPr>
                <w:webHidden/>
              </w:rPr>
              <w:fldChar w:fldCharType="separate"/>
            </w:r>
            <w:r w:rsidR="00437C7B">
              <w:rPr>
                <w:webHidden/>
              </w:rPr>
              <w:t>15</w:t>
            </w:r>
            <w:r>
              <w:rPr>
                <w:webHidden/>
              </w:rPr>
              <w:fldChar w:fldCharType="end"/>
            </w:r>
          </w:hyperlink>
        </w:p>
        <w:p w14:paraId="44B38A6A" w14:textId="622D69E4" w:rsidR="00FE0A8E" w:rsidRDefault="00FE0A8E">
          <w:pPr>
            <w:pStyle w:val="TOC3"/>
            <w:rPr>
              <w:rFonts w:eastAsiaTheme="minorEastAsia"/>
              <w:kern w:val="2"/>
              <w:sz w:val="24"/>
              <w:szCs w:val="24"/>
              <w:lang w:eastAsia="en-AU"/>
              <w14:ligatures w14:val="standardContextual"/>
            </w:rPr>
          </w:pPr>
          <w:hyperlink w:anchor="_Toc184220081" w:history="1">
            <w:r w:rsidRPr="00A25710">
              <w:rPr>
                <w:rStyle w:val="Hyperlink"/>
              </w:rPr>
              <w:t>Climate change</w:t>
            </w:r>
            <w:r>
              <w:rPr>
                <w:webHidden/>
              </w:rPr>
              <w:tab/>
            </w:r>
            <w:r>
              <w:rPr>
                <w:webHidden/>
              </w:rPr>
              <w:fldChar w:fldCharType="begin"/>
            </w:r>
            <w:r>
              <w:rPr>
                <w:webHidden/>
              </w:rPr>
              <w:instrText xml:space="preserve"> PAGEREF _Toc184220081 \h </w:instrText>
            </w:r>
            <w:r>
              <w:rPr>
                <w:webHidden/>
              </w:rPr>
            </w:r>
            <w:r>
              <w:rPr>
                <w:webHidden/>
              </w:rPr>
              <w:fldChar w:fldCharType="separate"/>
            </w:r>
            <w:r w:rsidR="00437C7B">
              <w:rPr>
                <w:webHidden/>
              </w:rPr>
              <w:t>15</w:t>
            </w:r>
            <w:r>
              <w:rPr>
                <w:webHidden/>
              </w:rPr>
              <w:fldChar w:fldCharType="end"/>
            </w:r>
          </w:hyperlink>
        </w:p>
        <w:p w14:paraId="36D1E5D7" w14:textId="267CBC9B" w:rsidR="00FE0A8E" w:rsidRDefault="00FE0A8E">
          <w:pPr>
            <w:pStyle w:val="TOC2"/>
            <w:tabs>
              <w:tab w:val="left" w:pos="960"/>
            </w:tabs>
            <w:rPr>
              <w:rFonts w:eastAsiaTheme="minorEastAsia"/>
              <w:kern w:val="2"/>
              <w:sz w:val="24"/>
              <w:szCs w:val="24"/>
              <w:lang w:eastAsia="en-AU"/>
              <w14:ligatures w14:val="standardContextual"/>
            </w:rPr>
          </w:pPr>
          <w:hyperlink w:anchor="_Toc184220082" w:history="1">
            <w:r w:rsidRPr="00A25710">
              <w:rPr>
                <w:rStyle w:val="Hyperlink"/>
              </w:rPr>
              <w:t>6</w:t>
            </w:r>
            <w:r>
              <w:rPr>
                <w:rFonts w:eastAsiaTheme="minorEastAsia"/>
                <w:kern w:val="2"/>
                <w:sz w:val="24"/>
                <w:szCs w:val="24"/>
                <w:lang w:eastAsia="en-AU"/>
                <w14:ligatures w14:val="standardContextual"/>
              </w:rPr>
              <w:tab/>
            </w:r>
            <w:r w:rsidRPr="00A25710">
              <w:rPr>
                <w:rStyle w:val="Hyperlink"/>
              </w:rPr>
              <w:t>Australia’s advantages</w:t>
            </w:r>
            <w:r>
              <w:rPr>
                <w:webHidden/>
              </w:rPr>
              <w:tab/>
            </w:r>
            <w:r>
              <w:rPr>
                <w:webHidden/>
              </w:rPr>
              <w:fldChar w:fldCharType="begin"/>
            </w:r>
            <w:r>
              <w:rPr>
                <w:webHidden/>
              </w:rPr>
              <w:instrText xml:space="preserve"> PAGEREF _Toc184220082 \h </w:instrText>
            </w:r>
            <w:r>
              <w:rPr>
                <w:webHidden/>
              </w:rPr>
            </w:r>
            <w:r>
              <w:rPr>
                <w:webHidden/>
              </w:rPr>
              <w:fldChar w:fldCharType="separate"/>
            </w:r>
            <w:r w:rsidR="00437C7B">
              <w:rPr>
                <w:webHidden/>
              </w:rPr>
              <w:t>18</w:t>
            </w:r>
            <w:r>
              <w:rPr>
                <w:webHidden/>
              </w:rPr>
              <w:fldChar w:fldCharType="end"/>
            </w:r>
          </w:hyperlink>
        </w:p>
        <w:p w14:paraId="2D6B4113" w14:textId="7EEFC4F2" w:rsidR="00FE0A8E" w:rsidRDefault="00FE0A8E">
          <w:pPr>
            <w:pStyle w:val="TOC3"/>
            <w:rPr>
              <w:rFonts w:eastAsiaTheme="minorEastAsia"/>
              <w:kern w:val="2"/>
              <w:sz w:val="24"/>
              <w:szCs w:val="24"/>
              <w:lang w:eastAsia="en-AU"/>
              <w14:ligatures w14:val="standardContextual"/>
            </w:rPr>
          </w:pPr>
          <w:hyperlink w:anchor="_Toc184220083" w:history="1">
            <w:r w:rsidRPr="00A25710">
              <w:rPr>
                <w:rStyle w:val="Hyperlink"/>
              </w:rPr>
              <w:t>A sophisticated research ecosystem</w:t>
            </w:r>
            <w:r>
              <w:rPr>
                <w:webHidden/>
              </w:rPr>
              <w:tab/>
            </w:r>
            <w:r>
              <w:rPr>
                <w:webHidden/>
              </w:rPr>
              <w:fldChar w:fldCharType="begin"/>
            </w:r>
            <w:r>
              <w:rPr>
                <w:webHidden/>
              </w:rPr>
              <w:instrText xml:space="preserve"> PAGEREF _Toc184220083 \h </w:instrText>
            </w:r>
            <w:r>
              <w:rPr>
                <w:webHidden/>
              </w:rPr>
            </w:r>
            <w:r>
              <w:rPr>
                <w:webHidden/>
              </w:rPr>
              <w:fldChar w:fldCharType="separate"/>
            </w:r>
            <w:r w:rsidR="00437C7B">
              <w:rPr>
                <w:webHidden/>
              </w:rPr>
              <w:t>18</w:t>
            </w:r>
            <w:r>
              <w:rPr>
                <w:webHidden/>
              </w:rPr>
              <w:fldChar w:fldCharType="end"/>
            </w:r>
          </w:hyperlink>
        </w:p>
        <w:p w14:paraId="06AC32D3" w14:textId="4ECBA8AA" w:rsidR="00FE0A8E" w:rsidRDefault="00FE0A8E">
          <w:pPr>
            <w:pStyle w:val="TOC3"/>
            <w:rPr>
              <w:rFonts w:eastAsiaTheme="minorEastAsia"/>
              <w:kern w:val="2"/>
              <w:sz w:val="24"/>
              <w:szCs w:val="24"/>
              <w:lang w:eastAsia="en-AU"/>
              <w14:ligatures w14:val="standardContextual"/>
            </w:rPr>
          </w:pPr>
          <w:hyperlink w:anchor="_Toc184220084" w:history="1">
            <w:r w:rsidRPr="00A25710">
              <w:rPr>
                <w:rStyle w:val="Hyperlink"/>
              </w:rPr>
              <w:t>Materials innovation excellence</w:t>
            </w:r>
            <w:r>
              <w:rPr>
                <w:webHidden/>
              </w:rPr>
              <w:tab/>
            </w:r>
            <w:r>
              <w:rPr>
                <w:webHidden/>
              </w:rPr>
              <w:fldChar w:fldCharType="begin"/>
            </w:r>
            <w:r>
              <w:rPr>
                <w:webHidden/>
              </w:rPr>
              <w:instrText xml:space="preserve"> PAGEREF _Toc184220084 \h </w:instrText>
            </w:r>
            <w:r>
              <w:rPr>
                <w:webHidden/>
              </w:rPr>
            </w:r>
            <w:r>
              <w:rPr>
                <w:webHidden/>
              </w:rPr>
              <w:fldChar w:fldCharType="separate"/>
            </w:r>
            <w:r w:rsidR="00437C7B">
              <w:rPr>
                <w:webHidden/>
              </w:rPr>
              <w:t>18</w:t>
            </w:r>
            <w:r>
              <w:rPr>
                <w:webHidden/>
              </w:rPr>
              <w:fldChar w:fldCharType="end"/>
            </w:r>
          </w:hyperlink>
        </w:p>
        <w:p w14:paraId="17266F9E" w14:textId="095C62F9" w:rsidR="00FE0A8E" w:rsidRDefault="00FE0A8E">
          <w:pPr>
            <w:pStyle w:val="TOC3"/>
            <w:rPr>
              <w:rFonts w:eastAsiaTheme="minorEastAsia"/>
              <w:kern w:val="2"/>
              <w:sz w:val="24"/>
              <w:szCs w:val="24"/>
              <w:lang w:eastAsia="en-AU"/>
              <w14:ligatures w14:val="standardContextual"/>
            </w:rPr>
          </w:pPr>
          <w:hyperlink w:anchor="_Toc184220085" w:history="1">
            <w:r w:rsidRPr="00A25710">
              <w:rPr>
                <w:rStyle w:val="Hyperlink"/>
              </w:rPr>
              <w:t>Capability in technology development</w:t>
            </w:r>
            <w:r>
              <w:rPr>
                <w:webHidden/>
              </w:rPr>
              <w:tab/>
            </w:r>
            <w:r>
              <w:rPr>
                <w:webHidden/>
              </w:rPr>
              <w:fldChar w:fldCharType="begin"/>
            </w:r>
            <w:r>
              <w:rPr>
                <w:webHidden/>
              </w:rPr>
              <w:instrText xml:space="preserve"> PAGEREF _Toc184220085 \h </w:instrText>
            </w:r>
            <w:r>
              <w:rPr>
                <w:webHidden/>
              </w:rPr>
            </w:r>
            <w:r>
              <w:rPr>
                <w:webHidden/>
              </w:rPr>
              <w:fldChar w:fldCharType="separate"/>
            </w:r>
            <w:r w:rsidR="00437C7B">
              <w:rPr>
                <w:webHidden/>
              </w:rPr>
              <w:t>18</w:t>
            </w:r>
            <w:r>
              <w:rPr>
                <w:webHidden/>
              </w:rPr>
              <w:fldChar w:fldCharType="end"/>
            </w:r>
          </w:hyperlink>
        </w:p>
        <w:p w14:paraId="3894C542" w14:textId="07F021A4" w:rsidR="00FE0A8E" w:rsidRDefault="00FE0A8E">
          <w:pPr>
            <w:pStyle w:val="TOC3"/>
            <w:rPr>
              <w:rFonts w:eastAsiaTheme="minorEastAsia"/>
              <w:kern w:val="2"/>
              <w:sz w:val="24"/>
              <w:szCs w:val="24"/>
              <w:lang w:eastAsia="en-AU"/>
              <w14:ligatures w14:val="standardContextual"/>
            </w:rPr>
          </w:pPr>
          <w:hyperlink w:anchor="_Toc184220086" w:history="1">
            <w:r w:rsidRPr="00A25710">
              <w:rPr>
                <w:rStyle w:val="Hyperlink"/>
              </w:rPr>
              <w:t>Reputation for quality, standards and trust</w:t>
            </w:r>
            <w:r>
              <w:rPr>
                <w:webHidden/>
              </w:rPr>
              <w:tab/>
            </w:r>
            <w:r>
              <w:rPr>
                <w:webHidden/>
              </w:rPr>
              <w:fldChar w:fldCharType="begin"/>
            </w:r>
            <w:r>
              <w:rPr>
                <w:webHidden/>
              </w:rPr>
              <w:instrText xml:space="preserve"> PAGEREF _Toc184220086 \h </w:instrText>
            </w:r>
            <w:r>
              <w:rPr>
                <w:webHidden/>
              </w:rPr>
            </w:r>
            <w:r>
              <w:rPr>
                <w:webHidden/>
              </w:rPr>
              <w:fldChar w:fldCharType="separate"/>
            </w:r>
            <w:r w:rsidR="00437C7B">
              <w:rPr>
                <w:webHidden/>
              </w:rPr>
              <w:t>18</w:t>
            </w:r>
            <w:r>
              <w:rPr>
                <w:webHidden/>
              </w:rPr>
              <w:fldChar w:fldCharType="end"/>
            </w:r>
          </w:hyperlink>
        </w:p>
        <w:p w14:paraId="3E604C0B" w14:textId="2D90ABA3" w:rsidR="00FE0A8E" w:rsidRDefault="00FE0A8E">
          <w:pPr>
            <w:pStyle w:val="TOC3"/>
            <w:rPr>
              <w:rFonts w:eastAsiaTheme="minorEastAsia"/>
              <w:kern w:val="2"/>
              <w:sz w:val="24"/>
              <w:szCs w:val="24"/>
              <w:lang w:eastAsia="en-AU"/>
              <w14:ligatures w14:val="standardContextual"/>
            </w:rPr>
          </w:pPr>
          <w:hyperlink w:anchor="_Toc184220087" w:history="1">
            <w:r w:rsidRPr="00A25710">
              <w:rPr>
                <w:rStyle w:val="Hyperlink"/>
              </w:rPr>
              <w:t>Highly skilled workforce</w:t>
            </w:r>
            <w:r>
              <w:rPr>
                <w:webHidden/>
              </w:rPr>
              <w:tab/>
            </w:r>
            <w:r>
              <w:rPr>
                <w:webHidden/>
              </w:rPr>
              <w:fldChar w:fldCharType="begin"/>
            </w:r>
            <w:r>
              <w:rPr>
                <w:webHidden/>
              </w:rPr>
              <w:instrText xml:space="preserve"> PAGEREF _Toc184220087 \h </w:instrText>
            </w:r>
            <w:r>
              <w:rPr>
                <w:webHidden/>
              </w:rPr>
            </w:r>
            <w:r>
              <w:rPr>
                <w:webHidden/>
              </w:rPr>
              <w:fldChar w:fldCharType="separate"/>
            </w:r>
            <w:r w:rsidR="00437C7B">
              <w:rPr>
                <w:webHidden/>
              </w:rPr>
              <w:t>18</w:t>
            </w:r>
            <w:r>
              <w:rPr>
                <w:webHidden/>
              </w:rPr>
              <w:fldChar w:fldCharType="end"/>
            </w:r>
          </w:hyperlink>
        </w:p>
        <w:p w14:paraId="0F521E63" w14:textId="6E564217" w:rsidR="00FE0A8E" w:rsidRDefault="00FE0A8E">
          <w:pPr>
            <w:pStyle w:val="TOC3"/>
            <w:rPr>
              <w:rFonts w:eastAsiaTheme="minorEastAsia"/>
              <w:kern w:val="2"/>
              <w:sz w:val="24"/>
              <w:szCs w:val="24"/>
              <w:lang w:eastAsia="en-AU"/>
              <w14:ligatures w14:val="standardContextual"/>
            </w:rPr>
          </w:pPr>
          <w:hyperlink w:anchor="_Toc184220088" w:history="1">
            <w:r w:rsidRPr="00A25710">
              <w:rPr>
                <w:rStyle w:val="Hyperlink"/>
              </w:rPr>
              <w:t>Design capability</w:t>
            </w:r>
            <w:r>
              <w:rPr>
                <w:webHidden/>
              </w:rPr>
              <w:tab/>
            </w:r>
            <w:r>
              <w:rPr>
                <w:webHidden/>
              </w:rPr>
              <w:fldChar w:fldCharType="begin"/>
            </w:r>
            <w:r>
              <w:rPr>
                <w:webHidden/>
              </w:rPr>
              <w:instrText xml:space="preserve"> PAGEREF _Toc184220088 \h </w:instrText>
            </w:r>
            <w:r>
              <w:rPr>
                <w:webHidden/>
              </w:rPr>
            </w:r>
            <w:r>
              <w:rPr>
                <w:webHidden/>
              </w:rPr>
              <w:fldChar w:fldCharType="separate"/>
            </w:r>
            <w:r w:rsidR="00437C7B">
              <w:rPr>
                <w:webHidden/>
              </w:rPr>
              <w:t>18</w:t>
            </w:r>
            <w:r>
              <w:rPr>
                <w:webHidden/>
              </w:rPr>
              <w:fldChar w:fldCharType="end"/>
            </w:r>
          </w:hyperlink>
        </w:p>
        <w:p w14:paraId="5C646E04" w14:textId="27CC099D" w:rsidR="00FE0A8E" w:rsidRDefault="00FE0A8E">
          <w:pPr>
            <w:pStyle w:val="TOC3"/>
            <w:rPr>
              <w:rFonts w:eastAsiaTheme="minorEastAsia"/>
              <w:kern w:val="2"/>
              <w:sz w:val="24"/>
              <w:szCs w:val="24"/>
              <w:lang w:eastAsia="en-AU"/>
              <w14:ligatures w14:val="standardContextual"/>
            </w:rPr>
          </w:pPr>
          <w:hyperlink w:anchor="_Toc184220089" w:history="1">
            <w:r w:rsidRPr="00A25710">
              <w:rPr>
                <w:rStyle w:val="Hyperlink"/>
              </w:rPr>
              <w:t>Significant investment capital</w:t>
            </w:r>
            <w:r>
              <w:rPr>
                <w:webHidden/>
              </w:rPr>
              <w:tab/>
            </w:r>
            <w:r>
              <w:rPr>
                <w:webHidden/>
              </w:rPr>
              <w:fldChar w:fldCharType="begin"/>
            </w:r>
            <w:r>
              <w:rPr>
                <w:webHidden/>
              </w:rPr>
              <w:instrText xml:space="preserve"> PAGEREF _Toc184220089 \h </w:instrText>
            </w:r>
            <w:r>
              <w:rPr>
                <w:webHidden/>
              </w:rPr>
            </w:r>
            <w:r>
              <w:rPr>
                <w:webHidden/>
              </w:rPr>
              <w:fldChar w:fldCharType="separate"/>
            </w:r>
            <w:r w:rsidR="00437C7B">
              <w:rPr>
                <w:webHidden/>
              </w:rPr>
              <w:t>18</w:t>
            </w:r>
            <w:r>
              <w:rPr>
                <w:webHidden/>
              </w:rPr>
              <w:fldChar w:fldCharType="end"/>
            </w:r>
          </w:hyperlink>
        </w:p>
        <w:p w14:paraId="13DD762F" w14:textId="1639A5A5" w:rsidR="00FE0A8E" w:rsidRDefault="00FE0A8E">
          <w:pPr>
            <w:pStyle w:val="TOC3"/>
            <w:rPr>
              <w:rFonts w:eastAsiaTheme="minorEastAsia"/>
              <w:kern w:val="2"/>
              <w:sz w:val="24"/>
              <w:szCs w:val="24"/>
              <w:lang w:eastAsia="en-AU"/>
              <w14:ligatures w14:val="standardContextual"/>
            </w:rPr>
          </w:pPr>
          <w:hyperlink w:anchor="_Toc184220090" w:history="1">
            <w:r w:rsidRPr="00A25710">
              <w:rPr>
                <w:rStyle w:val="Hyperlink"/>
              </w:rPr>
              <w:t>Proximity and access to growing export markets</w:t>
            </w:r>
            <w:r>
              <w:rPr>
                <w:webHidden/>
              </w:rPr>
              <w:tab/>
            </w:r>
            <w:r>
              <w:rPr>
                <w:webHidden/>
              </w:rPr>
              <w:fldChar w:fldCharType="begin"/>
            </w:r>
            <w:r>
              <w:rPr>
                <w:webHidden/>
              </w:rPr>
              <w:instrText xml:space="preserve"> PAGEREF _Toc184220090 \h </w:instrText>
            </w:r>
            <w:r>
              <w:rPr>
                <w:webHidden/>
              </w:rPr>
            </w:r>
            <w:r>
              <w:rPr>
                <w:webHidden/>
              </w:rPr>
              <w:fldChar w:fldCharType="separate"/>
            </w:r>
            <w:r w:rsidR="00437C7B">
              <w:rPr>
                <w:webHidden/>
              </w:rPr>
              <w:t>19</w:t>
            </w:r>
            <w:r>
              <w:rPr>
                <w:webHidden/>
              </w:rPr>
              <w:fldChar w:fldCharType="end"/>
            </w:r>
          </w:hyperlink>
        </w:p>
        <w:p w14:paraId="320B9DAD" w14:textId="2B4561FA" w:rsidR="00FE0A8E" w:rsidRDefault="00FE0A8E">
          <w:pPr>
            <w:pStyle w:val="TOC3"/>
            <w:rPr>
              <w:rFonts w:eastAsiaTheme="minorEastAsia"/>
              <w:kern w:val="2"/>
              <w:sz w:val="24"/>
              <w:szCs w:val="24"/>
              <w:lang w:eastAsia="en-AU"/>
              <w14:ligatures w14:val="standardContextual"/>
            </w:rPr>
          </w:pPr>
          <w:hyperlink w:anchor="_Toc184220091" w:history="1">
            <w:r w:rsidRPr="00A25710">
              <w:rPr>
                <w:rStyle w:val="Hyperlink"/>
              </w:rPr>
              <w:t>High recycling rates</w:t>
            </w:r>
            <w:r>
              <w:rPr>
                <w:webHidden/>
              </w:rPr>
              <w:tab/>
            </w:r>
            <w:r>
              <w:rPr>
                <w:webHidden/>
              </w:rPr>
              <w:fldChar w:fldCharType="begin"/>
            </w:r>
            <w:r>
              <w:rPr>
                <w:webHidden/>
              </w:rPr>
              <w:instrText xml:space="preserve"> PAGEREF _Toc184220091 \h </w:instrText>
            </w:r>
            <w:r>
              <w:rPr>
                <w:webHidden/>
              </w:rPr>
            </w:r>
            <w:r>
              <w:rPr>
                <w:webHidden/>
              </w:rPr>
              <w:fldChar w:fldCharType="separate"/>
            </w:r>
            <w:r w:rsidR="00437C7B">
              <w:rPr>
                <w:webHidden/>
              </w:rPr>
              <w:t>19</w:t>
            </w:r>
            <w:r>
              <w:rPr>
                <w:webHidden/>
              </w:rPr>
              <w:fldChar w:fldCharType="end"/>
            </w:r>
          </w:hyperlink>
        </w:p>
        <w:p w14:paraId="02ACBCF5" w14:textId="0AA4E1CE" w:rsidR="00FE0A8E" w:rsidRDefault="00FE0A8E">
          <w:pPr>
            <w:pStyle w:val="TOC3"/>
            <w:rPr>
              <w:rFonts w:eastAsiaTheme="minorEastAsia"/>
              <w:kern w:val="2"/>
              <w:sz w:val="24"/>
              <w:szCs w:val="24"/>
              <w:lang w:eastAsia="en-AU"/>
              <w14:ligatures w14:val="standardContextual"/>
            </w:rPr>
          </w:pPr>
          <w:hyperlink w:anchor="_Toc184220092" w:history="1">
            <w:r w:rsidRPr="00A25710">
              <w:rPr>
                <w:rStyle w:val="Hyperlink"/>
                <w:lang w:eastAsia="en-AU"/>
              </w:rPr>
              <w:t>A culture that cares</w:t>
            </w:r>
            <w:r>
              <w:rPr>
                <w:webHidden/>
              </w:rPr>
              <w:tab/>
            </w:r>
            <w:r>
              <w:rPr>
                <w:webHidden/>
              </w:rPr>
              <w:fldChar w:fldCharType="begin"/>
            </w:r>
            <w:r>
              <w:rPr>
                <w:webHidden/>
              </w:rPr>
              <w:instrText xml:space="preserve"> PAGEREF _Toc184220092 \h </w:instrText>
            </w:r>
            <w:r>
              <w:rPr>
                <w:webHidden/>
              </w:rPr>
            </w:r>
            <w:r>
              <w:rPr>
                <w:webHidden/>
              </w:rPr>
              <w:fldChar w:fldCharType="separate"/>
            </w:r>
            <w:r w:rsidR="00437C7B">
              <w:rPr>
                <w:webHidden/>
              </w:rPr>
              <w:t>19</w:t>
            </w:r>
            <w:r>
              <w:rPr>
                <w:webHidden/>
              </w:rPr>
              <w:fldChar w:fldCharType="end"/>
            </w:r>
          </w:hyperlink>
        </w:p>
        <w:p w14:paraId="37D9C4F1" w14:textId="05453287" w:rsidR="00FE0A8E" w:rsidRDefault="00FE0A8E">
          <w:pPr>
            <w:pStyle w:val="TOC3"/>
            <w:rPr>
              <w:rFonts w:eastAsiaTheme="minorEastAsia"/>
              <w:kern w:val="2"/>
              <w:sz w:val="24"/>
              <w:szCs w:val="24"/>
              <w:lang w:eastAsia="en-AU"/>
              <w14:ligatures w14:val="standardContextual"/>
            </w:rPr>
          </w:pPr>
          <w:hyperlink w:anchor="_Toc184220093" w:history="1">
            <w:r w:rsidRPr="00A25710">
              <w:rPr>
                <w:rStyle w:val="Hyperlink"/>
              </w:rPr>
              <w:t>Water</w:t>
            </w:r>
            <w:r>
              <w:rPr>
                <w:webHidden/>
              </w:rPr>
              <w:tab/>
            </w:r>
            <w:r>
              <w:rPr>
                <w:webHidden/>
              </w:rPr>
              <w:fldChar w:fldCharType="begin"/>
            </w:r>
            <w:r>
              <w:rPr>
                <w:webHidden/>
              </w:rPr>
              <w:instrText xml:space="preserve"> PAGEREF _Toc184220093 \h </w:instrText>
            </w:r>
            <w:r>
              <w:rPr>
                <w:webHidden/>
              </w:rPr>
            </w:r>
            <w:r>
              <w:rPr>
                <w:webHidden/>
              </w:rPr>
              <w:fldChar w:fldCharType="separate"/>
            </w:r>
            <w:r w:rsidR="00437C7B">
              <w:rPr>
                <w:webHidden/>
              </w:rPr>
              <w:t>19</w:t>
            </w:r>
            <w:r>
              <w:rPr>
                <w:webHidden/>
              </w:rPr>
              <w:fldChar w:fldCharType="end"/>
            </w:r>
          </w:hyperlink>
        </w:p>
        <w:p w14:paraId="38652566" w14:textId="1145AB1B" w:rsidR="00FE0A8E" w:rsidRDefault="00FE0A8E">
          <w:pPr>
            <w:pStyle w:val="TOC2"/>
            <w:tabs>
              <w:tab w:val="left" w:pos="960"/>
            </w:tabs>
            <w:rPr>
              <w:rFonts w:eastAsiaTheme="minorEastAsia"/>
              <w:kern w:val="2"/>
              <w:sz w:val="24"/>
              <w:szCs w:val="24"/>
              <w:lang w:eastAsia="en-AU"/>
              <w14:ligatures w14:val="standardContextual"/>
            </w:rPr>
          </w:pPr>
          <w:hyperlink w:anchor="_Toc184220094" w:history="1">
            <w:r w:rsidRPr="00A25710">
              <w:rPr>
                <w:rStyle w:val="Hyperlink"/>
              </w:rPr>
              <w:t>7</w:t>
            </w:r>
            <w:r>
              <w:rPr>
                <w:rFonts w:eastAsiaTheme="minorEastAsia"/>
                <w:kern w:val="2"/>
                <w:sz w:val="24"/>
                <w:szCs w:val="24"/>
                <w:lang w:eastAsia="en-AU"/>
                <w14:ligatures w14:val="standardContextual"/>
              </w:rPr>
              <w:tab/>
            </w:r>
            <w:r w:rsidRPr="00A25710">
              <w:rPr>
                <w:rStyle w:val="Hyperlink"/>
              </w:rPr>
              <w:t>Australia’s sectoral priorities</w:t>
            </w:r>
            <w:r>
              <w:rPr>
                <w:webHidden/>
              </w:rPr>
              <w:tab/>
            </w:r>
            <w:r>
              <w:rPr>
                <w:webHidden/>
              </w:rPr>
              <w:fldChar w:fldCharType="begin"/>
            </w:r>
            <w:r>
              <w:rPr>
                <w:webHidden/>
              </w:rPr>
              <w:instrText xml:space="preserve"> PAGEREF _Toc184220094 \h </w:instrText>
            </w:r>
            <w:r>
              <w:rPr>
                <w:webHidden/>
              </w:rPr>
            </w:r>
            <w:r>
              <w:rPr>
                <w:webHidden/>
              </w:rPr>
              <w:fldChar w:fldCharType="separate"/>
            </w:r>
            <w:r w:rsidR="00437C7B">
              <w:rPr>
                <w:webHidden/>
              </w:rPr>
              <w:t>20</w:t>
            </w:r>
            <w:r>
              <w:rPr>
                <w:webHidden/>
              </w:rPr>
              <w:fldChar w:fldCharType="end"/>
            </w:r>
          </w:hyperlink>
        </w:p>
        <w:p w14:paraId="1B588E5A" w14:textId="7E0502C4" w:rsidR="00FE0A8E" w:rsidRDefault="00FE0A8E">
          <w:pPr>
            <w:pStyle w:val="TOC3"/>
            <w:rPr>
              <w:rFonts w:eastAsiaTheme="minorEastAsia"/>
              <w:kern w:val="2"/>
              <w:sz w:val="24"/>
              <w:szCs w:val="24"/>
              <w:lang w:eastAsia="en-AU"/>
              <w14:ligatures w14:val="standardContextual"/>
            </w:rPr>
          </w:pPr>
          <w:hyperlink w:anchor="_Toc184220095" w:history="1">
            <w:r w:rsidRPr="00A25710">
              <w:rPr>
                <w:rStyle w:val="Hyperlink"/>
              </w:rPr>
              <w:t>Industry</w:t>
            </w:r>
            <w:r>
              <w:rPr>
                <w:webHidden/>
              </w:rPr>
              <w:tab/>
            </w:r>
            <w:r>
              <w:rPr>
                <w:webHidden/>
              </w:rPr>
              <w:fldChar w:fldCharType="begin"/>
            </w:r>
            <w:r>
              <w:rPr>
                <w:webHidden/>
              </w:rPr>
              <w:instrText xml:space="preserve"> PAGEREF _Toc184220095 \h </w:instrText>
            </w:r>
            <w:r>
              <w:rPr>
                <w:webHidden/>
              </w:rPr>
            </w:r>
            <w:r>
              <w:rPr>
                <w:webHidden/>
              </w:rPr>
              <w:fldChar w:fldCharType="separate"/>
            </w:r>
            <w:r w:rsidR="00437C7B">
              <w:rPr>
                <w:webHidden/>
              </w:rPr>
              <w:t>21</w:t>
            </w:r>
            <w:r>
              <w:rPr>
                <w:webHidden/>
              </w:rPr>
              <w:fldChar w:fldCharType="end"/>
            </w:r>
          </w:hyperlink>
        </w:p>
        <w:p w14:paraId="2F59D36F" w14:textId="0237B8FF" w:rsidR="00FE0A8E" w:rsidRDefault="00FE0A8E">
          <w:pPr>
            <w:pStyle w:val="TOC3"/>
            <w:rPr>
              <w:rFonts w:eastAsiaTheme="minorEastAsia"/>
              <w:kern w:val="2"/>
              <w:sz w:val="24"/>
              <w:szCs w:val="24"/>
              <w:lang w:eastAsia="en-AU"/>
              <w14:ligatures w14:val="standardContextual"/>
            </w:rPr>
          </w:pPr>
          <w:hyperlink w:anchor="_Toc184220096" w:history="1">
            <w:r w:rsidRPr="00A25710">
              <w:rPr>
                <w:rStyle w:val="Hyperlink"/>
              </w:rPr>
              <w:t>Built environment</w:t>
            </w:r>
            <w:r>
              <w:rPr>
                <w:webHidden/>
              </w:rPr>
              <w:tab/>
            </w:r>
            <w:r>
              <w:rPr>
                <w:webHidden/>
              </w:rPr>
              <w:fldChar w:fldCharType="begin"/>
            </w:r>
            <w:r>
              <w:rPr>
                <w:webHidden/>
              </w:rPr>
              <w:instrText xml:space="preserve"> PAGEREF _Toc184220096 \h </w:instrText>
            </w:r>
            <w:r>
              <w:rPr>
                <w:webHidden/>
              </w:rPr>
            </w:r>
            <w:r>
              <w:rPr>
                <w:webHidden/>
              </w:rPr>
              <w:fldChar w:fldCharType="separate"/>
            </w:r>
            <w:r w:rsidR="00437C7B">
              <w:rPr>
                <w:webHidden/>
              </w:rPr>
              <w:t>24</w:t>
            </w:r>
            <w:r>
              <w:rPr>
                <w:webHidden/>
              </w:rPr>
              <w:fldChar w:fldCharType="end"/>
            </w:r>
          </w:hyperlink>
        </w:p>
        <w:p w14:paraId="241120C4" w14:textId="31D00EED" w:rsidR="00FE0A8E" w:rsidRDefault="00FE0A8E">
          <w:pPr>
            <w:pStyle w:val="TOC3"/>
            <w:rPr>
              <w:rFonts w:eastAsiaTheme="minorEastAsia"/>
              <w:kern w:val="2"/>
              <w:sz w:val="24"/>
              <w:szCs w:val="24"/>
              <w:lang w:eastAsia="en-AU"/>
              <w14:ligatures w14:val="standardContextual"/>
            </w:rPr>
          </w:pPr>
          <w:hyperlink w:anchor="_Toc184220097" w:history="1">
            <w:r w:rsidRPr="00A25710">
              <w:rPr>
                <w:rStyle w:val="Hyperlink"/>
              </w:rPr>
              <w:t>Food and agriculture</w:t>
            </w:r>
            <w:r>
              <w:rPr>
                <w:webHidden/>
              </w:rPr>
              <w:tab/>
            </w:r>
            <w:r>
              <w:rPr>
                <w:webHidden/>
              </w:rPr>
              <w:fldChar w:fldCharType="begin"/>
            </w:r>
            <w:r>
              <w:rPr>
                <w:webHidden/>
              </w:rPr>
              <w:instrText xml:space="preserve"> PAGEREF _Toc184220097 \h </w:instrText>
            </w:r>
            <w:r>
              <w:rPr>
                <w:webHidden/>
              </w:rPr>
            </w:r>
            <w:r>
              <w:rPr>
                <w:webHidden/>
              </w:rPr>
              <w:fldChar w:fldCharType="separate"/>
            </w:r>
            <w:r w:rsidR="00437C7B">
              <w:rPr>
                <w:webHidden/>
              </w:rPr>
              <w:t>27</w:t>
            </w:r>
            <w:r>
              <w:rPr>
                <w:webHidden/>
              </w:rPr>
              <w:fldChar w:fldCharType="end"/>
            </w:r>
          </w:hyperlink>
        </w:p>
        <w:p w14:paraId="4022D812" w14:textId="04D89110" w:rsidR="00FE0A8E" w:rsidRDefault="00FE0A8E">
          <w:pPr>
            <w:pStyle w:val="TOC3"/>
            <w:rPr>
              <w:rFonts w:eastAsiaTheme="minorEastAsia"/>
              <w:kern w:val="2"/>
              <w:sz w:val="24"/>
              <w:szCs w:val="24"/>
              <w:lang w:eastAsia="en-AU"/>
              <w14:ligatures w14:val="standardContextual"/>
            </w:rPr>
          </w:pPr>
          <w:hyperlink w:anchor="_Toc184220098" w:history="1">
            <w:r w:rsidRPr="00A25710">
              <w:rPr>
                <w:rStyle w:val="Hyperlink"/>
              </w:rPr>
              <w:t>Resources</w:t>
            </w:r>
            <w:r>
              <w:rPr>
                <w:webHidden/>
              </w:rPr>
              <w:tab/>
            </w:r>
            <w:r>
              <w:rPr>
                <w:webHidden/>
              </w:rPr>
              <w:fldChar w:fldCharType="begin"/>
            </w:r>
            <w:r>
              <w:rPr>
                <w:webHidden/>
              </w:rPr>
              <w:instrText xml:space="preserve"> PAGEREF _Toc184220098 \h </w:instrText>
            </w:r>
            <w:r>
              <w:rPr>
                <w:webHidden/>
              </w:rPr>
            </w:r>
            <w:r>
              <w:rPr>
                <w:webHidden/>
              </w:rPr>
              <w:fldChar w:fldCharType="separate"/>
            </w:r>
            <w:r w:rsidR="00437C7B">
              <w:rPr>
                <w:webHidden/>
              </w:rPr>
              <w:t>30</w:t>
            </w:r>
            <w:r>
              <w:rPr>
                <w:webHidden/>
              </w:rPr>
              <w:fldChar w:fldCharType="end"/>
            </w:r>
          </w:hyperlink>
        </w:p>
        <w:p w14:paraId="13C7EE5A" w14:textId="65EBEC39" w:rsidR="00FE0A8E" w:rsidRDefault="00FE0A8E">
          <w:pPr>
            <w:pStyle w:val="TOC2"/>
            <w:tabs>
              <w:tab w:val="left" w:pos="960"/>
            </w:tabs>
            <w:rPr>
              <w:rFonts w:eastAsiaTheme="minorEastAsia"/>
              <w:kern w:val="2"/>
              <w:sz w:val="24"/>
              <w:szCs w:val="24"/>
              <w:lang w:eastAsia="en-AU"/>
              <w14:ligatures w14:val="standardContextual"/>
            </w:rPr>
          </w:pPr>
          <w:hyperlink w:anchor="_Toc184220099" w:history="1">
            <w:r w:rsidRPr="00A25710">
              <w:rPr>
                <w:rStyle w:val="Hyperlink"/>
              </w:rPr>
              <w:t>8</w:t>
            </w:r>
            <w:r>
              <w:rPr>
                <w:rFonts w:eastAsiaTheme="minorEastAsia"/>
                <w:kern w:val="2"/>
                <w:sz w:val="24"/>
                <w:szCs w:val="24"/>
                <w:lang w:eastAsia="en-AU"/>
                <w14:ligatures w14:val="standardContextual"/>
              </w:rPr>
              <w:tab/>
            </w:r>
            <w:r w:rsidRPr="00A25710">
              <w:rPr>
                <w:rStyle w:val="Hyperlink"/>
              </w:rPr>
              <w:t>Australia’s cross-cutting objectives</w:t>
            </w:r>
            <w:r>
              <w:rPr>
                <w:webHidden/>
              </w:rPr>
              <w:tab/>
            </w:r>
            <w:r>
              <w:rPr>
                <w:webHidden/>
              </w:rPr>
              <w:fldChar w:fldCharType="begin"/>
            </w:r>
            <w:r>
              <w:rPr>
                <w:webHidden/>
              </w:rPr>
              <w:instrText xml:space="preserve"> PAGEREF _Toc184220099 \h </w:instrText>
            </w:r>
            <w:r>
              <w:rPr>
                <w:webHidden/>
              </w:rPr>
            </w:r>
            <w:r>
              <w:rPr>
                <w:webHidden/>
              </w:rPr>
              <w:fldChar w:fldCharType="separate"/>
            </w:r>
            <w:r w:rsidR="00437C7B">
              <w:rPr>
                <w:webHidden/>
              </w:rPr>
              <w:t>33</w:t>
            </w:r>
            <w:r>
              <w:rPr>
                <w:webHidden/>
              </w:rPr>
              <w:fldChar w:fldCharType="end"/>
            </w:r>
          </w:hyperlink>
        </w:p>
        <w:p w14:paraId="780FB4EE" w14:textId="324A7F26" w:rsidR="00FE0A8E" w:rsidRDefault="00FE0A8E">
          <w:pPr>
            <w:pStyle w:val="TOC3"/>
            <w:rPr>
              <w:rFonts w:eastAsiaTheme="minorEastAsia"/>
              <w:kern w:val="2"/>
              <w:sz w:val="24"/>
              <w:szCs w:val="24"/>
              <w:lang w:eastAsia="en-AU"/>
              <w14:ligatures w14:val="standardContextual"/>
            </w:rPr>
          </w:pPr>
          <w:hyperlink w:anchor="_Toc184220100" w:history="1">
            <w:r w:rsidRPr="00A25710">
              <w:rPr>
                <w:rStyle w:val="Hyperlink"/>
              </w:rPr>
              <w:t>Innovation</w:t>
            </w:r>
            <w:r>
              <w:rPr>
                <w:webHidden/>
              </w:rPr>
              <w:tab/>
            </w:r>
            <w:r>
              <w:rPr>
                <w:webHidden/>
              </w:rPr>
              <w:fldChar w:fldCharType="begin"/>
            </w:r>
            <w:r>
              <w:rPr>
                <w:webHidden/>
              </w:rPr>
              <w:instrText xml:space="preserve"> PAGEREF _Toc184220100 \h </w:instrText>
            </w:r>
            <w:r>
              <w:rPr>
                <w:webHidden/>
              </w:rPr>
            </w:r>
            <w:r>
              <w:rPr>
                <w:webHidden/>
              </w:rPr>
              <w:fldChar w:fldCharType="separate"/>
            </w:r>
            <w:r w:rsidR="00437C7B">
              <w:rPr>
                <w:webHidden/>
              </w:rPr>
              <w:t>33</w:t>
            </w:r>
            <w:r>
              <w:rPr>
                <w:webHidden/>
              </w:rPr>
              <w:fldChar w:fldCharType="end"/>
            </w:r>
          </w:hyperlink>
        </w:p>
        <w:p w14:paraId="0D9CFE2F" w14:textId="3F7C8053" w:rsidR="00FE0A8E" w:rsidRDefault="00FE0A8E">
          <w:pPr>
            <w:pStyle w:val="TOC3"/>
            <w:rPr>
              <w:rFonts w:eastAsiaTheme="minorEastAsia"/>
              <w:kern w:val="2"/>
              <w:sz w:val="24"/>
              <w:szCs w:val="24"/>
              <w:lang w:eastAsia="en-AU"/>
              <w14:ligatures w14:val="standardContextual"/>
            </w:rPr>
          </w:pPr>
          <w:hyperlink w:anchor="_Toc184220101" w:history="1">
            <w:r w:rsidRPr="00A25710">
              <w:rPr>
                <w:rStyle w:val="Hyperlink"/>
              </w:rPr>
              <w:t>Market development and investment</w:t>
            </w:r>
            <w:r>
              <w:rPr>
                <w:webHidden/>
              </w:rPr>
              <w:tab/>
            </w:r>
            <w:r>
              <w:rPr>
                <w:webHidden/>
              </w:rPr>
              <w:fldChar w:fldCharType="begin"/>
            </w:r>
            <w:r>
              <w:rPr>
                <w:webHidden/>
              </w:rPr>
              <w:instrText xml:space="preserve"> PAGEREF _Toc184220101 \h </w:instrText>
            </w:r>
            <w:r>
              <w:rPr>
                <w:webHidden/>
              </w:rPr>
            </w:r>
            <w:r>
              <w:rPr>
                <w:webHidden/>
              </w:rPr>
              <w:fldChar w:fldCharType="separate"/>
            </w:r>
            <w:r w:rsidR="00437C7B">
              <w:rPr>
                <w:webHidden/>
              </w:rPr>
              <w:t>33</w:t>
            </w:r>
            <w:r>
              <w:rPr>
                <w:webHidden/>
              </w:rPr>
              <w:fldChar w:fldCharType="end"/>
            </w:r>
          </w:hyperlink>
        </w:p>
        <w:p w14:paraId="5ACFFDF4" w14:textId="7FD5F6BD" w:rsidR="00FE0A8E" w:rsidRDefault="00FE0A8E">
          <w:pPr>
            <w:pStyle w:val="TOC3"/>
            <w:rPr>
              <w:rFonts w:eastAsiaTheme="minorEastAsia"/>
              <w:kern w:val="2"/>
              <w:sz w:val="24"/>
              <w:szCs w:val="24"/>
              <w:lang w:eastAsia="en-AU"/>
              <w14:ligatures w14:val="standardContextual"/>
            </w:rPr>
          </w:pPr>
          <w:hyperlink w:anchor="_Toc184220102" w:history="1">
            <w:r w:rsidRPr="00A25710">
              <w:rPr>
                <w:rStyle w:val="Hyperlink"/>
              </w:rPr>
              <w:t>Advanced resource recovery and recycling</w:t>
            </w:r>
            <w:r>
              <w:rPr>
                <w:webHidden/>
              </w:rPr>
              <w:tab/>
            </w:r>
            <w:r>
              <w:rPr>
                <w:webHidden/>
              </w:rPr>
              <w:fldChar w:fldCharType="begin"/>
            </w:r>
            <w:r>
              <w:rPr>
                <w:webHidden/>
              </w:rPr>
              <w:instrText xml:space="preserve"> PAGEREF _Toc184220102 \h </w:instrText>
            </w:r>
            <w:r>
              <w:rPr>
                <w:webHidden/>
              </w:rPr>
            </w:r>
            <w:r>
              <w:rPr>
                <w:webHidden/>
              </w:rPr>
              <w:fldChar w:fldCharType="separate"/>
            </w:r>
            <w:r w:rsidR="00437C7B">
              <w:rPr>
                <w:webHidden/>
              </w:rPr>
              <w:t>33</w:t>
            </w:r>
            <w:r>
              <w:rPr>
                <w:webHidden/>
              </w:rPr>
              <w:fldChar w:fldCharType="end"/>
            </w:r>
          </w:hyperlink>
        </w:p>
        <w:p w14:paraId="784E7246" w14:textId="723DD527" w:rsidR="00FE0A8E" w:rsidRDefault="00FE0A8E">
          <w:pPr>
            <w:pStyle w:val="TOC3"/>
            <w:rPr>
              <w:rFonts w:eastAsiaTheme="minorEastAsia"/>
              <w:kern w:val="2"/>
              <w:sz w:val="24"/>
              <w:szCs w:val="24"/>
              <w:lang w:eastAsia="en-AU"/>
              <w14:ligatures w14:val="standardContextual"/>
            </w:rPr>
          </w:pPr>
          <w:hyperlink w:anchor="_Toc184220103" w:history="1">
            <w:r w:rsidRPr="00A25710">
              <w:rPr>
                <w:rStyle w:val="Hyperlink"/>
              </w:rPr>
              <w:t>Systems thinking and circular economy skills</w:t>
            </w:r>
            <w:r>
              <w:rPr>
                <w:webHidden/>
              </w:rPr>
              <w:tab/>
            </w:r>
            <w:r>
              <w:rPr>
                <w:webHidden/>
              </w:rPr>
              <w:fldChar w:fldCharType="begin"/>
            </w:r>
            <w:r>
              <w:rPr>
                <w:webHidden/>
              </w:rPr>
              <w:instrText xml:space="preserve"> PAGEREF _Toc184220103 \h </w:instrText>
            </w:r>
            <w:r>
              <w:rPr>
                <w:webHidden/>
              </w:rPr>
            </w:r>
            <w:r>
              <w:rPr>
                <w:webHidden/>
              </w:rPr>
              <w:fldChar w:fldCharType="separate"/>
            </w:r>
            <w:r w:rsidR="00437C7B">
              <w:rPr>
                <w:webHidden/>
              </w:rPr>
              <w:t>34</w:t>
            </w:r>
            <w:r>
              <w:rPr>
                <w:webHidden/>
              </w:rPr>
              <w:fldChar w:fldCharType="end"/>
            </w:r>
          </w:hyperlink>
        </w:p>
        <w:p w14:paraId="7482D233" w14:textId="48477A48" w:rsidR="00FE0A8E" w:rsidRDefault="00FE0A8E">
          <w:pPr>
            <w:pStyle w:val="TOC3"/>
            <w:rPr>
              <w:rFonts w:eastAsiaTheme="minorEastAsia"/>
              <w:kern w:val="2"/>
              <w:sz w:val="24"/>
              <w:szCs w:val="24"/>
              <w:lang w:eastAsia="en-AU"/>
              <w14:ligatures w14:val="standardContextual"/>
            </w:rPr>
          </w:pPr>
          <w:hyperlink w:anchor="_Toc184220104" w:history="1">
            <w:r w:rsidRPr="00A25710">
              <w:rPr>
                <w:rStyle w:val="Hyperlink"/>
              </w:rPr>
              <w:t>Collaboration and place-based approaches</w:t>
            </w:r>
            <w:r>
              <w:rPr>
                <w:webHidden/>
              </w:rPr>
              <w:tab/>
            </w:r>
            <w:r>
              <w:rPr>
                <w:webHidden/>
              </w:rPr>
              <w:fldChar w:fldCharType="begin"/>
            </w:r>
            <w:r>
              <w:rPr>
                <w:webHidden/>
              </w:rPr>
              <w:instrText xml:space="preserve"> PAGEREF _Toc184220104 \h </w:instrText>
            </w:r>
            <w:r>
              <w:rPr>
                <w:webHidden/>
              </w:rPr>
            </w:r>
            <w:r>
              <w:rPr>
                <w:webHidden/>
              </w:rPr>
              <w:fldChar w:fldCharType="separate"/>
            </w:r>
            <w:r w:rsidR="00437C7B">
              <w:rPr>
                <w:webHidden/>
              </w:rPr>
              <w:t>34</w:t>
            </w:r>
            <w:r>
              <w:rPr>
                <w:webHidden/>
              </w:rPr>
              <w:fldChar w:fldCharType="end"/>
            </w:r>
          </w:hyperlink>
        </w:p>
        <w:p w14:paraId="59C6E896" w14:textId="1CDC433F" w:rsidR="00FE0A8E" w:rsidRDefault="00FE0A8E">
          <w:pPr>
            <w:pStyle w:val="TOC3"/>
            <w:rPr>
              <w:rFonts w:eastAsiaTheme="minorEastAsia"/>
              <w:kern w:val="2"/>
              <w:sz w:val="24"/>
              <w:szCs w:val="24"/>
              <w:lang w:eastAsia="en-AU"/>
              <w14:ligatures w14:val="standardContextual"/>
            </w:rPr>
          </w:pPr>
          <w:hyperlink w:anchor="_Toc184220105" w:history="1">
            <w:r w:rsidRPr="00A25710">
              <w:rPr>
                <w:rStyle w:val="Hyperlink"/>
              </w:rPr>
              <w:t>Behaviour change</w:t>
            </w:r>
            <w:r>
              <w:rPr>
                <w:webHidden/>
              </w:rPr>
              <w:tab/>
            </w:r>
            <w:r>
              <w:rPr>
                <w:webHidden/>
              </w:rPr>
              <w:fldChar w:fldCharType="begin"/>
            </w:r>
            <w:r>
              <w:rPr>
                <w:webHidden/>
              </w:rPr>
              <w:instrText xml:space="preserve"> PAGEREF _Toc184220105 \h </w:instrText>
            </w:r>
            <w:r>
              <w:rPr>
                <w:webHidden/>
              </w:rPr>
            </w:r>
            <w:r>
              <w:rPr>
                <w:webHidden/>
              </w:rPr>
              <w:fldChar w:fldCharType="separate"/>
            </w:r>
            <w:r w:rsidR="00437C7B">
              <w:rPr>
                <w:webHidden/>
              </w:rPr>
              <w:t>34</w:t>
            </w:r>
            <w:r>
              <w:rPr>
                <w:webHidden/>
              </w:rPr>
              <w:fldChar w:fldCharType="end"/>
            </w:r>
          </w:hyperlink>
        </w:p>
        <w:p w14:paraId="3ED59849" w14:textId="038E5BF6" w:rsidR="00FE0A8E" w:rsidRDefault="00FE0A8E">
          <w:pPr>
            <w:pStyle w:val="TOC2"/>
            <w:tabs>
              <w:tab w:val="left" w:pos="960"/>
            </w:tabs>
            <w:rPr>
              <w:rFonts w:eastAsiaTheme="minorEastAsia"/>
              <w:kern w:val="2"/>
              <w:sz w:val="24"/>
              <w:szCs w:val="24"/>
              <w:lang w:eastAsia="en-AU"/>
              <w14:ligatures w14:val="standardContextual"/>
            </w:rPr>
          </w:pPr>
          <w:hyperlink w:anchor="_Toc184220106" w:history="1">
            <w:r w:rsidRPr="00A25710">
              <w:rPr>
                <w:rStyle w:val="Hyperlink"/>
              </w:rPr>
              <w:t>9</w:t>
            </w:r>
            <w:r>
              <w:rPr>
                <w:rFonts w:eastAsiaTheme="minorEastAsia"/>
                <w:kern w:val="2"/>
                <w:sz w:val="24"/>
                <w:szCs w:val="24"/>
                <w:lang w:eastAsia="en-AU"/>
                <w14:ligatures w14:val="standardContextual"/>
              </w:rPr>
              <w:tab/>
            </w:r>
            <w:r w:rsidRPr="00A25710">
              <w:rPr>
                <w:rStyle w:val="Hyperlink"/>
              </w:rPr>
              <w:t>Implementing the framework</w:t>
            </w:r>
            <w:r>
              <w:rPr>
                <w:webHidden/>
              </w:rPr>
              <w:tab/>
            </w:r>
            <w:r>
              <w:rPr>
                <w:webHidden/>
              </w:rPr>
              <w:fldChar w:fldCharType="begin"/>
            </w:r>
            <w:r>
              <w:rPr>
                <w:webHidden/>
              </w:rPr>
              <w:instrText xml:space="preserve"> PAGEREF _Toc184220106 \h </w:instrText>
            </w:r>
            <w:r>
              <w:rPr>
                <w:webHidden/>
              </w:rPr>
            </w:r>
            <w:r>
              <w:rPr>
                <w:webHidden/>
              </w:rPr>
              <w:fldChar w:fldCharType="separate"/>
            </w:r>
            <w:r w:rsidR="00437C7B">
              <w:rPr>
                <w:webHidden/>
              </w:rPr>
              <w:t>37</w:t>
            </w:r>
            <w:r>
              <w:rPr>
                <w:webHidden/>
              </w:rPr>
              <w:fldChar w:fldCharType="end"/>
            </w:r>
          </w:hyperlink>
        </w:p>
        <w:p w14:paraId="23400189" w14:textId="74E6F734" w:rsidR="00FE0A8E" w:rsidRDefault="00FE0A8E">
          <w:pPr>
            <w:pStyle w:val="TOC3"/>
            <w:rPr>
              <w:rFonts w:eastAsiaTheme="minorEastAsia"/>
              <w:kern w:val="2"/>
              <w:sz w:val="24"/>
              <w:szCs w:val="24"/>
              <w:lang w:eastAsia="en-AU"/>
              <w14:ligatures w14:val="standardContextual"/>
            </w:rPr>
          </w:pPr>
          <w:hyperlink w:anchor="_Toc184220107" w:history="1">
            <w:r w:rsidRPr="00A25710">
              <w:rPr>
                <w:rStyle w:val="Hyperlink"/>
              </w:rPr>
              <w:t>Governments: the enablers</w:t>
            </w:r>
            <w:r>
              <w:rPr>
                <w:webHidden/>
              </w:rPr>
              <w:tab/>
            </w:r>
            <w:r>
              <w:rPr>
                <w:webHidden/>
              </w:rPr>
              <w:fldChar w:fldCharType="begin"/>
            </w:r>
            <w:r>
              <w:rPr>
                <w:webHidden/>
              </w:rPr>
              <w:instrText xml:space="preserve"> PAGEREF _Toc184220107 \h </w:instrText>
            </w:r>
            <w:r>
              <w:rPr>
                <w:webHidden/>
              </w:rPr>
            </w:r>
            <w:r>
              <w:rPr>
                <w:webHidden/>
              </w:rPr>
              <w:fldChar w:fldCharType="separate"/>
            </w:r>
            <w:r w:rsidR="00437C7B">
              <w:rPr>
                <w:webHidden/>
              </w:rPr>
              <w:t>37</w:t>
            </w:r>
            <w:r>
              <w:rPr>
                <w:webHidden/>
              </w:rPr>
              <w:fldChar w:fldCharType="end"/>
            </w:r>
          </w:hyperlink>
        </w:p>
        <w:p w14:paraId="6987B684" w14:textId="5BDBED40" w:rsidR="00FE0A8E" w:rsidRDefault="00FE0A8E">
          <w:pPr>
            <w:pStyle w:val="TOC3"/>
            <w:rPr>
              <w:rFonts w:eastAsiaTheme="minorEastAsia"/>
              <w:kern w:val="2"/>
              <w:sz w:val="24"/>
              <w:szCs w:val="24"/>
              <w:lang w:eastAsia="en-AU"/>
              <w14:ligatures w14:val="standardContextual"/>
            </w:rPr>
          </w:pPr>
          <w:hyperlink w:anchor="_Toc184220108" w:history="1">
            <w:r w:rsidRPr="00A25710">
              <w:rPr>
                <w:rStyle w:val="Hyperlink"/>
              </w:rPr>
              <w:t>Business: the innovators</w:t>
            </w:r>
            <w:r>
              <w:rPr>
                <w:webHidden/>
              </w:rPr>
              <w:tab/>
            </w:r>
            <w:r>
              <w:rPr>
                <w:webHidden/>
              </w:rPr>
              <w:fldChar w:fldCharType="begin"/>
            </w:r>
            <w:r>
              <w:rPr>
                <w:webHidden/>
              </w:rPr>
              <w:instrText xml:space="preserve"> PAGEREF _Toc184220108 \h </w:instrText>
            </w:r>
            <w:r>
              <w:rPr>
                <w:webHidden/>
              </w:rPr>
            </w:r>
            <w:r>
              <w:rPr>
                <w:webHidden/>
              </w:rPr>
              <w:fldChar w:fldCharType="separate"/>
            </w:r>
            <w:r w:rsidR="00437C7B">
              <w:rPr>
                <w:webHidden/>
              </w:rPr>
              <w:t>37</w:t>
            </w:r>
            <w:r>
              <w:rPr>
                <w:webHidden/>
              </w:rPr>
              <w:fldChar w:fldCharType="end"/>
            </w:r>
          </w:hyperlink>
        </w:p>
        <w:p w14:paraId="1671C650" w14:textId="08A4AA94" w:rsidR="00FE0A8E" w:rsidRDefault="00FE0A8E">
          <w:pPr>
            <w:pStyle w:val="TOC3"/>
            <w:rPr>
              <w:rFonts w:eastAsiaTheme="minorEastAsia"/>
              <w:kern w:val="2"/>
              <w:sz w:val="24"/>
              <w:szCs w:val="24"/>
              <w:lang w:eastAsia="en-AU"/>
              <w14:ligatures w14:val="standardContextual"/>
            </w:rPr>
          </w:pPr>
          <w:hyperlink w:anchor="_Toc184220109" w:history="1">
            <w:r w:rsidRPr="00A25710">
              <w:rPr>
                <w:rStyle w:val="Hyperlink"/>
              </w:rPr>
              <w:t>Investors: the catalysts</w:t>
            </w:r>
            <w:r>
              <w:rPr>
                <w:webHidden/>
              </w:rPr>
              <w:tab/>
            </w:r>
            <w:r>
              <w:rPr>
                <w:webHidden/>
              </w:rPr>
              <w:fldChar w:fldCharType="begin"/>
            </w:r>
            <w:r>
              <w:rPr>
                <w:webHidden/>
              </w:rPr>
              <w:instrText xml:space="preserve"> PAGEREF _Toc184220109 \h </w:instrText>
            </w:r>
            <w:r>
              <w:rPr>
                <w:webHidden/>
              </w:rPr>
            </w:r>
            <w:r>
              <w:rPr>
                <w:webHidden/>
              </w:rPr>
              <w:fldChar w:fldCharType="separate"/>
            </w:r>
            <w:r w:rsidR="00437C7B">
              <w:rPr>
                <w:webHidden/>
              </w:rPr>
              <w:t>39</w:t>
            </w:r>
            <w:r>
              <w:rPr>
                <w:webHidden/>
              </w:rPr>
              <w:fldChar w:fldCharType="end"/>
            </w:r>
          </w:hyperlink>
        </w:p>
        <w:p w14:paraId="25D1B52B" w14:textId="1EF4B1B6" w:rsidR="00FE0A8E" w:rsidRDefault="00FE0A8E">
          <w:pPr>
            <w:pStyle w:val="TOC3"/>
            <w:rPr>
              <w:rFonts w:eastAsiaTheme="minorEastAsia"/>
              <w:kern w:val="2"/>
              <w:sz w:val="24"/>
              <w:szCs w:val="24"/>
              <w:lang w:eastAsia="en-AU"/>
              <w14:ligatures w14:val="standardContextual"/>
            </w:rPr>
          </w:pPr>
          <w:hyperlink w:anchor="_Toc184220110" w:history="1">
            <w:r w:rsidRPr="00A25710">
              <w:rPr>
                <w:rStyle w:val="Hyperlink"/>
              </w:rPr>
              <w:t>Researchers and NGOs: the thought leaders</w:t>
            </w:r>
            <w:r>
              <w:rPr>
                <w:webHidden/>
              </w:rPr>
              <w:tab/>
            </w:r>
            <w:r>
              <w:rPr>
                <w:webHidden/>
              </w:rPr>
              <w:fldChar w:fldCharType="begin"/>
            </w:r>
            <w:r>
              <w:rPr>
                <w:webHidden/>
              </w:rPr>
              <w:instrText xml:space="preserve"> PAGEREF _Toc184220110 \h </w:instrText>
            </w:r>
            <w:r>
              <w:rPr>
                <w:webHidden/>
              </w:rPr>
            </w:r>
            <w:r>
              <w:rPr>
                <w:webHidden/>
              </w:rPr>
              <w:fldChar w:fldCharType="separate"/>
            </w:r>
            <w:r w:rsidR="00437C7B">
              <w:rPr>
                <w:webHidden/>
              </w:rPr>
              <w:t>41</w:t>
            </w:r>
            <w:r>
              <w:rPr>
                <w:webHidden/>
              </w:rPr>
              <w:fldChar w:fldCharType="end"/>
            </w:r>
          </w:hyperlink>
        </w:p>
        <w:p w14:paraId="791FFEBF" w14:textId="07EAA744" w:rsidR="00FE0A8E" w:rsidRDefault="00FE0A8E">
          <w:pPr>
            <w:pStyle w:val="TOC3"/>
            <w:rPr>
              <w:rFonts w:eastAsiaTheme="minorEastAsia"/>
              <w:kern w:val="2"/>
              <w:sz w:val="24"/>
              <w:szCs w:val="24"/>
              <w:lang w:eastAsia="en-AU"/>
              <w14:ligatures w14:val="standardContextual"/>
            </w:rPr>
          </w:pPr>
          <w:hyperlink w:anchor="_Toc184220111" w:history="1">
            <w:r w:rsidRPr="00A25710">
              <w:rPr>
                <w:rStyle w:val="Hyperlink"/>
              </w:rPr>
              <w:t>Australians: the changemakers</w:t>
            </w:r>
            <w:r>
              <w:rPr>
                <w:webHidden/>
              </w:rPr>
              <w:tab/>
            </w:r>
            <w:r>
              <w:rPr>
                <w:webHidden/>
              </w:rPr>
              <w:fldChar w:fldCharType="begin"/>
            </w:r>
            <w:r>
              <w:rPr>
                <w:webHidden/>
              </w:rPr>
              <w:instrText xml:space="preserve"> PAGEREF _Toc184220111 \h </w:instrText>
            </w:r>
            <w:r>
              <w:rPr>
                <w:webHidden/>
              </w:rPr>
            </w:r>
            <w:r>
              <w:rPr>
                <w:webHidden/>
              </w:rPr>
              <w:fldChar w:fldCharType="separate"/>
            </w:r>
            <w:r w:rsidR="00437C7B">
              <w:rPr>
                <w:webHidden/>
              </w:rPr>
              <w:t>41</w:t>
            </w:r>
            <w:r>
              <w:rPr>
                <w:webHidden/>
              </w:rPr>
              <w:fldChar w:fldCharType="end"/>
            </w:r>
          </w:hyperlink>
        </w:p>
        <w:p w14:paraId="5B7CD434" w14:textId="71A24AF1" w:rsidR="00FE0A8E" w:rsidRDefault="00FE0A8E">
          <w:pPr>
            <w:pStyle w:val="TOC2"/>
            <w:tabs>
              <w:tab w:val="left" w:pos="960"/>
            </w:tabs>
            <w:rPr>
              <w:rFonts w:eastAsiaTheme="minorEastAsia"/>
              <w:kern w:val="2"/>
              <w:sz w:val="24"/>
              <w:szCs w:val="24"/>
              <w:lang w:eastAsia="en-AU"/>
              <w14:ligatures w14:val="standardContextual"/>
            </w:rPr>
          </w:pPr>
          <w:hyperlink w:anchor="_Toc184220112" w:history="1">
            <w:r w:rsidRPr="00A25710">
              <w:rPr>
                <w:rStyle w:val="Hyperlink"/>
              </w:rPr>
              <w:t>10</w:t>
            </w:r>
            <w:r>
              <w:rPr>
                <w:rFonts w:eastAsiaTheme="minorEastAsia"/>
                <w:kern w:val="2"/>
                <w:sz w:val="24"/>
                <w:szCs w:val="24"/>
                <w:lang w:eastAsia="en-AU"/>
                <w14:ligatures w14:val="standardContextual"/>
              </w:rPr>
              <w:tab/>
            </w:r>
            <w:r w:rsidRPr="00A25710">
              <w:rPr>
                <w:rStyle w:val="Hyperlink"/>
              </w:rPr>
              <w:t>Glossary</w:t>
            </w:r>
            <w:r>
              <w:rPr>
                <w:webHidden/>
              </w:rPr>
              <w:tab/>
            </w:r>
            <w:r>
              <w:rPr>
                <w:webHidden/>
              </w:rPr>
              <w:fldChar w:fldCharType="begin"/>
            </w:r>
            <w:r>
              <w:rPr>
                <w:webHidden/>
              </w:rPr>
              <w:instrText xml:space="preserve"> PAGEREF _Toc184220112 \h </w:instrText>
            </w:r>
            <w:r>
              <w:rPr>
                <w:webHidden/>
              </w:rPr>
            </w:r>
            <w:r>
              <w:rPr>
                <w:webHidden/>
              </w:rPr>
              <w:fldChar w:fldCharType="separate"/>
            </w:r>
            <w:r w:rsidR="00437C7B">
              <w:rPr>
                <w:webHidden/>
              </w:rPr>
              <w:t>42</w:t>
            </w:r>
            <w:r>
              <w:rPr>
                <w:webHidden/>
              </w:rPr>
              <w:fldChar w:fldCharType="end"/>
            </w:r>
          </w:hyperlink>
        </w:p>
        <w:p w14:paraId="5EE5C19B" w14:textId="1AC379BF" w:rsidR="00FE0A8E" w:rsidRDefault="00FE0A8E">
          <w:pPr>
            <w:pStyle w:val="TOC2"/>
            <w:tabs>
              <w:tab w:val="left" w:pos="960"/>
            </w:tabs>
            <w:rPr>
              <w:rFonts w:eastAsiaTheme="minorEastAsia"/>
              <w:kern w:val="2"/>
              <w:sz w:val="24"/>
              <w:szCs w:val="24"/>
              <w:lang w:eastAsia="en-AU"/>
              <w14:ligatures w14:val="standardContextual"/>
            </w:rPr>
          </w:pPr>
          <w:hyperlink w:anchor="_Toc184220113" w:history="1">
            <w:r w:rsidRPr="00A25710">
              <w:rPr>
                <w:rStyle w:val="Hyperlink"/>
              </w:rPr>
              <w:t>11</w:t>
            </w:r>
            <w:r>
              <w:rPr>
                <w:rFonts w:eastAsiaTheme="minorEastAsia"/>
                <w:kern w:val="2"/>
                <w:sz w:val="24"/>
                <w:szCs w:val="24"/>
                <w:lang w:eastAsia="en-AU"/>
                <w14:ligatures w14:val="standardContextual"/>
              </w:rPr>
              <w:tab/>
            </w:r>
            <w:r w:rsidRPr="00A25710">
              <w:rPr>
                <w:rStyle w:val="Hyperlink"/>
              </w:rPr>
              <w:t>References</w:t>
            </w:r>
            <w:r>
              <w:rPr>
                <w:webHidden/>
              </w:rPr>
              <w:tab/>
            </w:r>
            <w:r>
              <w:rPr>
                <w:webHidden/>
              </w:rPr>
              <w:fldChar w:fldCharType="begin"/>
            </w:r>
            <w:r>
              <w:rPr>
                <w:webHidden/>
              </w:rPr>
              <w:instrText xml:space="preserve"> PAGEREF _Toc184220113 \h </w:instrText>
            </w:r>
            <w:r>
              <w:rPr>
                <w:webHidden/>
              </w:rPr>
            </w:r>
            <w:r>
              <w:rPr>
                <w:webHidden/>
              </w:rPr>
              <w:fldChar w:fldCharType="separate"/>
            </w:r>
            <w:r w:rsidR="00437C7B">
              <w:rPr>
                <w:webHidden/>
              </w:rPr>
              <w:t>45</w:t>
            </w:r>
            <w:r>
              <w:rPr>
                <w:webHidden/>
              </w:rPr>
              <w:fldChar w:fldCharType="end"/>
            </w:r>
          </w:hyperlink>
        </w:p>
        <w:p w14:paraId="48474A42" w14:textId="4312E776" w:rsidR="00712C2C" w:rsidRPr="005F4D33" w:rsidRDefault="004F5354" w:rsidP="003823D5">
          <w:pPr>
            <w:tabs>
              <w:tab w:val="left" w:pos="5385"/>
            </w:tabs>
            <w:rPr>
              <w:sz w:val="14"/>
              <w:szCs w:val="18"/>
            </w:rPr>
          </w:pPr>
          <w:r w:rsidRPr="005F4D33">
            <w:rPr>
              <w:b/>
              <w:bCs/>
              <w:noProof/>
              <w:sz w:val="14"/>
              <w:szCs w:val="14"/>
              <w:shd w:val="clear" w:color="auto" w:fill="E6E6E6"/>
            </w:rPr>
            <w:fldChar w:fldCharType="end"/>
          </w:r>
        </w:p>
      </w:sdtContent>
    </w:sdt>
    <w:p w14:paraId="71F89253" w14:textId="24B9C73A" w:rsidR="00712C2C" w:rsidRPr="005F4D33" w:rsidRDefault="00712C2C" w:rsidP="004D38F3"/>
    <w:p w14:paraId="68127DE0" w14:textId="77777777" w:rsidR="00712C2C" w:rsidRPr="005F4D33" w:rsidRDefault="00712C2C" w:rsidP="004D38F3">
      <w:pPr>
        <w:sectPr w:rsidR="00712C2C" w:rsidRPr="005F4D33" w:rsidSect="002F5224">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794" w:left="1440" w:header="567" w:footer="240" w:gutter="0"/>
          <w:cols w:space="708"/>
          <w:docGrid w:linePitch="360"/>
        </w:sectPr>
      </w:pPr>
    </w:p>
    <w:p w14:paraId="2873E0CE" w14:textId="77777777" w:rsidR="00320DAD" w:rsidRPr="005F4D33" w:rsidRDefault="004F5354" w:rsidP="00A51559">
      <w:pPr>
        <w:pStyle w:val="Heading2"/>
        <w:rPr>
          <w:color w:val="auto"/>
        </w:rPr>
      </w:pPr>
      <w:bookmarkStart w:id="4" w:name="_Toc184220065"/>
      <w:r w:rsidRPr="005F4D33">
        <w:rPr>
          <w:color w:val="auto"/>
        </w:rPr>
        <w:lastRenderedPageBreak/>
        <w:t>Australia’s Mission</w:t>
      </w:r>
      <w:bookmarkEnd w:id="4"/>
    </w:p>
    <w:p w14:paraId="0083FDEE" w14:textId="77777777" w:rsidR="00320DAD" w:rsidRPr="005F4D33" w:rsidRDefault="004F5354" w:rsidP="00A51559">
      <w:pPr>
        <w:pStyle w:val="Heading3"/>
        <w:rPr>
          <w:color w:val="auto"/>
        </w:rPr>
      </w:pPr>
      <w:bookmarkStart w:id="5" w:name="_Toc184220066"/>
      <w:r w:rsidRPr="005F4D33">
        <w:rPr>
          <w:color w:val="auto"/>
        </w:rPr>
        <w:t xml:space="preserve">Double the circularity of the economy by </w:t>
      </w:r>
      <w:r w:rsidR="00541A9E" w:rsidRPr="005F4D33">
        <w:rPr>
          <w:color w:val="auto"/>
        </w:rPr>
        <w:t>2035</w:t>
      </w:r>
      <w:bookmarkEnd w:id="5"/>
    </w:p>
    <w:p w14:paraId="62B144B0" w14:textId="77777777" w:rsidR="00AA14EA" w:rsidRPr="00D6128F" w:rsidRDefault="004F5354" w:rsidP="008C3EC9">
      <w:pPr>
        <w:rPr>
          <w:sz w:val="22"/>
        </w:rPr>
      </w:pPr>
      <w:r w:rsidRPr="00D6128F">
        <w:rPr>
          <w:b/>
          <w:bCs/>
          <w:sz w:val="22"/>
        </w:rPr>
        <w:t>A more circular Australia is a future where nature and the economy thrive together.</w:t>
      </w:r>
      <w:r w:rsidRPr="00D6128F">
        <w:rPr>
          <w:sz w:val="22"/>
        </w:rPr>
        <w:t xml:space="preserve"> The circular economy is key to unlocking a future where economic progress goes hand in hand with nature’s regeneration, securing Australia's natural wealth for generations to come.</w:t>
      </w:r>
    </w:p>
    <w:p w14:paraId="45A4FABE" w14:textId="77777777" w:rsidR="008C3EC9" w:rsidRPr="00D6128F" w:rsidRDefault="004F5354" w:rsidP="008C3EC9">
      <w:pPr>
        <w:rPr>
          <w:sz w:val="22"/>
        </w:rPr>
      </w:pPr>
      <w:r w:rsidRPr="00D6128F">
        <w:rPr>
          <w:sz w:val="22"/>
        </w:rPr>
        <w:t>For the first time, Australia is committing to a national</w:t>
      </w:r>
      <w:r w:rsidR="001F52AB" w:rsidRPr="00D6128F">
        <w:rPr>
          <w:sz w:val="22"/>
        </w:rPr>
        <w:t xml:space="preserve"> circular economy</w:t>
      </w:r>
      <w:r w:rsidRPr="00D6128F">
        <w:rPr>
          <w:sz w:val="22"/>
        </w:rPr>
        <w:t xml:space="preserve"> transition.</w:t>
      </w:r>
    </w:p>
    <w:p w14:paraId="6534120E" w14:textId="77777777" w:rsidR="0025247A" w:rsidRPr="00D6128F" w:rsidRDefault="004F5354" w:rsidP="008C3EC9">
      <w:pPr>
        <w:rPr>
          <w:sz w:val="22"/>
        </w:rPr>
      </w:pPr>
      <w:r w:rsidRPr="00D6128F">
        <w:rPr>
          <w:sz w:val="22"/>
        </w:rPr>
        <w:t>A circular economy is one where products are designed to be reused, repaired, and recycled, minimising waste and maximising resource efficiency. It aims to create a closed-loop system where materials are continuously circulated and repurposed rather than being discarded as waste.</w:t>
      </w:r>
    </w:p>
    <w:p w14:paraId="19A5846C" w14:textId="0D67E202" w:rsidR="009E72B7" w:rsidRPr="00D6128F" w:rsidRDefault="004F5354" w:rsidP="008C3EC9">
      <w:pPr>
        <w:rPr>
          <w:sz w:val="22"/>
        </w:rPr>
      </w:pPr>
      <w:r w:rsidRPr="00D6128F">
        <w:rPr>
          <w:sz w:val="22"/>
        </w:rPr>
        <w:t xml:space="preserve">By 2035, Australia aims to double its circularity – transforming how we use, reuse, and regenerate resources across </w:t>
      </w:r>
      <w:r w:rsidR="00F82ABE" w:rsidRPr="00D6128F">
        <w:rPr>
          <w:sz w:val="22"/>
        </w:rPr>
        <w:t>the economy</w:t>
      </w:r>
      <w:r w:rsidRPr="00D6128F">
        <w:rPr>
          <w:sz w:val="22"/>
        </w:rPr>
        <w:t xml:space="preserve">. This ambitious goal </w:t>
      </w:r>
      <w:r w:rsidR="004D1740" w:rsidRPr="00D6128F">
        <w:rPr>
          <w:sz w:val="22"/>
        </w:rPr>
        <w:t>is not</w:t>
      </w:r>
      <w:r w:rsidRPr="00D6128F">
        <w:rPr>
          <w:sz w:val="22"/>
        </w:rPr>
        <w:t xml:space="preserve"> just a number; it represents a profound shift toward an economy where waste is designed out, materials are continually cycled, and products are built to last. By embracing these principles, we can regenerate nature, reduce environmental pressures, and build a thriving, future-proof economy.</w:t>
      </w:r>
    </w:p>
    <w:p w14:paraId="7DD5D4D5" w14:textId="77777777" w:rsidR="00771EDF" w:rsidRPr="00D6128F" w:rsidRDefault="004F5354" w:rsidP="00771EDF">
      <w:pPr>
        <w:rPr>
          <w:sz w:val="22"/>
        </w:rPr>
      </w:pPr>
      <w:r w:rsidRPr="00D6128F">
        <w:rPr>
          <w:sz w:val="22"/>
        </w:rPr>
        <w:t xml:space="preserve">Modelling by the CSIRO indicates that doubling </w:t>
      </w:r>
      <w:r w:rsidR="004C1310" w:rsidRPr="00D6128F">
        <w:rPr>
          <w:sz w:val="22"/>
        </w:rPr>
        <w:t xml:space="preserve">Australia’s </w:t>
      </w:r>
      <w:r w:rsidRPr="00D6128F">
        <w:rPr>
          <w:sz w:val="22"/>
        </w:rPr>
        <w:t>circularity</w:t>
      </w:r>
      <w:r w:rsidR="004C1310" w:rsidRPr="00D6128F">
        <w:rPr>
          <w:sz w:val="22"/>
        </w:rPr>
        <w:t xml:space="preserve"> in line with this framework’s priorities</w:t>
      </w:r>
      <w:r w:rsidRPr="00D6128F">
        <w:rPr>
          <w:sz w:val="22"/>
        </w:rPr>
        <w:t xml:space="preserve"> </w:t>
      </w:r>
      <w:r w:rsidR="00F82ABE" w:rsidRPr="00D6128F">
        <w:rPr>
          <w:sz w:val="22"/>
        </w:rPr>
        <w:t>can</w:t>
      </w:r>
      <w:r w:rsidRPr="00D6128F">
        <w:rPr>
          <w:sz w:val="22"/>
        </w:rPr>
        <w:t>:</w:t>
      </w:r>
    </w:p>
    <w:p w14:paraId="0F52F907" w14:textId="553A51BD" w:rsidR="00771EDF" w:rsidRPr="00D6128F" w:rsidRDefault="004F5354" w:rsidP="00447A92">
      <w:pPr>
        <w:pStyle w:val="ListParagraph"/>
        <w:numPr>
          <w:ilvl w:val="0"/>
          <w:numId w:val="17"/>
        </w:numPr>
        <w:rPr>
          <w:i/>
          <w:iCs/>
          <w:sz w:val="22"/>
        </w:rPr>
      </w:pPr>
      <w:r w:rsidRPr="00D6128F">
        <w:rPr>
          <w:sz w:val="22"/>
        </w:rPr>
        <w:t>Add $</w:t>
      </w:r>
      <w:r w:rsidR="00654C5B" w:rsidRPr="00D6128F">
        <w:rPr>
          <w:sz w:val="22"/>
        </w:rPr>
        <w:t>26</w:t>
      </w:r>
      <w:r w:rsidRPr="00D6128F">
        <w:rPr>
          <w:sz w:val="22"/>
        </w:rPr>
        <w:t xml:space="preserve"> billion in Gross Domestic Product </w:t>
      </w:r>
      <w:r w:rsidR="00142FC2" w:rsidRPr="00D6128F">
        <w:rPr>
          <w:sz w:val="22"/>
        </w:rPr>
        <w:t xml:space="preserve">each year </w:t>
      </w:r>
      <w:r w:rsidRPr="00D6128F">
        <w:rPr>
          <w:sz w:val="22"/>
        </w:rPr>
        <w:t>by 2035</w:t>
      </w:r>
    </w:p>
    <w:p w14:paraId="7D282894" w14:textId="77777777" w:rsidR="00771EDF" w:rsidRPr="00D6128F" w:rsidRDefault="004F5354" w:rsidP="00447A92">
      <w:pPr>
        <w:pStyle w:val="ListParagraph"/>
        <w:numPr>
          <w:ilvl w:val="0"/>
          <w:numId w:val="17"/>
        </w:numPr>
        <w:rPr>
          <w:i/>
          <w:iCs/>
          <w:sz w:val="22"/>
        </w:rPr>
      </w:pPr>
      <w:r w:rsidRPr="00D6128F">
        <w:rPr>
          <w:sz w:val="22"/>
        </w:rPr>
        <w:t>Reduce</w:t>
      </w:r>
      <w:r w:rsidR="000A7C48" w:rsidRPr="00D6128F">
        <w:rPr>
          <w:sz w:val="22"/>
        </w:rPr>
        <w:t xml:space="preserve"> </w:t>
      </w:r>
      <w:r w:rsidRPr="00D6128F">
        <w:rPr>
          <w:sz w:val="22"/>
        </w:rPr>
        <w:t>greenhouse gas emissions by</w:t>
      </w:r>
      <w:r w:rsidR="00142FC2" w:rsidRPr="00D6128F">
        <w:rPr>
          <w:sz w:val="22"/>
        </w:rPr>
        <w:t xml:space="preserve"> 14% by</w:t>
      </w:r>
      <w:r w:rsidRPr="00D6128F">
        <w:rPr>
          <w:sz w:val="22"/>
        </w:rPr>
        <w:t xml:space="preserve"> 2035</w:t>
      </w:r>
      <w:r w:rsidRPr="00D6128F">
        <w:rPr>
          <w:rStyle w:val="EndnoteReference"/>
          <w:sz w:val="22"/>
        </w:rPr>
        <w:endnoteReference w:id="2"/>
      </w:r>
    </w:p>
    <w:p w14:paraId="08A9A7F6" w14:textId="77777777" w:rsidR="00771EDF" w:rsidRPr="00D6128F" w:rsidRDefault="004F5354" w:rsidP="00C87018">
      <w:pPr>
        <w:pStyle w:val="ListParagraph"/>
        <w:numPr>
          <w:ilvl w:val="0"/>
          <w:numId w:val="17"/>
        </w:numPr>
        <w:spacing w:after="120"/>
        <w:ind w:left="714" w:hanging="357"/>
        <w:rPr>
          <w:i/>
          <w:iCs/>
          <w:sz w:val="22"/>
        </w:rPr>
      </w:pPr>
      <w:r w:rsidRPr="00D6128F">
        <w:rPr>
          <w:sz w:val="22"/>
        </w:rPr>
        <w:t>Divert</w:t>
      </w:r>
      <w:r w:rsidR="008439A1" w:rsidRPr="00D6128F">
        <w:rPr>
          <w:sz w:val="22"/>
        </w:rPr>
        <w:t xml:space="preserve"> </w:t>
      </w:r>
      <w:r w:rsidRPr="00D6128F">
        <w:rPr>
          <w:sz w:val="22"/>
        </w:rPr>
        <w:t>26 million tonnes of materials from landfill each year</w:t>
      </w:r>
      <w:r w:rsidR="00752695" w:rsidRPr="00D6128F">
        <w:rPr>
          <w:sz w:val="22"/>
        </w:rPr>
        <w:t>.</w:t>
      </w:r>
      <w:r w:rsidRPr="00D6128F">
        <w:rPr>
          <w:rStyle w:val="EndnoteReference"/>
          <w:sz w:val="22"/>
        </w:rPr>
        <w:endnoteReference w:id="3"/>
      </w:r>
    </w:p>
    <w:p w14:paraId="6F9D34F2" w14:textId="77777777" w:rsidR="00950EE0" w:rsidRPr="00D6128F" w:rsidRDefault="004F5354" w:rsidP="00950EE0">
      <w:pPr>
        <w:rPr>
          <w:sz w:val="22"/>
        </w:rPr>
      </w:pPr>
      <w:r w:rsidRPr="00D6128F">
        <w:rPr>
          <w:sz w:val="22"/>
        </w:rPr>
        <w:t xml:space="preserve">Australians are throwing away nearly 76 million tonnes of waste every year, much of which ends up in landfill. </w:t>
      </w:r>
      <w:r w:rsidR="0093592C" w:rsidRPr="00D6128F">
        <w:rPr>
          <w:sz w:val="22"/>
        </w:rPr>
        <w:t>Globally, the World Bank projects that waste generation will increase by 70% by 2050 unless immediate action is taken.</w:t>
      </w:r>
      <w:r w:rsidRPr="00D6128F">
        <w:rPr>
          <w:rStyle w:val="EndnoteReference"/>
          <w:sz w:val="22"/>
        </w:rPr>
        <w:endnoteReference w:id="4"/>
      </w:r>
    </w:p>
    <w:p w14:paraId="7D052B09" w14:textId="77777777" w:rsidR="00F82ABE" w:rsidRPr="00D6128F" w:rsidRDefault="004F5354" w:rsidP="51EFDB54">
      <w:pPr>
        <w:rPr>
          <w:sz w:val="22"/>
        </w:rPr>
      </w:pPr>
      <w:r w:rsidRPr="00D6128F">
        <w:rPr>
          <w:sz w:val="22"/>
        </w:rPr>
        <w:t>Shifting to a circular economy will not only protect our environment but also strengthen our economy. For Australia’s industries, a circular economy offers the chance to become global leaders in sustainable innovation. By investing in circular systems, Australian businesses can enhance their competitiveness on the international stage, exporting circular products and expertise to the world. This shift will stimulate local supply chains, reduce dependence on virgin materials, and foster greater resilience to global disruptions.</w:t>
      </w:r>
    </w:p>
    <w:p w14:paraId="4A50F3AD" w14:textId="77777777" w:rsidR="006222D4" w:rsidRPr="00D6128F" w:rsidRDefault="004F5354" w:rsidP="009E72B7">
      <w:pPr>
        <w:rPr>
          <w:sz w:val="22"/>
        </w:rPr>
      </w:pPr>
      <w:r w:rsidRPr="00D6128F">
        <w:rPr>
          <w:sz w:val="22"/>
        </w:rPr>
        <w:t>A circular economy reduces the cost of living by promoting high-quality, durable, and repairable products that last longer, minimising the need for frequent replacements.</w:t>
      </w:r>
    </w:p>
    <w:p w14:paraId="1EA113FC" w14:textId="77777777" w:rsidR="009E72B7" w:rsidRPr="00D6128F" w:rsidRDefault="004F5354" w:rsidP="009E72B7">
      <w:pPr>
        <w:rPr>
          <w:sz w:val="22"/>
        </w:rPr>
      </w:pPr>
      <w:r w:rsidRPr="00D6128F">
        <w:rPr>
          <w:sz w:val="22"/>
        </w:rPr>
        <w:t xml:space="preserve">At the same time, innovation in design, technology, and materials science </w:t>
      </w:r>
      <w:r w:rsidR="002E59CE" w:rsidRPr="00D6128F">
        <w:rPr>
          <w:sz w:val="22"/>
        </w:rPr>
        <w:t>can</w:t>
      </w:r>
      <w:r w:rsidRPr="00D6128F">
        <w:rPr>
          <w:sz w:val="22"/>
        </w:rPr>
        <w:t xml:space="preserve"> be a catalyst for economic growth, providing Australian entrepreneurs and industries with an edge in a rapidly evolving global marketplace.</w:t>
      </w:r>
    </w:p>
    <w:p w14:paraId="24885FBF" w14:textId="7F69C661" w:rsidR="009E72B7" w:rsidRPr="00D6128F" w:rsidRDefault="004F5354" w:rsidP="009E72B7">
      <w:pPr>
        <w:rPr>
          <w:sz w:val="22"/>
        </w:rPr>
      </w:pPr>
      <w:r w:rsidRPr="00D6128F">
        <w:rPr>
          <w:sz w:val="22"/>
        </w:rPr>
        <w:t xml:space="preserve">A circular economy </w:t>
      </w:r>
      <w:r w:rsidR="00F82ABE" w:rsidRPr="00D6128F">
        <w:rPr>
          <w:sz w:val="22"/>
        </w:rPr>
        <w:t>can also support</w:t>
      </w:r>
      <w:r w:rsidRPr="00D6128F">
        <w:rPr>
          <w:sz w:val="22"/>
        </w:rPr>
        <w:t xml:space="preserve"> Australia's climate strategy. By rethinking how we produce, consume, and dispose of goods, we can significantly reduce greenhouse gas emissions. </w:t>
      </w:r>
      <w:r w:rsidR="001F52AB" w:rsidRPr="00D6128F">
        <w:rPr>
          <w:sz w:val="22"/>
        </w:rPr>
        <w:t xml:space="preserve">A </w:t>
      </w:r>
      <w:r w:rsidRPr="00D6128F">
        <w:rPr>
          <w:sz w:val="22"/>
        </w:rPr>
        <w:t>more circular economy help</w:t>
      </w:r>
      <w:r w:rsidR="001F52AB" w:rsidRPr="00D6128F">
        <w:rPr>
          <w:sz w:val="22"/>
        </w:rPr>
        <w:t>s</w:t>
      </w:r>
      <w:r w:rsidRPr="00D6128F">
        <w:rPr>
          <w:sz w:val="22"/>
        </w:rPr>
        <w:t xml:space="preserve"> us meet our </w:t>
      </w:r>
      <w:r w:rsidR="006222D4" w:rsidRPr="00D6128F">
        <w:rPr>
          <w:sz w:val="22"/>
        </w:rPr>
        <w:t xml:space="preserve">emissions reduction </w:t>
      </w:r>
      <w:r w:rsidRPr="00D6128F">
        <w:rPr>
          <w:sz w:val="22"/>
        </w:rPr>
        <w:t xml:space="preserve">targets </w:t>
      </w:r>
      <w:r w:rsidR="001F52AB" w:rsidRPr="00D6128F">
        <w:rPr>
          <w:sz w:val="22"/>
        </w:rPr>
        <w:t>by extending the productive life of existing materials</w:t>
      </w:r>
      <w:r w:rsidRPr="00D6128F">
        <w:rPr>
          <w:sz w:val="22"/>
        </w:rPr>
        <w:t>.</w:t>
      </w:r>
      <w:r w:rsidR="00021C14" w:rsidRPr="00D6128F">
        <w:rPr>
          <w:rStyle w:val="EndnoteReference"/>
          <w:sz w:val="22"/>
        </w:rPr>
        <w:endnoteReference w:id="5"/>
      </w:r>
      <w:r w:rsidRPr="00D6128F">
        <w:rPr>
          <w:sz w:val="22"/>
        </w:rPr>
        <w:t xml:space="preserve"> As we work to decarbonise our economy, circularity is an essential tool in reducing our carbon footprint while simultaneously restoring ecosystems and natural capital.</w:t>
      </w:r>
    </w:p>
    <w:p w14:paraId="1ECDFAE1" w14:textId="77777777" w:rsidR="00910649" w:rsidRPr="005F4D33" w:rsidRDefault="004F5354" w:rsidP="00A51559">
      <w:pPr>
        <w:pStyle w:val="Heading3"/>
        <w:rPr>
          <w:color w:val="auto"/>
        </w:rPr>
      </w:pPr>
      <w:bookmarkStart w:id="6" w:name="_Toc184220067"/>
      <w:r w:rsidRPr="005F4D33">
        <w:rPr>
          <w:color w:val="auto"/>
        </w:rPr>
        <w:t>Ambition and focus</w:t>
      </w:r>
      <w:bookmarkEnd w:id="6"/>
    </w:p>
    <w:p w14:paraId="5F1E5112" w14:textId="0D7383D3" w:rsidR="00EF5C6C" w:rsidRPr="00D6128F" w:rsidRDefault="004F5354" w:rsidP="00EF5C6C">
      <w:pPr>
        <w:rPr>
          <w:sz w:val="22"/>
        </w:rPr>
      </w:pPr>
      <w:r w:rsidRPr="00D6128F">
        <w:rPr>
          <w:sz w:val="22"/>
        </w:rPr>
        <w:t>Our goal to double our circularity by 2035 is ambitious. It addresses the entire lifecycle of resources</w:t>
      </w:r>
      <w:r w:rsidR="00C4386C" w:rsidRPr="00D6128F">
        <w:rPr>
          <w:sz w:val="22"/>
        </w:rPr>
        <w:t xml:space="preserve"> – </w:t>
      </w:r>
      <w:r w:rsidRPr="00D6128F">
        <w:rPr>
          <w:sz w:val="22"/>
        </w:rPr>
        <w:t xml:space="preserve">from design and extraction to reuse. To achieve this, Australia is setting </w:t>
      </w:r>
      <w:r w:rsidR="007852FA" w:rsidRPr="00D6128F">
        <w:rPr>
          <w:sz w:val="22"/>
        </w:rPr>
        <w:t xml:space="preserve">3 </w:t>
      </w:r>
      <w:r w:rsidRPr="00D6128F">
        <w:rPr>
          <w:sz w:val="22"/>
        </w:rPr>
        <w:t>targets that cover the front-, middle- and end-of the product lifecycle.</w:t>
      </w:r>
    </w:p>
    <w:p w14:paraId="2918F662" w14:textId="77777777" w:rsidR="001F52AB" w:rsidRPr="00D6128F" w:rsidRDefault="004F5354" w:rsidP="0054595D">
      <w:pPr>
        <w:rPr>
          <w:sz w:val="22"/>
        </w:rPr>
      </w:pPr>
      <w:r w:rsidRPr="00D6128F">
        <w:rPr>
          <w:sz w:val="22"/>
        </w:rPr>
        <w:lastRenderedPageBreak/>
        <w:t xml:space="preserve">As a country that is a primary exporter of resources and materials to the world, and an importer of most of our consumables, Australia’s transition ambition and priorities will be different from others. Our priorities cover </w:t>
      </w:r>
      <w:r w:rsidR="00167CC9" w:rsidRPr="00D6128F">
        <w:rPr>
          <w:sz w:val="22"/>
        </w:rPr>
        <w:t>4</w:t>
      </w:r>
      <w:r w:rsidRPr="00D6128F">
        <w:rPr>
          <w:sz w:val="22"/>
        </w:rPr>
        <w:t xml:space="preserve"> significant Australian supply chains and </w:t>
      </w:r>
      <w:r w:rsidR="00F04545" w:rsidRPr="00D6128F">
        <w:rPr>
          <w:sz w:val="22"/>
        </w:rPr>
        <w:t>6</w:t>
      </w:r>
      <w:r w:rsidRPr="00D6128F">
        <w:rPr>
          <w:sz w:val="22"/>
        </w:rPr>
        <w:t xml:space="preserve"> cross-cutting objectives. These are where rigorous market </w:t>
      </w:r>
      <w:r w:rsidR="007852FA" w:rsidRPr="00D6128F">
        <w:rPr>
          <w:sz w:val="22"/>
        </w:rPr>
        <w:t>and</w:t>
      </w:r>
      <w:r w:rsidRPr="00D6128F">
        <w:rPr>
          <w:sz w:val="22"/>
        </w:rPr>
        <w:t xml:space="preserve"> competitive analysis reveal Australia can benefit most – economically, environmentally and socially.</w:t>
      </w:r>
    </w:p>
    <w:p w14:paraId="3DB0D515" w14:textId="77777777" w:rsidR="00C26D8B" w:rsidRPr="00D6128F" w:rsidRDefault="004F5354" w:rsidP="00C26D8B">
      <w:pPr>
        <w:rPr>
          <w:sz w:val="22"/>
        </w:rPr>
      </w:pPr>
      <w:r w:rsidRPr="00D6128F">
        <w:rPr>
          <w:sz w:val="22"/>
        </w:rPr>
        <w:t xml:space="preserve">Australia is not starting from zero. Several of Australia’s largest investment instruments are already </w:t>
      </w:r>
      <w:r w:rsidR="00D54271" w:rsidRPr="00D6128F">
        <w:rPr>
          <w:sz w:val="22"/>
        </w:rPr>
        <w:t>supporting</w:t>
      </w:r>
      <w:r w:rsidRPr="00D6128F">
        <w:rPr>
          <w:sz w:val="22"/>
        </w:rPr>
        <w:t xml:space="preserve"> the circular economy – including the $15 b</w:t>
      </w:r>
      <w:r w:rsidR="00F82ABE" w:rsidRPr="00D6128F">
        <w:rPr>
          <w:sz w:val="22"/>
        </w:rPr>
        <w:t>illion</w:t>
      </w:r>
      <w:r w:rsidRPr="00D6128F">
        <w:rPr>
          <w:sz w:val="22"/>
        </w:rPr>
        <w:t xml:space="preserve"> National Reconstruction Fund, and the $7 </w:t>
      </w:r>
      <w:r w:rsidR="00F82ABE" w:rsidRPr="00D6128F">
        <w:rPr>
          <w:sz w:val="22"/>
        </w:rPr>
        <w:t xml:space="preserve">billion </w:t>
      </w:r>
      <w:r w:rsidRPr="00D6128F">
        <w:rPr>
          <w:sz w:val="22"/>
        </w:rPr>
        <w:t>Northern Australia Infrastructure Facility. Australia’s Ending Plastic Waste Mission, National Waste Policy and Water and Energy Efficiency Labelling schemes are all well-established programs supporting the circular economy. States and territories also have a range of supporting programs</w:t>
      </w:r>
      <w:r w:rsidR="00261855" w:rsidRPr="00D6128F">
        <w:rPr>
          <w:sz w:val="22"/>
        </w:rPr>
        <w:t>.</w:t>
      </w:r>
    </w:p>
    <w:p w14:paraId="43EB6B68" w14:textId="77777777" w:rsidR="008A5A8E" w:rsidRPr="00D6128F" w:rsidRDefault="004F5354" w:rsidP="00261855">
      <w:pPr>
        <w:rPr>
          <w:sz w:val="22"/>
        </w:rPr>
      </w:pPr>
      <w:r w:rsidRPr="00D6128F">
        <w:rPr>
          <w:sz w:val="22"/>
        </w:rPr>
        <w:t>This framework sets Australia’s bold 10-year commitment to embrac</w:t>
      </w:r>
      <w:r w:rsidR="00E72274" w:rsidRPr="00D6128F">
        <w:rPr>
          <w:sz w:val="22"/>
        </w:rPr>
        <w:t>e</w:t>
      </w:r>
      <w:r w:rsidRPr="00D6128F">
        <w:rPr>
          <w:sz w:val="22"/>
        </w:rPr>
        <w:t xml:space="preserve"> the circular economy</w:t>
      </w:r>
      <w:r w:rsidR="00D3078F" w:rsidRPr="00D6128F">
        <w:rPr>
          <w:sz w:val="22"/>
        </w:rPr>
        <w:t xml:space="preserve"> and focus</w:t>
      </w:r>
      <w:r w:rsidR="006204E3" w:rsidRPr="00D6128F">
        <w:rPr>
          <w:sz w:val="22"/>
        </w:rPr>
        <w:t>ing</w:t>
      </w:r>
      <w:r w:rsidR="00D3078F" w:rsidRPr="00D6128F">
        <w:rPr>
          <w:sz w:val="22"/>
        </w:rPr>
        <w:t xml:space="preserve"> on what matters most</w:t>
      </w:r>
      <w:r w:rsidRPr="00D6128F">
        <w:rPr>
          <w:sz w:val="22"/>
        </w:rPr>
        <w:t xml:space="preserve">. </w:t>
      </w:r>
      <w:r w:rsidR="006047CD" w:rsidRPr="00D6128F">
        <w:rPr>
          <w:sz w:val="22"/>
        </w:rPr>
        <w:t xml:space="preserve">It weaves together the threads of innovation, collaboration, and stewardship. </w:t>
      </w:r>
      <w:r w:rsidRPr="00D6128F">
        <w:rPr>
          <w:sz w:val="22"/>
        </w:rPr>
        <w:t xml:space="preserve">It offers a shared vision for governments, businesses, investors, communities, researchers, and individuals to unite </w:t>
      </w:r>
      <w:r w:rsidR="00753D77" w:rsidRPr="00D6128F">
        <w:rPr>
          <w:sz w:val="22"/>
        </w:rPr>
        <w:t xml:space="preserve">in </w:t>
      </w:r>
      <w:r w:rsidRPr="00D6128F">
        <w:rPr>
          <w:sz w:val="22"/>
        </w:rPr>
        <w:t>their efforts and drive change.</w:t>
      </w:r>
    </w:p>
    <w:p w14:paraId="39845A62" w14:textId="77777777" w:rsidR="00AA14EA" w:rsidRPr="005F4D33" w:rsidRDefault="004F5354" w:rsidP="00A51559">
      <w:pPr>
        <w:pStyle w:val="Heading3"/>
        <w:rPr>
          <w:color w:val="auto"/>
        </w:rPr>
      </w:pPr>
      <w:bookmarkStart w:id="7" w:name="_Toc184220068"/>
      <w:r w:rsidRPr="005F4D33">
        <w:rPr>
          <w:color w:val="auto"/>
        </w:rPr>
        <w:t>A</w:t>
      </w:r>
      <w:r w:rsidR="00E05B0B" w:rsidRPr="005F4D33">
        <w:rPr>
          <w:color w:val="auto"/>
        </w:rPr>
        <w:t xml:space="preserve"> </w:t>
      </w:r>
      <w:r w:rsidRPr="005F4D33">
        <w:rPr>
          <w:color w:val="auto"/>
        </w:rPr>
        <w:t>commitment to First Nations people</w:t>
      </w:r>
      <w:r w:rsidR="005058A2" w:rsidRPr="005F4D33">
        <w:rPr>
          <w:color w:val="auto"/>
        </w:rPr>
        <w:t>s</w:t>
      </w:r>
      <w:r w:rsidRPr="005F4D33">
        <w:rPr>
          <w:color w:val="auto"/>
        </w:rPr>
        <w:t xml:space="preserve"> and knowledge</w:t>
      </w:r>
      <w:bookmarkEnd w:id="7"/>
    </w:p>
    <w:p w14:paraId="258C4722" w14:textId="77777777" w:rsidR="004F4A43" w:rsidRPr="00D6128F" w:rsidRDefault="004F5354" w:rsidP="006F3A41">
      <w:pPr>
        <w:rPr>
          <w:sz w:val="22"/>
        </w:rPr>
      </w:pPr>
      <w:r w:rsidRPr="00D6128F">
        <w:rPr>
          <w:sz w:val="22"/>
        </w:rPr>
        <w:t xml:space="preserve">Australia's journey towards a circular economy is a step forward in sustainability but also an opportunity to honour and integrate the deep knowledge </w:t>
      </w:r>
      <w:r w:rsidR="00E71BD8" w:rsidRPr="00D6128F">
        <w:rPr>
          <w:sz w:val="22"/>
        </w:rPr>
        <w:t xml:space="preserve">systems </w:t>
      </w:r>
      <w:r w:rsidRPr="00D6128F">
        <w:rPr>
          <w:sz w:val="22"/>
        </w:rPr>
        <w:t>of First Nations peoples.</w:t>
      </w:r>
      <w:r w:rsidR="009F5830" w:rsidRPr="00D6128F">
        <w:rPr>
          <w:sz w:val="22"/>
        </w:rPr>
        <w:t xml:space="preserve"> </w:t>
      </w:r>
    </w:p>
    <w:p w14:paraId="11919B8D" w14:textId="5FC52871" w:rsidR="004F4A43" w:rsidRPr="00D6128F" w:rsidRDefault="004F5354" w:rsidP="006F3A41">
      <w:pPr>
        <w:rPr>
          <w:sz w:val="22"/>
          <w:lang w:eastAsia="ja-JP"/>
        </w:rPr>
      </w:pPr>
      <w:r w:rsidRPr="00D6128F">
        <w:rPr>
          <w:sz w:val="22"/>
          <w:lang w:eastAsia="ja-JP"/>
        </w:rPr>
        <w:t xml:space="preserve">For tens of thousands of years, </w:t>
      </w:r>
      <w:r w:rsidR="005A7337" w:rsidRPr="00D6128F">
        <w:rPr>
          <w:sz w:val="22"/>
          <w:lang w:eastAsia="ja-JP"/>
        </w:rPr>
        <w:t xml:space="preserve">Aboriginal and Torres Strait Islander </w:t>
      </w:r>
      <w:r w:rsidR="00BD69CC" w:rsidRPr="00D6128F">
        <w:rPr>
          <w:sz w:val="22"/>
          <w:lang w:eastAsia="ja-JP"/>
        </w:rPr>
        <w:t>peoples</w:t>
      </w:r>
      <w:r w:rsidRPr="00D6128F">
        <w:rPr>
          <w:sz w:val="22"/>
          <w:lang w:eastAsia="ja-JP"/>
        </w:rPr>
        <w:t xml:space="preserve"> have practiced a way of life that embodies the principles of the circular </w:t>
      </w:r>
      <w:r w:rsidR="006938C5" w:rsidRPr="00D6128F">
        <w:rPr>
          <w:sz w:val="22"/>
          <w:lang w:eastAsia="ja-JP"/>
        </w:rPr>
        <w:t xml:space="preserve">economy – </w:t>
      </w:r>
      <w:r w:rsidRPr="00D6128F">
        <w:rPr>
          <w:sz w:val="22"/>
          <w:lang w:eastAsia="ja-JP"/>
        </w:rPr>
        <w:t xml:space="preserve">caring for </w:t>
      </w:r>
      <w:r w:rsidR="00F14CE7" w:rsidRPr="00D6128F">
        <w:rPr>
          <w:sz w:val="22"/>
          <w:lang w:eastAsia="ja-JP"/>
        </w:rPr>
        <w:t>C</w:t>
      </w:r>
      <w:r w:rsidRPr="00D6128F">
        <w:rPr>
          <w:sz w:val="22"/>
          <w:lang w:eastAsia="ja-JP"/>
        </w:rPr>
        <w:t>ountry, minimising waste, and ensuring the natural environment thrives for future generations.</w:t>
      </w:r>
    </w:p>
    <w:p w14:paraId="1A092C8B" w14:textId="0E08B25F" w:rsidR="00A51559" w:rsidRPr="00D6128F" w:rsidRDefault="004F5354" w:rsidP="00471A4A">
      <w:pPr>
        <w:rPr>
          <w:sz w:val="22"/>
          <w:lang w:eastAsia="ja-JP"/>
        </w:rPr>
      </w:pPr>
      <w:r w:rsidRPr="00D6128F">
        <w:rPr>
          <w:sz w:val="22"/>
          <w:lang w:eastAsia="ja-JP"/>
        </w:rPr>
        <w:t xml:space="preserve">As Australia embarks on a circular economy transition, it is imperative </w:t>
      </w:r>
      <w:r w:rsidR="006222D4" w:rsidRPr="00D6128F">
        <w:rPr>
          <w:sz w:val="22"/>
          <w:lang w:eastAsia="ja-JP"/>
        </w:rPr>
        <w:t xml:space="preserve">this includes genuine partnerships </w:t>
      </w:r>
      <w:r w:rsidRPr="00D6128F">
        <w:rPr>
          <w:sz w:val="22"/>
          <w:lang w:eastAsia="ja-JP"/>
        </w:rPr>
        <w:t>with First Nations peoples</w:t>
      </w:r>
      <w:r w:rsidR="006222D4" w:rsidRPr="00D6128F">
        <w:rPr>
          <w:sz w:val="22"/>
          <w:lang w:eastAsia="ja-JP"/>
        </w:rPr>
        <w:t xml:space="preserve"> and communities</w:t>
      </w:r>
      <w:r w:rsidRPr="00D6128F">
        <w:rPr>
          <w:sz w:val="22"/>
          <w:lang w:eastAsia="ja-JP"/>
        </w:rPr>
        <w:t>, learning from their wisdom, and ensuring they are integral partners in shaping our sustainable future</w:t>
      </w:r>
      <w:r w:rsidR="00233FCD" w:rsidRPr="00D6128F">
        <w:rPr>
          <w:sz w:val="22"/>
          <w:lang w:eastAsia="ja-JP"/>
        </w:rPr>
        <w:t>.</w:t>
      </w:r>
      <w:r w:rsidRPr="00D6128F">
        <w:rPr>
          <w:rStyle w:val="EndnoteReference"/>
          <w:sz w:val="22"/>
          <w:lang w:eastAsia="ja-JP"/>
        </w:rPr>
        <w:endnoteReference w:id="6"/>
      </w:r>
      <w:r w:rsidR="000B54CE" w:rsidRPr="00D6128F">
        <w:rPr>
          <w:sz w:val="22"/>
          <w:lang w:eastAsia="ja-JP"/>
        </w:rPr>
        <w:t xml:space="preserve"> </w:t>
      </w:r>
      <w:r w:rsidR="00834F8D" w:rsidRPr="00D6128F">
        <w:rPr>
          <w:sz w:val="22"/>
          <w:lang w:eastAsia="ja-JP"/>
        </w:rPr>
        <w:t>Measures supporting the transition should progress the priority reforms and targets of the National Agreement on Closing the Gap to ensure there is equitable access to circular economy benefits and opportunities</w:t>
      </w:r>
      <w:r w:rsidR="00C236BB" w:rsidRPr="00D6128F">
        <w:rPr>
          <w:sz w:val="22"/>
          <w:lang w:eastAsia="ja-JP"/>
        </w:rPr>
        <w:t>.</w:t>
      </w:r>
    </w:p>
    <w:p w14:paraId="0413FE20" w14:textId="20240FCA" w:rsidR="00471A4A" w:rsidRDefault="00471A4A" w:rsidP="002F273C">
      <w:pPr>
        <w:spacing w:after="0"/>
        <w:rPr>
          <w:sz w:val="18"/>
          <w:lang w:eastAsia="ja-JP"/>
        </w:rPr>
      </w:pPr>
    </w:p>
    <w:p w14:paraId="66C04B4F" w14:textId="77777777" w:rsidR="00095EE4" w:rsidRPr="005F4D33" w:rsidRDefault="00095EE4" w:rsidP="002F273C">
      <w:pPr>
        <w:spacing w:after="0"/>
        <w:rPr>
          <w:sz w:val="18"/>
          <w:lang w:eastAsia="ja-JP"/>
        </w:rPr>
      </w:pPr>
    </w:p>
    <w:p w14:paraId="6CFE8C70" w14:textId="77777777" w:rsidR="00467D95" w:rsidRPr="005F4D33" w:rsidRDefault="004F5354" w:rsidP="002F273C">
      <w:pPr>
        <w:pStyle w:val="Heading2"/>
        <w:rPr>
          <w:color w:val="auto"/>
        </w:rPr>
      </w:pPr>
      <w:bookmarkStart w:id="8" w:name="_Toc184220069"/>
      <w:r w:rsidRPr="005F4D33">
        <w:rPr>
          <w:color w:val="auto"/>
        </w:rPr>
        <w:lastRenderedPageBreak/>
        <w:t>Framework at a glance</w:t>
      </w:r>
      <w:bookmarkEnd w:id="8"/>
    </w:p>
    <w:p w14:paraId="7C5E8A83" w14:textId="77777777" w:rsidR="002C5BCB" w:rsidRPr="005F4D33" w:rsidRDefault="004F5354" w:rsidP="000E34BB">
      <w:pPr>
        <w:rPr>
          <w:sz w:val="14"/>
          <w:szCs w:val="18"/>
        </w:rPr>
      </w:pPr>
      <w:bookmarkStart w:id="9" w:name="_Hlk153454147"/>
      <w:r w:rsidRPr="005F4D33">
        <w:rPr>
          <w:noProof/>
          <w:sz w:val="14"/>
          <w:szCs w:val="18"/>
        </w:rPr>
        <w:drawing>
          <wp:inline distT="0" distB="0" distL="0" distR="0" wp14:anchorId="79AD2E05" wp14:editId="081FF885">
            <wp:extent cx="6160948" cy="3307743"/>
            <wp:effectExtent l="0" t="0" r="0" b="6985"/>
            <wp:docPr id="519189472" name="Picture 17" descr="A chart outlining the key elements of the framework content. It presents the information on one page and at a glance. This includes listing the goal to double the circularity of the economy by 2035. It also lists the three targets which are shrinking our per capita material footprint by ten per cent, lifting our material productivity by thirty per cent and safely recover eighty per cent of our resources. &#10;It then lists the four key priorities of the framework which are Industry, such as circular packaging and reusable goods. The built environment, including refurbishment and circular material use. Food and agriculture, including reducing food waste and valorising agri-waste. Resources, including minerals beneficiation and second-use of mineral containing products. &#10;It also lists the six cross cutting objectives of innovation, systems thinking, market development and investment, collaboration and place based approaches, resource recovery and behaviour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89472" name="Picture 17" descr="A chart outlining the key elements of the framework content. It presents the information on one page and at a glance. This includes listing the goal to double the circularity of the economy by 2035. It also lists the three targets which are shrinking our per capita material footprint by ten per cent, lifting our material productivity by thirty per cent and safely recover eighty per cent of our resources. &#10;It then lists the four key priorities of the framework which are Industry, such as circular packaging and reusable goods. The built environment, including refurbishment and circular material use. Food and agriculture, including reducing food waste and valorising agri-waste. Resources, including minerals beneficiation and second-use of mineral containing products. &#10;It also lists the six cross cutting objectives of innovation, systems thinking, market development and investment, collaboration and place based approaches, resource recovery and behaviour change. "/>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6232991" cy="3346422"/>
                    </a:xfrm>
                    <a:prstGeom prst="rect">
                      <a:avLst/>
                    </a:prstGeom>
                    <a:noFill/>
                    <a:ln>
                      <a:noFill/>
                    </a:ln>
                    <a:extLst>
                      <a:ext uri="{53640926-AAD7-44D8-BBD7-CCE9431645EC}">
                        <a14:shadowObscured xmlns:a14="http://schemas.microsoft.com/office/drawing/2010/main"/>
                      </a:ext>
                    </a:extLst>
                  </pic:spPr>
                </pic:pic>
              </a:graphicData>
            </a:graphic>
          </wp:inline>
        </w:drawing>
      </w:r>
    </w:p>
    <w:p w14:paraId="352D9E53" w14:textId="6A9D3729" w:rsidR="00B6341D" w:rsidRPr="005F4D33" w:rsidRDefault="004F5354" w:rsidP="00B6341D">
      <w:pPr>
        <w:rPr>
          <w:sz w:val="14"/>
          <w:szCs w:val="18"/>
        </w:rPr>
      </w:pPr>
      <w:r w:rsidRPr="005F4D33">
        <w:rPr>
          <w:sz w:val="14"/>
          <w:szCs w:val="18"/>
        </w:rPr>
        <w:br w:type="page"/>
      </w:r>
    </w:p>
    <w:p w14:paraId="321F9671" w14:textId="78F68DCB" w:rsidR="00B16714" w:rsidRPr="005F4D33" w:rsidRDefault="004F5354" w:rsidP="002F273C">
      <w:pPr>
        <w:pStyle w:val="Heading2"/>
        <w:rPr>
          <w:color w:val="auto"/>
        </w:rPr>
      </w:pPr>
      <w:bookmarkStart w:id="10" w:name="_Toc184220070"/>
      <w:r w:rsidRPr="005F4D33">
        <w:rPr>
          <w:color w:val="auto"/>
        </w:rPr>
        <w:lastRenderedPageBreak/>
        <w:t>What is a circular economy</w:t>
      </w:r>
      <w:r w:rsidR="00D817EF" w:rsidRPr="005F4D33">
        <w:rPr>
          <w:color w:val="auto"/>
        </w:rPr>
        <w:t>?</w:t>
      </w:r>
      <w:bookmarkEnd w:id="10"/>
    </w:p>
    <w:p w14:paraId="00DB410D" w14:textId="77777777" w:rsidR="00204963" w:rsidRPr="00D6128F" w:rsidRDefault="004F5354" w:rsidP="00DC54D8">
      <w:pPr>
        <w:autoSpaceDE w:val="0"/>
        <w:autoSpaceDN w:val="0"/>
        <w:adjustRightInd w:val="0"/>
        <w:spacing w:after="0"/>
        <w:rPr>
          <w:sz w:val="22"/>
        </w:rPr>
      </w:pPr>
      <w:r w:rsidRPr="00D6128F">
        <w:rPr>
          <w:sz w:val="22"/>
        </w:rPr>
        <w:t>The circular economy is not an end on its own.</w:t>
      </w:r>
      <w:r w:rsidR="00E953D2" w:rsidRPr="00D6128F">
        <w:rPr>
          <w:sz w:val="22"/>
        </w:rPr>
        <w:t xml:space="preserve"> I</w:t>
      </w:r>
      <w:r w:rsidRPr="00D6128F">
        <w:rPr>
          <w:sz w:val="22"/>
        </w:rPr>
        <w:t>t is</w:t>
      </w:r>
      <w:r w:rsidR="005B169B" w:rsidRPr="00D6128F">
        <w:rPr>
          <w:sz w:val="22"/>
        </w:rPr>
        <w:t xml:space="preserve"> an economic model that promotes sustainable and efficient use of resources</w:t>
      </w:r>
      <w:r w:rsidRPr="00D6128F">
        <w:rPr>
          <w:sz w:val="22"/>
        </w:rPr>
        <w:t xml:space="preserve"> as a way to support environmental, </w:t>
      </w:r>
      <w:r w:rsidR="004E3B88" w:rsidRPr="00D6128F">
        <w:rPr>
          <w:sz w:val="22"/>
        </w:rPr>
        <w:t>economic and social outcomes</w:t>
      </w:r>
      <w:r w:rsidR="005B169B" w:rsidRPr="00D6128F">
        <w:rPr>
          <w:sz w:val="22"/>
        </w:rPr>
        <w:t xml:space="preserve">. It shifts away from the current linear ‘take, make, </w:t>
      </w:r>
      <w:r w:rsidR="00403EA0" w:rsidRPr="00D6128F">
        <w:rPr>
          <w:sz w:val="22"/>
        </w:rPr>
        <w:t>dispose</w:t>
      </w:r>
      <w:r w:rsidR="005B169B" w:rsidRPr="00D6128F">
        <w:rPr>
          <w:sz w:val="22"/>
        </w:rPr>
        <w:t xml:space="preserve">’ consumption approach to </w:t>
      </w:r>
      <w:r w:rsidR="007A4E1A" w:rsidRPr="00D6128F">
        <w:rPr>
          <w:sz w:val="22"/>
        </w:rPr>
        <w:t>one</w:t>
      </w:r>
      <w:r w:rsidR="005B169B" w:rsidRPr="00D6128F">
        <w:rPr>
          <w:sz w:val="22"/>
        </w:rPr>
        <w:t xml:space="preserve"> </w:t>
      </w:r>
      <w:r w:rsidR="00670E50" w:rsidRPr="00D6128F">
        <w:rPr>
          <w:sz w:val="22"/>
        </w:rPr>
        <w:t>that maintains a circular flow of materials</w:t>
      </w:r>
      <w:r w:rsidR="00267CB8" w:rsidRPr="00D6128F">
        <w:rPr>
          <w:sz w:val="22"/>
        </w:rPr>
        <w:t xml:space="preserve"> by recovering, retaining or adding to their value.</w:t>
      </w:r>
    </w:p>
    <w:bookmarkEnd w:id="9"/>
    <w:p w14:paraId="765B3496" w14:textId="77777777" w:rsidR="00237021" w:rsidRPr="00D6128F" w:rsidRDefault="00237021" w:rsidP="00131E26">
      <w:pPr>
        <w:pStyle w:val="ListParagraph"/>
        <w:ind w:left="0"/>
        <w:rPr>
          <w:sz w:val="22"/>
        </w:rPr>
      </w:pPr>
    </w:p>
    <w:p w14:paraId="23FD466C" w14:textId="77777777" w:rsidR="000F4C23" w:rsidRPr="00D6128F" w:rsidRDefault="004F5354" w:rsidP="00131E26">
      <w:pPr>
        <w:pStyle w:val="ListParagraph"/>
        <w:ind w:left="0"/>
        <w:rPr>
          <w:sz w:val="22"/>
        </w:rPr>
      </w:pPr>
      <w:r w:rsidRPr="00D6128F">
        <w:rPr>
          <w:sz w:val="22"/>
        </w:rPr>
        <w:t>There are 3 key principles of a circular economy:</w:t>
      </w:r>
    </w:p>
    <w:p w14:paraId="468359DA" w14:textId="77777777" w:rsidR="000F4C23" w:rsidRPr="00D6128F" w:rsidRDefault="004F5354" w:rsidP="00106A5A">
      <w:pPr>
        <w:pStyle w:val="ListNumber"/>
        <w:numPr>
          <w:ilvl w:val="0"/>
          <w:numId w:val="14"/>
        </w:numPr>
        <w:rPr>
          <w:sz w:val="22"/>
        </w:rPr>
      </w:pPr>
      <w:r w:rsidRPr="00D6128F">
        <w:rPr>
          <w:b/>
          <w:bCs/>
          <w:sz w:val="22"/>
        </w:rPr>
        <w:t>Design out waste and pollution</w:t>
      </w:r>
    </w:p>
    <w:p w14:paraId="381AD803" w14:textId="77777777" w:rsidR="000F4C23" w:rsidRPr="00D6128F" w:rsidRDefault="004F5354" w:rsidP="000F4C23">
      <w:pPr>
        <w:pStyle w:val="ListNumber"/>
        <w:numPr>
          <w:ilvl w:val="0"/>
          <w:numId w:val="0"/>
        </w:numPr>
        <w:ind w:left="720"/>
        <w:rPr>
          <w:sz w:val="22"/>
        </w:rPr>
      </w:pPr>
      <w:r w:rsidRPr="00D6128F">
        <w:rPr>
          <w:sz w:val="22"/>
        </w:rPr>
        <w:t xml:space="preserve">Things can be used better through purposeful design. When things are designed from the beginning to be repaired, reused and recycled, it’s much easier to do so. For example, </w:t>
      </w:r>
      <w:r w:rsidR="00946F69" w:rsidRPr="00D6128F">
        <w:rPr>
          <w:sz w:val="22"/>
        </w:rPr>
        <w:t>products that are made to be taken apart are easier to fix and use for longer.</w:t>
      </w:r>
    </w:p>
    <w:p w14:paraId="78DDC06E" w14:textId="77777777" w:rsidR="000F4C23" w:rsidRPr="00D6128F" w:rsidRDefault="004F5354" w:rsidP="00106A5A">
      <w:pPr>
        <w:pStyle w:val="ListNumber"/>
        <w:numPr>
          <w:ilvl w:val="0"/>
          <w:numId w:val="14"/>
        </w:numPr>
        <w:rPr>
          <w:sz w:val="22"/>
        </w:rPr>
      </w:pPr>
      <w:r w:rsidRPr="00D6128F">
        <w:rPr>
          <w:b/>
          <w:bCs/>
          <w:sz w:val="22"/>
        </w:rPr>
        <w:t>Keep products and materials in use at their highest value</w:t>
      </w:r>
    </w:p>
    <w:p w14:paraId="6E2C37E4" w14:textId="77777777" w:rsidR="000F4C23" w:rsidRPr="00D6128F" w:rsidRDefault="004F5354" w:rsidP="000F4C23">
      <w:pPr>
        <w:pStyle w:val="ListNumber"/>
        <w:numPr>
          <w:ilvl w:val="0"/>
          <w:numId w:val="0"/>
        </w:numPr>
        <w:ind w:left="720"/>
        <w:rPr>
          <w:sz w:val="22"/>
        </w:rPr>
      </w:pPr>
      <w:r w:rsidRPr="00D6128F">
        <w:rPr>
          <w:sz w:val="22"/>
        </w:rPr>
        <w:t>By targeting how we use and dispose of products and materials</w:t>
      </w:r>
      <w:r w:rsidR="00945DEA" w:rsidRPr="00D6128F">
        <w:rPr>
          <w:sz w:val="22"/>
        </w:rPr>
        <w:t>,</w:t>
      </w:r>
      <w:r w:rsidRPr="00D6128F">
        <w:rPr>
          <w:sz w:val="22"/>
        </w:rPr>
        <w:t xml:space="preserve"> we can keep them in our economy for longer. This can mean buying durable</w:t>
      </w:r>
      <w:r w:rsidR="00945DEA" w:rsidRPr="00D6128F">
        <w:rPr>
          <w:sz w:val="22"/>
        </w:rPr>
        <w:t xml:space="preserve"> </w:t>
      </w:r>
      <w:r w:rsidRPr="00D6128F">
        <w:rPr>
          <w:sz w:val="22"/>
        </w:rPr>
        <w:t xml:space="preserve">products, reusing and repairing. When recycling, we avoid downcycling, which is turning the </w:t>
      </w:r>
      <w:r w:rsidR="005410B9" w:rsidRPr="00D6128F">
        <w:rPr>
          <w:sz w:val="22"/>
        </w:rPr>
        <w:t xml:space="preserve">product </w:t>
      </w:r>
      <w:r w:rsidRPr="00D6128F">
        <w:rPr>
          <w:sz w:val="22"/>
        </w:rPr>
        <w:t>into a lower grade material</w:t>
      </w:r>
      <w:r w:rsidR="00945DEA" w:rsidRPr="00D6128F">
        <w:rPr>
          <w:sz w:val="22"/>
        </w:rPr>
        <w:t>.</w:t>
      </w:r>
    </w:p>
    <w:p w14:paraId="31691074" w14:textId="77777777" w:rsidR="000F4C23" w:rsidRPr="00D6128F" w:rsidRDefault="004F5354" w:rsidP="00106A5A">
      <w:pPr>
        <w:pStyle w:val="ListNumber"/>
        <w:numPr>
          <w:ilvl w:val="0"/>
          <w:numId w:val="14"/>
        </w:numPr>
        <w:rPr>
          <w:sz w:val="22"/>
        </w:rPr>
      </w:pPr>
      <w:r w:rsidRPr="00D6128F">
        <w:rPr>
          <w:b/>
          <w:bCs/>
          <w:sz w:val="22"/>
        </w:rPr>
        <w:t>Conserve natural resources and regenerate natur</w:t>
      </w:r>
      <w:r w:rsidRPr="00D6128F">
        <w:rPr>
          <w:b/>
          <w:sz w:val="22"/>
        </w:rPr>
        <w:t>e</w:t>
      </w:r>
    </w:p>
    <w:p w14:paraId="26A8F7E7" w14:textId="168E6A30" w:rsidR="000F4C23" w:rsidRPr="00D6128F" w:rsidRDefault="004F5354" w:rsidP="000F4C23">
      <w:pPr>
        <w:pStyle w:val="ListNumber"/>
        <w:numPr>
          <w:ilvl w:val="0"/>
          <w:numId w:val="0"/>
        </w:numPr>
        <w:ind w:left="720"/>
        <w:rPr>
          <w:sz w:val="22"/>
        </w:rPr>
      </w:pPr>
      <w:r w:rsidRPr="00D6128F">
        <w:rPr>
          <w:sz w:val="22"/>
        </w:rPr>
        <w:t xml:space="preserve">The speed at which </w:t>
      </w:r>
      <w:r w:rsidR="004D1740" w:rsidRPr="00D6128F">
        <w:rPr>
          <w:sz w:val="22"/>
        </w:rPr>
        <w:t>we are</w:t>
      </w:r>
      <w:r w:rsidRPr="00D6128F">
        <w:rPr>
          <w:sz w:val="22"/>
        </w:rPr>
        <w:t xml:space="preserve"> using resources is damaging our environment. When transitioning to a circular economy, actions are considered across product and materials lifecycles to ensure our impact on the environment is reduced and ideally mitigated.</w:t>
      </w:r>
    </w:p>
    <w:p w14:paraId="63F56940" w14:textId="581C1913" w:rsidR="000F4C23" w:rsidRPr="005F4D33" w:rsidRDefault="002C013A" w:rsidP="004035D8">
      <w:pPr>
        <w:jc w:val="center"/>
        <w:rPr>
          <w:sz w:val="14"/>
          <w:szCs w:val="18"/>
        </w:rPr>
      </w:pPr>
      <w:r w:rsidRPr="005F4D33">
        <w:rPr>
          <w:noProof/>
          <w:sz w:val="14"/>
          <w:szCs w:val="18"/>
          <w:shd w:val="clear" w:color="auto" w:fill="E6E6E6"/>
        </w:rPr>
        <w:drawing>
          <wp:inline distT="0" distB="0" distL="0" distR="0" wp14:anchorId="48FAD574" wp14:editId="403A6A0E">
            <wp:extent cx="3381375" cy="4418330"/>
            <wp:effectExtent l="0" t="0" r="0" b="1270"/>
            <wp:docPr id="1446580162" name="Picture 1" descr="Figure depicting the circular economy model where it minimises inputs into the economy from extraction and import of natural resources, including energy carriers. The model also depicts how the circular economy will minimise landfill, emissions, energy an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580162" name="Picture 1" descr="Figure depicting the circular economy model where it minimises inputs into the economy from extraction and import of natural resources, including energy carriers. The model also depicts how the circular economy will minimise landfill, emissions, energy and water."/>
                    <pic:cNvPicPr/>
                  </pic:nvPicPr>
                  <pic:blipFill>
                    <a:blip r:embed="rId24">
                      <a:extLst>
                        <a:ext uri="{28A0092B-C50C-407E-A947-70E740481C1C}">
                          <a14:useLocalDpi xmlns:a14="http://schemas.microsoft.com/office/drawing/2010/main" val="0"/>
                        </a:ext>
                      </a:extLst>
                    </a:blip>
                    <a:stretch>
                      <a:fillRect/>
                    </a:stretch>
                  </pic:blipFill>
                  <pic:spPr>
                    <a:xfrm>
                      <a:off x="0" y="0"/>
                      <a:ext cx="3383431" cy="4421616"/>
                    </a:xfrm>
                    <a:prstGeom prst="rect">
                      <a:avLst/>
                    </a:prstGeom>
                  </pic:spPr>
                </pic:pic>
              </a:graphicData>
            </a:graphic>
          </wp:inline>
        </w:drawing>
      </w:r>
    </w:p>
    <w:p w14:paraId="48A79CBA" w14:textId="77777777" w:rsidR="000F4C23" w:rsidRPr="005F4D33" w:rsidRDefault="004F5354">
      <w:pPr>
        <w:spacing w:after="0"/>
        <w:rPr>
          <w:rFonts w:ascii="Calibri" w:eastAsia="Times New Roman" w:hAnsi="Calibri" w:cs="Times New Roman"/>
          <w:b/>
          <w:bCs/>
          <w:sz w:val="28"/>
          <w:szCs w:val="20"/>
        </w:rPr>
      </w:pPr>
      <w:r w:rsidRPr="005F4D33">
        <w:rPr>
          <w:sz w:val="14"/>
          <w:szCs w:val="18"/>
        </w:rPr>
        <w:br w:type="page"/>
      </w:r>
    </w:p>
    <w:p w14:paraId="61345573" w14:textId="77777777" w:rsidR="000F4C23" w:rsidRPr="005F4D33" w:rsidRDefault="004F5354" w:rsidP="002F273C">
      <w:pPr>
        <w:pStyle w:val="Heading3"/>
        <w:rPr>
          <w:color w:val="auto"/>
        </w:rPr>
      </w:pPr>
      <w:bookmarkStart w:id="11" w:name="_Toc184220071"/>
      <w:r w:rsidRPr="005F4D33">
        <w:rPr>
          <w:color w:val="auto"/>
        </w:rPr>
        <w:lastRenderedPageBreak/>
        <w:t>How circular is Australia?</w:t>
      </w:r>
      <w:bookmarkEnd w:id="11"/>
    </w:p>
    <w:p w14:paraId="2FBEFA5D" w14:textId="77777777" w:rsidR="000F4C23" w:rsidRPr="00D6128F" w:rsidRDefault="004F5354" w:rsidP="005C5CE4">
      <w:pPr>
        <w:rPr>
          <w:sz w:val="22"/>
        </w:rPr>
      </w:pPr>
      <w:r w:rsidRPr="00D6128F">
        <w:rPr>
          <w:sz w:val="22"/>
        </w:rPr>
        <w:t xml:space="preserve">Different metrics are used to </w:t>
      </w:r>
      <w:r w:rsidR="0059008A" w:rsidRPr="00D6128F">
        <w:rPr>
          <w:sz w:val="22"/>
        </w:rPr>
        <w:t>assess</w:t>
      </w:r>
      <w:r w:rsidRPr="00D6128F">
        <w:rPr>
          <w:sz w:val="22"/>
        </w:rPr>
        <w:t xml:space="preserve"> </w:t>
      </w:r>
      <w:r w:rsidR="00120B16" w:rsidRPr="00D6128F">
        <w:rPr>
          <w:sz w:val="22"/>
        </w:rPr>
        <w:t xml:space="preserve">the </w:t>
      </w:r>
      <w:r w:rsidRPr="00D6128F">
        <w:rPr>
          <w:sz w:val="22"/>
        </w:rPr>
        <w:t>circularity of national economies. These include materials-focussed metrics</w:t>
      </w:r>
      <w:r w:rsidR="00560E8F" w:rsidRPr="00D6128F">
        <w:rPr>
          <w:sz w:val="22"/>
        </w:rPr>
        <w:t>;</w:t>
      </w:r>
      <w:r w:rsidRPr="00D6128F">
        <w:rPr>
          <w:sz w:val="22"/>
        </w:rPr>
        <w:t xml:space="preserve"> energy and greenhouse gas emission metrics</w:t>
      </w:r>
      <w:r w:rsidR="00560E8F" w:rsidRPr="00D6128F">
        <w:rPr>
          <w:sz w:val="22"/>
        </w:rPr>
        <w:t>;</w:t>
      </w:r>
      <w:r w:rsidRPr="00D6128F">
        <w:rPr>
          <w:sz w:val="22"/>
        </w:rPr>
        <w:t xml:space="preserve"> water, natural environment</w:t>
      </w:r>
      <w:r w:rsidR="00422CC0" w:rsidRPr="00D6128F">
        <w:rPr>
          <w:sz w:val="22"/>
        </w:rPr>
        <w:t>,</w:t>
      </w:r>
      <w:r w:rsidRPr="00D6128F">
        <w:rPr>
          <w:sz w:val="22"/>
        </w:rPr>
        <w:t xml:space="preserve"> and regeneration metrics</w:t>
      </w:r>
      <w:r w:rsidR="00560E8F" w:rsidRPr="00D6128F">
        <w:rPr>
          <w:sz w:val="22"/>
        </w:rPr>
        <w:t>;</w:t>
      </w:r>
      <w:r w:rsidRPr="00D6128F">
        <w:rPr>
          <w:sz w:val="22"/>
        </w:rPr>
        <w:t xml:space="preserve"> and jobs and investment metrics.</w:t>
      </w:r>
    </w:p>
    <w:p w14:paraId="4C97969B" w14:textId="77777777" w:rsidR="000F4C23" w:rsidRPr="00D6128F" w:rsidRDefault="004F5354" w:rsidP="008C138E">
      <w:pPr>
        <w:rPr>
          <w:sz w:val="22"/>
        </w:rPr>
      </w:pPr>
      <w:r w:rsidRPr="00D6128F">
        <w:rPr>
          <w:sz w:val="22"/>
        </w:rPr>
        <w:t xml:space="preserve">The most common metrics for international comparison are materials-focussed, typified by the ‘circularity rate’. </w:t>
      </w:r>
      <w:r w:rsidR="00A33878" w:rsidRPr="00D6128F">
        <w:rPr>
          <w:sz w:val="22"/>
        </w:rPr>
        <w:t>This</w:t>
      </w:r>
      <w:r w:rsidR="007C398B" w:rsidRPr="00D6128F">
        <w:rPr>
          <w:sz w:val="22"/>
        </w:rPr>
        <w:t xml:space="preserve"> measures the proportion of </w:t>
      </w:r>
      <w:r w:rsidR="00A04B92" w:rsidRPr="00D6128F">
        <w:rPr>
          <w:sz w:val="22"/>
        </w:rPr>
        <w:t xml:space="preserve">materials used by a country that are not ‘virgin’ materials. </w:t>
      </w:r>
      <w:r w:rsidR="006D1745" w:rsidRPr="00D6128F">
        <w:rPr>
          <w:sz w:val="22"/>
        </w:rPr>
        <w:t xml:space="preserve">Circularity rates </w:t>
      </w:r>
      <w:r w:rsidR="005E301C" w:rsidRPr="00D6128F">
        <w:rPr>
          <w:sz w:val="22"/>
        </w:rPr>
        <w:t>and other</w:t>
      </w:r>
      <w:r w:rsidR="00D14A4E" w:rsidRPr="00D6128F">
        <w:rPr>
          <w:sz w:val="22"/>
        </w:rPr>
        <w:t xml:space="preserve"> materials</w:t>
      </w:r>
      <w:r w:rsidR="00716996" w:rsidRPr="00D6128F">
        <w:rPr>
          <w:sz w:val="22"/>
        </w:rPr>
        <w:t>-focussed metrics</w:t>
      </w:r>
      <w:r w:rsidRPr="00D6128F">
        <w:rPr>
          <w:sz w:val="22"/>
        </w:rPr>
        <w:t xml:space="preserve"> </w:t>
      </w:r>
      <w:r w:rsidR="005E301C" w:rsidRPr="00D6128F">
        <w:rPr>
          <w:sz w:val="22"/>
        </w:rPr>
        <w:t>are found in</w:t>
      </w:r>
      <w:r w:rsidRPr="00D6128F">
        <w:rPr>
          <w:sz w:val="22"/>
        </w:rPr>
        <w:t xml:space="preserve"> </w:t>
      </w:r>
      <w:r w:rsidR="0078394A" w:rsidRPr="00D6128F">
        <w:rPr>
          <w:sz w:val="22"/>
        </w:rPr>
        <w:t xml:space="preserve">various </w:t>
      </w:r>
      <w:r w:rsidR="005E301C" w:rsidRPr="00D6128F">
        <w:rPr>
          <w:sz w:val="22"/>
        </w:rPr>
        <w:t xml:space="preserve">international </w:t>
      </w:r>
      <w:r w:rsidR="004F45FB" w:rsidRPr="00D6128F">
        <w:rPr>
          <w:sz w:val="22"/>
        </w:rPr>
        <w:t>frameworks</w:t>
      </w:r>
      <w:r w:rsidR="0078394A" w:rsidRPr="00D6128F">
        <w:rPr>
          <w:sz w:val="22"/>
        </w:rPr>
        <w:t>,</w:t>
      </w:r>
      <w:r w:rsidR="005E301C" w:rsidRPr="00D6128F">
        <w:rPr>
          <w:sz w:val="22"/>
        </w:rPr>
        <w:t xml:space="preserve"> </w:t>
      </w:r>
      <w:r w:rsidRPr="00D6128F">
        <w:rPr>
          <w:sz w:val="22"/>
        </w:rPr>
        <w:t>including the Sustainable Development Goals</w:t>
      </w:r>
      <w:r w:rsidR="00C906C2" w:rsidRPr="00D6128F">
        <w:rPr>
          <w:sz w:val="22"/>
        </w:rPr>
        <w:t xml:space="preserve"> (SDGs)</w:t>
      </w:r>
      <w:r w:rsidRPr="00D6128F">
        <w:rPr>
          <w:sz w:val="22"/>
        </w:rPr>
        <w:t>.</w:t>
      </w:r>
    </w:p>
    <w:p w14:paraId="6E798376" w14:textId="77777777" w:rsidR="00427117" w:rsidRPr="00D6128F" w:rsidRDefault="004F5354" w:rsidP="00A33878">
      <w:pPr>
        <w:rPr>
          <w:sz w:val="22"/>
        </w:rPr>
      </w:pPr>
      <w:r w:rsidRPr="00D6128F">
        <w:rPr>
          <w:sz w:val="22"/>
        </w:rPr>
        <w:t>The CSIRO estimates that Australia</w:t>
      </w:r>
      <w:r w:rsidR="001D0D4F" w:rsidRPr="00D6128F">
        <w:rPr>
          <w:sz w:val="22"/>
        </w:rPr>
        <w:t>’s circularity rate</w:t>
      </w:r>
      <w:r w:rsidRPr="00D6128F">
        <w:rPr>
          <w:sz w:val="22"/>
        </w:rPr>
        <w:t xml:space="preserve"> is </w:t>
      </w:r>
      <w:r w:rsidR="69275552" w:rsidRPr="00D6128F">
        <w:rPr>
          <w:sz w:val="22"/>
        </w:rPr>
        <w:t xml:space="preserve">approximately </w:t>
      </w:r>
      <w:r w:rsidR="001D0D4F" w:rsidRPr="00D6128F">
        <w:rPr>
          <w:sz w:val="22"/>
        </w:rPr>
        <w:t>4</w:t>
      </w:r>
      <w:r w:rsidR="00361A2F" w:rsidRPr="00D6128F">
        <w:rPr>
          <w:sz w:val="22"/>
        </w:rPr>
        <w:t>.6</w:t>
      </w:r>
      <w:r w:rsidR="001D0D4F" w:rsidRPr="00D6128F">
        <w:rPr>
          <w:sz w:val="22"/>
        </w:rPr>
        <w:t>%</w:t>
      </w:r>
      <w:r w:rsidRPr="00D6128F">
        <w:rPr>
          <w:sz w:val="22"/>
        </w:rPr>
        <w:t>.</w:t>
      </w:r>
      <w:r w:rsidRPr="00D6128F">
        <w:rPr>
          <w:rStyle w:val="EndnoteReference"/>
          <w:sz w:val="22"/>
        </w:rPr>
        <w:endnoteReference w:id="7"/>
      </w:r>
      <w:r w:rsidRPr="00D6128F">
        <w:rPr>
          <w:sz w:val="22"/>
        </w:rPr>
        <w:t xml:space="preserve"> This is the proportion of materials that Australians use that do not come from virgin sources. </w:t>
      </w:r>
      <w:r w:rsidR="00925F22" w:rsidRPr="00D6128F">
        <w:rPr>
          <w:sz w:val="22"/>
        </w:rPr>
        <w:t>Australia’s circularity rate is lower than the global average of around 7%</w:t>
      </w:r>
      <w:r w:rsidR="00A33878" w:rsidRPr="00D6128F">
        <w:rPr>
          <w:sz w:val="22"/>
        </w:rPr>
        <w:t>.</w:t>
      </w:r>
    </w:p>
    <w:p w14:paraId="2E9F484B" w14:textId="77777777" w:rsidR="000F4C23" w:rsidRPr="005F4D33" w:rsidRDefault="004F5354" w:rsidP="002F273C">
      <w:pPr>
        <w:pStyle w:val="Heading3"/>
        <w:rPr>
          <w:color w:val="auto"/>
        </w:rPr>
      </w:pPr>
      <w:bookmarkStart w:id="12" w:name="_Toc184220072"/>
      <w:r w:rsidRPr="005F4D33">
        <w:rPr>
          <w:color w:val="auto"/>
        </w:rPr>
        <w:t>Australia’s c</w:t>
      </w:r>
      <w:r w:rsidR="002B6C04" w:rsidRPr="005F4D33">
        <w:rPr>
          <w:color w:val="auto"/>
        </w:rPr>
        <w:t>irc</w:t>
      </w:r>
      <w:r w:rsidR="005E37EB" w:rsidRPr="005F4D33">
        <w:rPr>
          <w:color w:val="auto"/>
        </w:rPr>
        <w:t>ular economy potential</w:t>
      </w:r>
      <w:bookmarkEnd w:id="12"/>
    </w:p>
    <w:p w14:paraId="2FA51E58" w14:textId="77777777" w:rsidR="000F4C23" w:rsidRPr="00D6128F" w:rsidRDefault="004F5354" w:rsidP="00DD7E95">
      <w:pPr>
        <w:rPr>
          <w:rFonts w:cs="Corpid C1 Light"/>
          <w:sz w:val="22"/>
        </w:rPr>
      </w:pPr>
      <w:r w:rsidRPr="00D6128F">
        <w:rPr>
          <w:rFonts w:cs="Corpid C1 Light"/>
          <w:sz w:val="22"/>
        </w:rPr>
        <w:t xml:space="preserve">The economic structure of a country determines </w:t>
      </w:r>
      <w:r w:rsidR="002D1AC9" w:rsidRPr="00D6128F">
        <w:rPr>
          <w:rFonts w:cs="Corpid C1 Light"/>
          <w:sz w:val="22"/>
        </w:rPr>
        <w:t>its</w:t>
      </w:r>
      <w:r w:rsidRPr="00D6128F">
        <w:rPr>
          <w:rFonts w:cs="Corpid C1 Light"/>
          <w:sz w:val="22"/>
        </w:rPr>
        <w:t xml:space="preserve"> circularity potential, i.e., the total amount of materials that can be expected to be organised in a closed loop, and this potential is well below 100% in all cases.</w:t>
      </w:r>
    </w:p>
    <w:p w14:paraId="6C89D92D" w14:textId="0DD305E0" w:rsidR="000D3EC5" w:rsidRPr="00D6128F" w:rsidRDefault="004F5354" w:rsidP="000D3EC5">
      <w:pPr>
        <w:spacing w:after="160" w:line="259" w:lineRule="auto"/>
        <w:rPr>
          <w:sz w:val="22"/>
        </w:rPr>
      </w:pPr>
      <w:r w:rsidRPr="00D6128F">
        <w:rPr>
          <w:sz w:val="22"/>
        </w:rPr>
        <w:t>As a provider of primary materials to the world, Australia produces very large streams of low value waste such as mine tailings in remote areas. In contrast, regions like the</w:t>
      </w:r>
      <w:r w:rsidR="00BF2C33" w:rsidRPr="00D6128F">
        <w:rPr>
          <w:sz w:val="22"/>
        </w:rPr>
        <w:t xml:space="preserve"> European Union (</w:t>
      </w:r>
      <w:r w:rsidRPr="00D6128F">
        <w:rPr>
          <w:sz w:val="22"/>
        </w:rPr>
        <w:t>EU</w:t>
      </w:r>
      <w:r w:rsidR="00BF2C33" w:rsidRPr="00D6128F">
        <w:rPr>
          <w:sz w:val="22"/>
        </w:rPr>
        <w:t>)</w:t>
      </w:r>
      <w:r w:rsidRPr="00D6128F">
        <w:rPr>
          <w:sz w:val="22"/>
        </w:rPr>
        <w:t xml:space="preserve"> receive most of their primary materials through imports and effectively leave these waste streams offshore.</w:t>
      </w:r>
      <w:r w:rsidRPr="00D6128F">
        <w:rPr>
          <w:sz w:val="22"/>
          <w:vertAlign w:val="superscript"/>
        </w:rPr>
        <w:endnoteReference w:id="8"/>
      </w:r>
      <w:r w:rsidRPr="00D6128F">
        <w:rPr>
          <w:sz w:val="22"/>
        </w:rPr>
        <w:t xml:space="preserve"> </w:t>
      </w:r>
      <w:r w:rsidR="00BD6E26" w:rsidRPr="00D6128F">
        <w:rPr>
          <w:sz w:val="22"/>
        </w:rPr>
        <w:t xml:space="preserve">Countries </w:t>
      </w:r>
      <w:r w:rsidR="008A5B68" w:rsidRPr="00D6128F">
        <w:rPr>
          <w:sz w:val="22"/>
        </w:rPr>
        <w:t xml:space="preserve">that export large quantities of </w:t>
      </w:r>
      <w:r w:rsidR="003A0000" w:rsidRPr="00D6128F">
        <w:rPr>
          <w:sz w:val="22"/>
        </w:rPr>
        <w:t xml:space="preserve">primary </w:t>
      </w:r>
      <w:r w:rsidR="008A5B68" w:rsidRPr="00D6128F">
        <w:rPr>
          <w:sz w:val="22"/>
        </w:rPr>
        <w:t>resources generally have lower circularity rates</w:t>
      </w:r>
      <w:r w:rsidR="00C7066C" w:rsidRPr="00D6128F">
        <w:rPr>
          <w:sz w:val="22"/>
        </w:rPr>
        <w:t xml:space="preserve"> </w:t>
      </w:r>
      <w:r w:rsidR="001E768E" w:rsidRPr="00D6128F">
        <w:rPr>
          <w:sz w:val="22"/>
        </w:rPr>
        <w:t xml:space="preserve">(See Table </w:t>
      </w:r>
      <w:r w:rsidR="00FA64D2" w:rsidRPr="00D6128F">
        <w:rPr>
          <w:sz w:val="22"/>
        </w:rPr>
        <w:t>1</w:t>
      </w:r>
      <w:r w:rsidR="00615F8B" w:rsidRPr="00D6128F">
        <w:rPr>
          <w:sz w:val="22"/>
        </w:rPr>
        <w:t xml:space="preserve"> on the</w:t>
      </w:r>
      <w:r w:rsidR="001F08E8" w:rsidRPr="00D6128F">
        <w:rPr>
          <w:sz w:val="22"/>
        </w:rPr>
        <w:t xml:space="preserve"> r</w:t>
      </w:r>
      <w:r w:rsidR="001E768E" w:rsidRPr="00D6128F">
        <w:rPr>
          <w:sz w:val="22"/>
        </w:rPr>
        <w:t>ight).</w:t>
      </w:r>
    </w:p>
    <w:p w14:paraId="7F5D90ED" w14:textId="77777777" w:rsidR="000F4C23" w:rsidRPr="00D6128F" w:rsidRDefault="004F5354" w:rsidP="004624D4">
      <w:pPr>
        <w:spacing w:after="160" w:line="259" w:lineRule="auto"/>
        <w:rPr>
          <w:sz w:val="22"/>
        </w:rPr>
      </w:pPr>
      <w:r w:rsidRPr="00D6128F">
        <w:rPr>
          <w:sz w:val="22"/>
        </w:rPr>
        <w:t xml:space="preserve">Australia is </w:t>
      </w:r>
      <w:r w:rsidR="002D1AC9" w:rsidRPr="00D6128F">
        <w:rPr>
          <w:sz w:val="22"/>
        </w:rPr>
        <w:t xml:space="preserve">also much more </w:t>
      </w:r>
      <w:r w:rsidRPr="00D6128F">
        <w:rPr>
          <w:sz w:val="22"/>
        </w:rPr>
        <w:t>geographically disperse</w:t>
      </w:r>
      <w:r w:rsidR="00093B70" w:rsidRPr="00D6128F">
        <w:rPr>
          <w:sz w:val="22"/>
        </w:rPr>
        <w:t>d and has a higher</w:t>
      </w:r>
      <w:r w:rsidRPr="00D6128F">
        <w:rPr>
          <w:sz w:val="22"/>
        </w:rPr>
        <w:t xml:space="preserve"> population growth rate than most developed countries. </w:t>
      </w:r>
      <w:r w:rsidR="00B63787" w:rsidRPr="00D6128F">
        <w:rPr>
          <w:sz w:val="22"/>
        </w:rPr>
        <w:t>Both factors drive a higher use of materials for residential and commercial buildings, roads, and infrastructure.</w:t>
      </w:r>
    </w:p>
    <w:p w14:paraId="01C9DD56" w14:textId="1AB0A63B" w:rsidR="006F3A41" w:rsidRPr="00D6128F" w:rsidRDefault="004F5354" w:rsidP="006A2E26">
      <w:pPr>
        <w:spacing w:after="160" w:line="259" w:lineRule="auto"/>
        <w:rPr>
          <w:sz w:val="22"/>
        </w:rPr>
      </w:pPr>
      <w:r w:rsidRPr="00D6128F">
        <w:rPr>
          <w:sz w:val="22"/>
        </w:rPr>
        <w:t xml:space="preserve">These factors </w:t>
      </w:r>
      <w:r w:rsidR="00BC5373" w:rsidRPr="00D6128F">
        <w:rPr>
          <w:sz w:val="22"/>
        </w:rPr>
        <w:t xml:space="preserve">mean </w:t>
      </w:r>
      <w:r w:rsidR="00F65C8A" w:rsidRPr="00D6128F">
        <w:rPr>
          <w:sz w:val="22"/>
        </w:rPr>
        <w:t>that every</w:t>
      </w:r>
      <w:r w:rsidR="00087599" w:rsidRPr="00D6128F">
        <w:rPr>
          <w:sz w:val="22"/>
        </w:rPr>
        <w:t xml:space="preserve"> </w:t>
      </w:r>
      <w:r w:rsidRPr="00D6128F">
        <w:rPr>
          <w:sz w:val="22"/>
        </w:rPr>
        <w:t>1% improvement in circularity for Australia</w:t>
      </w:r>
      <w:r w:rsidR="00BC5373" w:rsidRPr="00D6128F">
        <w:rPr>
          <w:sz w:val="22"/>
        </w:rPr>
        <w:t xml:space="preserve"> is significant</w:t>
      </w:r>
      <w:r w:rsidR="000B365D" w:rsidRPr="00D6128F">
        <w:rPr>
          <w:sz w:val="22"/>
        </w:rPr>
        <w:t xml:space="preserve">, and doubling our circularity </w:t>
      </w:r>
      <w:r w:rsidR="00A236AB" w:rsidRPr="00D6128F">
        <w:rPr>
          <w:sz w:val="22"/>
        </w:rPr>
        <w:t xml:space="preserve">is more </w:t>
      </w:r>
      <w:r w:rsidR="00E35D1E" w:rsidRPr="00D6128F">
        <w:rPr>
          <w:sz w:val="22"/>
        </w:rPr>
        <w:t>ambitious</w:t>
      </w:r>
      <w:r w:rsidR="00A236AB" w:rsidRPr="00D6128F">
        <w:rPr>
          <w:sz w:val="22"/>
        </w:rPr>
        <w:t xml:space="preserve"> than other countries</w:t>
      </w:r>
      <w:r w:rsidR="00F65C8A" w:rsidRPr="00D6128F">
        <w:rPr>
          <w:sz w:val="22"/>
        </w:rPr>
        <w:t>.</w:t>
      </w:r>
      <w:r w:rsidRPr="00D6128F">
        <w:rPr>
          <w:sz w:val="22"/>
        </w:rPr>
        <w:t xml:space="preserve"> They also</w:t>
      </w:r>
      <w:r w:rsidR="00F65C8A" w:rsidRPr="00D6128F">
        <w:rPr>
          <w:sz w:val="22"/>
        </w:rPr>
        <w:t xml:space="preserve"> help to inform our</w:t>
      </w:r>
      <w:r w:rsidR="003D4D4C" w:rsidRPr="00D6128F">
        <w:rPr>
          <w:sz w:val="22"/>
        </w:rPr>
        <w:t xml:space="preserve"> circular economy priorities</w:t>
      </w:r>
      <w:r w:rsidR="00F65C8A" w:rsidRPr="00D6128F">
        <w:rPr>
          <w:sz w:val="22"/>
        </w:rPr>
        <w:t>, which will differ from country to country.</w:t>
      </w:r>
    </w:p>
    <w:p w14:paraId="6BEF2209" w14:textId="6004AB5E" w:rsidR="000A287B" w:rsidRPr="005F4D33" w:rsidRDefault="004F5354" w:rsidP="00E90845">
      <w:pPr>
        <w:pStyle w:val="Caption"/>
      </w:pPr>
      <w:r w:rsidRPr="005F4D33">
        <w:t>Table 1</w:t>
      </w:r>
      <w:r w:rsidR="002307F0" w:rsidRPr="005F4D33">
        <w:t>.</w:t>
      </w:r>
      <w:r w:rsidR="00746A6A" w:rsidRPr="005F4D33">
        <w:t xml:space="preserve"> </w:t>
      </w:r>
      <w:r w:rsidR="004655B3" w:rsidRPr="005F4D33">
        <w:t>Global c</w:t>
      </w:r>
      <w:r w:rsidR="00A648BE" w:rsidRPr="005F4D33">
        <w:t>ircularity r</w:t>
      </w:r>
      <w:r w:rsidR="004655B3" w:rsidRPr="005F4D33">
        <w:t>ates</w:t>
      </w:r>
    </w:p>
    <w:p w14:paraId="10D3762B" w14:textId="77777777" w:rsidR="00321357" w:rsidRPr="00D6128F" w:rsidRDefault="00FF57BD" w:rsidP="00321357">
      <w:pPr>
        <w:pStyle w:val="FigureTableNoteSource"/>
        <w:rPr>
          <w:sz w:val="22"/>
        </w:rPr>
      </w:pPr>
      <w:r w:rsidRPr="00D6128F">
        <w:rPr>
          <w:sz w:val="22"/>
        </w:rPr>
        <w:t xml:space="preserve">This table </w:t>
      </w:r>
      <w:r w:rsidR="00370BFD" w:rsidRPr="00D6128F">
        <w:rPr>
          <w:sz w:val="22"/>
        </w:rPr>
        <w:t>aims to report on global circularity rates by comparing countries</w:t>
      </w:r>
      <w:r w:rsidR="003968B8" w:rsidRPr="00D6128F">
        <w:rPr>
          <w:sz w:val="22"/>
        </w:rPr>
        <w:t xml:space="preserve"> based on their circularity percentage</w:t>
      </w:r>
      <w:r w:rsidR="00321357" w:rsidRPr="00D6128F">
        <w:rPr>
          <w:sz w:val="22"/>
        </w:rPr>
        <w:t>. Physical trade balance (i.e., imports minus exports) divided by domestic extraction. Countries that are net exporters of resources have increasingly negative scores. Data generated from the International Resource Panel 2019 statistics.</w:t>
      </w:r>
    </w:p>
    <w:p w14:paraId="20828E39" w14:textId="0AC49C3E" w:rsidR="003968B8" w:rsidRPr="00D6128F" w:rsidRDefault="00AD772F" w:rsidP="00FF57BD">
      <w:pPr>
        <w:rPr>
          <w:b/>
          <w:bCs/>
          <w:sz w:val="22"/>
        </w:rPr>
      </w:pPr>
      <w:r w:rsidRPr="00D6128F">
        <w:rPr>
          <w:b/>
          <w:bCs/>
          <w:sz w:val="22"/>
        </w:rPr>
        <w:t>USA</w:t>
      </w:r>
    </w:p>
    <w:p w14:paraId="3773EC52" w14:textId="20633778" w:rsidR="008B3634" w:rsidRPr="00D6128F" w:rsidRDefault="001864A9" w:rsidP="00FF57BD">
      <w:pPr>
        <w:rPr>
          <w:sz w:val="22"/>
        </w:rPr>
      </w:pPr>
      <w:r w:rsidRPr="00D6128F">
        <w:rPr>
          <w:sz w:val="22"/>
        </w:rPr>
        <w:t>Nil circularity percentage listed</w:t>
      </w:r>
    </w:p>
    <w:p w14:paraId="33AF5FB0" w14:textId="53FCD403" w:rsidR="001864A9" w:rsidRPr="00D6128F" w:rsidRDefault="001864A9" w:rsidP="00FF57BD">
      <w:pPr>
        <w:rPr>
          <w:sz w:val="22"/>
        </w:rPr>
      </w:pPr>
      <w:r w:rsidRPr="00D6128F">
        <w:rPr>
          <w:sz w:val="22"/>
        </w:rPr>
        <w:t>Nil circularity goal listed</w:t>
      </w:r>
    </w:p>
    <w:p w14:paraId="2854CC99" w14:textId="7AB396C5" w:rsidR="00F269EC" w:rsidRPr="00D6128F" w:rsidRDefault="00F269EC" w:rsidP="00FF57BD">
      <w:pPr>
        <w:rPr>
          <w:sz w:val="22"/>
        </w:rPr>
      </w:pPr>
      <w:r w:rsidRPr="00D6128F">
        <w:rPr>
          <w:sz w:val="22"/>
        </w:rPr>
        <w:t>Nil Trade balance listed</w:t>
      </w:r>
    </w:p>
    <w:p w14:paraId="4F5E45DD" w14:textId="5352FE5E" w:rsidR="0083501F" w:rsidRPr="00D6128F" w:rsidRDefault="0083501F" w:rsidP="00FF57BD">
      <w:pPr>
        <w:rPr>
          <w:b/>
          <w:bCs/>
          <w:sz w:val="22"/>
        </w:rPr>
      </w:pPr>
      <w:r w:rsidRPr="00D6128F">
        <w:rPr>
          <w:b/>
          <w:bCs/>
          <w:sz w:val="22"/>
        </w:rPr>
        <w:t>China</w:t>
      </w:r>
    </w:p>
    <w:p w14:paraId="0DA70126" w14:textId="77777777" w:rsidR="00F269EC" w:rsidRPr="00D6128F" w:rsidRDefault="00F269EC" w:rsidP="00F269EC">
      <w:pPr>
        <w:rPr>
          <w:sz w:val="22"/>
        </w:rPr>
      </w:pPr>
      <w:r w:rsidRPr="00D6128F">
        <w:rPr>
          <w:sz w:val="22"/>
        </w:rPr>
        <w:t>Nil circularity percentage listed</w:t>
      </w:r>
    </w:p>
    <w:p w14:paraId="5AE3C799" w14:textId="77777777" w:rsidR="00F269EC" w:rsidRPr="00D6128F" w:rsidRDefault="00F269EC" w:rsidP="00F269EC">
      <w:pPr>
        <w:rPr>
          <w:sz w:val="22"/>
        </w:rPr>
      </w:pPr>
      <w:r w:rsidRPr="00D6128F">
        <w:rPr>
          <w:sz w:val="22"/>
        </w:rPr>
        <w:t>Nil circularity goal listed</w:t>
      </w:r>
    </w:p>
    <w:p w14:paraId="50815BAE" w14:textId="644AA69A" w:rsidR="00F269EC" w:rsidRPr="00D6128F" w:rsidRDefault="00F269EC" w:rsidP="00FF57BD">
      <w:pPr>
        <w:rPr>
          <w:sz w:val="22"/>
        </w:rPr>
      </w:pPr>
      <w:r w:rsidRPr="00D6128F">
        <w:rPr>
          <w:sz w:val="22"/>
        </w:rPr>
        <w:t>Nil Trade balance listed</w:t>
      </w:r>
    </w:p>
    <w:p w14:paraId="3644375D" w14:textId="384B821E" w:rsidR="0083501F" w:rsidRPr="00D6128F" w:rsidRDefault="0083501F" w:rsidP="00FF57BD">
      <w:pPr>
        <w:rPr>
          <w:b/>
          <w:bCs/>
          <w:sz w:val="22"/>
        </w:rPr>
      </w:pPr>
      <w:r w:rsidRPr="00D6128F">
        <w:rPr>
          <w:b/>
          <w:bCs/>
          <w:sz w:val="22"/>
        </w:rPr>
        <w:t>Japan</w:t>
      </w:r>
    </w:p>
    <w:p w14:paraId="43FAD835" w14:textId="77777777" w:rsidR="00F269EC" w:rsidRPr="00D6128F" w:rsidRDefault="00F269EC" w:rsidP="00F269EC">
      <w:pPr>
        <w:rPr>
          <w:sz w:val="22"/>
        </w:rPr>
      </w:pPr>
      <w:r w:rsidRPr="00D6128F">
        <w:rPr>
          <w:sz w:val="22"/>
        </w:rPr>
        <w:t>Nil circularity percentage listed</w:t>
      </w:r>
    </w:p>
    <w:p w14:paraId="094546D8" w14:textId="77777777" w:rsidR="00F269EC" w:rsidRPr="00D6128F" w:rsidRDefault="00F269EC" w:rsidP="00F269EC">
      <w:pPr>
        <w:rPr>
          <w:sz w:val="22"/>
        </w:rPr>
      </w:pPr>
      <w:r w:rsidRPr="00D6128F">
        <w:rPr>
          <w:sz w:val="22"/>
        </w:rPr>
        <w:lastRenderedPageBreak/>
        <w:t>Nil circularity goal listed</w:t>
      </w:r>
    </w:p>
    <w:p w14:paraId="41BB91ED" w14:textId="77777777" w:rsidR="00F269EC" w:rsidRPr="00D6128F" w:rsidRDefault="00F269EC" w:rsidP="00F269EC">
      <w:pPr>
        <w:rPr>
          <w:sz w:val="22"/>
        </w:rPr>
      </w:pPr>
      <w:r w:rsidRPr="00D6128F">
        <w:rPr>
          <w:sz w:val="22"/>
        </w:rPr>
        <w:t>Nil Trade balance listed</w:t>
      </w:r>
    </w:p>
    <w:p w14:paraId="2838F02B" w14:textId="23217D0A" w:rsidR="0083501F" w:rsidRPr="00D6128F" w:rsidRDefault="0083501F" w:rsidP="00FF57BD">
      <w:pPr>
        <w:rPr>
          <w:b/>
          <w:bCs/>
          <w:sz w:val="22"/>
        </w:rPr>
      </w:pPr>
      <w:r w:rsidRPr="00D6128F">
        <w:rPr>
          <w:b/>
          <w:bCs/>
          <w:sz w:val="22"/>
        </w:rPr>
        <w:t>Finland</w:t>
      </w:r>
    </w:p>
    <w:p w14:paraId="6ED495D3" w14:textId="37C924FD" w:rsidR="00F269EC" w:rsidRPr="00D6128F" w:rsidRDefault="00F269EC" w:rsidP="00F269EC">
      <w:pPr>
        <w:rPr>
          <w:sz w:val="22"/>
        </w:rPr>
      </w:pPr>
      <w:r w:rsidRPr="00D6128F">
        <w:rPr>
          <w:sz w:val="22"/>
        </w:rPr>
        <w:t>Circularity rate</w:t>
      </w:r>
      <w:r w:rsidR="00954447" w:rsidRPr="00D6128F">
        <w:rPr>
          <w:sz w:val="22"/>
        </w:rPr>
        <w:t>: 0.6%</w:t>
      </w:r>
    </w:p>
    <w:p w14:paraId="2C10F81D" w14:textId="1DFD0F51" w:rsidR="00954447" w:rsidRPr="00D6128F" w:rsidRDefault="00954447" w:rsidP="00F269EC">
      <w:pPr>
        <w:rPr>
          <w:sz w:val="22"/>
        </w:rPr>
      </w:pPr>
      <w:r w:rsidRPr="00D6128F">
        <w:rPr>
          <w:sz w:val="22"/>
        </w:rPr>
        <w:t xml:space="preserve">Circularity Goal: </w:t>
      </w:r>
      <w:r w:rsidRPr="00D6128F">
        <w:rPr>
          <w:rFonts w:eastAsia="Times New Roman" w:cstheme="minorHAnsi"/>
          <w:kern w:val="24"/>
          <w:sz w:val="22"/>
          <w:lang w:eastAsia="en-AU"/>
        </w:rPr>
        <w:t>Double between 2015 and 2035</w:t>
      </w:r>
    </w:p>
    <w:p w14:paraId="2E4C27A8" w14:textId="28B1B281" w:rsidR="00954447" w:rsidRPr="00D6128F" w:rsidRDefault="00954447" w:rsidP="00F269EC">
      <w:pPr>
        <w:rPr>
          <w:sz w:val="22"/>
        </w:rPr>
      </w:pPr>
      <w:r w:rsidRPr="00D6128F">
        <w:rPr>
          <w:sz w:val="22"/>
        </w:rPr>
        <w:t xml:space="preserve">Trade balance: </w:t>
      </w:r>
      <w:r w:rsidRPr="00D6128F">
        <w:rPr>
          <w:rFonts w:eastAsia="Times New Roman" w:cstheme="minorHAnsi"/>
          <w:kern w:val="24"/>
          <w:sz w:val="22"/>
          <w:lang w:eastAsia="en-AU"/>
        </w:rPr>
        <w:t>Materials exporter (-0.09)</w:t>
      </w:r>
    </w:p>
    <w:p w14:paraId="3DA2D688" w14:textId="7F7F0AA4" w:rsidR="0083501F" w:rsidRPr="00D6128F" w:rsidRDefault="0083501F" w:rsidP="00FF57BD">
      <w:pPr>
        <w:rPr>
          <w:b/>
          <w:bCs/>
          <w:sz w:val="22"/>
        </w:rPr>
      </w:pPr>
      <w:r w:rsidRPr="00D6128F">
        <w:rPr>
          <w:b/>
          <w:bCs/>
          <w:sz w:val="22"/>
        </w:rPr>
        <w:t>Norway</w:t>
      </w:r>
    </w:p>
    <w:p w14:paraId="074FB1D1" w14:textId="69825314" w:rsidR="00954447" w:rsidRPr="00D6128F" w:rsidRDefault="00954447" w:rsidP="00954447">
      <w:pPr>
        <w:rPr>
          <w:sz w:val="22"/>
        </w:rPr>
      </w:pPr>
      <w:r w:rsidRPr="00D6128F">
        <w:rPr>
          <w:sz w:val="22"/>
        </w:rPr>
        <w:t>Circularity rate: 2.4%</w:t>
      </w:r>
    </w:p>
    <w:p w14:paraId="01D19C56" w14:textId="77777777" w:rsidR="00954447" w:rsidRPr="00D6128F" w:rsidRDefault="00954447" w:rsidP="00954447">
      <w:pPr>
        <w:rPr>
          <w:sz w:val="22"/>
        </w:rPr>
      </w:pPr>
      <w:r w:rsidRPr="00D6128F">
        <w:rPr>
          <w:sz w:val="22"/>
        </w:rPr>
        <w:t>Nil circularity goal listed</w:t>
      </w:r>
    </w:p>
    <w:p w14:paraId="6B4669A4" w14:textId="77F9D6A1" w:rsidR="00954447" w:rsidRPr="00D6128F" w:rsidRDefault="00954447" w:rsidP="00FF57BD">
      <w:pPr>
        <w:rPr>
          <w:sz w:val="22"/>
        </w:rPr>
      </w:pPr>
      <w:r w:rsidRPr="00D6128F">
        <w:rPr>
          <w:sz w:val="22"/>
        </w:rPr>
        <w:t xml:space="preserve">Trade balance: </w:t>
      </w:r>
      <w:r w:rsidRPr="00D6128F">
        <w:rPr>
          <w:rFonts w:eastAsia="Times New Roman" w:cstheme="minorHAnsi"/>
          <w:kern w:val="24"/>
          <w:sz w:val="22"/>
          <w:lang w:eastAsia="en-AU"/>
        </w:rPr>
        <w:t>Materials exporter (-0.09)</w:t>
      </w:r>
    </w:p>
    <w:p w14:paraId="6434A8E3" w14:textId="03305A3A" w:rsidR="0083501F" w:rsidRPr="00D6128F" w:rsidRDefault="0083501F" w:rsidP="00FF57BD">
      <w:pPr>
        <w:rPr>
          <w:b/>
          <w:bCs/>
          <w:sz w:val="22"/>
        </w:rPr>
      </w:pPr>
      <w:r w:rsidRPr="00D6128F">
        <w:rPr>
          <w:b/>
          <w:bCs/>
          <w:sz w:val="22"/>
        </w:rPr>
        <w:t>Ireland</w:t>
      </w:r>
    </w:p>
    <w:p w14:paraId="2B8CA510" w14:textId="3A231291" w:rsidR="00954447" w:rsidRPr="00D6128F" w:rsidRDefault="00954447" w:rsidP="00954447">
      <w:pPr>
        <w:rPr>
          <w:sz w:val="22"/>
        </w:rPr>
      </w:pPr>
      <w:r w:rsidRPr="00D6128F">
        <w:rPr>
          <w:sz w:val="22"/>
        </w:rPr>
        <w:t>Circularity rate: 2.7%</w:t>
      </w:r>
    </w:p>
    <w:p w14:paraId="3C9A63EC" w14:textId="77777777" w:rsidR="00954447" w:rsidRPr="00D6128F" w:rsidRDefault="00954447" w:rsidP="00954447">
      <w:pPr>
        <w:rPr>
          <w:sz w:val="22"/>
        </w:rPr>
      </w:pPr>
      <w:r w:rsidRPr="00D6128F">
        <w:rPr>
          <w:sz w:val="22"/>
        </w:rPr>
        <w:t>Nil circularity goal listed</w:t>
      </w:r>
    </w:p>
    <w:p w14:paraId="67D32DB0" w14:textId="28F29208" w:rsidR="00954447" w:rsidRPr="00D6128F" w:rsidRDefault="00954447" w:rsidP="00FF57BD">
      <w:pPr>
        <w:rPr>
          <w:sz w:val="22"/>
        </w:rPr>
      </w:pPr>
      <w:r w:rsidRPr="00D6128F">
        <w:rPr>
          <w:sz w:val="22"/>
        </w:rPr>
        <w:t xml:space="preserve">Trade balance: </w:t>
      </w:r>
      <w:r w:rsidRPr="00D6128F">
        <w:rPr>
          <w:rFonts w:eastAsia="Times New Roman" w:cstheme="minorHAnsi"/>
          <w:kern w:val="24"/>
          <w:sz w:val="22"/>
          <w:lang w:eastAsia="en-AU"/>
        </w:rPr>
        <w:t>Materials exporter (-0.</w:t>
      </w:r>
      <w:r w:rsidR="00BD1DD8" w:rsidRPr="00D6128F">
        <w:rPr>
          <w:rFonts w:eastAsia="Times New Roman" w:cstheme="minorHAnsi"/>
          <w:kern w:val="24"/>
          <w:sz w:val="22"/>
          <w:lang w:eastAsia="en-AU"/>
        </w:rPr>
        <w:t>25</w:t>
      </w:r>
      <w:r w:rsidRPr="00D6128F">
        <w:rPr>
          <w:rFonts w:eastAsia="Times New Roman" w:cstheme="minorHAnsi"/>
          <w:kern w:val="24"/>
          <w:sz w:val="22"/>
          <w:lang w:eastAsia="en-AU"/>
        </w:rPr>
        <w:t>)</w:t>
      </w:r>
    </w:p>
    <w:p w14:paraId="79AEB8F1" w14:textId="1720DDC0" w:rsidR="0083501F" w:rsidRPr="00D6128F" w:rsidRDefault="0083501F" w:rsidP="00FF57BD">
      <w:pPr>
        <w:rPr>
          <w:b/>
          <w:bCs/>
          <w:sz w:val="22"/>
        </w:rPr>
      </w:pPr>
      <w:r w:rsidRPr="00D6128F">
        <w:rPr>
          <w:b/>
          <w:bCs/>
          <w:sz w:val="22"/>
        </w:rPr>
        <w:t>Australia</w:t>
      </w:r>
    </w:p>
    <w:p w14:paraId="1A432F4D" w14:textId="504F47F4" w:rsidR="00954447" w:rsidRPr="00D6128F" w:rsidRDefault="00954447" w:rsidP="00954447">
      <w:pPr>
        <w:rPr>
          <w:sz w:val="22"/>
        </w:rPr>
      </w:pPr>
      <w:r w:rsidRPr="00D6128F">
        <w:rPr>
          <w:sz w:val="22"/>
        </w:rPr>
        <w:t>Circularity rate: 4.6%</w:t>
      </w:r>
    </w:p>
    <w:p w14:paraId="1E7A4F54" w14:textId="6FCAFF7B" w:rsidR="00954447" w:rsidRPr="00D6128F" w:rsidRDefault="00954447" w:rsidP="00954447">
      <w:pPr>
        <w:rPr>
          <w:sz w:val="22"/>
        </w:rPr>
      </w:pPr>
      <w:r w:rsidRPr="00D6128F">
        <w:rPr>
          <w:sz w:val="22"/>
        </w:rPr>
        <w:t xml:space="preserve">Circularity Goal: </w:t>
      </w:r>
      <w:r w:rsidRPr="00D6128F">
        <w:rPr>
          <w:rFonts w:eastAsia="Times New Roman" w:cstheme="minorHAnsi"/>
          <w:kern w:val="24"/>
          <w:sz w:val="22"/>
          <w:lang w:eastAsia="en-AU"/>
        </w:rPr>
        <w:t>Double between 2024 and 2035</w:t>
      </w:r>
    </w:p>
    <w:p w14:paraId="1B0141BA" w14:textId="259DEC42" w:rsidR="00954447" w:rsidRPr="00D6128F" w:rsidRDefault="00954447" w:rsidP="00FF57BD">
      <w:pPr>
        <w:rPr>
          <w:b/>
          <w:bCs/>
          <w:sz w:val="22"/>
        </w:rPr>
      </w:pPr>
      <w:r w:rsidRPr="00D6128F">
        <w:rPr>
          <w:sz w:val="22"/>
        </w:rPr>
        <w:t xml:space="preserve">Trade balance: </w:t>
      </w:r>
      <w:r w:rsidR="00A2438C" w:rsidRPr="00D6128F">
        <w:rPr>
          <w:rFonts w:eastAsia="Times New Roman" w:cstheme="minorHAnsi"/>
          <w:kern w:val="24"/>
          <w:sz w:val="22"/>
          <w:lang w:eastAsia="en-AU"/>
        </w:rPr>
        <w:t>Materials exporter (-0.53)</w:t>
      </w:r>
    </w:p>
    <w:p w14:paraId="72E75C26" w14:textId="4CF4F206" w:rsidR="0083501F" w:rsidRPr="00D6128F" w:rsidRDefault="0083501F" w:rsidP="00FF57BD">
      <w:pPr>
        <w:rPr>
          <w:b/>
          <w:bCs/>
          <w:sz w:val="22"/>
        </w:rPr>
      </w:pPr>
      <w:r w:rsidRPr="00D6128F">
        <w:rPr>
          <w:b/>
          <w:bCs/>
          <w:sz w:val="22"/>
        </w:rPr>
        <w:t>Sweden</w:t>
      </w:r>
    </w:p>
    <w:p w14:paraId="63330CB8" w14:textId="6044932D" w:rsidR="00BD1DD8" w:rsidRPr="00D6128F" w:rsidRDefault="00BD1DD8" w:rsidP="00BD1DD8">
      <w:pPr>
        <w:rPr>
          <w:sz w:val="22"/>
        </w:rPr>
      </w:pPr>
      <w:r w:rsidRPr="00D6128F">
        <w:rPr>
          <w:sz w:val="22"/>
        </w:rPr>
        <w:t xml:space="preserve">Circularity rate: </w:t>
      </w:r>
      <w:r w:rsidR="00EC446A" w:rsidRPr="00D6128F">
        <w:rPr>
          <w:sz w:val="22"/>
        </w:rPr>
        <w:t>6.1</w:t>
      </w:r>
      <w:r w:rsidRPr="00D6128F">
        <w:rPr>
          <w:sz w:val="22"/>
        </w:rPr>
        <w:t>%</w:t>
      </w:r>
    </w:p>
    <w:p w14:paraId="387BE9BA" w14:textId="77777777" w:rsidR="00BD1DD8" w:rsidRPr="00D6128F" w:rsidRDefault="00BD1DD8" w:rsidP="00BD1DD8">
      <w:pPr>
        <w:rPr>
          <w:sz w:val="22"/>
        </w:rPr>
      </w:pPr>
      <w:r w:rsidRPr="00D6128F">
        <w:rPr>
          <w:sz w:val="22"/>
        </w:rPr>
        <w:t>Nil circularity goal listed</w:t>
      </w:r>
    </w:p>
    <w:p w14:paraId="04C25A38" w14:textId="7AD7D7FA" w:rsidR="00BD1DD8" w:rsidRPr="00D6128F" w:rsidRDefault="00BD1DD8" w:rsidP="00BD1DD8">
      <w:pPr>
        <w:rPr>
          <w:sz w:val="22"/>
        </w:rPr>
      </w:pPr>
      <w:r w:rsidRPr="00D6128F">
        <w:rPr>
          <w:sz w:val="22"/>
        </w:rPr>
        <w:t xml:space="preserve">Trade balance: </w:t>
      </w:r>
      <w:r w:rsidRPr="00D6128F">
        <w:rPr>
          <w:rFonts w:eastAsia="Times New Roman" w:cstheme="minorHAnsi"/>
          <w:kern w:val="24"/>
          <w:sz w:val="22"/>
          <w:lang w:eastAsia="en-AU"/>
        </w:rPr>
        <w:t>Materials exporter (-0.</w:t>
      </w:r>
      <w:r w:rsidR="00EC446A" w:rsidRPr="00D6128F">
        <w:rPr>
          <w:rFonts w:eastAsia="Times New Roman" w:cstheme="minorHAnsi"/>
          <w:kern w:val="24"/>
          <w:sz w:val="22"/>
          <w:lang w:eastAsia="en-AU"/>
        </w:rPr>
        <w:t>08</w:t>
      </w:r>
      <w:r w:rsidRPr="00D6128F">
        <w:rPr>
          <w:rFonts w:eastAsia="Times New Roman" w:cstheme="minorHAnsi"/>
          <w:kern w:val="24"/>
          <w:sz w:val="22"/>
          <w:lang w:eastAsia="en-AU"/>
        </w:rPr>
        <w:t>)</w:t>
      </w:r>
    </w:p>
    <w:p w14:paraId="4D5CB2E6" w14:textId="1F6D8CAB" w:rsidR="0083501F" w:rsidRPr="00D6128F" w:rsidRDefault="0083501F" w:rsidP="00FF57BD">
      <w:pPr>
        <w:rPr>
          <w:b/>
          <w:bCs/>
          <w:sz w:val="22"/>
        </w:rPr>
      </w:pPr>
      <w:r w:rsidRPr="00D6128F">
        <w:rPr>
          <w:b/>
          <w:bCs/>
          <w:sz w:val="22"/>
        </w:rPr>
        <w:t>Global Average</w:t>
      </w:r>
    </w:p>
    <w:p w14:paraId="3D95B178" w14:textId="5FE9D83E" w:rsidR="00EC446A" w:rsidRPr="00D6128F" w:rsidRDefault="00EC446A" w:rsidP="00EC446A">
      <w:pPr>
        <w:rPr>
          <w:sz w:val="22"/>
        </w:rPr>
      </w:pPr>
      <w:r w:rsidRPr="00D6128F">
        <w:rPr>
          <w:sz w:val="22"/>
        </w:rPr>
        <w:t xml:space="preserve">Circularity rate: </w:t>
      </w:r>
      <w:r w:rsidR="009448D7" w:rsidRPr="00D6128F">
        <w:rPr>
          <w:sz w:val="22"/>
        </w:rPr>
        <w:t>7.2</w:t>
      </w:r>
      <w:r w:rsidRPr="00D6128F">
        <w:rPr>
          <w:sz w:val="22"/>
        </w:rPr>
        <w:t>%</w:t>
      </w:r>
    </w:p>
    <w:p w14:paraId="32C6128D" w14:textId="77777777" w:rsidR="00EC446A" w:rsidRPr="00D6128F" w:rsidRDefault="00EC446A" w:rsidP="00EC446A">
      <w:pPr>
        <w:rPr>
          <w:sz w:val="22"/>
        </w:rPr>
      </w:pPr>
      <w:r w:rsidRPr="00D6128F">
        <w:rPr>
          <w:sz w:val="22"/>
        </w:rPr>
        <w:t>Nil circularity goal listed</w:t>
      </w:r>
    </w:p>
    <w:p w14:paraId="73C26969" w14:textId="76280C61" w:rsidR="00EC446A" w:rsidRPr="00D6128F" w:rsidRDefault="00EC446A" w:rsidP="00EC446A">
      <w:pPr>
        <w:rPr>
          <w:sz w:val="22"/>
        </w:rPr>
      </w:pPr>
      <w:r w:rsidRPr="00D6128F">
        <w:rPr>
          <w:sz w:val="22"/>
        </w:rPr>
        <w:t xml:space="preserve">Trade balance: </w:t>
      </w:r>
      <w:r w:rsidRPr="00D6128F">
        <w:rPr>
          <w:rFonts w:eastAsia="Times New Roman" w:cstheme="minorHAnsi"/>
          <w:kern w:val="24"/>
          <w:sz w:val="22"/>
          <w:lang w:eastAsia="en-AU"/>
        </w:rPr>
        <w:t>Neutral (0.0)</w:t>
      </w:r>
    </w:p>
    <w:p w14:paraId="408B2685" w14:textId="56C6B07D" w:rsidR="008B3634" w:rsidRPr="00D6128F" w:rsidRDefault="008B3634" w:rsidP="00FF57BD">
      <w:pPr>
        <w:rPr>
          <w:b/>
          <w:bCs/>
          <w:sz w:val="22"/>
        </w:rPr>
      </w:pPr>
      <w:r w:rsidRPr="00D6128F">
        <w:rPr>
          <w:b/>
          <w:bCs/>
          <w:sz w:val="22"/>
        </w:rPr>
        <w:t>Denmark</w:t>
      </w:r>
    </w:p>
    <w:p w14:paraId="2C7FFD26" w14:textId="7C303CE9" w:rsidR="009448D7" w:rsidRPr="00D6128F" w:rsidRDefault="009448D7" w:rsidP="009448D7">
      <w:pPr>
        <w:rPr>
          <w:sz w:val="22"/>
        </w:rPr>
      </w:pPr>
      <w:r w:rsidRPr="00D6128F">
        <w:rPr>
          <w:sz w:val="22"/>
        </w:rPr>
        <w:t>Circularity rate: 7.4%</w:t>
      </w:r>
    </w:p>
    <w:p w14:paraId="451F6090" w14:textId="77777777" w:rsidR="009448D7" w:rsidRPr="00D6128F" w:rsidRDefault="009448D7" w:rsidP="009448D7">
      <w:pPr>
        <w:rPr>
          <w:sz w:val="22"/>
        </w:rPr>
      </w:pPr>
      <w:r w:rsidRPr="00D6128F">
        <w:rPr>
          <w:sz w:val="22"/>
        </w:rPr>
        <w:t>Nil circularity goal listed</w:t>
      </w:r>
    </w:p>
    <w:p w14:paraId="670E592D" w14:textId="2B18D19E" w:rsidR="009448D7" w:rsidRPr="00D6128F" w:rsidRDefault="009448D7" w:rsidP="00FF57BD">
      <w:pPr>
        <w:rPr>
          <w:sz w:val="22"/>
        </w:rPr>
      </w:pPr>
      <w:r w:rsidRPr="00D6128F">
        <w:rPr>
          <w:sz w:val="22"/>
        </w:rPr>
        <w:t xml:space="preserve">Trade balance: </w:t>
      </w:r>
      <w:r w:rsidRPr="00D6128F">
        <w:rPr>
          <w:rFonts w:eastAsia="Times New Roman" w:cstheme="minorHAnsi"/>
          <w:kern w:val="24"/>
          <w:sz w:val="22"/>
          <w:lang w:eastAsia="en-AU"/>
        </w:rPr>
        <w:t>Materials importer (0.23)</w:t>
      </w:r>
    </w:p>
    <w:p w14:paraId="7EA9617A" w14:textId="79A2AD98" w:rsidR="008B3634" w:rsidRPr="00D6128F" w:rsidRDefault="008B3634" w:rsidP="00FF57BD">
      <w:pPr>
        <w:rPr>
          <w:b/>
          <w:bCs/>
          <w:sz w:val="22"/>
        </w:rPr>
      </w:pPr>
      <w:r w:rsidRPr="00D6128F">
        <w:rPr>
          <w:b/>
          <w:bCs/>
          <w:sz w:val="22"/>
        </w:rPr>
        <w:t>UK</w:t>
      </w:r>
    </w:p>
    <w:p w14:paraId="4FABB7F3" w14:textId="130DCCD5" w:rsidR="009448D7" w:rsidRPr="00D6128F" w:rsidRDefault="009448D7" w:rsidP="009448D7">
      <w:pPr>
        <w:rPr>
          <w:sz w:val="22"/>
        </w:rPr>
      </w:pPr>
      <w:r w:rsidRPr="00D6128F">
        <w:rPr>
          <w:sz w:val="22"/>
        </w:rPr>
        <w:t>Circularity rate: 7.</w:t>
      </w:r>
      <w:r w:rsidR="002774CA" w:rsidRPr="00D6128F">
        <w:rPr>
          <w:sz w:val="22"/>
        </w:rPr>
        <w:t>5</w:t>
      </w:r>
      <w:r w:rsidRPr="00D6128F">
        <w:rPr>
          <w:sz w:val="22"/>
        </w:rPr>
        <w:t>%</w:t>
      </w:r>
    </w:p>
    <w:p w14:paraId="09BCB587" w14:textId="77777777" w:rsidR="009448D7" w:rsidRPr="00D6128F" w:rsidRDefault="009448D7" w:rsidP="009448D7">
      <w:pPr>
        <w:rPr>
          <w:sz w:val="22"/>
        </w:rPr>
      </w:pPr>
      <w:r w:rsidRPr="00D6128F">
        <w:rPr>
          <w:sz w:val="22"/>
        </w:rPr>
        <w:t>Nil circularity goal listed</w:t>
      </w:r>
    </w:p>
    <w:p w14:paraId="278CC420" w14:textId="728D5DA2" w:rsidR="009448D7" w:rsidRPr="00D6128F" w:rsidRDefault="009448D7" w:rsidP="009448D7">
      <w:pPr>
        <w:rPr>
          <w:sz w:val="22"/>
        </w:rPr>
      </w:pPr>
      <w:r w:rsidRPr="00D6128F">
        <w:rPr>
          <w:sz w:val="22"/>
        </w:rPr>
        <w:t xml:space="preserve">Trade balance: </w:t>
      </w:r>
      <w:r w:rsidRPr="00D6128F">
        <w:rPr>
          <w:rFonts w:eastAsia="Times New Roman" w:cstheme="minorHAnsi"/>
          <w:kern w:val="24"/>
          <w:sz w:val="22"/>
          <w:lang w:eastAsia="en-AU"/>
        </w:rPr>
        <w:t>Materials importer (0.2</w:t>
      </w:r>
      <w:r w:rsidR="002774CA" w:rsidRPr="00D6128F">
        <w:rPr>
          <w:rFonts w:eastAsia="Times New Roman" w:cstheme="minorHAnsi"/>
          <w:kern w:val="24"/>
          <w:sz w:val="22"/>
          <w:lang w:eastAsia="en-AU"/>
        </w:rPr>
        <w:t>9</w:t>
      </w:r>
      <w:r w:rsidRPr="00D6128F">
        <w:rPr>
          <w:rFonts w:eastAsia="Times New Roman" w:cstheme="minorHAnsi"/>
          <w:kern w:val="24"/>
          <w:sz w:val="22"/>
          <w:lang w:eastAsia="en-AU"/>
        </w:rPr>
        <w:t>)</w:t>
      </w:r>
    </w:p>
    <w:p w14:paraId="7421C0AA" w14:textId="6957AE28" w:rsidR="008B3634" w:rsidRPr="00D6128F" w:rsidRDefault="008B3634" w:rsidP="00FF57BD">
      <w:pPr>
        <w:rPr>
          <w:b/>
          <w:bCs/>
          <w:sz w:val="22"/>
        </w:rPr>
      </w:pPr>
      <w:r w:rsidRPr="00D6128F">
        <w:rPr>
          <w:b/>
          <w:bCs/>
          <w:sz w:val="22"/>
        </w:rPr>
        <w:t xml:space="preserve">Northern Ireland </w:t>
      </w:r>
    </w:p>
    <w:p w14:paraId="31D86D98" w14:textId="14BE2A4E" w:rsidR="002774CA" w:rsidRPr="00D6128F" w:rsidRDefault="002774CA" w:rsidP="002774CA">
      <w:pPr>
        <w:rPr>
          <w:sz w:val="22"/>
        </w:rPr>
      </w:pPr>
      <w:r w:rsidRPr="00D6128F">
        <w:rPr>
          <w:sz w:val="22"/>
        </w:rPr>
        <w:t>Circularity rate: 7.9%</w:t>
      </w:r>
    </w:p>
    <w:p w14:paraId="56F12E5E" w14:textId="77777777" w:rsidR="002774CA" w:rsidRPr="00D6128F" w:rsidRDefault="002774CA" w:rsidP="002774CA">
      <w:pPr>
        <w:rPr>
          <w:sz w:val="22"/>
        </w:rPr>
      </w:pPr>
      <w:r w:rsidRPr="00D6128F">
        <w:rPr>
          <w:sz w:val="22"/>
        </w:rPr>
        <w:t>Nil circularity goal listed</w:t>
      </w:r>
    </w:p>
    <w:p w14:paraId="7D8CB74B" w14:textId="195DC7F5" w:rsidR="002774CA" w:rsidRPr="00D6128F" w:rsidRDefault="002774CA" w:rsidP="002774CA">
      <w:pPr>
        <w:rPr>
          <w:sz w:val="22"/>
        </w:rPr>
      </w:pPr>
      <w:r w:rsidRPr="00D6128F">
        <w:rPr>
          <w:sz w:val="22"/>
        </w:rPr>
        <w:lastRenderedPageBreak/>
        <w:t xml:space="preserve">Trade balance: </w:t>
      </w:r>
      <w:r w:rsidRPr="00D6128F">
        <w:rPr>
          <w:rFonts w:eastAsia="Times New Roman" w:cstheme="minorHAnsi"/>
          <w:kern w:val="24"/>
          <w:sz w:val="22"/>
          <w:lang w:eastAsia="en-AU"/>
        </w:rPr>
        <w:t>Materials importer (0.25)</w:t>
      </w:r>
    </w:p>
    <w:p w14:paraId="00C13F25" w14:textId="32EC3E2C" w:rsidR="008B3634" w:rsidRPr="00D6128F" w:rsidRDefault="008B3634" w:rsidP="00FF57BD">
      <w:pPr>
        <w:rPr>
          <w:b/>
          <w:bCs/>
          <w:sz w:val="22"/>
        </w:rPr>
      </w:pPr>
      <w:r w:rsidRPr="00D6128F">
        <w:rPr>
          <w:b/>
          <w:bCs/>
          <w:sz w:val="22"/>
        </w:rPr>
        <w:t>European Union</w:t>
      </w:r>
    </w:p>
    <w:p w14:paraId="6FEE4726" w14:textId="64D588AF" w:rsidR="002774CA" w:rsidRPr="00D6128F" w:rsidRDefault="002774CA" w:rsidP="002774CA">
      <w:pPr>
        <w:rPr>
          <w:sz w:val="22"/>
        </w:rPr>
      </w:pPr>
      <w:r w:rsidRPr="00D6128F">
        <w:rPr>
          <w:sz w:val="22"/>
        </w:rPr>
        <w:t xml:space="preserve">Circularity rate: </w:t>
      </w:r>
      <w:r w:rsidR="00226A3F" w:rsidRPr="00D6128F">
        <w:rPr>
          <w:sz w:val="22"/>
        </w:rPr>
        <w:t>11.5</w:t>
      </w:r>
      <w:r w:rsidRPr="00D6128F">
        <w:rPr>
          <w:sz w:val="22"/>
        </w:rPr>
        <w:t>%</w:t>
      </w:r>
    </w:p>
    <w:p w14:paraId="0EA9DAD5" w14:textId="67AD16E0" w:rsidR="00226A3F" w:rsidRPr="00D6128F" w:rsidRDefault="00226A3F" w:rsidP="00226A3F">
      <w:pPr>
        <w:rPr>
          <w:sz w:val="22"/>
        </w:rPr>
      </w:pPr>
      <w:r w:rsidRPr="00D6128F">
        <w:rPr>
          <w:sz w:val="22"/>
        </w:rPr>
        <w:t xml:space="preserve">Circularity Goal: </w:t>
      </w:r>
      <w:r w:rsidRPr="00D6128F">
        <w:rPr>
          <w:rFonts w:eastAsia="Times New Roman" w:cstheme="minorHAnsi"/>
          <w:kern w:val="24"/>
          <w:sz w:val="22"/>
          <w:lang w:eastAsia="en-AU"/>
        </w:rPr>
        <w:t>Double between 2020 and 2030</w:t>
      </w:r>
    </w:p>
    <w:p w14:paraId="148C92F4" w14:textId="69C52A9E" w:rsidR="002774CA" w:rsidRPr="00D6128F" w:rsidRDefault="003A37A1" w:rsidP="00FF57BD">
      <w:pPr>
        <w:rPr>
          <w:sz w:val="22"/>
        </w:rPr>
      </w:pPr>
      <w:r w:rsidRPr="00D6128F">
        <w:rPr>
          <w:sz w:val="22"/>
        </w:rPr>
        <w:t>Nil Trade balance listed</w:t>
      </w:r>
    </w:p>
    <w:p w14:paraId="77B03493" w14:textId="2013DB10" w:rsidR="008B3634" w:rsidRPr="00D6128F" w:rsidRDefault="008B3634" w:rsidP="00FF57BD">
      <w:pPr>
        <w:rPr>
          <w:b/>
          <w:bCs/>
          <w:sz w:val="22"/>
        </w:rPr>
      </w:pPr>
      <w:r w:rsidRPr="00D6128F">
        <w:rPr>
          <w:b/>
          <w:bCs/>
          <w:sz w:val="22"/>
        </w:rPr>
        <w:t>Italy</w:t>
      </w:r>
    </w:p>
    <w:p w14:paraId="79ED8187" w14:textId="362E5045" w:rsidR="003A37A1" w:rsidRPr="00D6128F" w:rsidRDefault="003A37A1" w:rsidP="003A37A1">
      <w:pPr>
        <w:rPr>
          <w:sz w:val="22"/>
        </w:rPr>
      </w:pPr>
      <w:r w:rsidRPr="00D6128F">
        <w:rPr>
          <w:sz w:val="22"/>
        </w:rPr>
        <w:t>Circularity rate: 18.7%</w:t>
      </w:r>
    </w:p>
    <w:p w14:paraId="278F04D7" w14:textId="4F05681C" w:rsidR="003A37A1" w:rsidRPr="00D6128F" w:rsidRDefault="003A37A1" w:rsidP="003A37A1">
      <w:pPr>
        <w:rPr>
          <w:sz w:val="22"/>
        </w:rPr>
      </w:pPr>
      <w:r w:rsidRPr="00D6128F">
        <w:rPr>
          <w:sz w:val="22"/>
        </w:rPr>
        <w:t xml:space="preserve">Circularity Goal: </w:t>
      </w:r>
      <w:r w:rsidRPr="00D6128F">
        <w:rPr>
          <w:rFonts w:eastAsia="Times New Roman" w:cstheme="minorHAnsi"/>
          <w:kern w:val="24"/>
          <w:sz w:val="22"/>
          <w:lang w:eastAsia="en-AU"/>
        </w:rPr>
        <w:t>Reach 24% by 2040</w:t>
      </w:r>
    </w:p>
    <w:p w14:paraId="34B97C0E" w14:textId="3A735922" w:rsidR="003A37A1" w:rsidRPr="00D6128F" w:rsidRDefault="003A37A1" w:rsidP="003A37A1">
      <w:pPr>
        <w:rPr>
          <w:b/>
          <w:bCs/>
          <w:sz w:val="22"/>
        </w:rPr>
      </w:pPr>
      <w:r w:rsidRPr="00D6128F">
        <w:rPr>
          <w:sz w:val="22"/>
        </w:rPr>
        <w:t xml:space="preserve">Trade balance: </w:t>
      </w:r>
      <w:r w:rsidRPr="00D6128F">
        <w:rPr>
          <w:rFonts w:eastAsia="Times New Roman" w:cstheme="minorHAnsi"/>
          <w:kern w:val="24"/>
          <w:sz w:val="22"/>
          <w:lang w:eastAsia="en-AU"/>
        </w:rPr>
        <w:t>Materials exporter (-0.</w:t>
      </w:r>
      <w:r w:rsidR="005F2D4A" w:rsidRPr="00D6128F">
        <w:rPr>
          <w:rFonts w:eastAsia="Times New Roman" w:cstheme="minorHAnsi"/>
          <w:kern w:val="24"/>
          <w:sz w:val="22"/>
          <w:lang w:eastAsia="en-AU"/>
        </w:rPr>
        <w:t>12</w:t>
      </w:r>
      <w:r w:rsidRPr="00D6128F">
        <w:rPr>
          <w:rFonts w:eastAsia="Times New Roman" w:cstheme="minorHAnsi"/>
          <w:kern w:val="24"/>
          <w:sz w:val="22"/>
          <w:lang w:eastAsia="en-AU"/>
        </w:rPr>
        <w:t>)</w:t>
      </w:r>
    </w:p>
    <w:p w14:paraId="6C281E30" w14:textId="48BA4D1E" w:rsidR="008B3634" w:rsidRPr="00D6128F" w:rsidRDefault="008B3634" w:rsidP="00FF57BD">
      <w:pPr>
        <w:rPr>
          <w:b/>
          <w:bCs/>
          <w:sz w:val="22"/>
        </w:rPr>
      </w:pPr>
      <w:r w:rsidRPr="00D6128F">
        <w:rPr>
          <w:b/>
          <w:bCs/>
          <w:sz w:val="22"/>
        </w:rPr>
        <w:t>Netherlands</w:t>
      </w:r>
    </w:p>
    <w:p w14:paraId="2B3408F8" w14:textId="324533C9" w:rsidR="003A37A1" w:rsidRPr="00D6128F" w:rsidRDefault="003A37A1" w:rsidP="003A37A1">
      <w:pPr>
        <w:rPr>
          <w:sz w:val="22"/>
        </w:rPr>
      </w:pPr>
      <w:r w:rsidRPr="00D6128F">
        <w:rPr>
          <w:sz w:val="22"/>
        </w:rPr>
        <w:t xml:space="preserve">Circularity rate: </w:t>
      </w:r>
      <w:r w:rsidR="005F2D4A" w:rsidRPr="00D6128F">
        <w:rPr>
          <w:sz w:val="22"/>
        </w:rPr>
        <w:t>27.5</w:t>
      </w:r>
      <w:r w:rsidRPr="00D6128F">
        <w:rPr>
          <w:sz w:val="22"/>
        </w:rPr>
        <w:t>%</w:t>
      </w:r>
    </w:p>
    <w:p w14:paraId="0648EF15" w14:textId="74F8E79A" w:rsidR="003A37A1" w:rsidRPr="00D6128F" w:rsidRDefault="003A37A1" w:rsidP="003A37A1">
      <w:pPr>
        <w:rPr>
          <w:sz w:val="22"/>
        </w:rPr>
      </w:pPr>
      <w:r w:rsidRPr="00D6128F">
        <w:rPr>
          <w:sz w:val="22"/>
        </w:rPr>
        <w:t xml:space="preserve">Circularity Goal: </w:t>
      </w:r>
      <w:r w:rsidR="005F2D4A" w:rsidRPr="00D6128F">
        <w:rPr>
          <w:rFonts w:eastAsia="Times New Roman" w:cstheme="minorHAnsi"/>
          <w:kern w:val="24"/>
          <w:sz w:val="22"/>
          <w:lang w:eastAsia="en-AU"/>
        </w:rPr>
        <w:t>Fully circular by 2050</w:t>
      </w:r>
    </w:p>
    <w:p w14:paraId="3708BC11" w14:textId="633DB4CA" w:rsidR="003A37A1" w:rsidRPr="00D6128F" w:rsidRDefault="003A37A1" w:rsidP="003A37A1">
      <w:pPr>
        <w:rPr>
          <w:b/>
          <w:bCs/>
          <w:sz w:val="22"/>
        </w:rPr>
      </w:pPr>
      <w:r w:rsidRPr="00D6128F">
        <w:rPr>
          <w:sz w:val="22"/>
        </w:rPr>
        <w:t xml:space="preserve">Trade balance: </w:t>
      </w:r>
      <w:r w:rsidRPr="00D6128F">
        <w:rPr>
          <w:rFonts w:eastAsia="Times New Roman" w:cstheme="minorHAnsi"/>
          <w:kern w:val="24"/>
          <w:sz w:val="22"/>
          <w:lang w:eastAsia="en-AU"/>
        </w:rPr>
        <w:t>Materials exporter (-0.</w:t>
      </w:r>
      <w:r w:rsidR="005F2D4A" w:rsidRPr="00D6128F">
        <w:rPr>
          <w:rFonts w:eastAsia="Times New Roman" w:cstheme="minorHAnsi"/>
          <w:kern w:val="24"/>
          <w:sz w:val="22"/>
          <w:lang w:eastAsia="en-AU"/>
        </w:rPr>
        <w:t>28</w:t>
      </w:r>
      <w:r w:rsidRPr="00D6128F">
        <w:rPr>
          <w:rFonts w:eastAsia="Times New Roman" w:cstheme="minorHAnsi"/>
          <w:kern w:val="24"/>
          <w:sz w:val="22"/>
          <w:lang w:eastAsia="en-AU"/>
        </w:rPr>
        <w:t>)</w:t>
      </w:r>
    </w:p>
    <w:p w14:paraId="2066D4F2" w14:textId="77777777" w:rsidR="00D33425" w:rsidRPr="00D6128F" w:rsidRDefault="004F5354">
      <w:pPr>
        <w:spacing w:after="0"/>
        <w:rPr>
          <w:sz w:val="22"/>
        </w:rPr>
      </w:pPr>
      <w:r w:rsidRPr="00D6128F">
        <w:rPr>
          <w:sz w:val="22"/>
        </w:rPr>
        <w:br w:type="page"/>
      </w:r>
    </w:p>
    <w:p w14:paraId="240402F6" w14:textId="77777777" w:rsidR="000F4C23" w:rsidRPr="005F4D33" w:rsidRDefault="004F5354" w:rsidP="002F273C">
      <w:pPr>
        <w:pStyle w:val="Heading2"/>
        <w:rPr>
          <w:color w:val="auto"/>
        </w:rPr>
      </w:pPr>
      <w:bookmarkStart w:id="13" w:name="_Toc184220073"/>
      <w:r w:rsidRPr="005F4D33">
        <w:rPr>
          <w:color w:val="auto"/>
        </w:rPr>
        <w:lastRenderedPageBreak/>
        <w:t>Australia’s targets</w:t>
      </w:r>
      <w:bookmarkEnd w:id="13"/>
    </w:p>
    <w:p w14:paraId="48F24FF0" w14:textId="77777777" w:rsidR="008C324C" w:rsidRPr="00D6128F" w:rsidRDefault="004F5354" w:rsidP="00237021">
      <w:pPr>
        <w:rPr>
          <w:bCs/>
          <w:i/>
          <w:iCs/>
          <w:sz w:val="22"/>
        </w:rPr>
      </w:pPr>
      <w:r w:rsidRPr="00D6128F">
        <w:rPr>
          <w:i/>
          <w:iCs/>
          <w:sz w:val="22"/>
        </w:rPr>
        <w:t xml:space="preserve">Australia’s ambition is to </w:t>
      </w:r>
      <w:r w:rsidR="00F03EAD" w:rsidRPr="00D6128F">
        <w:rPr>
          <w:i/>
          <w:iCs/>
          <w:sz w:val="22"/>
        </w:rPr>
        <w:t>double</w:t>
      </w:r>
      <w:r w:rsidRPr="00D6128F">
        <w:rPr>
          <w:i/>
          <w:iCs/>
          <w:sz w:val="22"/>
        </w:rPr>
        <w:t xml:space="preserve"> </w:t>
      </w:r>
      <w:r w:rsidR="00C21739" w:rsidRPr="00D6128F">
        <w:rPr>
          <w:i/>
          <w:iCs/>
          <w:sz w:val="22"/>
        </w:rPr>
        <w:t>the circularity of our economy</w:t>
      </w:r>
      <w:r w:rsidR="00417ED8" w:rsidRPr="00D6128F">
        <w:rPr>
          <w:i/>
          <w:iCs/>
          <w:sz w:val="22"/>
        </w:rPr>
        <w:t>,</w:t>
      </w:r>
      <w:r w:rsidR="00C21739" w:rsidRPr="00D6128F">
        <w:rPr>
          <w:i/>
          <w:iCs/>
          <w:sz w:val="22"/>
        </w:rPr>
        <w:t xml:space="preserve"> by </w:t>
      </w:r>
      <w:r w:rsidR="00E42CE7" w:rsidRPr="00D6128F">
        <w:rPr>
          <w:i/>
          <w:iCs/>
          <w:sz w:val="22"/>
        </w:rPr>
        <w:t>2035</w:t>
      </w:r>
      <w:r w:rsidR="00F65C8A" w:rsidRPr="00D6128F">
        <w:rPr>
          <w:i/>
          <w:iCs/>
          <w:sz w:val="22"/>
        </w:rPr>
        <w:t>.</w:t>
      </w:r>
    </w:p>
    <w:p w14:paraId="572EE908" w14:textId="20BF364E" w:rsidR="00401C2E" w:rsidRPr="00D6128F" w:rsidRDefault="004F5354" w:rsidP="004506F5">
      <w:pPr>
        <w:rPr>
          <w:i/>
          <w:iCs/>
          <w:sz w:val="22"/>
          <w:lang w:eastAsia="ja-JP"/>
        </w:rPr>
      </w:pPr>
      <w:r w:rsidRPr="00D6128F">
        <w:rPr>
          <w:i/>
          <w:iCs/>
          <w:sz w:val="22"/>
        </w:rPr>
        <w:t>To do this, we will pursue 3 targets</w:t>
      </w:r>
      <w:r w:rsidR="000F4C23" w:rsidRPr="00D6128F">
        <w:rPr>
          <w:i/>
          <w:iCs/>
          <w:sz w:val="22"/>
        </w:rPr>
        <w:t>.</w:t>
      </w:r>
    </w:p>
    <w:p w14:paraId="3DAEBF9C" w14:textId="77777777" w:rsidR="0032369E" w:rsidRPr="00D6128F" w:rsidRDefault="004F5354" w:rsidP="00CE54B6">
      <w:pPr>
        <w:rPr>
          <w:rFonts w:cs="Corpid C1 Light"/>
          <w:sz w:val="22"/>
        </w:rPr>
      </w:pPr>
      <w:r w:rsidRPr="00D6128F">
        <w:rPr>
          <w:rFonts w:cs="Corpid C1 Light"/>
          <w:sz w:val="22"/>
        </w:rPr>
        <w:t xml:space="preserve">Countries can engage in </w:t>
      </w:r>
      <w:r w:rsidR="00C60237" w:rsidRPr="00D6128F">
        <w:rPr>
          <w:rFonts w:cs="Corpid C1 Light"/>
          <w:sz w:val="22"/>
        </w:rPr>
        <w:t xml:space="preserve">2 </w:t>
      </w:r>
      <w:r w:rsidRPr="00D6128F">
        <w:rPr>
          <w:rFonts w:cs="Corpid C1 Light"/>
          <w:sz w:val="22"/>
        </w:rPr>
        <w:t>strategies to become more circular</w:t>
      </w:r>
      <w:r w:rsidR="00CA3B85" w:rsidRPr="00D6128F">
        <w:rPr>
          <w:rFonts w:cs="Corpid C1 Light"/>
          <w:sz w:val="22"/>
        </w:rPr>
        <w:t>.</w:t>
      </w:r>
    </w:p>
    <w:p w14:paraId="73F98621" w14:textId="77777777" w:rsidR="0032369E" w:rsidRPr="00D6128F" w:rsidRDefault="004F5354" w:rsidP="00CE54B6">
      <w:pPr>
        <w:rPr>
          <w:rFonts w:cs="Corpid C1 Light"/>
          <w:sz w:val="22"/>
        </w:rPr>
      </w:pPr>
      <w:r w:rsidRPr="00D6128F">
        <w:rPr>
          <w:rFonts w:cs="Corpid C1 Light"/>
          <w:sz w:val="22"/>
        </w:rPr>
        <w:t xml:space="preserve">First, </w:t>
      </w:r>
      <w:r w:rsidR="003C68DE" w:rsidRPr="00D6128F">
        <w:rPr>
          <w:rFonts w:cs="Corpid C1 Light"/>
          <w:sz w:val="22"/>
        </w:rPr>
        <w:t xml:space="preserve">to </w:t>
      </w:r>
      <w:r w:rsidR="003C68DE" w:rsidRPr="00D6128F">
        <w:rPr>
          <w:rFonts w:cs="Corpid C1 Light"/>
          <w:i/>
          <w:sz w:val="22"/>
        </w:rPr>
        <w:t>raise</w:t>
      </w:r>
      <w:r w:rsidR="003C68DE" w:rsidRPr="00D6128F">
        <w:rPr>
          <w:rFonts w:cs="Corpid C1 Light"/>
          <w:sz w:val="22"/>
        </w:rPr>
        <w:t xml:space="preserve"> the</w:t>
      </w:r>
      <w:r w:rsidRPr="00D6128F">
        <w:rPr>
          <w:rFonts w:cs="Corpid C1 Light"/>
          <w:sz w:val="22"/>
        </w:rPr>
        <w:t>ir</w:t>
      </w:r>
      <w:r w:rsidR="003C68DE" w:rsidRPr="00D6128F">
        <w:rPr>
          <w:rFonts w:cs="Corpid C1 Light"/>
          <w:sz w:val="22"/>
        </w:rPr>
        <w:t xml:space="preserve"> circularity potential</w:t>
      </w:r>
      <w:r w:rsidR="006704F8" w:rsidRPr="00D6128F">
        <w:rPr>
          <w:rFonts w:cs="Corpid C1 Light"/>
          <w:sz w:val="22"/>
        </w:rPr>
        <w:t>,</w:t>
      </w:r>
      <w:r w:rsidR="003C68DE" w:rsidRPr="00D6128F">
        <w:rPr>
          <w:rFonts w:cs="Corpid C1 Light"/>
          <w:sz w:val="22"/>
        </w:rPr>
        <w:t xml:space="preserve"> </w:t>
      </w:r>
      <w:r w:rsidRPr="00D6128F">
        <w:rPr>
          <w:rFonts w:cs="Corpid C1 Light"/>
          <w:sz w:val="22"/>
        </w:rPr>
        <w:t>they can focus on initiatives</w:t>
      </w:r>
      <w:r w:rsidR="00B661B1" w:rsidRPr="00D6128F">
        <w:rPr>
          <w:rFonts w:cs="Corpid C1 Light"/>
          <w:sz w:val="22"/>
        </w:rPr>
        <w:t xml:space="preserve"> that reduce the amount of materials used</w:t>
      </w:r>
      <w:r w:rsidR="003C2CD3" w:rsidRPr="00D6128F">
        <w:rPr>
          <w:rFonts w:cs="Corpid C1 Light"/>
          <w:sz w:val="22"/>
        </w:rPr>
        <w:t xml:space="preserve">, especially those that cannot be recycled, </w:t>
      </w:r>
      <w:r w:rsidR="003C68DE" w:rsidRPr="00D6128F">
        <w:rPr>
          <w:rFonts w:cs="Corpid C1 Light"/>
          <w:sz w:val="22"/>
        </w:rPr>
        <w:t>investing in renewable energy, long-lived infrastructure, and active mobility.</w:t>
      </w:r>
    </w:p>
    <w:p w14:paraId="469BA49C" w14:textId="77777777" w:rsidR="0032369E" w:rsidRPr="00D6128F" w:rsidRDefault="004F5354" w:rsidP="00CE54B6">
      <w:pPr>
        <w:rPr>
          <w:rFonts w:cs="Corpid C1 Light"/>
          <w:sz w:val="22"/>
        </w:rPr>
      </w:pPr>
      <w:r w:rsidRPr="00D6128F">
        <w:rPr>
          <w:rFonts w:cs="Corpid C1 Light"/>
          <w:sz w:val="22"/>
        </w:rPr>
        <w:t xml:space="preserve">Second, they can aim to </w:t>
      </w:r>
      <w:r w:rsidRPr="00D6128F">
        <w:rPr>
          <w:rFonts w:cs="Corpid C1 Light"/>
          <w:i/>
          <w:sz w:val="22"/>
        </w:rPr>
        <w:t>reach</w:t>
      </w:r>
      <w:r w:rsidRPr="00D6128F">
        <w:rPr>
          <w:rFonts w:cs="Corpid C1 Light"/>
          <w:sz w:val="22"/>
        </w:rPr>
        <w:t xml:space="preserve"> the</w:t>
      </w:r>
      <w:r w:rsidR="006704F8" w:rsidRPr="00D6128F">
        <w:rPr>
          <w:rFonts w:cs="Corpid C1 Light"/>
          <w:sz w:val="22"/>
        </w:rPr>
        <w:t>ir</w:t>
      </w:r>
      <w:r w:rsidRPr="00D6128F">
        <w:rPr>
          <w:rFonts w:cs="Corpid C1 Light"/>
          <w:sz w:val="22"/>
        </w:rPr>
        <w:t xml:space="preserve"> circularity potential by ensuring materials are recovered and reintroduced into the economic process once their first life has been completed</w:t>
      </w:r>
      <w:r w:rsidR="003A0A58" w:rsidRPr="00D6128F">
        <w:rPr>
          <w:rFonts w:cs="Corpid C1 Light"/>
          <w:sz w:val="22"/>
        </w:rPr>
        <w:t xml:space="preserve">, </w:t>
      </w:r>
      <w:r w:rsidR="00876F23" w:rsidRPr="00D6128F">
        <w:rPr>
          <w:rFonts w:cs="Corpid C1 Light"/>
          <w:sz w:val="22"/>
        </w:rPr>
        <w:t>which also drives resource productivity</w:t>
      </w:r>
      <w:r w:rsidRPr="00D6128F">
        <w:rPr>
          <w:rFonts w:cs="Corpid C1 Light"/>
          <w:sz w:val="22"/>
        </w:rPr>
        <w:t>.</w:t>
      </w:r>
    </w:p>
    <w:p w14:paraId="5C06E1FE" w14:textId="77777777" w:rsidR="004506F5" w:rsidRPr="00D6128F" w:rsidRDefault="004F5354" w:rsidP="00CE54B6">
      <w:pPr>
        <w:rPr>
          <w:rFonts w:cs="Corpid C1 Light"/>
          <w:sz w:val="22"/>
        </w:rPr>
      </w:pPr>
      <w:r w:rsidRPr="00D6128F">
        <w:rPr>
          <w:rFonts w:cs="Corpid C1 Light"/>
          <w:sz w:val="22"/>
        </w:rPr>
        <w:t xml:space="preserve">Australia’s targets reflect </w:t>
      </w:r>
      <w:r w:rsidR="00CC0654" w:rsidRPr="00D6128F">
        <w:rPr>
          <w:rFonts w:cs="Corpid C1 Light"/>
          <w:sz w:val="22"/>
        </w:rPr>
        <w:t>both</w:t>
      </w:r>
      <w:r w:rsidRPr="00D6128F">
        <w:rPr>
          <w:rFonts w:cs="Corpid C1 Light"/>
          <w:sz w:val="22"/>
        </w:rPr>
        <w:t xml:space="preserve"> strategies.</w:t>
      </w:r>
    </w:p>
    <w:p w14:paraId="3FE3F44D" w14:textId="2508F1BB" w:rsidR="000F4C23" w:rsidRPr="005F4D33" w:rsidRDefault="004F5354" w:rsidP="000D7011">
      <w:pPr>
        <w:pStyle w:val="Heading3"/>
        <w:rPr>
          <w:color w:val="auto"/>
        </w:rPr>
      </w:pPr>
      <w:bookmarkStart w:id="14" w:name="_Toc184220074"/>
      <w:r w:rsidRPr="005F4D33">
        <w:rPr>
          <w:color w:val="auto"/>
        </w:rPr>
        <w:t xml:space="preserve">Target 1: </w:t>
      </w:r>
      <w:r w:rsidR="0081292E" w:rsidRPr="005F4D33">
        <w:rPr>
          <w:color w:val="auto"/>
        </w:rPr>
        <w:t>Reducing</w:t>
      </w:r>
      <w:r w:rsidRPr="005F4D33">
        <w:rPr>
          <w:color w:val="auto"/>
        </w:rPr>
        <w:t xml:space="preserve"> material footprint </w:t>
      </w:r>
      <w:r w:rsidR="0081292E" w:rsidRPr="005F4D33">
        <w:rPr>
          <w:color w:val="auto"/>
        </w:rPr>
        <w:t>by 10%</w:t>
      </w:r>
      <w:r w:rsidRPr="005F4D33">
        <w:rPr>
          <w:rStyle w:val="FootnoteReference"/>
          <w:color w:val="auto"/>
          <w:sz w:val="20"/>
          <w:szCs w:val="18"/>
        </w:rPr>
        <w:footnoteReference w:id="2"/>
      </w:r>
      <w:bookmarkEnd w:id="14"/>
    </w:p>
    <w:p w14:paraId="272010E1" w14:textId="77777777" w:rsidR="000F4C23" w:rsidRPr="00D6128F" w:rsidRDefault="004F5354" w:rsidP="00014657">
      <w:pPr>
        <w:rPr>
          <w:sz w:val="22"/>
        </w:rPr>
      </w:pPr>
      <w:r w:rsidRPr="00D6128F">
        <w:rPr>
          <w:sz w:val="22"/>
        </w:rPr>
        <w:t xml:space="preserve">Material footprint is a measure of the inputs to </w:t>
      </w:r>
      <w:r w:rsidR="00CC0654" w:rsidRPr="00D6128F">
        <w:rPr>
          <w:sz w:val="22"/>
        </w:rPr>
        <w:t xml:space="preserve">the </w:t>
      </w:r>
      <w:r w:rsidR="00F50BE4" w:rsidRPr="00D6128F">
        <w:rPr>
          <w:sz w:val="22"/>
        </w:rPr>
        <w:t>Australia</w:t>
      </w:r>
      <w:r w:rsidR="00CC0654" w:rsidRPr="00D6128F">
        <w:rPr>
          <w:sz w:val="22"/>
        </w:rPr>
        <w:t>n</w:t>
      </w:r>
      <w:r w:rsidRPr="00D6128F">
        <w:rPr>
          <w:sz w:val="22"/>
        </w:rPr>
        <w:t xml:space="preserve"> economy. It describes how much material </w:t>
      </w:r>
      <w:r w:rsidR="00F50BE4" w:rsidRPr="00D6128F">
        <w:rPr>
          <w:sz w:val="22"/>
        </w:rPr>
        <w:t>is</w:t>
      </w:r>
      <w:r w:rsidRPr="00D6128F">
        <w:rPr>
          <w:sz w:val="22"/>
        </w:rPr>
        <w:t xml:space="preserve"> consume</w:t>
      </w:r>
      <w:r w:rsidR="00F50BE4" w:rsidRPr="00D6128F">
        <w:rPr>
          <w:sz w:val="22"/>
        </w:rPr>
        <w:t>d</w:t>
      </w:r>
      <w:r w:rsidRPr="00D6128F">
        <w:rPr>
          <w:sz w:val="22"/>
        </w:rPr>
        <w:t xml:space="preserve"> to make the products or services </w:t>
      </w:r>
      <w:r w:rsidR="00CC0654" w:rsidRPr="00D6128F">
        <w:rPr>
          <w:sz w:val="22"/>
        </w:rPr>
        <w:t>used</w:t>
      </w:r>
      <w:r w:rsidRPr="00D6128F">
        <w:rPr>
          <w:sz w:val="22"/>
        </w:rPr>
        <w:t xml:space="preserve"> in Australia. </w:t>
      </w:r>
      <w:r w:rsidRPr="00D6128F">
        <w:rPr>
          <w:b/>
          <w:bCs/>
          <w:sz w:val="22"/>
        </w:rPr>
        <w:t>Per capita, Australia has the highest material footprint of the G20</w:t>
      </w:r>
      <w:r w:rsidRPr="00D6128F">
        <w:rPr>
          <w:sz w:val="22"/>
        </w:rPr>
        <w:t>.</w:t>
      </w:r>
      <w:r w:rsidRPr="00D6128F">
        <w:rPr>
          <w:sz w:val="22"/>
          <w:vertAlign w:val="superscript"/>
        </w:rPr>
        <w:endnoteReference w:id="9"/>
      </w:r>
      <w:r w:rsidR="00E42CE7" w:rsidRPr="00D6128F">
        <w:rPr>
          <w:sz w:val="22"/>
        </w:rPr>
        <w:t xml:space="preserve"> As at 2023 Australia's material footprint is 31 tonnes per person.</w:t>
      </w:r>
    </w:p>
    <w:p w14:paraId="14345897" w14:textId="77777777" w:rsidR="000F4C23" w:rsidRPr="00D6128F" w:rsidRDefault="004F5354" w:rsidP="00014657">
      <w:pPr>
        <w:rPr>
          <w:sz w:val="22"/>
        </w:rPr>
      </w:pPr>
      <w:r w:rsidRPr="00D6128F">
        <w:rPr>
          <w:sz w:val="22"/>
        </w:rPr>
        <w:t xml:space="preserve">Material </w:t>
      </w:r>
      <w:r w:rsidR="00F50BE4" w:rsidRPr="00D6128F">
        <w:rPr>
          <w:sz w:val="22"/>
        </w:rPr>
        <w:t>footprint</w:t>
      </w:r>
      <w:r w:rsidRPr="00D6128F">
        <w:rPr>
          <w:sz w:val="22"/>
        </w:rPr>
        <w:t xml:space="preserve"> is a</w:t>
      </w:r>
      <w:r w:rsidR="00D01BF6" w:rsidRPr="00D6128F">
        <w:rPr>
          <w:sz w:val="22"/>
        </w:rPr>
        <w:t xml:space="preserve">n important driver of </w:t>
      </w:r>
      <w:r w:rsidR="00E42CE7" w:rsidRPr="00D6128F">
        <w:rPr>
          <w:sz w:val="22"/>
        </w:rPr>
        <w:t xml:space="preserve">Greenhouse Gas (GHG) </w:t>
      </w:r>
      <w:r w:rsidR="00F50BE4" w:rsidRPr="00D6128F">
        <w:rPr>
          <w:sz w:val="22"/>
        </w:rPr>
        <w:t>emissions</w:t>
      </w:r>
      <w:r w:rsidR="00D01BF6" w:rsidRPr="00D6128F">
        <w:rPr>
          <w:sz w:val="22"/>
        </w:rPr>
        <w:t xml:space="preserve">. </w:t>
      </w:r>
      <w:r w:rsidR="0092261C" w:rsidRPr="00D6128F">
        <w:rPr>
          <w:sz w:val="22"/>
        </w:rPr>
        <w:t>R</w:t>
      </w:r>
      <w:r w:rsidR="00D01BF6" w:rsidRPr="00D6128F">
        <w:rPr>
          <w:sz w:val="22"/>
        </w:rPr>
        <w:t>etaining existing materials for longer and making smarter use of materials</w:t>
      </w:r>
      <w:r w:rsidR="0092261C" w:rsidRPr="00D6128F">
        <w:rPr>
          <w:sz w:val="22"/>
        </w:rPr>
        <w:t xml:space="preserve"> are significant opportunities to</w:t>
      </w:r>
      <w:r w:rsidRPr="00D6128F">
        <w:rPr>
          <w:sz w:val="22"/>
        </w:rPr>
        <w:t xml:space="preserve"> reduce </w:t>
      </w:r>
      <w:r w:rsidR="0092261C" w:rsidRPr="00D6128F">
        <w:rPr>
          <w:sz w:val="22"/>
        </w:rPr>
        <w:t xml:space="preserve">Australia’s </w:t>
      </w:r>
      <w:r w:rsidRPr="00D6128F">
        <w:rPr>
          <w:sz w:val="22"/>
        </w:rPr>
        <w:t xml:space="preserve">carbon </w:t>
      </w:r>
      <w:r w:rsidR="002E604A" w:rsidRPr="00D6128F">
        <w:rPr>
          <w:sz w:val="22"/>
        </w:rPr>
        <w:t>footprint</w:t>
      </w:r>
      <w:r w:rsidRPr="00D6128F">
        <w:rPr>
          <w:sz w:val="22"/>
        </w:rPr>
        <w:t>.</w:t>
      </w:r>
    </w:p>
    <w:p w14:paraId="37374BF5" w14:textId="104703D1" w:rsidR="000F4C23" w:rsidRPr="00D6128F" w:rsidRDefault="004F5354" w:rsidP="00014657">
      <w:pPr>
        <w:rPr>
          <w:sz w:val="22"/>
        </w:rPr>
      </w:pPr>
      <w:r w:rsidRPr="00D6128F">
        <w:rPr>
          <w:sz w:val="22"/>
        </w:rPr>
        <w:t xml:space="preserve">Shrinking </w:t>
      </w:r>
      <w:r w:rsidR="00696425" w:rsidRPr="00D6128F">
        <w:rPr>
          <w:sz w:val="22"/>
        </w:rPr>
        <w:t>Australia’s</w:t>
      </w:r>
      <w:r w:rsidRPr="00D6128F">
        <w:rPr>
          <w:sz w:val="22"/>
        </w:rPr>
        <w:t xml:space="preserve"> material footprint requires </w:t>
      </w:r>
      <w:r w:rsidR="008E56F3" w:rsidRPr="00D6128F">
        <w:rPr>
          <w:sz w:val="22"/>
        </w:rPr>
        <w:t xml:space="preserve">circular economy </w:t>
      </w:r>
      <w:r w:rsidRPr="00D6128F">
        <w:rPr>
          <w:sz w:val="22"/>
        </w:rPr>
        <w:t>strategies like improving design and material choices in the built environment</w:t>
      </w:r>
      <w:r w:rsidR="00E42CE7" w:rsidRPr="00D6128F">
        <w:rPr>
          <w:sz w:val="22"/>
        </w:rPr>
        <w:t xml:space="preserve">, and using </w:t>
      </w:r>
      <w:r w:rsidR="00421841" w:rsidRPr="00D6128F">
        <w:rPr>
          <w:sz w:val="22"/>
        </w:rPr>
        <w:t>longer lasting</w:t>
      </w:r>
      <w:r w:rsidR="00E42CE7" w:rsidRPr="00D6128F">
        <w:rPr>
          <w:sz w:val="22"/>
        </w:rPr>
        <w:t xml:space="preserve"> and recycled materials</w:t>
      </w:r>
      <w:r w:rsidR="003A3972" w:rsidRPr="00D6128F">
        <w:rPr>
          <w:sz w:val="22"/>
        </w:rPr>
        <w:t>,</w:t>
      </w:r>
      <w:r w:rsidR="00E42CE7" w:rsidRPr="00D6128F">
        <w:rPr>
          <w:sz w:val="22"/>
        </w:rPr>
        <w:t xml:space="preserve"> in manufacturing</w:t>
      </w:r>
      <w:r w:rsidRPr="00D6128F">
        <w:rPr>
          <w:sz w:val="22"/>
        </w:rPr>
        <w:t>.</w:t>
      </w:r>
    </w:p>
    <w:p w14:paraId="002B9E54" w14:textId="77777777" w:rsidR="000F4C23" w:rsidRPr="005F4D33" w:rsidRDefault="004F5354" w:rsidP="000D7011">
      <w:pPr>
        <w:pStyle w:val="Heading3"/>
        <w:rPr>
          <w:color w:val="auto"/>
        </w:rPr>
      </w:pPr>
      <w:bookmarkStart w:id="15" w:name="_Toc184220075"/>
      <w:r w:rsidRPr="005F4D33">
        <w:rPr>
          <w:color w:val="auto"/>
        </w:rPr>
        <w:t xml:space="preserve">Target 2: Lifting </w:t>
      </w:r>
      <w:r w:rsidR="002B7162" w:rsidRPr="005F4D33">
        <w:rPr>
          <w:color w:val="auto"/>
        </w:rPr>
        <w:t xml:space="preserve">materials </w:t>
      </w:r>
      <w:r w:rsidRPr="005F4D33">
        <w:rPr>
          <w:color w:val="auto"/>
        </w:rPr>
        <w:t xml:space="preserve">productivity by </w:t>
      </w:r>
      <w:r w:rsidR="00417ED8" w:rsidRPr="005F4D33">
        <w:rPr>
          <w:color w:val="auto"/>
        </w:rPr>
        <w:t>30</w:t>
      </w:r>
      <w:r w:rsidRPr="005F4D33">
        <w:rPr>
          <w:color w:val="auto"/>
        </w:rPr>
        <w:t>%</w:t>
      </w:r>
      <w:r w:rsidRPr="005F4D33">
        <w:rPr>
          <w:rStyle w:val="FootnoteReference"/>
          <w:color w:val="auto"/>
          <w:sz w:val="22"/>
          <w:szCs w:val="20"/>
        </w:rPr>
        <w:footnoteReference w:id="3"/>
      </w:r>
      <w:bookmarkEnd w:id="15"/>
    </w:p>
    <w:p w14:paraId="24659D1D" w14:textId="77777777" w:rsidR="00D35079" w:rsidRPr="00D6128F" w:rsidRDefault="004F5354" w:rsidP="00014657">
      <w:pPr>
        <w:rPr>
          <w:sz w:val="22"/>
        </w:rPr>
      </w:pPr>
      <w:r w:rsidRPr="00D6128F">
        <w:rPr>
          <w:sz w:val="22"/>
        </w:rPr>
        <w:t xml:space="preserve">Materials </w:t>
      </w:r>
      <w:r w:rsidR="000F4C23" w:rsidRPr="00D6128F">
        <w:rPr>
          <w:sz w:val="22"/>
        </w:rPr>
        <w:t>productivity</w:t>
      </w:r>
      <w:r w:rsidRPr="00D6128F">
        <w:rPr>
          <w:sz w:val="22"/>
        </w:rPr>
        <w:t xml:space="preserve"> measures the efficiency with which raw materials (such as metals, minerals, and biomass) are used in production processes. It is often expressed as the ratio of economic output to the amount of raw materials consumed. Higher materials productivity indicates that the economy is generating more output with</w:t>
      </w:r>
      <w:r w:rsidR="00BF3202" w:rsidRPr="00D6128F">
        <w:rPr>
          <w:sz w:val="22"/>
        </w:rPr>
        <w:t xml:space="preserve"> equal or</w:t>
      </w:r>
      <w:r w:rsidRPr="00D6128F">
        <w:rPr>
          <w:sz w:val="22"/>
        </w:rPr>
        <w:t xml:space="preserve"> less material input, reducing material waste and environmental impact.</w:t>
      </w:r>
    </w:p>
    <w:p w14:paraId="69491589" w14:textId="0EAB3507" w:rsidR="000F4C23" w:rsidRPr="00D6128F" w:rsidRDefault="004F5354" w:rsidP="00014657">
      <w:pPr>
        <w:rPr>
          <w:sz w:val="22"/>
        </w:rPr>
      </w:pPr>
      <w:r w:rsidRPr="00D6128F">
        <w:rPr>
          <w:sz w:val="22"/>
        </w:rPr>
        <w:t xml:space="preserve">As </w:t>
      </w:r>
      <w:r w:rsidR="003A73F2" w:rsidRPr="00D6128F">
        <w:rPr>
          <w:sz w:val="22"/>
        </w:rPr>
        <w:t>of</w:t>
      </w:r>
      <w:r w:rsidRPr="00D6128F">
        <w:rPr>
          <w:sz w:val="22"/>
        </w:rPr>
        <w:t xml:space="preserve"> 2019, </w:t>
      </w:r>
      <w:r w:rsidRPr="00D6128F">
        <w:rPr>
          <w:b/>
          <w:bCs/>
          <w:sz w:val="22"/>
        </w:rPr>
        <w:t xml:space="preserve">Australia </w:t>
      </w:r>
      <w:r w:rsidR="00FF7938" w:rsidRPr="00D6128F">
        <w:rPr>
          <w:b/>
          <w:bCs/>
          <w:sz w:val="22"/>
        </w:rPr>
        <w:t xml:space="preserve">had </w:t>
      </w:r>
      <w:r w:rsidRPr="00D6128F">
        <w:rPr>
          <w:b/>
          <w:bCs/>
          <w:sz w:val="22"/>
        </w:rPr>
        <w:t xml:space="preserve">the </w:t>
      </w:r>
      <w:r w:rsidR="00B96839" w:rsidRPr="00D6128F">
        <w:rPr>
          <w:b/>
          <w:bCs/>
          <w:sz w:val="22"/>
        </w:rPr>
        <w:t xml:space="preserve">fourth </w:t>
      </w:r>
      <w:r w:rsidRPr="00D6128F">
        <w:rPr>
          <w:b/>
          <w:bCs/>
          <w:sz w:val="22"/>
        </w:rPr>
        <w:t>lowest rate of material productivity in the OECD.</w:t>
      </w:r>
      <w:r w:rsidRPr="00D6128F">
        <w:rPr>
          <w:sz w:val="22"/>
        </w:rPr>
        <w:t xml:space="preserve"> </w:t>
      </w:r>
      <w:r w:rsidR="00E42CE7" w:rsidRPr="00D6128F">
        <w:rPr>
          <w:sz w:val="22"/>
        </w:rPr>
        <w:t>A</w:t>
      </w:r>
      <w:r w:rsidR="001B7C1A" w:rsidRPr="00D6128F">
        <w:rPr>
          <w:sz w:val="22"/>
        </w:rPr>
        <w:t>nd a</w:t>
      </w:r>
      <w:r w:rsidR="00E42CE7" w:rsidRPr="00D6128F">
        <w:rPr>
          <w:sz w:val="22"/>
        </w:rPr>
        <w:t xml:space="preserve">s </w:t>
      </w:r>
      <w:r w:rsidR="00EC1246" w:rsidRPr="00D6128F">
        <w:rPr>
          <w:sz w:val="22"/>
        </w:rPr>
        <w:t>of</w:t>
      </w:r>
      <w:r w:rsidR="00E42CE7" w:rsidRPr="00D6128F">
        <w:rPr>
          <w:sz w:val="22"/>
        </w:rPr>
        <w:t xml:space="preserve"> </w:t>
      </w:r>
      <w:r w:rsidR="00C46198" w:rsidRPr="00D6128F">
        <w:rPr>
          <w:sz w:val="22"/>
        </w:rPr>
        <w:t>202</w:t>
      </w:r>
      <w:r w:rsidR="00F73C0D" w:rsidRPr="00D6128F">
        <w:rPr>
          <w:sz w:val="22"/>
        </w:rPr>
        <w:t>3</w:t>
      </w:r>
      <w:r w:rsidR="00E42CE7" w:rsidRPr="00D6128F">
        <w:rPr>
          <w:sz w:val="22"/>
        </w:rPr>
        <w:t xml:space="preserve">, </w:t>
      </w:r>
      <w:r w:rsidR="00696425" w:rsidRPr="00D6128F">
        <w:rPr>
          <w:sz w:val="22"/>
        </w:rPr>
        <w:t>Australia</w:t>
      </w:r>
      <w:r w:rsidRPr="00D6128F">
        <w:rPr>
          <w:sz w:val="22"/>
        </w:rPr>
        <w:t xml:space="preserve"> generate</w:t>
      </w:r>
      <w:r w:rsidR="00696425" w:rsidRPr="00D6128F">
        <w:rPr>
          <w:sz w:val="22"/>
        </w:rPr>
        <w:t>s</w:t>
      </w:r>
      <w:r w:rsidRPr="00D6128F">
        <w:rPr>
          <w:sz w:val="22"/>
        </w:rPr>
        <w:t xml:space="preserve"> only </w:t>
      </w:r>
      <w:r w:rsidR="00E42CE7" w:rsidRPr="00D6128F">
        <w:rPr>
          <w:sz w:val="22"/>
        </w:rPr>
        <w:t>U</w:t>
      </w:r>
      <w:r w:rsidR="006C2CA5" w:rsidRPr="00D6128F">
        <w:rPr>
          <w:sz w:val="22"/>
        </w:rPr>
        <w:t>S</w:t>
      </w:r>
      <w:r w:rsidR="00E42CE7" w:rsidRPr="00D6128F">
        <w:rPr>
          <w:sz w:val="22"/>
        </w:rPr>
        <w:t>$1.</w:t>
      </w:r>
      <w:r w:rsidR="006C2CA5" w:rsidRPr="00D6128F">
        <w:rPr>
          <w:sz w:val="22"/>
        </w:rPr>
        <w:t>20</w:t>
      </w:r>
      <w:r w:rsidRPr="00D6128F">
        <w:rPr>
          <w:sz w:val="22"/>
        </w:rPr>
        <w:t xml:space="preserve"> of economic output for every kg of materials consumed</w:t>
      </w:r>
      <w:r w:rsidR="00F65C8A" w:rsidRPr="00D6128F">
        <w:rPr>
          <w:sz w:val="22"/>
        </w:rPr>
        <w:t xml:space="preserve">, compared </w:t>
      </w:r>
      <w:r w:rsidR="00BF3202" w:rsidRPr="00D6128F">
        <w:rPr>
          <w:sz w:val="22"/>
        </w:rPr>
        <w:t>with</w:t>
      </w:r>
      <w:r w:rsidR="00F65C8A" w:rsidRPr="00D6128F">
        <w:rPr>
          <w:sz w:val="22"/>
        </w:rPr>
        <w:t xml:space="preserve"> </w:t>
      </w:r>
      <w:r w:rsidR="00BF3202" w:rsidRPr="00D6128F">
        <w:rPr>
          <w:sz w:val="22"/>
        </w:rPr>
        <w:t>U</w:t>
      </w:r>
      <w:r w:rsidR="006C2CA5" w:rsidRPr="00D6128F">
        <w:rPr>
          <w:sz w:val="22"/>
        </w:rPr>
        <w:t>S</w:t>
      </w:r>
      <w:r w:rsidR="00F65C8A" w:rsidRPr="00D6128F">
        <w:rPr>
          <w:sz w:val="22"/>
        </w:rPr>
        <w:t>$</w:t>
      </w:r>
      <w:r w:rsidR="00A83542" w:rsidRPr="00D6128F">
        <w:rPr>
          <w:sz w:val="22"/>
        </w:rPr>
        <w:t>2.</w:t>
      </w:r>
      <w:r w:rsidR="00472D34" w:rsidRPr="00D6128F">
        <w:rPr>
          <w:sz w:val="22"/>
        </w:rPr>
        <w:t>5</w:t>
      </w:r>
      <w:r w:rsidR="00A83542" w:rsidRPr="00D6128F">
        <w:rPr>
          <w:sz w:val="22"/>
        </w:rPr>
        <w:t>0</w:t>
      </w:r>
      <w:r w:rsidR="00F65C8A" w:rsidRPr="00D6128F">
        <w:rPr>
          <w:sz w:val="22"/>
        </w:rPr>
        <w:t xml:space="preserve"> which is the average across the OECD</w:t>
      </w:r>
      <w:r w:rsidRPr="00D6128F">
        <w:rPr>
          <w:sz w:val="22"/>
        </w:rPr>
        <w:t>.</w:t>
      </w:r>
      <w:r w:rsidRPr="00D6128F">
        <w:rPr>
          <w:sz w:val="22"/>
          <w:vertAlign w:val="superscript"/>
        </w:rPr>
        <w:endnoteReference w:id="10"/>
      </w:r>
    </w:p>
    <w:p w14:paraId="33CC133E" w14:textId="77777777" w:rsidR="000F4C23" w:rsidRPr="00D6128F" w:rsidRDefault="004F5354" w:rsidP="00014657">
      <w:pPr>
        <w:rPr>
          <w:sz w:val="22"/>
        </w:rPr>
      </w:pPr>
      <w:r w:rsidRPr="00D6128F">
        <w:rPr>
          <w:sz w:val="22"/>
        </w:rPr>
        <w:t xml:space="preserve">Lifting </w:t>
      </w:r>
      <w:r w:rsidR="006B6DA6" w:rsidRPr="00D6128F">
        <w:rPr>
          <w:sz w:val="22"/>
        </w:rPr>
        <w:t xml:space="preserve">materials </w:t>
      </w:r>
      <w:r w:rsidRPr="00D6128F">
        <w:rPr>
          <w:sz w:val="22"/>
        </w:rPr>
        <w:t xml:space="preserve">productivity requires </w:t>
      </w:r>
      <w:r w:rsidR="00696425" w:rsidRPr="00D6128F">
        <w:rPr>
          <w:sz w:val="22"/>
        </w:rPr>
        <w:t xml:space="preserve">circular economy </w:t>
      </w:r>
      <w:r w:rsidRPr="00D6128F">
        <w:rPr>
          <w:sz w:val="22"/>
        </w:rPr>
        <w:t xml:space="preserve">strategies that scale Australian innovation, advanced manufacturing on shore, and </w:t>
      </w:r>
      <w:r w:rsidR="00A812EB" w:rsidRPr="00D6128F">
        <w:rPr>
          <w:sz w:val="22"/>
        </w:rPr>
        <w:t>more</w:t>
      </w:r>
      <w:r w:rsidRPr="00D6128F">
        <w:rPr>
          <w:sz w:val="22"/>
        </w:rPr>
        <w:t xml:space="preserve"> collaborations across supply chains to maximise material value – including internationally.</w:t>
      </w:r>
      <w:r w:rsidR="00DC06DB" w:rsidRPr="00D6128F">
        <w:rPr>
          <w:sz w:val="22"/>
        </w:rPr>
        <w:t xml:space="preserve"> </w:t>
      </w:r>
      <w:r w:rsidR="00696425" w:rsidRPr="00D6128F">
        <w:rPr>
          <w:sz w:val="22"/>
        </w:rPr>
        <w:t>Domestic</w:t>
      </w:r>
      <w:r w:rsidR="00DC06DB" w:rsidRPr="00D6128F">
        <w:rPr>
          <w:sz w:val="22"/>
        </w:rPr>
        <w:t xml:space="preserve"> reuse of Australian recycled materials can also support </w:t>
      </w:r>
      <w:r w:rsidR="001850EB" w:rsidRPr="00D6128F">
        <w:rPr>
          <w:sz w:val="22"/>
        </w:rPr>
        <w:t xml:space="preserve">materials </w:t>
      </w:r>
      <w:r w:rsidR="00DC06DB" w:rsidRPr="00D6128F">
        <w:rPr>
          <w:sz w:val="22"/>
        </w:rPr>
        <w:t>productivity.</w:t>
      </w:r>
    </w:p>
    <w:p w14:paraId="3E639916" w14:textId="77777777" w:rsidR="000F4C23" w:rsidRPr="005F4D33" w:rsidRDefault="004F5354" w:rsidP="000D7011">
      <w:pPr>
        <w:pStyle w:val="Heading3"/>
        <w:rPr>
          <w:color w:val="auto"/>
        </w:rPr>
      </w:pPr>
      <w:bookmarkStart w:id="16" w:name="_Toc184220076"/>
      <w:r w:rsidRPr="005F4D33">
        <w:rPr>
          <w:color w:val="auto"/>
        </w:rPr>
        <w:t>Target 3: Safely recovering 80% of our resources</w:t>
      </w:r>
      <w:r w:rsidRPr="005F4D33">
        <w:rPr>
          <w:rStyle w:val="FootnoteReference"/>
          <w:color w:val="auto"/>
          <w:sz w:val="22"/>
          <w:szCs w:val="20"/>
        </w:rPr>
        <w:footnoteReference w:id="4"/>
      </w:r>
      <w:bookmarkEnd w:id="16"/>
    </w:p>
    <w:p w14:paraId="0DF4B5AA" w14:textId="77777777" w:rsidR="00352A82" w:rsidRPr="00D6128F" w:rsidRDefault="004F5354" w:rsidP="00352A82">
      <w:pPr>
        <w:rPr>
          <w:sz w:val="22"/>
        </w:rPr>
      </w:pPr>
      <w:r w:rsidRPr="00D6128F">
        <w:rPr>
          <w:sz w:val="22"/>
        </w:rPr>
        <w:t>Australia’s resource recovery rate is approximately 63%</w:t>
      </w:r>
      <w:r w:rsidR="00406F35" w:rsidRPr="00D6128F">
        <w:rPr>
          <w:sz w:val="22"/>
        </w:rPr>
        <w:t>.</w:t>
      </w:r>
      <w:r w:rsidRPr="00D6128F">
        <w:rPr>
          <w:rStyle w:val="EndnoteReference"/>
          <w:sz w:val="22"/>
        </w:rPr>
        <w:endnoteReference w:id="11"/>
      </w:r>
      <w:r w:rsidRPr="00D6128F">
        <w:rPr>
          <w:sz w:val="22"/>
        </w:rPr>
        <w:t xml:space="preserve"> Every year </w:t>
      </w:r>
      <w:r w:rsidRPr="00D6128F">
        <w:rPr>
          <w:b/>
          <w:bCs/>
          <w:sz w:val="22"/>
        </w:rPr>
        <w:t xml:space="preserve">Australian firms spend $1.4 </w:t>
      </w:r>
      <w:r w:rsidR="006B3873" w:rsidRPr="00D6128F">
        <w:rPr>
          <w:b/>
          <w:bCs/>
          <w:sz w:val="22"/>
        </w:rPr>
        <w:t>billion</w:t>
      </w:r>
      <w:r w:rsidRPr="00D6128F">
        <w:rPr>
          <w:b/>
          <w:bCs/>
          <w:sz w:val="22"/>
        </w:rPr>
        <w:t xml:space="preserve"> sending $26.5 </w:t>
      </w:r>
      <w:r w:rsidR="006B3873" w:rsidRPr="00D6128F">
        <w:rPr>
          <w:b/>
          <w:bCs/>
          <w:sz w:val="22"/>
        </w:rPr>
        <w:t>billion</w:t>
      </w:r>
      <w:r w:rsidRPr="00D6128F">
        <w:rPr>
          <w:b/>
          <w:bCs/>
          <w:sz w:val="22"/>
        </w:rPr>
        <w:t xml:space="preserve"> worth of material to landfill</w:t>
      </w:r>
      <w:r w:rsidR="00406F35" w:rsidRPr="00D6128F">
        <w:rPr>
          <w:b/>
          <w:bCs/>
          <w:sz w:val="22"/>
        </w:rPr>
        <w:t>.</w:t>
      </w:r>
      <w:r w:rsidRPr="00D6128F">
        <w:rPr>
          <w:sz w:val="22"/>
          <w:vertAlign w:val="superscript"/>
        </w:rPr>
        <w:endnoteReference w:id="12"/>
      </w:r>
      <w:r w:rsidRPr="00D6128F">
        <w:rPr>
          <w:sz w:val="22"/>
        </w:rPr>
        <w:t xml:space="preserve"> Recovering, recycling and repurposing </w:t>
      </w:r>
      <w:r w:rsidRPr="00D6128F">
        <w:rPr>
          <w:sz w:val="22"/>
        </w:rPr>
        <w:lastRenderedPageBreak/>
        <w:t>these resources creates economic value and jobs and is fundamental to a circular economy.</w:t>
      </w:r>
      <w:r w:rsidR="00B70AA3" w:rsidRPr="00D6128F">
        <w:rPr>
          <w:sz w:val="22"/>
        </w:rPr>
        <w:t xml:space="preserve"> These activities also</w:t>
      </w:r>
      <w:r w:rsidRPr="00D6128F">
        <w:rPr>
          <w:sz w:val="22"/>
        </w:rPr>
        <w:t xml:space="preserve"> </w:t>
      </w:r>
      <w:r w:rsidR="00B70AA3" w:rsidRPr="00D6128F">
        <w:rPr>
          <w:sz w:val="22"/>
        </w:rPr>
        <w:t xml:space="preserve">strengthen </w:t>
      </w:r>
      <w:r w:rsidRPr="00D6128F">
        <w:rPr>
          <w:sz w:val="22"/>
        </w:rPr>
        <w:t xml:space="preserve">the resilience of </w:t>
      </w:r>
      <w:r w:rsidR="00B70AA3" w:rsidRPr="00D6128F">
        <w:rPr>
          <w:sz w:val="22"/>
        </w:rPr>
        <w:t xml:space="preserve">local </w:t>
      </w:r>
      <w:r w:rsidRPr="00D6128F">
        <w:rPr>
          <w:sz w:val="22"/>
        </w:rPr>
        <w:t>supply chains.</w:t>
      </w:r>
    </w:p>
    <w:p w14:paraId="7FE9F7F8" w14:textId="77777777" w:rsidR="00A12431" w:rsidRPr="00D6128F" w:rsidRDefault="004F5354" w:rsidP="00D25156">
      <w:pPr>
        <w:rPr>
          <w:sz w:val="22"/>
        </w:rPr>
      </w:pPr>
      <w:r w:rsidRPr="00D6128F">
        <w:rPr>
          <w:sz w:val="22"/>
        </w:rPr>
        <w:t>Meeting this target will require upstream action in the economy, especially through designing products that can be easily recovered at the end of their life. This involves identifying and removing harmful chemicals that hinder safe recycling and reuse in Australia. Materials substitution and innovation will be crucial to this effort. It will also require active markets for recovered resources and accelerating innovative uses of these resources as value-added products.</w:t>
      </w:r>
    </w:p>
    <w:p w14:paraId="4DDAF4A8" w14:textId="77777777" w:rsidR="00B21E4F" w:rsidRPr="005F4D33" w:rsidRDefault="004F5354" w:rsidP="000D7011">
      <w:pPr>
        <w:pStyle w:val="Heading4"/>
      </w:pPr>
      <w:r w:rsidRPr="005F4D33">
        <w:t>Target feasibility</w:t>
      </w:r>
    </w:p>
    <w:p w14:paraId="63E8ABC4" w14:textId="77777777" w:rsidR="00B21E4F" w:rsidRPr="00D6128F" w:rsidRDefault="004F5354" w:rsidP="00B21E4F">
      <w:pPr>
        <w:rPr>
          <w:sz w:val="22"/>
          <w:lang w:eastAsia="ja-JP"/>
        </w:rPr>
      </w:pPr>
      <w:r w:rsidRPr="00D6128F">
        <w:rPr>
          <w:sz w:val="22"/>
          <w:lang w:eastAsia="ja-JP"/>
        </w:rPr>
        <w:t xml:space="preserve">Analysis by the CSIRO shows that </w:t>
      </w:r>
      <w:r w:rsidR="00747BF2" w:rsidRPr="00D6128F">
        <w:rPr>
          <w:sz w:val="22"/>
          <w:lang w:eastAsia="ja-JP"/>
        </w:rPr>
        <w:t>Australia’s overarching goal</w:t>
      </w:r>
      <w:r w:rsidR="003F4946" w:rsidRPr="00D6128F">
        <w:rPr>
          <w:sz w:val="22"/>
          <w:lang w:eastAsia="ja-JP"/>
        </w:rPr>
        <w:t xml:space="preserve">, and material footprint and </w:t>
      </w:r>
      <w:r w:rsidR="000A31CE" w:rsidRPr="00D6128F">
        <w:rPr>
          <w:sz w:val="22"/>
          <w:lang w:eastAsia="ja-JP"/>
        </w:rPr>
        <w:t xml:space="preserve">material </w:t>
      </w:r>
      <w:r w:rsidR="003F4946" w:rsidRPr="00D6128F">
        <w:rPr>
          <w:sz w:val="22"/>
          <w:lang w:eastAsia="ja-JP"/>
        </w:rPr>
        <w:t>productivity targets are</w:t>
      </w:r>
      <w:r w:rsidR="00B661B1" w:rsidRPr="00D6128F">
        <w:rPr>
          <w:sz w:val="22"/>
          <w:lang w:eastAsia="ja-JP"/>
        </w:rPr>
        <w:t xml:space="preserve"> ambitious but</w:t>
      </w:r>
      <w:r w:rsidR="003F4946" w:rsidRPr="00D6128F">
        <w:rPr>
          <w:sz w:val="22"/>
          <w:lang w:eastAsia="ja-JP"/>
        </w:rPr>
        <w:t xml:space="preserve"> feasible with </w:t>
      </w:r>
      <w:r w:rsidR="00B661B1" w:rsidRPr="00D6128F">
        <w:rPr>
          <w:sz w:val="22"/>
          <w:lang w:eastAsia="ja-JP"/>
        </w:rPr>
        <w:t>a</w:t>
      </w:r>
      <w:r w:rsidR="003F4946" w:rsidRPr="00D6128F">
        <w:rPr>
          <w:sz w:val="22"/>
          <w:lang w:eastAsia="ja-JP"/>
        </w:rPr>
        <w:t xml:space="preserve"> suite of </w:t>
      </w:r>
      <w:r w:rsidR="00E42B23" w:rsidRPr="00D6128F">
        <w:rPr>
          <w:sz w:val="22"/>
          <w:lang w:eastAsia="ja-JP"/>
        </w:rPr>
        <w:t>circular/sustainable interventions</w:t>
      </w:r>
      <w:r w:rsidR="000A31CE" w:rsidRPr="00D6128F">
        <w:rPr>
          <w:sz w:val="22"/>
          <w:lang w:eastAsia="ja-JP"/>
        </w:rPr>
        <w:t xml:space="preserve"> across the sectors that are prioritised in this framework.</w:t>
      </w:r>
    </w:p>
    <w:p w14:paraId="70127D21" w14:textId="4887C6DB" w:rsidR="006A2E26" w:rsidRPr="00D6128F" w:rsidRDefault="004F5354" w:rsidP="00B21E4F">
      <w:pPr>
        <w:rPr>
          <w:sz w:val="22"/>
          <w:lang w:eastAsia="ja-JP"/>
        </w:rPr>
      </w:pPr>
      <w:r w:rsidRPr="00D6128F">
        <w:rPr>
          <w:sz w:val="22"/>
          <w:lang w:eastAsia="ja-JP"/>
        </w:rPr>
        <w:t xml:space="preserve">Australia’s resource recovery target </w:t>
      </w:r>
      <w:r w:rsidR="00F65C8A" w:rsidRPr="00D6128F">
        <w:rPr>
          <w:sz w:val="22"/>
          <w:lang w:eastAsia="ja-JP"/>
        </w:rPr>
        <w:t>is maintained in line with the existing target agreed by all governments</w:t>
      </w:r>
      <w:r w:rsidR="007B4072" w:rsidRPr="00D6128F">
        <w:rPr>
          <w:sz w:val="22"/>
          <w:lang w:eastAsia="ja-JP"/>
        </w:rPr>
        <w:t>.</w:t>
      </w:r>
    </w:p>
    <w:p w14:paraId="1BE4A324" w14:textId="77777777" w:rsidR="006A2E26" w:rsidRDefault="006A2E26">
      <w:pPr>
        <w:spacing w:after="0"/>
        <w:rPr>
          <w:sz w:val="18"/>
          <w:lang w:eastAsia="ja-JP"/>
        </w:rPr>
      </w:pPr>
      <w:r>
        <w:rPr>
          <w:sz w:val="18"/>
          <w:lang w:eastAsia="ja-JP"/>
        </w:rPr>
        <w:br w:type="page"/>
      </w:r>
    </w:p>
    <w:p w14:paraId="10574FA8" w14:textId="77777777" w:rsidR="000F4C23" w:rsidRPr="005F4D33" w:rsidRDefault="004F5354" w:rsidP="00D74F1B">
      <w:pPr>
        <w:pStyle w:val="Heading2"/>
        <w:rPr>
          <w:color w:val="auto"/>
        </w:rPr>
      </w:pPr>
      <w:bookmarkStart w:id="17" w:name="_Toc184220077"/>
      <w:r w:rsidRPr="005F4D33">
        <w:rPr>
          <w:color w:val="auto"/>
        </w:rPr>
        <w:lastRenderedPageBreak/>
        <w:t xml:space="preserve">Reasons </w:t>
      </w:r>
      <w:r w:rsidR="00FA5A42" w:rsidRPr="005F4D33">
        <w:rPr>
          <w:color w:val="auto"/>
        </w:rPr>
        <w:t>to go circular</w:t>
      </w:r>
      <w:bookmarkEnd w:id="17"/>
    </w:p>
    <w:p w14:paraId="50F4800E" w14:textId="77777777" w:rsidR="000F4C23" w:rsidRPr="005F4D33" w:rsidRDefault="004F5354" w:rsidP="00D74F1B">
      <w:pPr>
        <w:pStyle w:val="Heading3"/>
        <w:rPr>
          <w:color w:val="auto"/>
        </w:rPr>
      </w:pPr>
      <w:bookmarkStart w:id="18" w:name="_Toc184220078"/>
      <w:r w:rsidRPr="005F4D33">
        <w:rPr>
          <w:color w:val="auto"/>
        </w:rPr>
        <w:t>International trade</w:t>
      </w:r>
      <w:bookmarkEnd w:id="18"/>
    </w:p>
    <w:p w14:paraId="4EE17639" w14:textId="77777777" w:rsidR="001E1018" w:rsidRPr="00D6128F" w:rsidRDefault="004F5354" w:rsidP="007C5BDD">
      <w:pPr>
        <w:rPr>
          <w:sz w:val="22"/>
        </w:rPr>
      </w:pPr>
      <w:r w:rsidRPr="00D6128F">
        <w:rPr>
          <w:sz w:val="22"/>
        </w:rPr>
        <w:t>T</w:t>
      </w:r>
      <w:r w:rsidR="00115912" w:rsidRPr="00D6128F">
        <w:rPr>
          <w:sz w:val="22"/>
        </w:rPr>
        <w:t>he</w:t>
      </w:r>
      <w:r w:rsidRPr="00D6128F">
        <w:rPr>
          <w:sz w:val="22"/>
        </w:rPr>
        <w:t xml:space="preserve"> priorities described in this framework position Australia to benefit from the rising global demand for sustainable products and expand trade opportunities.</w:t>
      </w:r>
    </w:p>
    <w:p w14:paraId="3A81458B" w14:textId="731D998A" w:rsidR="00296EDA" w:rsidRPr="00D6128F" w:rsidRDefault="004F5354" w:rsidP="007C5BDD">
      <w:pPr>
        <w:rPr>
          <w:sz w:val="22"/>
        </w:rPr>
      </w:pPr>
      <w:r w:rsidRPr="00D6128F">
        <w:rPr>
          <w:sz w:val="22"/>
        </w:rPr>
        <w:t>Internationally, g</w:t>
      </w:r>
      <w:r w:rsidR="000F4C23" w:rsidRPr="00D6128F">
        <w:rPr>
          <w:sz w:val="22"/>
        </w:rPr>
        <w:t>overnments, businesses and non-government organisations</w:t>
      </w:r>
      <w:r w:rsidRPr="00D6128F">
        <w:rPr>
          <w:sz w:val="22"/>
        </w:rPr>
        <w:t xml:space="preserve"> are rapidly adopting the circular economy because of its economic, social and environmental</w:t>
      </w:r>
      <w:r w:rsidR="00021812" w:rsidRPr="00D6128F">
        <w:rPr>
          <w:sz w:val="22"/>
        </w:rPr>
        <w:t xml:space="preserve"> (including climate)</w:t>
      </w:r>
      <w:r w:rsidRPr="00D6128F">
        <w:rPr>
          <w:sz w:val="22"/>
        </w:rPr>
        <w:t xml:space="preserve"> benefits.</w:t>
      </w:r>
      <w:r w:rsidRPr="00D6128F">
        <w:rPr>
          <w:rStyle w:val="EndnoteReference"/>
          <w:sz w:val="22"/>
        </w:rPr>
        <w:endnoteReference w:id="13"/>
      </w:r>
      <w:r w:rsidRPr="00D6128F">
        <w:rPr>
          <w:sz w:val="22"/>
        </w:rPr>
        <w:t xml:space="preserve"> The circular economy features in the G7 Alliance of Resource Efficiency, UN Sustainable Development Goals and the Global Biodiversity Framework</w:t>
      </w:r>
      <w:r w:rsidR="003F6F68" w:rsidRPr="00D6128F">
        <w:rPr>
          <w:sz w:val="22"/>
        </w:rPr>
        <w:t>.</w:t>
      </w:r>
      <w:r w:rsidR="003A32E8" w:rsidRPr="00D6128F">
        <w:rPr>
          <w:rStyle w:val="EndnoteReference"/>
          <w:sz w:val="22"/>
        </w:rPr>
        <w:t xml:space="preserve"> </w:t>
      </w:r>
      <w:r w:rsidR="003A32E8" w:rsidRPr="00D6128F">
        <w:rPr>
          <w:rStyle w:val="EndnoteReference"/>
          <w:sz w:val="22"/>
        </w:rPr>
        <w:endnoteReference w:id="14"/>
      </w:r>
      <w:r w:rsidR="003F6F68" w:rsidRPr="00D6128F">
        <w:rPr>
          <w:sz w:val="22"/>
        </w:rPr>
        <w:t xml:space="preserve"> It</w:t>
      </w:r>
      <w:r w:rsidRPr="00D6128F">
        <w:rPr>
          <w:sz w:val="22"/>
        </w:rPr>
        <w:t xml:space="preserve"> is supported by global environmental agreements such as the </w:t>
      </w:r>
      <w:r w:rsidR="002E5BD7" w:rsidRPr="00D6128F">
        <w:rPr>
          <w:sz w:val="22"/>
        </w:rPr>
        <w:t>Basel Convention on the Control of Transboundary Movements of Hazardous Wastes and Their Disposal</w:t>
      </w:r>
      <w:r w:rsidRPr="00D6128F">
        <w:rPr>
          <w:sz w:val="22"/>
        </w:rPr>
        <w:t xml:space="preserve">, and the </w:t>
      </w:r>
      <w:r w:rsidR="002E5BD7" w:rsidRPr="00D6128F">
        <w:rPr>
          <w:sz w:val="22"/>
        </w:rPr>
        <w:t>Stockholm Convention on Persistent Organic Pollutants</w:t>
      </w:r>
      <w:r w:rsidRPr="00D6128F">
        <w:rPr>
          <w:sz w:val="22"/>
        </w:rPr>
        <w:t>.</w:t>
      </w:r>
    </w:p>
    <w:p w14:paraId="394C6CE2" w14:textId="77777777" w:rsidR="009D0AC0" w:rsidRPr="00232ACB" w:rsidRDefault="009D0AC0" w:rsidP="009D0AC0">
      <w:pPr>
        <w:pStyle w:val="Heading4"/>
      </w:pPr>
      <w:bookmarkStart w:id="19" w:name="_Hlk182582331"/>
      <w:bookmarkEnd w:id="19"/>
      <w:r>
        <w:t>Circular products saving resources and costs</w:t>
      </w:r>
    </w:p>
    <w:p w14:paraId="43F9F73D" w14:textId="77777777" w:rsidR="009D0AC0" w:rsidRPr="00D6128F" w:rsidRDefault="009D0AC0" w:rsidP="009D0AC0">
      <w:pPr>
        <w:spacing w:after="80"/>
        <w:rPr>
          <w:sz w:val="22"/>
        </w:rPr>
      </w:pPr>
      <w:r w:rsidRPr="00D6128F">
        <w:rPr>
          <w:sz w:val="22"/>
        </w:rPr>
        <w:t>A circular economy reduces the cost of living by promoting high-quality, durable, and repairable products that last longer, minimising the need for frequent replacements. Unlike disposable, short-lived products, these well-made items save consumers money over time by cutting down on repeat purchases, thereby lowering overall household expenses and waste. EU projections for 2030 suggest that disposable income in a circular economy could be up to 11 percentage points higher, with households potentially saving around €600 annually.</w:t>
      </w:r>
    </w:p>
    <w:p w14:paraId="678EB088" w14:textId="77777777" w:rsidR="009D0AC0" w:rsidRPr="00D6128F" w:rsidRDefault="009D0AC0" w:rsidP="009D0AC0">
      <w:pPr>
        <w:keepNext/>
        <w:keepLines/>
        <w:spacing w:before="120"/>
        <w:rPr>
          <w:sz w:val="22"/>
        </w:rPr>
      </w:pPr>
      <w:r w:rsidRPr="00D6128F">
        <w:rPr>
          <w:sz w:val="22"/>
        </w:rPr>
        <w:t>Similar cost-saving outcomes are already seen in Australia’s energy and water efficiency schemes, which conserve resources through better quality products. For example, the Water Efficiency Labelling Scheme (WELS) is estimated to have saved 172 GL of water and $1.6 billion to the national economy in 2024 through reduced utility bills and prevented 2.39 million metric tonnes of emissions. Applying circular economy principles like product durability and repairability to product design can support additional cost savings, ease financial pressures on households and reduce waste.</w:t>
      </w:r>
    </w:p>
    <w:p w14:paraId="0C55C15D" w14:textId="66D35795" w:rsidR="00CF68ED" w:rsidRPr="00D6128F" w:rsidRDefault="00CF68ED" w:rsidP="001B15EF">
      <w:pPr>
        <w:rPr>
          <w:sz w:val="22"/>
        </w:rPr>
      </w:pPr>
      <w:r w:rsidRPr="00D6128F">
        <w:rPr>
          <w:b/>
          <w:bCs/>
          <w:sz w:val="22"/>
        </w:rPr>
        <w:t>Three quarters of the G20 economies have national circular economy strategies</w:t>
      </w:r>
      <w:r w:rsidRPr="00D6128F">
        <w:rPr>
          <w:sz w:val="22"/>
        </w:rPr>
        <w:t>, with G20 leaders recently committing to ‘enhance environmentally sound waste management, substantially reduce waste generation by 2030, and highlight the importance of zero waste initiatives</w:t>
      </w:r>
      <w:r w:rsidR="00377018" w:rsidRPr="00D6128F">
        <w:rPr>
          <w:sz w:val="22"/>
        </w:rPr>
        <w:t>’</w:t>
      </w:r>
      <w:r w:rsidRPr="00D6128F">
        <w:rPr>
          <w:sz w:val="22"/>
        </w:rPr>
        <w:t>.</w:t>
      </w:r>
      <w:r w:rsidR="004F5354" w:rsidRPr="00D6128F">
        <w:rPr>
          <w:rStyle w:val="EndnoteReference"/>
          <w:sz w:val="22"/>
        </w:rPr>
        <w:endnoteReference w:id="15"/>
      </w:r>
      <w:r w:rsidR="001D4B47" w:rsidRPr="00D6128F">
        <w:rPr>
          <w:sz w:val="22"/>
        </w:rPr>
        <w:t xml:space="preserve"> </w:t>
      </w:r>
      <w:r w:rsidR="007F6EEF" w:rsidRPr="00D6128F">
        <w:rPr>
          <w:sz w:val="22"/>
        </w:rPr>
        <w:t xml:space="preserve">This framework </w:t>
      </w:r>
      <w:r w:rsidR="00BD5483" w:rsidRPr="00D6128F">
        <w:rPr>
          <w:sz w:val="22"/>
        </w:rPr>
        <w:t xml:space="preserve">establishes Australia’s equivalent national </w:t>
      </w:r>
      <w:r w:rsidR="00B149CA" w:rsidRPr="00D6128F">
        <w:rPr>
          <w:sz w:val="22"/>
        </w:rPr>
        <w:t>strategy and</w:t>
      </w:r>
      <w:r w:rsidR="00BD5483" w:rsidRPr="00D6128F">
        <w:rPr>
          <w:sz w:val="22"/>
        </w:rPr>
        <w:t xml:space="preserve"> is designed to align with emerging priorities in global supply chains.</w:t>
      </w:r>
    </w:p>
    <w:p w14:paraId="50E7B46C" w14:textId="77777777" w:rsidR="001D4B47" w:rsidRPr="00D6128F" w:rsidRDefault="004F5354" w:rsidP="001D4B47">
      <w:pPr>
        <w:rPr>
          <w:sz w:val="22"/>
        </w:rPr>
      </w:pPr>
      <w:r w:rsidRPr="00D6128F">
        <w:rPr>
          <w:sz w:val="22"/>
        </w:rPr>
        <w:t>Australia has well-established connections to many of the key global economies leading the circular economy transition, with trade representing almost half of Australia’s GDP.</w:t>
      </w:r>
      <w:r w:rsidRPr="00D6128F">
        <w:rPr>
          <w:rStyle w:val="EndnoteReference"/>
          <w:sz w:val="22"/>
        </w:rPr>
        <w:endnoteReference w:id="16"/>
      </w:r>
      <w:r w:rsidRPr="00D6128F">
        <w:rPr>
          <w:sz w:val="22"/>
        </w:rPr>
        <w:t xml:space="preserve"> </w:t>
      </w:r>
      <w:r w:rsidR="004C14B2" w:rsidRPr="00D6128F">
        <w:rPr>
          <w:sz w:val="22"/>
        </w:rPr>
        <w:t>More than 40% of our exports go to economies that are embracing the circular economy through stronger product and materials standards. These include Japan, Korea, India, the USA, Taiwan and Singapore</w:t>
      </w:r>
      <w:r w:rsidR="00580980" w:rsidRPr="00D6128F">
        <w:rPr>
          <w:sz w:val="22"/>
        </w:rPr>
        <w:t>.</w:t>
      </w:r>
      <w:r w:rsidRPr="00D6128F">
        <w:rPr>
          <w:rStyle w:val="EndnoteReference"/>
          <w:sz w:val="22"/>
        </w:rPr>
        <w:endnoteReference w:id="17"/>
      </w:r>
      <w:r w:rsidR="00586FA6" w:rsidRPr="00D6128F">
        <w:rPr>
          <w:sz w:val="22"/>
        </w:rPr>
        <w:t xml:space="preserve"> </w:t>
      </w:r>
      <w:r w:rsidR="00580980" w:rsidRPr="00D6128F">
        <w:rPr>
          <w:sz w:val="22"/>
        </w:rPr>
        <w:t>Global trade in green goods, including those designed to use fewer resources and produce less pollution, is projected to quadruple by 2030.</w:t>
      </w:r>
      <w:r w:rsidRPr="00D6128F">
        <w:rPr>
          <w:rStyle w:val="EndnoteReference"/>
          <w:sz w:val="22"/>
        </w:rPr>
        <w:endnoteReference w:id="18"/>
      </w:r>
      <w:r w:rsidR="00B149CA" w:rsidRPr="00D6128F">
        <w:rPr>
          <w:sz w:val="22"/>
        </w:rPr>
        <w:t xml:space="preserve"> </w:t>
      </w:r>
      <w:r w:rsidR="005E4A57" w:rsidRPr="00D6128F">
        <w:rPr>
          <w:sz w:val="22"/>
        </w:rPr>
        <w:t>P</w:t>
      </w:r>
      <w:r w:rsidR="00B149CA" w:rsidRPr="00D6128F">
        <w:rPr>
          <w:sz w:val="22"/>
        </w:rPr>
        <w:t xml:space="preserve">roduct-based opportunities are </w:t>
      </w:r>
      <w:r w:rsidR="005E4A57" w:rsidRPr="00D6128F">
        <w:rPr>
          <w:sz w:val="22"/>
        </w:rPr>
        <w:t>prioritised in this framework, including circular packaging and sustainable building materials.</w:t>
      </w:r>
    </w:p>
    <w:p w14:paraId="64017071" w14:textId="77777777" w:rsidR="00766E19" w:rsidRPr="00D6128F" w:rsidRDefault="004F5354" w:rsidP="00766E19">
      <w:pPr>
        <w:rPr>
          <w:sz w:val="22"/>
        </w:rPr>
      </w:pPr>
      <w:r w:rsidRPr="00D6128F">
        <w:rPr>
          <w:sz w:val="22"/>
        </w:rPr>
        <w:t xml:space="preserve">Australians also consume goods imported from all over the world. Controlling the circularity of imports is difficult, but greening global markets are already shaping our transition. </w:t>
      </w:r>
      <w:r w:rsidR="00D01113" w:rsidRPr="00D6128F">
        <w:rPr>
          <w:sz w:val="22"/>
        </w:rPr>
        <w:t>By proactively engaging with and adapting to international standards on the circular economy, Australia can best capitalise on growing global demand for sustainable products and processes.</w:t>
      </w:r>
    </w:p>
    <w:p w14:paraId="26439DC2" w14:textId="77777777" w:rsidR="00766E19" w:rsidRPr="00D6128F" w:rsidRDefault="004F5354" w:rsidP="00584FB4">
      <w:pPr>
        <w:rPr>
          <w:sz w:val="22"/>
        </w:rPr>
      </w:pPr>
      <w:r w:rsidRPr="00D6128F">
        <w:rPr>
          <w:sz w:val="22"/>
        </w:rPr>
        <w:t xml:space="preserve">Around a quarter of Australia's </w:t>
      </w:r>
      <w:r w:rsidR="00AB4924" w:rsidRPr="00D6128F">
        <w:rPr>
          <w:sz w:val="22"/>
        </w:rPr>
        <w:t>Free Trade Agreements</w:t>
      </w:r>
      <w:r w:rsidR="002445EB" w:rsidRPr="00D6128F">
        <w:rPr>
          <w:sz w:val="22"/>
        </w:rPr>
        <w:t xml:space="preserve"> (FTAs)</w:t>
      </w:r>
      <w:r w:rsidRPr="00D6128F">
        <w:rPr>
          <w:sz w:val="22"/>
        </w:rPr>
        <w:t xml:space="preserve"> include clauses related to renewable energy, climate change, and environmental concerns.</w:t>
      </w:r>
      <w:r w:rsidRPr="00D6128F">
        <w:rPr>
          <w:sz w:val="22"/>
          <w:vertAlign w:val="superscript"/>
        </w:rPr>
        <w:endnoteReference w:id="19"/>
      </w:r>
      <w:r w:rsidRPr="00D6128F">
        <w:rPr>
          <w:sz w:val="22"/>
        </w:rPr>
        <w:t xml:space="preserve"> </w:t>
      </w:r>
      <w:r w:rsidR="00731D2A" w:rsidRPr="00D6128F">
        <w:rPr>
          <w:sz w:val="22"/>
        </w:rPr>
        <w:t>Some of these include</w:t>
      </w:r>
      <w:r w:rsidRPr="00D6128F">
        <w:rPr>
          <w:sz w:val="22"/>
        </w:rPr>
        <w:t xml:space="preserve"> substantive circular economy commitments, such as the Australia</w:t>
      </w:r>
      <w:r w:rsidR="00F64DEA" w:rsidRPr="00D6128F">
        <w:rPr>
          <w:rFonts w:cstheme="minorHAnsi"/>
          <w:sz w:val="22"/>
        </w:rPr>
        <w:t>–</w:t>
      </w:r>
      <w:r w:rsidRPr="00D6128F">
        <w:rPr>
          <w:sz w:val="22"/>
        </w:rPr>
        <w:t>UK FTA.</w:t>
      </w:r>
      <w:r w:rsidR="00AD36FD" w:rsidRPr="00D6128F">
        <w:rPr>
          <w:sz w:val="22"/>
        </w:rPr>
        <w:t xml:space="preserve"> </w:t>
      </w:r>
      <w:r w:rsidRPr="00D6128F">
        <w:rPr>
          <w:sz w:val="22"/>
        </w:rPr>
        <w:t>By embracing circular economy principles, Australia can increase the competitiveness of its exports in growing markets, while also capitalising on FTAs that already include relevant commitments.</w:t>
      </w:r>
    </w:p>
    <w:p w14:paraId="0B07D4E0" w14:textId="77777777" w:rsidR="00A43FD6" w:rsidRPr="005F4D33" w:rsidRDefault="004F5354" w:rsidP="00D74F1B">
      <w:pPr>
        <w:pStyle w:val="Heading3"/>
        <w:rPr>
          <w:color w:val="auto"/>
        </w:rPr>
      </w:pPr>
      <w:bookmarkStart w:id="21" w:name="_Toc184220079"/>
      <w:r w:rsidRPr="005F4D33">
        <w:rPr>
          <w:color w:val="auto"/>
        </w:rPr>
        <w:lastRenderedPageBreak/>
        <w:t>Economics, investment and resilience</w:t>
      </w:r>
      <w:bookmarkEnd w:id="21"/>
    </w:p>
    <w:p w14:paraId="467E4E18" w14:textId="77777777" w:rsidR="00A43FD6" w:rsidRPr="00D6128F" w:rsidRDefault="004F5354" w:rsidP="00A43FD6">
      <w:pPr>
        <w:rPr>
          <w:sz w:val="22"/>
        </w:rPr>
      </w:pPr>
      <w:r w:rsidRPr="00D6128F">
        <w:rPr>
          <w:sz w:val="22"/>
        </w:rPr>
        <w:t>Smarter, more efficient use of resources drive</w:t>
      </w:r>
      <w:r w:rsidR="00551927" w:rsidRPr="00D6128F">
        <w:rPr>
          <w:sz w:val="22"/>
        </w:rPr>
        <w:t>s</w:t>
      </w:r>
      <w:r w:rsidRPr="00D6128F">
        <w:rPr>
          <w:sz w:val="22"/>
        </w:rPr>
        <w:t xml:space="preserve"> productivity and economic growth, by allowing businesses to produce more output with the current level of inputs.</w:t>
      </w:r>
      <w:r w:rsidRPr="00D6128F">
        <w:rPr>
          <w:sz w:val="22"/>
          <w:lang w:eastAsia="ja-JP"/>
        </w:rPr>
        <w:t xml:space="preserve"> </w:t>
      </w:r>
      <w:r w:rsidR="008D7AFB" w:rsidRPr="00D6128F">
        <w:rPr>
          <w:sz w:val="22"/>
          <w:lang w:eastAsia="ja-JP"/>
        </w:rPr>
        <w:t xml:space="preserve">CSIRO modelling </w:t>
      </w:r>
      <w:r w:rsidR="00D136D6" w:rsidRPr="00D6128F">
        <w:rPr>
          <w:sz w:val="22"/>
          <w:lang w:eastAsia="ja-JP"/>
        </w:rPr>
        <w:t>show</w:t>
      </w:r>
      <w:r w:rsidR="00212488" w:rsidRPr="00D6128F">
        <w:rPr>
          <w:sz w:val="22"/>
          <w:lang w:eastAsia="ja-JP"/>
        </w:rPr>
        <w:t>s</w:t>
      </w:r>
      <w:r w:rsidR="00D136D6" w:rsidRPr="00D6128F">
        <w:rPr>
          <w:sz w:val="22"/>
          <w:lang w:eastAsia="ja-JP"/>
        </w:rPr>
        <w:t xml:space="preserve"> that d</w:t>
      </w:r>
      <w:r w:rsidRPr="00D6128F">
        <w:rPr>
          <w:sz w:val="22"/>
          <w:lang w:eastAsia="ja-JP"/>
        </w:rPr>
        <w:t xml:space="preserve">oubling the circularity of the economy is expected to deliver a net economic benefit </w:t>
      </w:r>
      <w:r w:rsidR="00373BEA" w:rsidRPr="00D6128F">
        <w:rPr>
          <w:sz w:val="22"/>
          <w:lang w:eastAsia="ja-JP"/>
        </w:rPr>
        <w:t xml:space="preserve">of </w:t>
      </w:r>
      <w:r w:rsidR="00373BEA" w:rsidRPr="00D6128F">
        <w:rPr>
          <w:sz w:val="22"/>
        </w:rPr>
        <w:t>$</w:t>
      </w:r>
      <w:r w:rsidR="006E0173" w:rsidRPr="00D6128F">
        <w:rPr>
          <w:sz w:val="22"/>
        </w:rPr>
        <w:t>26</w:t>
      </w:r>
      <w:r w:rsidR="00373BEA" w:rsidRPr="00D6128F">
        <w:rPr>
          <w:sz w:val="22"/>
        </w:rPr>
        <w:t xml:space="preserve"> billion in </w:t>
      </w:r>
      <w:r w:rsidR="006E0173" w:rsidRPr="00D6128F">
        <w:rPr>
          <w:sz w:val="22"/>
        </w:rPr>
        <w:t>GDP</w:t>
      </w:r>
      <w:r w:rsidR="00373BEA" w:rsidRPr="00D6128F">
        <w:rPr>
          <w:sz w:val="22"/>
        </w:rPr>
        <w:t xml:space="preserve"> by 2035</w:t>
      </w:r>
      <w:r w:rsidR="00373BEA" w:rsidRPr="00D6128F">
        <w:rPr>
          <w:sz w:val="22"/>
          <w:lang w:eastAsia="ja-JP"/>
        </w:rPr>
        <w:t>.</w:t>
      </w:r>
      <w:r w:rsidR="006E0173" w:rsidRPr="00D6128F">
        <w:rPr>
          <w:sz w:val="22"/>
          <w:vertAlign w:val="superscript"/>
          <w:lang w:eastAsia="ja-JP"/>
        </w:rPr>
        <w:t>i</w:t>
      </w:r>
    </w:p>
    <w:p w14:paraId="7686DBD0" w14:textId="1E8957E6" w:rsidR="00A43FD6" w:rsidRPr="00D6128F" w:rsidRDefault="004F5354" w:rsidP="00A43FD6">
      <w:pPr>
        <w:rPr>
          <w:sz w:val="22"/>
        </w:rPr>
      </w:pPr>
      <w:r w:rsidRPr="00D6128F">
        <w:rPr>
          <w:sz w:val="22"/>
        </w:rPr>
        <w:t>Foreign direct investment in Australia is also growing fast and is tied to circular economy performance. In 2022</w:t>
      </w:r>
      <w:r w:rsidRPr="00D6128F">
        <w:rPr>
          <w:rFonts w:cstheme="minorHAnsi"/>
          <w:sz w:val="22"/>
        </w:rPr>
        <w:t>–</w:t>
      </w:r>
      <w:r w:rsidRPr="00D6128F">
        <w:rPr>
          <w:sz w:val="22"/>
        </w:rPr>
        <w:t>23, foreign investment was $4.7 trillion,</w:t>
      </w:r>
      <w:r w:rsidRPr="00D6128F">
        <w:rPr>
          <w:rFonts w:cstheme="minorHAnsi"/>
          <w:sz w:val="22"/>
        </w:rPr>
        <w:t xml:space="preserve"> with</w:t>
      </w:r>
      <w:r w:rsidRPr="00D6128F">
        <w:rPr>
          <w:sz w:val="22"/>
        </w:rPr>
        <w:t xml:space="preserve"> the top 3 foreign direct investors</w:t>
      </w:r>
      <w:r w:rsidRPr="00D6128F">
        <w:rPr>
          <w:rFonts w:cstheme="minorHAnsi"/>
          <w:sz w:val="22"/>
        </w:rPr>
        <w:t xml:space="preserve"> (</w:t>
      </w:r>
      <w:r w:rsidRPr="00D6128F">
        <w:rPr>
          <w:sz w:val="22"/>
        </w:rPr>
        <w:t>the USA, UK and Japan) also notable leaders in the circular economy.</w:t>
      </w:r>
      <w:r w:rsidRPr="00D6128F">
        <w:rPr>
          <w:rStyle w:val="EndnoteReference"/>
          <w:sz w:val="22"/>
        </w:rPr>
        <w:endnoteReference w:id="20"/>
      </w:r>
      <w:r w:rsidRPr="00D6128F">
        <w:rPr>
          <w:sz w:val="22"/>
        </w:rPr>
        <w:t xml:space="preserve"> By advancing a circular economy transition, Australia can offer investors a stable and forward-thinking market that aligns with their sustainability goals.</w:t>
      </w:r>
    </w:p>
    <w:p w14:paraId="2EABA663" w14:textId="77777777" w:rsidR="006104E4" w:rsidRPr="00D6128F" w:rsidRDefault="004F5354" w:rsidP="001A1187">
      <w:pPr>
        <w:rPr>
          <w:sz w:val="22"/>
        </w:rPr>
      </w:pPr>
      <w:r w:rsidRPr="00D6128F">
        <w:rPr>
          <w:sz w:val="22"/>
        </w:rPr>
        <w:t>Reducing production waste in the system significantly cuts industry costs.</w:t>
      </w:r>
      <w:r w:rsidR="00B6374A" w:rsidRPr="00D6128F">
        <w:rPr>
          <w:sz w:val="22"/>
        </w:rPr>
        <w:t xml:space="preserve"> For example, i</w:t>
      </w:r>
      <w:r w:rsidRPr="00D6128F">
        <w:rPr>
          <w:sz w:val="22"/>
        </w:rPr>
        <w:t xml:space="preserve">n </w:t>
      </w:r>
      <w:r w:rsidR="00B6374A" w:rsidRPr="00D6128F">
        <w:rPr>
          <w:sz w:val="22"/>
        </w:rPr>
        <w:t xml:space="preserve">the </w:t>
      </w:r>
      <w:r w:rsidRPr="00D6128F">
        <w:rPr>
          <w:sz w:val="22"/>
        </w:rPr>
        <w:t>construction</w:t>
      </w:r>
      <w:r w:rsidR="00B6374A" w:rsidRPr="00D6128F">
        <w:rPr>
          <w:sz w:val="22"/>
        </w:rPr>
        <w:t xml:space="preserve"> sector</w:t>
      </w:r>
      <w:r w:rsidRPr="00D6128F">
        <w:rPr>
          <w:sz w:val="22"/>
        </w:rPr>
        <w:t>, waste management can account for up to 30% of project costs. By adopting circular economy practices – such as reusing materials, reducing waste, and increasing recycling – industries can lower these expenses. Strategies which reduce municipal waste volumes also help to constrain further pressure on household rates.</w:t>
      </w:r>
    </w:p>
    <w:p w14:paraId="4984E90D" w14:textId="77777777" w:rsidR="000F4C23" w:rsidRPr="005F4D33" w:rsidRDefault="004F5354" w:rsidP="00D74F1B">
      <w:pPr>
        <w:pStyle w:val="Heading3"/>
        <w:rPr>
          <w:color w:val="auto"/>
        </w:rPr>
      </w:pPr>
      <w:bookmarkStart w:id="22" w:name="_Toc184220080"/>
      <w:r w:rsidRPr="005F4D33">
        <w:rPr>
          <w:color w:val="auto"/>
        </w:rPr>
        <w:t>Environmental and social benefits</w:t>
      </w:r>
      <w:bookmarkEnd w:id="22"/>
    </w:p>
    <w:p w14:paraId="0AED61E8" w14:textId="77777777" w:rsidR="000F4C23" w:rsidRPr="00D6128F" w:rsidRDefault="004F5354" w:rsidP="00D573B8">
      <w:pPr>
        <w:rPr>
          <w:sz w:val="22"/>
        </w:rPr>
      </w:pPr>
      <w:r w:rsidRPr="00D6128F">
        <w:rPr>
          <w:sz w:val="22"/>
        </w:rPr>
        <w:t>A circular economy minimis</w:t>
      </w:r>
      <w:r w:rsidR="00EA5A7F" w:rsidRPr="00D6128F">
        <w:rPr>
          <w:sz w:val="22"/>
        </w:rPr>
        <w:t>es</w:t>
      </w:r>
      <w:r w:rsidRPr="00D6128F">
        <w:rPr>
          <w:sz w:val="22"/>
        </w:rPr>
        <w:t xml:space="preserve"> </w:t>
      </w:r>
      <w:r w:rsidR="008E4A47" w:rsidRPr="00D6128F">
        <w:rPr>
          <w:sz w:val="22"/>
        </w:rPr>
        <w:t>waste and pollution</w:t>
      </w:r>
      <w:r w:rsidRPr="00D6128F">
        <w:rPr>
          <w:sz w:val="22"/>
        </w:rPr>
        <w:t xml:space="preserve">. In turn, </w:t>
      </w:r>
      <w:r w:rsidR="004603AB" w:rsidRPr="00D6128F">
        <w:rPr>
          <w:sz w:val="22"/>
        </w:rPr>
        <w:t>wasting less</w:t>
      </w:r>
      <w:r w:rsidRPr="00D6128F">
        <w:rPr>
          <w:sz w:val="22"/>
        </w:rPr>
        <w:t xml:space="preserve"> takes pressure off our natural environment and supports other aims like restoring biodiversity. By supporting sustainable consumption and production, the circular economy also alleviates pressure on habitats from resource extraction activities.</w:t>
      </w:r>
    </w:p>
    <w:p w14:paraId="4FD1AE03" w14:textId="77777777" w:rsidR="005A0EFC" w:rsidRPr="00D6128F" w:rsidRDefault="004F5354" w:rsidP="00AD36FD">
      <w:pPr>
        <w:rPr>
          <w:sz w:val="22"/>
        </w:rPr>
      </w:pPr>
      <w:r w:rsidRPr="00D6128F">
        <w:rPr>
          <w:sz w:val="22"/>
        </w:rPr>
        <w:t xml:space="preserve">The natural environment provides a source of cultural and spiritual connection for </w:t>
      </w:r>
      <w:r w:rsidR="009E28AE" w:rsidRPr="00D6128F">
        <w:rPr>
          <w:sz w:val="22"/>
        </w:rPr>
        <w:t xml:space="preserve">Australia’s </w:t>
      </w:r>
      <w:r w:rsidRPr="00D6128F">
        <w:rPr>
          <w:sz w:val="22"/>
        </w:rPr>
        <w:t>First Nations people</w:t>
      </w:r>
      <w:r w:rsidR="00BC6FE0" w:rsidRPr="00D6128F">
        <w:rPr>
          <w:sz w:val="22"/>
        </w:rPr>
        <w:t>s</w:t>
      </w:r>
      <w:r w:rsidR="009E28AE" w:rsidRPr="00D6128F">
        <w:rPr>
          <w:rStyle w:val="CommentReference"/>
          <w:sz w:val="22"/>
          <w:szCs w:val="22"/>
        </w:rPr>
        <w:t>.</w:t>
      </w:r>
      <w:r w:rsidRPr="00D6128F">
        <w:rPr>
          <w:sz w:val="22"/>
        </w:rPr>
        <w:t xml:space="preserve"> </w:t>
      </w:r>
      <w:r w:rsidR="008D2C91" w:rsidRPr="00D6128F">
        <w:rPr>
          <w:sz w:val="22"/>
        </w:rPr>
        <w:t xml:space="preserve">Respecting the value of resources and minimising impacts on the environment helps to </w:t>
      </w:r>
      <w:r w:rsidR="009943A2" w:rsidRPr="00D6128F">
        <w:rPr>
          <w:sz w:val="22"/>
        </w:rPr>
        <w:t xml:space="preserve">preserve and restore this </w:t>
      </w:r>
      <w:r w:rsidRPr="00D6128F">
        <w:rPr>
          <w:sz w:val="22"/>
        </w:rPr>
        <w:t>source of cultural heritage</w:t>
      </w:r>
      <w:r w:rsidR="00F15897" w:rsidRPr="00D6128F">
        <w:rPr>
          <w:sz w:val="22"/>
        </w:rPr>
        <w:t>.</w:t>
      </w:r>
    </w:p>
    <w:p w14:paraId="3A0D93CA" w14:textId="77777777" w:rsidR="00150E16" w:rsidRPr="00D6128F" w:rsidRDefault="004F5354" w:rsidP="00AD36FD">
      <w:pPr>
        <w:rPr>
          <w:sz w:val="22"/>
        </w:rPr>
      </w:pPr>
      <w:r w:rsidRPr="00D6128F">
        <w:rPr>
          <w:sz w:val="22"/>
        </w:rPr>
        <w:t>Reducing</w:t>
      </w:r>
      <w:r w:rsidR="00E92A25" w:rsidRPr="00D6128F">
        <w:rPr>
          <w:sz w:val="22"/>
        </w:rPr>
        <w:t xml:space="preserve"> waste and pollution lead</w:t>
      </w:r>
      <w:r w:rsidR="008D2C91" w:rsidRPr="00D6128F">
        <w:rPr>
          <w:sz w:val="22"/>
        </w:rPr>
        <w:t>s</w:t>
      </w:r>
      <w:r w:rsidR="00E92A25" w:rsidRPr="00D6128F">
        <w:rPr>
          <w:sz w:val="22"/>
        </w:rPr>
        <w:t xml:space="preserve"> to cleaner environments and healthier communities. It also promotes sustainable resource use, creating economic opportunities and enhancing resilience against environmental challenges.</w:t>
      </w:r>
      <w:r w:rsidR="00AE7A2D" w:rsidRPr="00D6128F">
        <w:rPr>
          <w:sz w:val="22"/>
        </w:rPr>
        <w:t xml:space="preserve"> </w:t>
      </w:r>
      <w:r w:rsidR="00FA06AA" w:rsidRPr="00D6128F">
        <w:rPr>
          <w:sz w:val="22"/>
        </w:rPr>
        <w:t>A</w:t>
      </w:r>
      <w:r w:rsidR="00AE7A2D" w:rsidRPr="00D6128F">
        <w:rPr>
          <w:sz w:val="22"/>
        </w:rPr>
        <w:t xml:space="preserve"> circular economy transition is one of </w:t>
      </w:r>
      <w:r w:rsidR="00347D63" w:rsidRPr="00D6128F">
        <w:rPr>
          <w:sz w:val="22"/>
        </w:rPr>
        <w:t>6</w:t>
      </w:r>
      <w:r w:rsidR="00AE7A2D" w:rsidRPr="00D6128F">
        <w:rPr>
          <w:sz w:val="22"/>
        </w:rPr>
        <w:t xml:space="preserve"> </w:t>
      </w:r>
      <w:r w:rsidR="00490F0C" w:rsidRPr="00D6128F">
        <w:rPr>
          <w:sz w:val="22"/>
        </w:rPr>
        <w:t>priorities</w:t>
      </w:r>
      <w:r w:rsidR="00AE7A2D" w:rsidRPr="00D6128F">
        <w:rPr>
          <w:sz w:val="22"/>
        </w:rPr>
        <w:t xml:space="preserve"> reflected in </w:t>
      </w:r>
      <w:r w:rsidR="00FA06AA" w:rsidRPr="00D6128F">
        <w:rPr>
          <w:sz w:val="22"/>
        </w:rPr>
        <w:t xml:space="preserve">Australia’s Strategy for Nature 2024 </w:t>
      </w:r>
      <w:r w:rsidR="0040633F" w:rsidRPr="00D6128F">
        <w:rPr>
          <w:rFonts w:cstheme="minorHAnsi"/>
          <w:sz w:val="22"/>
        </w:rPr>
        <w:t>–</w:t>
      </w:r>
      <w:r w:rsidR="00FA06AA" w:rsidRPr="00D6128F">
        <w:rPr>
          <w:sz w:val="22"/>
        </w:rPr>
        <w:t>2030</w:t>
      </w:r>
      <w:r w:rsidR="00FA06AA" w:rsidRPr="00D6128F">
        <w:rPr>
          <w:i/>
          <w:iCs/>
          <w:sz w:val="22"/>
        </w:rPr>
        <w:t>.</w:t>
      </w:r>
    </w:p>
    <w:p w14:paraId="35EB7909" w14:textId="77777777" w:rsidR="00EF42E6" w:rsidRPr="005F4D33" w:rsidRDefault="004F5354" w:rsidP="00D74F1B">
      <w:pPr>
        <w:pStyle w:val="Heading3"/>
        <w:rPr>
          <w:color w:val="auto"/>
        </w:rPr>
      </w:pPr>
      <w:bookmarkStart w:id="23" w:name="_Toc184220081"/>
      <w:r w:rsidRPr="005F4D33">
        <w:rPr>
          <w:color w:val="auto"/>
        </w:rPr>
        <w:t>Climate change</w:t>
      </w:r>
      <w:bookmarkEnd w:id="23"/>
    </w:p>
    <w:p w14:paraId="258F2124" w14:textId="77777777" w:rsidR="00EF42E6" w:rsidRPr="00D6128F" w:rsidRDefault="004F5354" w:rsidP="00EF42E6">
      <w:pPr>
        <w:rPr>
          <w:sz w:val="22"/>
        </w:rPr>
      </w:pPr>
      <w:r w:rsidRPr="00D6128F">
        <w:rPr>
          <w:sz w:val="22"/>
        </w:rPr>
        <w:t>The circular economy is increasingly recognised as a decarbonisation opportunity and strategy. As of 2023, 27% of countries Nationally Determined Contributions explicitly mention the circular economy as part of their mitigation measures.</w:t>
      </w:r>
      <w:r w:rsidRPr="00D6128F">
        <w:rPr>
          <w:rStyle w:val="EndnoteReference"/>
          <w:sz w:val="22"/>
        </w:rPr>
        <w:endnoteReference w:id="21"/>
      </w:r>
    </w:p>
    <w:p w14:paraId="7EF737DE" w14:textId="06AF89B4" w:rsidR="00EF42E6" w:rsidRPr="00D6128F" w:rsidRDefault="004F5354" w:rsidP="00EF42E6">
      <w:pPr>
        <w:rPr>
          <w:sz w:val="22"/>
        </w:rPr>
      </w:pPr>
      <w:r w:rsidRPr="00D6128F">
        <w:rPr>
          <w:sz w:val="22"/>
        </w:rPr>
        <w:t>Doubling the circularity of the economy by 2035 puts Australia on course to abate up to 23% of Australia's greenhouse gas emissions by 2050</w:t>
      </w:r>
      <w:r w:rsidR="00DF4CB6" w:rsidRPr="00D6128F">
        <w:rPr>
          <w:sz w:val="22"/>
        </w:rPr>
        <w:t xml:space="preserve"> according to </w:t>
      </w:r>
      <w:r w:rsidR="00F54770" w:rsidRPr="00D6128F">
        <w:rPr>
          <w:sz w:val="22"/>
        </w:rPr>
        <w:t xml:space="preserve">CSIRO </w:t>
      </w:r>
      <w:r w:rsidR="00DF4CB6" w:rsidRPr="00D6128F">
        <w:rPr>
          <w:sz w:val="22"/>
        </w:rPr>
        <w:t>modelling</w:t>
      </w:r>
      <w:r w:rsidRPr="00D6128F">
        <w:rPr>
          <w:sz w:val="22"/>
        </w:rPr>
        <w:t>.</w:t>
      </w:r>
      <w:r w:rsidRPr="00D6128F">
        <w:rPr>
          <w:rStyle w:val="EndnoteReference"/>
          <w:sz w:val="22"/>
        </w:rPr>
        <w:endnoteReference w:id="22"/>
      </w:r>
      <w:r w:rsidRPr="00D6128F">
        <w:rPr>
          <w:sz w:val="22"/>
        </w:rPr>
        <w:t xml:space="preserve"> </w:t>
      </w:r>
      <w:r w:rsidR="00320EA7" w:rsidRPr="00D6128F">
        <w:rPr>
          <w:sz w:val="22"/>
        </w:rPr>
        <w:t>A more</w:t>
      </w:r>
      <w:r w:rsidRPr="00D6128F">
        <w:rPr>
          <w:sz w:val="22"/>
        </w:rPr>
        <w:t xml:space="preserve"> circular economy lowers energy demand and associated scope 1 </w:t>
      </w:r>
      <w:r w:rsidR="00792C42" w:rsidRPr="00D6128F">
        <w:rPr>
          <w:sz w:val="22"/>
        </w:rPr>
        <w:t xml:space="preserve">and </w:t>
      </w:r>
      <w:r w:rsidRPr="00D6128F">
        <w:rPr>
          <w:sz w:val="22"/>
        </w:rPr>
        <w:t>2 emissions by retaining existing goods and materials for longer. This avoids the need for new extraction and processing activities and their associated emissions.</w:t>
      </w:r>
    </w:p>
    <w:p w14:paraId="6D273F06" w14:textId="77777777" w:rsidR="00EF42E6" w:rsidRPr="00D6128F" w:rsidRDefault="004F5354" w:rsidP="00EF42E6">
      <w:pPr>
        <w:rPr>
          <w:sz w:val="22"/>
        </w:rPr>
      </w:pPr>
      <w:r w:rsidRPr="00D6128F">
        <w:rPr>
          <w:sz w:val="22"/>
        </w:rPr>
        <w:t>The circular economy also addresses the scope 3 emissions of materials – particularly in the built environment. These are the emissions associated with materials manufacturing and use, throughout their whole lifecycle. Circular economy strategies retain these embodied emissions for longer, maximising their value.</w:t>
      </w:r>
    </w:p>
    <w:p w14:paraId="15A9C14B" w14:textId="77777777" w:rsidR="00EF42E6" w:rsidRPr="00D6128F" w:rsidRDefault="004F5354" w:rsidP="00EF42E6">
      <w:pPr>
        <w:rPr>
          <w:sz w:val="22"/>
        </w:rPr>
      </w:pPr>
      <w:r w:rsidRPr="00D6128F">
        <w:rPr>
          <w:sz w:val="22"/>
        </w:rPr>
        <w:t>New export markets for circular goods are developing because of the global net zero transition. This includes circular goods such as recycled steel, food grade packaging, and minerals and materials, avoiding the need for new extraction and processing activities. Adopting circular business models will improve Australian industry competitiveness and access to these markets.</w:t>
      </w:r>
    </w:p>
    <w:p w14:paraId="2C691451" w14:textId="77777777" w:rsidR="00EF42E6" w:rsidRPr="00D6128F" w:rsidRDefault="004F5354" w:rsidP="00EF42E6">
      <w:pPr>
        <w:rPr>
          <w:sz w:val="22"/>
        </w:rPr>
      </w:pPr>
      <w:r w:rsidRPr="00D6128F">
        <w:rPr>
          <w:sz w:val="22"/>
        </w:rPr>
        <w:t xml:space="preserve">Activities such as material substitution, resource efficiency, and production efficiency can help businesses mitigate fiscal, climate, and nature-related risks. An analysis of over 200 European </w:t>
      </w:r>
      <w:r w:rsidRPr="00D6128F">
        <w:rPr>
          <w:sz w:val="22"/>
        </w:rPr>
        <w:lastRenderedPageBreak/>
        <w:t>companies across 14 industries shows that businesses with more circular practices have a lower risk of defaulting on debt over both short-term and long-term periods.</w:t>
      </w:r>
      <w:r w:rsidRPr="00D6128F">
        <w:rPr>
          <w:rStyle w:val="EndnoteReference"/>
          <w:sz w:val="22"/>
        </w:rPr>
        <w:endnoteReference w:id="23"/>
      </w:r>
    </w:p>
    <w:p w14:paraId="7D1052E2" w14:textId="77777777" w:rsidR="009C1F08" w:rsidRPr="00D6128F" w:rsidRDefault="004F5354" w:rsidP="00905CF2">
      <w:pPr>
        <w:rPr>
          <w:sz w:val="22"/>
        </w:rPr>
      </w:pPr>
      <w:r w:rsidRPr="00D6128F">
        <w:rPr>
          <w:sz w:val="22"/>
        </w:rPr>
        <w:t xml:space="preserve">The circular economy plays a key role in reducing climate risks by enhancing resilience and adaptive capacity. For example, using recycled water in agriculture not only conserves fresh water but also reduces the vulnerability of crops to drought conditions, enhancing food security in arid regions. Conversely, using climate and disaster-resilient materials reduces waste by extending product lifespans. Australia’s circular economy and climate adaptation </w:t>
      </w:r>
      <w:r w:rsidR="00C82C02" w:rsidRPr="00D6128F">
        <w:rPr>
          <w:sz w:val="22"/>
        </w:rPr>
        <w:t>are therefore complementary.</w:t>
      </w:r>
      <w:r w:rsidR="009C1F08" w:rsidRPr="00D6128F">
        <w:rPr>
          <w:sz w:val="22"/>
        </w:rPr>
        <w:t xml:space="preserve"> </w:t>
      </w:r>
    </w:p>
    <w:p w14:paraId="05AD4E83" w14:textId="76D54C8D" w:rsidR="00905CF2" w:rsidRPr="00D6128F" w:rsidRDefault="004F5354" w:rsidP="00905CF2">
      <w:pPr>
        <w:rPr>
          <w:sz w:val="22"/>
        </w:rPr>
      </w:pPr>
      <w:r w:rsidRPr="00D6128F">
        <w:rPr>
          <w:sz w:val="22"/>
        </w:rPr>
        <w:t>Circular economy strategies also support a sustainable, nature positive net zero transition, by ensuring technologies, materials, and infrastructure developed during the transition can be recovered and reused at their end of life.</w:t>
      </w:r>
    </w:p>
    <w:p w14:paraId="2174C424" w14:textId="77777777" w:rsidR="00D6128F" w:rsidRPr="00232ACB" w:rsidRDefault="00D6128F" w:rsidP="00D6128F">
      <w:pPr>
        <w:pStyle w:val="Heading4"/>
      </w:pPr>
      <w:r w:rsidRPr="00232ACB">
        <w:t xml:space="preserve">The following priorities within this </w:t>
      </w:r>
      <w:r>
        <w:t>f</w:t>
      </w:r>
      <w:r w:rsidRPr="00232ACB">
        <w:t>ramework are expected to support decarbonisation:</w:t>
      </w:r>
    </w:p>
    <w:p w14:paraId="179551E0" w14:textId="77777777" w:rsidR="00D6128F" w:rsidRPr="00D6128F" w:rsidRDefault="00D6128F" w:rsidP="00D6128F">
      <w:pPr>
        <w:pStyle w:val="Heading5"/>
        <w:rPr>
          <w:sz w:val="22"/>
        </w:rPr>
      </w:pPr>
      <w:r w:rsidRPr="00D6128F">
        <w:rPr>
          <w:sz w:val="22"/>
        </w:rPr>
        <w:t>Remanufacturing and recycling</w:t>
      </w:r>
    </w:p>
    <w:p w14:paraId="5672CC13" w14:textId="77777777" w:rsidR="00D6128F" w:rsidRPr="00D6128F" w:rsidRDefault="00D6128F" w:rsidP="00D6128F">
      <w:pPr>
        <w:rPr>
          <w:sz w:val="22"/>
        </w:rPr>
      </w:pPr>
      <w:r w:rsidRPr="00D6128F">
        <w:rPr>
          <w:sz w:val="22"/>
        </w:rPr>
        <w:t>Manufacturing products from recycled materials can save the energy associated with creating new raw materials (Scope 2 emissions) and reduces the emissions from manufacturing processes (Scope 1) and consequently, the entire supply chain (Scope 3). It avoids emissions from extraction and initial processing and in most cases reduces emissions from manufacturing.</w:t>
      </w:r>
    </w:p>
    <w:p w14:paraId="0D0BDC9B" w14:textId="77777777" w:rsidR="00D6128F" w:rsidRPr="00D6128F" w:rsidRDefault="00D6128F" w:rsidP="00D6128F">
      <w:pPr>
        <w:pStyle w:val="Heading5"/>
        <w:rPr>
          <w:sz w:val="22"/>
        </w:rPr>
      </w:pPr>
      <w:r w:rsidRPr="00D6128F">
        <w:rPr>
          <w:sz w:val="22"/>
        </w:rPr>
        <w:t>Design for durability, reuse and lightweighting</w:t>
      </w:r>
    </w:p>
    <w:p w14:paraId="1B1AE8C6" w14:textId="77777777" w:rsidR="00D6128F" w:rsidRPr="00D6128F" w:rsidRDefault="00D6128F" w:rsidP="00D6128F">
      <w:pPr>
        <w:rPr>
          <w:sz w:val="22"/>
        </w:rPr>
      </w:pPr>
      <w:r w:rsidRPr="00D6128F">
        <w:rPr>
          <w:sz w:val="22"/>
        </w:rPr>
        <w:t>This strategy reduces the need for frequent production of new products, lowering upstream emissions associated with raw material extraction and manufacturing. Designing products with modular parts that can be easily replaced or upgraded extends product life and creates this same effect. Designing products to be lighter reduces the material and energy needed for production and transportation, lowering associated emissions.</w:t>
      </w:r>
    </w:p>
    <w:p w14:paraId="7260ABD3" w14:textId="77777777" w:rsidR="00D6128F" w:rsidRPr="00D6128F" w:rsidRDefault="00D6128F" w:rsidP="00D6128F">
      <w:pPr>
        <w:pStyle w:val="Heading5"/>
        <w:rPr>
          <w:sz w:val="22"/>
        </w:rPr>
      </w:pPr>
      <w:r w:rsidRPr="00D6128F">
        <w:rPr>
          <w:sz w:val="22"/>
        </w:rPr>
        <w:t>Reuse of buildings</w:t>
      </w:r>
    </w:p>
    <w:p w14:paraId="01ACAAD4" w14:textId="77777777" w:rsidR="00D6128F" w:rsidRPr="00D6128F" w:rsidRDefault="00D6128F" w:rsidP="00D6128F">
      <w:pPr>
        <w:rPr>
          <w:sz w:val="22"/>
        </w:rPr>
      </w:pPr>
      <w:r w:rsidRPr="00D6128F">
        <w:rPr>
          <w:sz w:val="22"/>
        </w:rPr>
        <w:t>Adaptive reuse involves repurposing existing buildings for new uses, conserving the energy and materials that would have been used in demolition and new construction (Scopes 1, 2 and 3). For example, converting an old factory into residential apartments or mixed-use spaces preserves the embodied energy in the building materials and reduces emissions from producing new construction materials. This also often involves upgrading insulation and energy systems, thus reducing operational emissions.</w:t>
      </w:r>
    </w:p>
    <w:p w14:paraId="58222D27" w14:textId="77777777" w:rsidR="00D6128F" w:rsidRPr="00D6128F" w:rsidRDefault="00D6128F" w:rsidP="00D6128F">
      <w:pPr>
        <w:pStyle w:val="Heading5"/>
        <w:rPr>
          <w:sz w:val="22"/>
        </w:rPr>
      </w:pPr>
      <w:r w:rsidRPr="00D6128F">
        <w:rPr>
          <w:sz w:val="22"/>
        </w:rPr>
        <w:t>Industrial symbiosis</w:t>
      </w:r>
    </w:p>
    <w:p w14:paraId="322B1C78" w14:textId="77777777" w:rsidR="00D6128F" w:rsidRPr="00D6128F" w:rsidRDefault="00D6128F" w:rsidP="00D6128F">
      <w:pPr>
        <w:rPr>
          <w:sz w:val="22"/>
        </w:rPr>
      </w:pPr>
      <w:r w:rsidRPr="00D6128F">
        <w:rPr>
          <w:sz w:val="22"/>
        </w:rPr>
        <w:t>This strategy involves industries sharing and maximising the use of resources, such as waste materials, energy, or water, reducing the need for virgin resources and decreasing waste (Scopes 1 and 3). For example, in an eco-industrial park, waste heat or resources from one plant can be used as an energy source or feedstock for another, lowering overall energy consumption emissions and need for virgin materials.</w:t>
      </w:r>
    </w:p>
    <w:p w14:paraId="3AEFF645" w14:textId="77777777" w:rsidR="00D6128F" w:rsidRPr="00D6128F" w:rsidRDefault="00D6128F" w:rsidP="00D6128F">
      <w:pPr>
        <w:pStyle w:val="Heading5"/>
        <w:rPr>
          <w:sz w:val="22"/>
        </w:rPr>
      </w:pPr>
      <w:r w:rsidRPr="00D6128F">
        <w:rPr>
          <w:sz w:val="22"/>
        </w:rPr>
        <w:t>Product-as-a-Service (PaaS)</w:t>
      </w:r>
    </w:p>
    <w:p w14:paraId="22C78445" w14:textId="77777777" w:rsidR="00D6128F" w:rsidRPr="00D6128F" w:rsidRDefault="00D6128F" w:rsidP="00D6128F">
      <w:pPr>
        <w:rPr>
          <w:sz w:val="22"/>
        </w:rPr>
      </w:pPr>
      <w:r w:rsidRPr="00D6128F">
        <w:rPr>
          <w:sz w:val="22"/>
        </w:rPr>
        <w:t>The PaaS model, where companies provide products as services rather than selling them, promotes the use of shared equipment and infrastructure, which reduces the need for multiple individual products and encourages efficient resource use. It also encourages the provision of efficient, higher quality and longer lasting products. An example is provision of heating/cooling as a service. This model better incentivises the use of efficient, well-maintained assets that perform well over their lifetime, compared to a user-owner model.</w:t>
      </w:r>
    </w:p>
    <w:p w14:paraId="5B29FE51" w14:textId="77777777" w:rsidR="00D6128F" w:rsidRPr="00D6128F" w:rsidRDefault="00D6128F" w:rsidP="00D6128F">
      <w:pPr>
        <w:rPr>
          <w:sz w:val="22"/>
        </w:rPr>
      </w:pPr>
      <w:r w:rsidRPr="00D6128F">
        <w:rPr>
          <w:sz w:val="22"/>
        </w:rPr>
        <w:t>In an agricultural context, a PaaS model could involve a cooperative of farmers sharing access to specialised equipment, such as tractors or processing machinery. Shared infrastructure like biogas plants can convert collective farm waste into valuable products such as electricity, heat, or organic fertilisers, reducing waste and emissions from both the disposal of organic waste and the production of energy and fertilisers.</w:t>
      </w:r>
    </w:p>
    <w:p w14:paraId="750E4C8E" w14:textId="77777777" w:rsidR="00D6128F" w:rsidRPr="00D6128F" w:rsidRDefault="00D6128F" w:rsidP="00D6128F">
      <w:pPr>
        <w:pStyle w:val="Heading5"/>
        <w:rPr>
          <w:sz w:val="22"/>
        </w:rPr>
      </w:pPr>
      <w:r w:rsidRPr="00D6128F">
        <w:rPr>
          <w:sz w:val="22"/>
        </w:rPr>
        <w:lastRenderedPageBreak/>
        <w:t>Reducing food waste</w:t>
      </w:r>
    </w:p>
    <w:p w14:paraId="409BC957" w14:textId="77777777" w:rsidR="00D6128F" w:rsidRPr="00D6128F" w:rsidRDefault="00D6128F" w:rsidP="00D6128F">
      <w:pPr>
        <w:rPr>
          <w:rStyle w:val="PlaceholderText"/>
          <w:color w:val="191818" w:themeColor="text2" w:themeShade="BF"/>
          <w:sz w:val="22"/>
        </w:rPr>
      </w:pPr>
      <w:r w:rsidRPr="00D6128F">
        <w:rPr>
          <w:sz w:val="22"/>
        </w:rPr>
        <w:t>Reducing food waste helps lower GHG emissions by decreasing the amount of organic waste sent to landfills, which cuts down on methane emissions (Scope 1). Additionally, reducing food waste means less energy and resources are needed for food production, processing, and transportation, which in turn reduces indirect emissions from energy use (Scope 2) and emissions across the entire supply chain (Scope 3).</w:t>
      </w:r>
    </w:p>
    <w:p w14:paraId="34ADD5D1" w14:textId="21003EC5" w:rsidR="00150E16" w:rsidRPr="006E606A" w:rsidRDefault="00150E16" w:rsidP="006E606A">
      <w:pPr>
        <w:rPr>
          <w:sz w:val="18"/>
        </w:rPr>
      </w:pPr>
    </w:p>
    <w:p w14:paraId="0BF07BFC" w14:textId="092FFAEE" w:rsidR="000F4C23" w:rsidRPr="005F4D33" w:rsidRDefault="004F5354" w:rsidP="00D74F1B">
      <w:pPr>
        <w:pStyle w:val="Heading2"/>
        <w:rPr>
          <w:color w:val="auto"/>
        </w:rPr>
      </w:pPr>
      <w:bookmarkStart w:id="24" w:name="_Toc184220082"/>
      <w:r w:rsidRPr="005F4D33">
        <w:rPr>
          <w:color w:val="auto"/>
        </w:rPr>
        <w:lastRenderedPageBreak/>
        <w:t>Australia’s advantages</w:t>
      </w:r>
      <w:bookmarkEnd w:id="24"/>
    </w:p>
    <w:p w14:paraId="23D129D9" w14:textId="77777777" w:rsidR="000F4C23" w:rsidRPr="00D6128F" w:rsidRDefault="004F5354" w:rsidP="00575073">
      <w:pPr>
        <w:rPr>
          <w:sz w:val="22"/>
        </w:rPr>
      </w:pPr>
      <w:r w:rsidRPr="00D6128F">
        <w:rPr>
          <w:sz w:val="22"/>
        </w:rPr>
        <w:t xml:space="preserve">Australia has unique advantages that </w:t>
      </w:r>
      <w:r w:rsidR="00351258" w:rsidRPr="00D6128F">
        <w:rPr>
          <w:sz w:val="22"/>
        </w:rPr>
        <w:t xml:space="preserve">will </w:t>
      </w:r>
      <w:r w:rsidRPr="00D6128F">
        <w:rPr>
          <w:sz w:val="22"/>
        </w:rPr>
        <w:t>inform and guide our transition.</w:t>
      </w:r>
    </w:p>
    <w:p w14:paraId="2A3F1F42" w14:textId="77777777" w:rsidR="000F4C23" w:rsidRPr="005F4D33" w:rsidRDefault="004F5354" w:rsidP="00D74F1B">
      <w:pPr>
        <w:pStyle w:val="Heading3"/>
        <w:rPr>
          <w:color w:val="auto"/>
        </w:rPr>
      </w:pPr>
      <w:bookmarkStart w:id="25" w:name="_Toc184220083"/>
      <w:r w:rsidRPr="005F4D33">
        <w:rPr>
          <w:color w:val="auto"/>
        </w:rPr>
        <w:t>A sophisticated research ecosystem</w:t>
      </w:r>
      <w:bookmarkEnd w:id="25"/>
    </w:p>
    <w:p w14:paraId="529EEE02" w14:textId="77777777" w:rsidR="000F4C23" w:rsidRPr="00D6128F" w:rsidRDefault="004F5354" w:rsidP="00C009FB">
      <w:pPr>
        <w:rPr>
          <w:sz w:val="22"/>
        </w:rPr>
      </w:pPr>
      <w:r w:rsidRPr="00D6128F">
        <w:rPr>
          <w:sz w:val="22"/>
        </w:rPr>
        <w:t>Australia is home to over 65,000 years of First Nations Science. Australian researchers consistently publish world-class research, with Australia ranked fifth in the world for number of highly cited researchers and sixteenth for research and development in the Global Innovation Index in 2023.</w:t>
      </w:r>
      <w:r w:rsidRPr="00D6128F">
        <w:rPr>
          <w:rStyle w:val="EndnoteReference"/>
          <w:rFonts w:ascii="Calibri" w:eastAsia="Calibri" w:hAnsi="Calibri" w:cs="Calibri"/>
          <w:sz w:val="22"/>
        </w:rPr>
        <w:endnoteReference w:id="24"/>
      </w:r>
      <w:r w:rsidRPr="00D6128F">
        <w:rPr>
          <w:sz w:val="22"/>
        </w:rPr>
        <w:t xml:space="preserve"> </w:t>
      </w:r>
      <w:r w:rsidR="00C91C72" w:rsidRPr="00D6128F">
        <w:rPr>
          <w:sz w:val="22"/>
        </w:rPr>
        <w:t>Australia's research on sustainability consistently ranks in the top 1% of cited research globally</w:t>
      </w:r>
      <w:r w:rsidR="00BE1FF2" w:rsidRPr="00D6128F">
        <w:rPr>
          <w:sz w:val="22"/>
        </w:rPr>
        <w:t>.</w:t>
      </w:r>
    </w:p>
    <w:p w14:paraId="361DA40F" w14:textId="77777777" w:rsidR="000F4C23" w:rsidRPr="005F4D33" w:rsidRDefault="004F5354" w:rsidP="00D74F1B">
      <w:pPr>
        <w:pStyle w:val="Heading3"/>
        <w:rPr>
          <w:color w:val="auto"/>
        </w:rPr>
      </w:pPr>
      <w:bookmarkStart w:id="26" w:name="_Toc184220084"/>
      <w:r w:rsidRPr="005F4D33">
        <w:rPr>
          <w:color w:val="auto"/>
        </w:rPr>
        <w:t>Materials innovation excellence</w:t>
      </w:r>
      <w:bookmarkEnd w:id="26"/>
    </w:p>
    <w:p w14:paraId="2A2BAB6B" w14:textId="77777777" w:rsidR="000F4C23" w:rsidRPr="00D6128F" w:rsidRDefault="004F5354" w:rsidP="00575073">
      <w:pPr>
        <w:rPr>
          <w:sz w:val="22"/>
        </w:rPr>
      </w:pPr>
      <w:r w:rsidRPr="00D6128F">
        <w:rPr>
          <w:sz w:val="22"/>
        </w:rPr>
        <w:t xml:space="preserve">Australia is a leader in materials innovation. Some of the greatest advances in technical polymer design and manufacturing originated in Australia. </w:t>
      </w:r>
      <w:r w:rsidR="00A26E69" w:rsidRPr="00D6128F">
        <w:rPr>
          <w:sz w:val="22"/>
        </w:rPr>
        <w:t>Australia</w:t>
      </w:r>
      <w:r w:rsidRPr="00D6128F">
        <w:rPr>
          <w:sz w:val="22"/>
        </w:rPr>
        <w:t xml:space="preserve"> specialise</w:t>
      </w:r>
      <w:r w:rsidR="00AE1CD2" w:rsidRPr="00D6128F">
        <w:rPr>
          <w:sz w:val="22"/>
        </w:rPr>
        <w:t>s</w:t>
      </w:r>
      <w:r w:rsidRPr="00D6128F">
        <w:rPr>
          <w:sz w:val="22"/>
        </w:rPr>
        <w:t xml:space="preserve"> in developing the kinds of materials that are essential to a circular economy, such as durable and lightweight parts for transport, aerospace, and marine applications, biobased materials for construction, and sustainable textiles.</w:t>
      </w:r>
    </w:p>
    <w:p w14:paraId="685BE4C9" w14:textId="77777777" w:rsidR="000F4C23" w:rsidRPr="005F4D33" w:rsidRDefault="004F5354" w:rsidP="00D74F1B">
      <w:pPr>
        <w:pStyle w:val="Heading3"/>
        <w:rPr>
          <w:color w:val="auto"/>
        </w:rPr>
      </w:pPr>
      <w:bookmarkStart w:id="27" w:name="_Toc184220085"/>
      <w:r w:rsidRPr="005F4D33">
        <w:rPr>
          <w:color w:val="auto"/>
        </w:rPr>
        <w:t>Capability in technology development</w:t>
      </w:r>
      <w:bookmarkEnd w:id="27"/>
    </w:p>
    <w:p w14:paraId="2864E6B6" w14:textId="77777777" w:rsidR="000F4C23" w:rsidRPr="00D6128F" w:rsidRDefault="004F5354" w:rsidP="00575073">
      <w:pPr>
        <w:rPr>
          <w:sz w:val="22"/>
        </w:rPr>
      </w:pPr>
      <w:r w:rsidRPr="00D6128F">
        <w:rPr>
          <w:sz w:val="22"/>
        </w:rPr>
        <w:t xml:space="preserve">Technology innovation is an essential complement to materials innovation for the circular economy. The technology sector is Australia’s third-largest industry, employing 1 in 16 workers and contributing $167 </w:t>
      </w:r>
      <w:r w:rsidR="006B3873" w:rsidRPr="00D6128F">
        <w:rPr>
          <w:sz w:val="22"/>
        </w:rPr>
        <w:t>billion</w:t>
      </w:r>
      <w:r w:rsidRPr="00D6128F">
        <w:rPr>
          <w:sz w:val="22"/>
        </w:rPr>
        <w:t xml:space="preserve"> to our economy every year or 8.5% of GDP.</w:t>
      </w:r>
      <w:r w:rsidRPr="00D6128F">
        <w:rPr>
          <w:rStyle w:val="EndnoteReference"/>
          <w:sz w:val="22"/>
        </w:rPr>
        <w:endnoteReference w:id="25"/>
      </w:r>
      <w:r w:rsidRPr="00D6128F">
        <w:rPr>
          <w:sz w:val="22"/>
        </w:rPr>
        <w:t xml:space="preserve"> Australia has a sizable ecosystem of startups across the various advanced technologies and has produced 2</w:t>
      </w:r>
      <w:r w:rsidR="00CC3861" w:rsidRPr="00D6128F">
        <w:rPr>
          <w:sz w:val="22"/>
        </w:rPr>
        <w:t>.3%</w:t>
      </w:r>
      <w:r w:rsidRPr="00D6128F">
        <w:rPr>
          <w:sz w:val="22"/>
        </w:rPr>
        <w:t xml:space="preserve"> of the world’s technology ‘unicorns’ (companies worth US$1 billion or more).</w:t>
      </w:r>
      <w:r w:rsidRPr="00D6128F">
        <w:rPr>
          <w:rStyle w:val="EndnoteReference"/>
          <w:sz w:val="22"/>
        </w:rPr>
        <w:endnoteReference w:id="26"/>
      </w:r>
    </w:p>
    <w:p w14:paraId="41F398FA" w14:textId="77777777" w:rsidR="000F4C23" w:rsidRPr="005F4D33" w:rsidRDefault="004F5354" w:rsidP="00D74F1B">
      <w:pPr>
        <w:pStyle w:val="Heading3"/>
        <w:rPr>
          <w:color w:val="auto"/>
        </w:rPr>
      </w:pPr>
      <w:bookmarkStart w:id="28" w:name="_Toc184220086"/>
      <w:r w:rsidRPr="005F4D33">
        <w:rPr>
          <w:color w:val="auto"/>
        </w:rPr>
        <w:t>Reputation for quality, standards and trust</w:t>
      </w:r>
      <w:bookmarkEnd w:id="28"/>
    </w:p>
    <w:p w14:paraId="394085E3" w14:textId="40590C59" w:rsidR="000F4C23" w:rsidRPr="00D6128F" w:rsidRDefault="004F5354" w:rsidP="00575073">
      <w:pPr>
        <w:rPr>
          <w:sz w:val="22"/>
        </w:rPr>
      </w:pPr>
      <w:r w:rsidRPr="00D6128F">
        <w:rPr>
          <w:sz w:val="22"/>
        </w:rPr>
        <w:t xml:space="preserve">Australia has a reputation for premium, safe, high-quality and ethically produced products and is a trusted trading partner across key industries, with a stable and transparent political, economic and regulatory environment. Australia is ranked </w:t>
      </w:r>
      <w:r w:rsidR="00221F66" w:rsidRPr="00D6128F">
        <w:rPr>
          <w:sz w:val="22"/>
        </w:rPr>
        <w:t xml:space="preserve">fourth </w:t>
      </w:r>
      <w:r w:rsidRPr="00D6128F">
        <w:rPr>
          <w:sz w:val="22"/>
        </w:rPr>
        <w:t xml:space="preserve">in regulatory quality in the </w:t>
      </w:r>
      <w:r w:rsidR="0029795C" w:rsidRPr="00D6128F">
        <w:rPr>
          <w:sz w:val="22"/>
        </w:rPr>
        <w:t>Global Innovation Index 2023</w:t>
      </w:r>
      <w:r w:rsidRPr="00D6128F">
        <w:rPr>
          <w:sz w:val="22"/>
        </w:rPr>
        <w:t xml:space="preserve"> rankings.</w:t>
      </w:r>
      <w:r w:rsidRPr="00D6128F">
        <w:rPr>
          <w:sz w:val="22"/>
          <w:vertAlign w:val="superscript"/>
        </w:rPr>
        <w:endnoteReference w:id="27"/>
      </w:r>
    </w:p>
    <w:p w14:paraId="7B5D31D9" w14:textId="77777777" w:rsidR="000F4C23" w:rsidRPr="005F4D33" w:rsidRDefault="004F5354" w:rsidP="00D74F1B">
      <w:pPr>
        <w:pStyle w:val="Heading3"/>
        <w:rPr>
          <w:color w:val="auto"/>
        </w:rPr>
      </w:pPr>
      <w:bookmarkStart w:id="29" w:name="_Toc184220087"/>
      <w:r w:rsidRPr="005F4D33">
        <w:rPr>
          <w:color w:val="auto"/>
        </w:rPr>
        <w:t>Highly skilled workforce</w:t>
      </w:r>
      <w:bookmarkEnd w:id="29"/>
    </w:p>
    <w:p w14:paraId="414E509C" w14:textId="77777777" w:rsidR="000F4C23" w:rsidRPr="00D6128F" w:rsidRDefault="004F5354" w:rsidP="00575073">
      <w:pPr>
        <w:rPr>
          <w:sz w:val="22"/>
        </w:rPr>
      </w:pPr>
      <w:r w:rsidRPr="00D6128F">
        <w:rPr>
          <w:sz w:val="22"/>
        </w:rPr>
        <w:t xml:space="preserve">Around 60% of Australia’s current workforce has a VET or university qualification. </w:t>
      </w:r>
      <w:r w:rsidR="00D979C8" w:rsidRPr="00D6128F">
        <w:rPr>
          <w:sz w:val="22"/>
        </w:rPr>
        <w:t>Australia</w:t>
      </w:r>
      <w:r w:rsidRPr="00D6128F">
        <w:rPr>
          <w:sz w:val="22"/>
        </w:rPr>
        <w:t xml:space="preserve"> </w:t>
      </w:r>
      <w:r w:rsidR="00D979C8" w:rsidRPr="00D6128F">
        <w:rPr>
          <w:sz w:val="22"/>
        </w:rPr>
        <w:t>has</w:t>
      </w:r>
      <w:r w:rsidRPr="00D6128F">
        <w:rPr>
          <w:sz w:val="22"/>
        </w:rPr>
        <w:t xml:space="preserve"> strong skills in engineering and </w:t>
      </w:r>
      <w:r w:rsidR="00D979C8" w:rsidRPr="00D6128F">
        <w:rPr>
          <w:sz w:val="22"/>
        </w:rPr>
        <w:t xml:space="preserve">is </w:t>
      </w:r>
      <w:r w:rsidRPr="00D6128F">
        <w:rPr>
          <w:sz w:val="22"/>
        </w:rPr>
        <w:t>home to 5 of the world’s top 200 institutions for materials science – both of which are aligned with skillsets critical to the circular economy.</w:t>
      </w:r>
      <w:r w:rsidRPr="00D6128F">
        <w:rPr>
          <w:rFonts w:ascii="Aptos" w:eastAsia="Aptos" w:hAnsi="Aptos" w:cs="Aptos"/>
          <w:sz w:val="22"/>
        </w:rPr>
        <w:t xml:space="preserve"> </w:t>
      </w:r>
      <w:r w:rsidRPr="00D6128F">
        <w:rPr>
          <w:sz w:val="22"/>
        </w:rPr>
        <w:t xml:space="preserve">Australia is also in the top 5 destinations for highly educated workers in the </w:t>
      </w:r>
      <w:r w:rsidR="0029795C" w:rsidRPr="00D6128F">
        <w:rPr>
          <w:sz w:val="22"/>
        </w:rPr>
        <w:t>OECD’s talent attractiveness index</w:t>
      </w:r>
      <w:r w:rsidRPr="00D6128F">
        <w:rPr>
          <w:sz w:val="22"/>
        </w:rPr>
        <w:t>.</w:t>
      </w:r>
    </w:p>
    <w:p w14:paraId="74775765" w14:textId="77777777" w:rsidR="00CC121C" w:rsidRPr="005F4D33" w:rsidRDefault="004F5354" w:rsidP="00D74F1B">
      <w:pPr>
        <w:pStyle w:val="Heading3"/>
        <w:rPr>
          <w:color w:val="auto"/>
        </w:rPr>
      </w:pPr>
      <w:bookmarkStart w:id="30" w:name="_Toc184220088"/>
      <w:r w:rsidRPr="005F4D33">
        <w:rPr>
          <w:color w:val="auto"/>
        </w:rPr>
        <w:t>Design capability</w:t>
      </w:r>
      <w:bookmarkEnd w:id="30"/>
    </w:p>
    <w:p w14:paraId="2160BF05" w14:textId="77777777" w:rsidR="00CC121C" w:rsidRPr="00D6128F" w:rsidRDefault="004F5354" w:rsidP="00CC121C">
      <w:pPr>
        <w:rPr>
          <w:sz w:val="22"/>
        </w:rPr>
      </w:pPr>
      <w:r w:rsidRPr="00D6128F">
        <w:rPr>
          <w:sz w:val="22"/>
        </w:rPr>
        <w:t>Australia stands out globally for its robust industrial design capabilities. With over 6,000 industrial designers contributing to sectors such as advanced manufacturing, consumer products, and sustainable technologies, Australia boasts a dynamic talent pool adept at integrating aesthetics, functionality, and sustainability into product development. This expertise not only drives economic growth but also positions Australia as a leader in designing solutions that meet global standards and emerging market demands.</w:t>
      </w:r>
    </w:p>
    <w:p w14:paraId="178CEA13" w14:textId="77777777" w:rsidR="000F4C23" w:rsidRPr="005F4D33" w:rsidRDefault="004F5354" w:rsidP="00D74F1B">
      <w:pPr>
        <w:pStyle w:val="Heading3"/>
        <w:rPr>
          <w:color w:val="auto"/>
        </w:rPr>
      </w:pPr>
      <w:bookmarkStart w:id="31" w:name="_Toc184220089"/>
      <w:r w:rsidRPr="005F4D33">
        <w:rPr>
          <w:color w:val="auto"/>
        </w:rPr>
        <w:t>Significant investment capital</w:t>
      </w:r>
      <w:bookmarkEnd w:id="31"/>
    </w:p>
    <w:p w14:paraId="13FCAAC7" w14:textId="77777777" w:rsidR="000F4C23" w:rsidRPr="00D6128F" w:rsidRDefault="004F5354" w:rsidP="00B26861">
      <w:pPr>
        <w:rPr>
          <w:sz w:val="22"/>
        </w:rPr>
      </w:pPr>
      <w:r w:rsidRPr="00D6128F">
        <w:rPr>
          <w:sz w:val="22"/>
        </w:rPr>
        <w:t>Australia has a well-developed and highly regulated financial sector, considered to be one of the most sophisticated and advanced in the world. Australia is ranked first in the world for financial freedom and third for trade freedom.</w:t>
      </w:r>
      <w:r w:rsidRPr="00D6128F">
        <w:rPr>
          <w:rStyle w:val="EndnoteReference"/>
          <w:sz w:val="22"/>
        </w:rPr>
        <w:endnoteReference w:id="28"/>
      </w:r>
      <w:r w:rsidRPr="00D6128F">
        <w:rPr>
          <w:sz w:val="22"/>
        </w:rPr>
        <w:t xml:space="preserve"> </w:t>
      </w:r>
      <w:r w:rsidR="006133C5" w:rsidRPr="00D6128F">
        <w:rPr>
          <w:sz w:val="22"/>
        </w:rPr>
        <w:t xml:space="preserve">As of June 2023, Australia’s superannuation funds manage assets worth approximately $3.4 trillion. The country's private capital markets also continue to grow, with assets under management reaching $139 billion, a 33% increase over 18 months. Venture capital fundraising remained strong, with $3.8 billion invested in 2023, showing resilience despite challenging </w:t>
      </w:r>
      <w:r w:rsidR="006133C5" w:rsidRPr="00D6128F">
        <w:rPr>
          <w:sz w:val="22"/>
        </w:rPr>
        <w:lastRenderedPageBreak/>
        <w:t xml:space="preserve">market conditions. </w:t>
      </w:r>
      <w:r w:rsidR="00AB163F" w:rsidRPr="00D6128F">
        <w:rPr>
          <w:sz w:val="22"/>
        </w:rPr>
        <w:t>This robust growth underscores Australia’s position as a global leader in financial freedom and capital market development​.</w:t>
      </w:r>
    </w:p>
    <w:p w14:paraId="5F305FE5" w14:textId="77777777" w:rsidR="000F4C23" w:rsidRPr="005F4D33" w:rsidRDefault="004F5354" w:rsidP="00D74F1B">
      <w:pPr>
        <w:pStyle w:val="Heading3"/>
        <w:rPr>
          <w:color w:val="auto"/>
        </w:rPr>
      </w:pPr>
      <w:bookmarkStart w:id="32" w:name="_Toc184220090"/>
      <w:r w:rsidRPr="005F4D33">
        <w:rPr>
          <w:color w:val="auto"/>
        </w:rPr>
        <w:t>Proximity and access to growing export markets</w:t>
      </w:r>
      <w:bookmarkEnd w:id="32"/>
    </w:p>
    <w:p w14:paraId="5DDBB898" w14:textId="77DCD472" w:rsidR="000F4C23" w:rsidRPr="00D6128F" w:rsidRDefault="004F5354" w:rsidP="00B26861">
      <w:pPr>
        <w:rPr>
          <w:sz w:val="22"/>
        </w:rPr>
      </w:pPr>
      <w:r w:rsidRPr="00D6128F">
        <w:rPr>
          <w:sz w:val="22"/>
        </w:rPr>
        <w:t xml:space="preserve">Taken together, Southeast Asia is projected to become the world’s </w:t>
      </w:r>
      <w:r w:rsidR="0038371A" w:rsidRPr="00D6128F">
        <w:rPr>
          <w:sz w:val="22"/>
        </w:rPr>
        <w:t>fourth</w:t>
      </w:r>
      <w:r w:rsidRPr="00D6128F">
        <w:rPr>
          <w:sz w:val="22"/>
        </w:rPr>
        <w:t>-largest economy by 2040.</w:t>
      </w:r>
      <w:r w:rsidRPr="00D6128F">
        <w:rPr>
          <w:sz w:val="22"/>
          <w:vertAlign w:val="superscript"/>
        </w:rPr>
        <w:endnoteReference w:id="29"/>
      </w:r>
      <w:r w:rsidRPr="00D6128F">
        <w:rPr>
          <w:sz w:val="22"/>
        </w:rPr>
        <w:t xml:space="preserve"> </w:t>
      </w:r>
      <w:r w:rsidR="00D4145B" w:rsidRPr="00D6128F">
        <w:rPr>
          <w:sz w:val="22"/>
        </w:rPr>
        <w:t>Australia’s regional proximity to this market</w:t>
      </w:r>
      <w:r w:rsidRPr="00D6128F">
        <w:rPr>
          <w:sz w:val="22"/>
        </w:rPr>
        <w:t xml:space="preserve"> provides an excellent base from which to export commodities, manufactured products, services, and technologies. </w:t>
      </w:r>
      <w:r w:rsidR="00EF0B7C" w:rsidRPr="00D6128F">
        <w:rPr>
          <w:sz w:val="22"/>
        </w:rPr>
        <w:t>Markets</w:t>
      </w:r>
      <w:r w:rsidR="00C1586A" w:rsidRPr="00D6128F">
        <w:rPr>
          <w:sz w:val="22"/>
        </w:rPr>
        <w:t xml:space="preserve"> for </w:t>
      </w:r>
      <w:r w:rsidR="00EF0B7C" w:rsidRPr="00D6128F">
        <w:rPr>
          <w:sz w:val="22"/>
        </w:rPr>
        <w:t xml:space="preserve">circular </w:t>
      </w:r>
      <w:r w:rsidR="00C1586A" w:rsidRPr="00D6128F">
        <w:rPr>
          <w:sz w:val="22"/>
        </w:rPr>
        <w:t>goods</w:t>
      </w:r>
      <w:r w:rsidR="00EF0B7C" w:rsidRPr="00D6128F">
        <w:rPr>
          <w:sz w:val="22"/>
        </w:rPr>
        <w:t>, including those</w:t>
      </w:r>
      <w:r w:rsidR="00C1586A" w:rsidRPr="00D6128F">
        <w:rPr>
          <w:sz w:val="22"/>
        </w:rPr>
        <w:t xml:space="preserve"> </w:t>
      </w:r>
      <w:r w:rsidR="00CF541F" w:rsidRPr="00D6128F">
        <w:rPr>
          <w:sz w:val="22"/>
        </w:rPr>
        <w:t xml:space="preserve">derived from </w:t>
      </w:r>
      <w:proofErr w:type="spellStart"/>
      <w:r w:rsidR="00CF541F" w:rsidRPr="00D6128F">
        <w:rPr>
          <w:sz w:val="22"/>
        </w:rPr>
        <w:t>agri</w:t>
      </w:r>
      <w:proofErr w:type="spellEnd"/>
      <w:r w:rsidR="00CF541F" w:rsidRPr="00D6128F">
        <w:rPr>
          <w:sz w:val="22"/>
        </w:rPr>
        <w:t xml:space="preserve">-waste, textiles, and </w:t>
      </w:r>
      <w:r w:rsidR="001F5576" w:rsidRPr="00D6128F">
        <w:rPr>
          <w:sz w:val="22"/>
        </w:rPr>
        <w:t>recycled packaging are burgeoning in the region</w:t>
      </w:r>
      <w:r w:rsidRPr="00D6128F">
        <w:rPr>
          <w:sz w:val="22"/>
        </w:rPr>
        <w:t>, with Australia focussed on accelerating two-way trade in the region.</w:t>
      </w:r>
      <w:r w:rsidRPr="00D6128F">
        <w:rPr>
          <w:rStyle w:val="EndnoteReference"/>
          <w:sz w:val="22"/>
        </w:rPr>
        <w:endnoteReference w:id="30"/>
      </w:r>
    </w:p>
    <w:p w14:paraId="51458858" w14:textId="77777777" w:rsidR="000F4C23" w:rsidRPr="005F4D33" w:rsidRDefault="004F5354" w:rsidP="00D74F1B">
      <w:pPr>
        <w:pStyle w:val="Heading3"/>
        <w:rPr>
          <w:color w:val="auto"/>
        </w:rPr>
      </w:pPr>
      <w:bookmarkStart w:id="33" w:name="_Toc184220091"/>
      <w:r w:rsidRPr="005F4D33">
        <w:rPr>
          <w:color w:val="auto"/>
        </w:rPr>
        <w:t>High recycling rates</w:t>
      </w:r>
      <w:bookmarkEnd w:id="33"/>
    </w:p>
    <w:p w14:paraId="738C6BBC" w14:textId="77777777" w:rsidR="000F4C23" w:rsidRPr="00D6128F" w:rsidRDefault="004F5354" w:rsidP="00B26861">
      <w:pPr>
        <w:rPr>
          <w:sz w:val="22"/>
        </w:rPr>
      </w:pPr>
      <w:r w:rsidRPr="00D6128F">
        <w:rPr>
          <w:sz w:val="22"/>
        </w:rPr>
        <w:t>Over 50% of the municipal solid waste in Australia is recycled</w:t>
      </w:r>
      <w:r w:rsidR="00B1327D" w:rsidRPr="00D6128F">
        <w:rPr>
          <w:sz w:val="22"/>
        </w:rPr>
        <w:t xml:space="preserve"> – </w:t>
      </w:r>
      <w:r w:rsidR="00E23655" w:rsidRPr="00D6128F">
        <w:rPr>
          <w:sz w:val="22"/>
        </w:rPr>
        <w:t>which is significant internationally</w:t>
      </w:r>
      <w:r w:rsidRPr="00D6128F">
        <w:rPr>
          <w:sz w:val="22"/>
        </w:rPr>
        <w:t xml:space="preserve">. Australia has the infrastructure, manufacturing skills, and supply chains needed </w:t>
      </w:r>
      <w:r w:rsidR="00E23655" w:rsidRPr="00D6128F">
        <w:rPr>
          <w:sz w:val="22"/>
        </w:rPr>
        <w:t>to effectively control pollution</w:t>
      </w:r>
      <w:r w:rsidR="00E8564A" w:rsidRPr="00D6128F">
        <w:rPr>
          <w:sz w:val="22"/>
        </w:rPr>
        <w:t xml:space="preserve">, </w:t>
      </w:r>
      <w:r w:rsidR="001C6235" w:rsidRPr="00D6128F">
        <w:rPr>
          <w:sz w:val="22"/>
        </w:rPr>
        <w:t xml:space="preserve">with the opportunity to reposition the sector </w:t>
      </w:r>
      <w:r w:rsidR="00E8564A" w:rsidRPr="00D6128F">
        <w:rPr>
          <w:sz w:val="22"/>
        </w:rPr>
        <w:t xml:space="preserve">to </w:t>
      </w:r>
      <w:r w:rsidR="001C6235" w:rsidRPr="00D6128F">
        <w:rPr>
          <w:sz w:val="22"/>
        </w:rPr>
        <w:t>drive circularity</w:t>
      </w:r>
      <w:r w:rsidR="00E8564A" w:rsidRPr="00D6128F">
        <w:rPr>
          <w:sz w:val="22"/>
        </w:rPr>
        <w:t xml:space="preserve">. </w:t>
      </w:r>
      <w:r w:rsidR="00C5218B" w:rsidRPr="00D6128F">
        <w:rPr>
          <w:sz w:val="22"/>
        </w:rPr>
        <w:t>Significant</w:t>
      </w:r>
      <w:r w:rsidRPr="00D6128F">
        <w:rPr>
          <w:sz w:val="22"/>
        </w:rPr>
        <w:t xml:space="preserve"> investment in </w:t>
      </w:r>
      <w:r w:rsidR="00C5218B" w:rsidRPr="00D6128F">
        <w:rPr>
          <w:sz w:val="22"/>
        </w:rPr>
        <w:t xml:space="preserve">recycling </w:t>
      </w:r>
      <w:r w:rsidRPr="00D6128F">
        <w:rPr>
          <w:sz w:val="22"/>
        </w:rPr>
        <w:t xml:space="preserve">infrastructure </w:t>
      </w:r>
      <w:r w:rsidR="00C5218B" w:rsidRPr="00D6128F">
        <w:rPr>
          <w:sz w:val="22"/>
        </w:rPr>
        <w:t>has occurred over the last 10 years</w:t>
      </w:r>
      <w:r w:rsidRPr="00D6128F">
        <w:rPr>
          <w:sz w:val="22"/>
        </w:rPr>
        <w:t>, including through the Recycling Modernisation Fund</w:t>
      </w:r>
      <w:r w:rsidR="00B869F6" w:rsidRPr="00D6128F">
        <w:rPr>
          <w:sz w:val="22"/>
        </w:rPr>
        <w:t>, Food Waste for Healthy Soils Fund,</w:t>
      </w:r>
      <w:r w:rsidRPr="00D6128F">
        <w:rPr>
          <w:sz w:val="22"/>
        </w:rPr>
        <w:t xml:space="preserve"> and </w:t>
      </w:r>
      <w:r w:rsidR="00B869F6" w:rsidRPr="00D6128F">
        <w:rPr>
          <w:sz w:val="22"/>
        </w:rPr>
        <w:t xml:space="preserve">projects supported by the </w:t>
      </w:r>
      <w:r w:rsidRPr="00D6128F">
        <w:rPr>
          <w:sz w:val="22"/>
        </w:rPr>
        <w:t>Clean Energy Finance Corporation</w:t>
      </w:r>
      <w:r w:rsidR="00C5218B" w:rsidRPr="00D6128F">
        <w:rPr>
          <w:sz w:val="22"/>
        </w:rPr>
        <w:t>.</w:t>
      </w:r>
      <w:r w:rsidRPr="00D6128F">
        <w:rPr>
          <w:sz w:val="22"/>
          <w:vertAlign w:val="superscript"/>
        </w:rPr>
        <w:endnoteReference w:id="31"/>
      </w:r>
    </w:p>
    <w:p w14:paraId="6D0E0E58" w14:textId="77777777" w:rsidR="000F4C23" w:rsidRPr="005F4D33" w:rsidRDefault="004F5354" w:rsidP="00880EAA">
      <w:pPr>
        <w:pStyle w:val="Heading3"/>
        <w:rPr>
          <w:color w:val="auto"/>
          <w:lang w:eastAsia="en-AU"/>
        </w:rPr>
      </w:pPr>
      <w:bookmarkStart w:id="34" w:name="_Toc184220092"/>
      <w:r w:rsidRPr="005F4D33">
        <w:rPr>
          <w:color w:val="auto"/>
          <w:lang w:eastAsia="en-AU"/>
        </w:rPr>
        <w:t>A culture that cares</w:t>
      </w:r>
      <w:bookmarkEnd w:id="34"/>
    </w:p>
    <w:p w14:paraId="4F493A55" w14:textId="77777777" w:rsidR="002E210C" w:rsidRPr="004A46C0" w:rsidRDefault="004F5354" w:rsidP="008A129B">
      <w:pPr>
        <w:rPr>
          <w:sz w:val="22"/>
          <w:lang w:eastAsia="en-AU"/>
        </w:rPr>
      </w:pPr>
      <w:r w:rsidRPr="004A46C0">
        <w:rPr>
          <w:sz w:val="22"/>
          <w:lang w:eastAsia="en-AU"/>
        </w:rPr>
        <w:t>Eighty-five percent of Australians are concerned about the amount of waste and consumption in society, with younger Australians linking this issue directly with climate change.</w:t>
      </w:r>
      <w:r w:rsidRPr="004A46C0">
        <w:rPr>
          <w:sz w:val="22"/>
          <w:vertAlign w:val="superscript"/>
          <w:lang w:eastAsia="en-AU"/>
        </w:rPr>
        <w:endnoteReference w:id="32"/>
      </w:r>
    </w:p>
    <w:p w14:paraId="474FAC2A" w14:textId="77777777" w:rsidR="00B46BC2" w:rsidRPr="004A46C0" w:rsidRDefault="004F5354" w:rsidP="008A129B">
      <w:pPr>
        <w:rPr>
          <w:sz w:val="22"/>
          <w:vertAlign w:val="superscript"/>
          <w:lang w:eastAsia="en-AU"/>
        </w:rPr>
      </w:pPr>
      <w:r w:rsidRPr="004A46C0">
        <w:rPr>
          <w:sz w:val="22"/>
          <w:lang w:eastAsia="en-AU"/>
        </w:rPr>
        <w:t>T</w:t>
      </w:r>
      <w:r w:rsidR="000F4C23" w:rsidRPr="004A46C0">
        <w:rPr>
          <w:sz w:val="22"/>
          <w:lang w:eastAsia="en-AU"/>
        </w:rPr>
        <w:t xml:space="preserve">wo-thirds of consumers </w:t>
      </w:r>
      <w:r w:rsidR="004C60D8" w:rsidRPr="004A46C0">
        <w:rPr>
          <w:sz w:val="22"/>
          <w:lang w:eastAsia="en-AU"/>
        </w:rPr>
        <w:t>want</w:t>
      </w:r>
      <w:r w:rsidR="000F4C23" w:rsidRPr="004A46C0">
        <w:rPr>
          <w:sz w:val="22"/>
          <w:lang w:eastAsia="en-AU"/>
        </w:rPr>
        <w:t xml:space="preserve"> business to do more to embrace the circular economy.</w:t>
      </w:r>
      <w:r w:rsidRPr="004A46C0">
        <w:rPr>
          <w:sz w:val="22"/>
          <w:vertAlign w:val="superscript"/>
          <w:lang w:eastAsia="en-AU"/>
        </w:rPr>
        <w:endnoteReference w:id="33"/>
      </w:r>
    </w:p>
    <w:p w14:paraId="568CA691" w14:textId="6A392AD2" w:rsidR="008A129B" w:rsidRPr="004A46C0" w:rsidRDefault="004F5354" w:rsidP="008A129B">
      <w:pPr>
        <w:rPr>
          <w:sz w:val="22"/>
          <w:lang w:eastAsia="en-AU"/>
        </w:rPr>
      </w:pPr>
      <w:r w:rsidRPr="004A46C0">
        <w:rPr>
          <w:sz w:val="22"/>
          <w:lang w:eastAsia="en-AU"/>
        </w:rPr>
        <w:t xml:space="preserve">Australia’s unique environments provide Australians with a sense of national identity and cultural heritage, representing intrinsic values deeply rooted in Australia's history and </w:t>
      </w:r>
      <w:r w:rsidR="00FC15A5" w:rsidRPr="004A46C0">
        <w:rPr>
          <w:sz w:val="22"/>
          <w:lang w:eastAsia="en-AU"/>
        </w:rPr>
        <w:t xml:space="preserve">First Nations </w:t>
      </w:r>
      <w:r w:rsidRPr="004A46C0">
        <w:rPr>
          <w:sz w:val="22"/>
          <w:lang w:eastAsia="en-AU"/>
        </w:rPr>
        <w:t>traditions.</w:t>
      </w:r>
    </w:p>
    <w:p w14:paraId="6CDEE450" w14:textId="5B6C903A" w:rsidR="00B725A6" w:rsidRPr="005F4D33" w:rsidRDefault="00B725A6">
      <w:pPr>
        <w:spacing w:after="0"/>
        <w:rPr>
          <w:sz w:val="18"/>
          <w:lang w:eastAsia="en-AU"/>
        </w:rPr>
      </w:pPr>
    </w:p>
    <w:p w14:paraId="2131BF49" w14:textId="77777777" w:rsidR="004A46C0" w:rsidRPr="00635B23" w:rsidRDefault="004A46C0" w:rsidP="004A46C0">
      <w:pPr>
        <w:pStyle w:val="Heading3"/>
      </w:pPr>
      <w:bookmarkStart w:id="35" w:name="_Toc184220093"/>
      <w:r>
        <w:t>Water</w:t>
      </w:r>
      <w:bookmarkEnd w:id="35"/>
    </w:p>
    <w:p w14:paraId="0C84049A" w14:textId="77777777" w:rsidR="004A46C0" w:rsidRPr="004A46C0" w:rsidRDefault="004A46C0" w:rsidP="004A46C0">
      <w:pPr>
        <w:rPr>
          <w:sz w:val="22"/>
          <w:lang w:eastAsia="en-AU"/>
        </w:rPr>
      </w:pPr>
      <w:r w:rsidRPr="004A46C0">
        <w:rPr>
          <w:sz w:val="22"/>
          <w:lang w:eastAsia="en-AU"/>
        </w:rPr>
        <w:t>Australia is a globally recognised leader in water management. Decades of experience in water reform has increased the efficiency of service provision, introduced better systems for allocating water between competing users, including market-based measures and introduced a wide range of management tools, with the aim of achieving sustainable water use.</w:t>
      </w:r>
    </w:p>
    <w:p w14:paraId="3FB13A73" w14:textId="77777777" w:rsidR="004A46C0" w:rsidRPr="004A46C0" w:rsidRDefault="004A46C0" w:rsidP="004A46C0">
      <w:pPr>
        <w:rPr>
          <w:sz w:val="22"/>
          <w:lang w:eastAsia="en-AU"/>
        </w:rPr>
      </w:pPr>
      <w:r w:rsidRPr="004A46C0">
        <w:rPr>
          <w:sz w:val="22"/>
          <w:lang w:eastAsia="en-AU"/>
        </w:rPr>
        <w:t>Water presents an opportunity to both showcase an area of Australian strength and to consider opportunities to take circularity further to support our water security, reduce emissions and better support our economy.</w:t>
      </w:r>
    </w:p>
    <w:p w14:paraId="0D1C1197" w14:textId="77777777" w:rsidR="004A46C0" w:rsidRPr="004A46C0" w:rsidRDefault="004A46C0" w:rsidP="004A46C0">
      <w:pPr>
        <w:rPr>
          <w:sz w:val="22"/>
          <w:lang w:eastAsia="en-AU"/>
        </w:rPr>
      </w:pPr>
      <w:r w:rsidRPr="004A46C0">
        <w:rPr>
          <w:sz w:val="22"/>
          <w:lang w:eastAsia="en-AU"/>
        </w:rPr>
        <w:t>Future opportunities for circularity in water will be underpinned by the new National Water Agreement, an intergovernmental agreement developed in collaboration with all states and territories serving as a blueprint for national water reform into the future. The objectives, outcomes and principles of the agreement promote the use of all water sources, including recycled water and stormwater.</w:t>
      </w:r>
    </w:p>
    <w:p w14:paraId="3DE9B086" w14:textId="7726A917" w:rsidR="000F4C23" w:rsidRPr="005F4D33" w:rsidRDefault="000F4C23" w:rsidP="00F11932">
      <w:pPr>
        <w:rPr>
          <w:sz w:val="14"/>
          <w:szCs w:val="18"/>
          <w:lang w:eastAsia="en-AU"/>
        </w:rPr>
      </w:pPr>
    </w:p>
    <w:p w14:paraId="4925C80A" w14:textId="77777777" w:rsidR="00822612" w:rsidRPr="005F4D33" w:rsidRDefault="00822612" w:rsidP="00822612">
      <w:pPr>
        <w:rPr>
          <w:sz w:val="14"/>
          <w:szCs w:val="18"/>
          <w:lang w:eastAsia="en-AU"/>
        </w:rPr>
      </w:pPr>
    </w:p>
    <w:p w14:paraId="49780CC9" w14:textId="77777777" w:rsidR="004D3FEF" w:rsidRPr="005F4D33" w:rsidRDefault="004D3FEF" w:rsidP="00E42C59">
      <w:pPr>
        <w:rPr>
          <w:sz w:val="14"/>
          <w:szCs w:val="18"/>
          <w:lang w:eastAsia="en-AU"/>
        </w:rPr>
      </w:pPr>
    </w:p>
    <w:p w14:paraId="1D8F5D1A" w14:textId="77777777" w:rsidR="004D3FEF" w:rsidRPr="005F4D33" w:rsidRDefault="004D3FEF" w:rsidP="00E42C59">
      <w:pPr>
        <w:rPr>
          <w:sz w:val="14"/>
          <w:szCs w:val="18"/>
          <w:lang w:eastAsia="en-AU"/>
        </w:rPr>
      </w:pPr>
    </w:p>
    <w:p w14:paraId="1FF37F5F" w14:textId="77777777" w:rsidR="004D3FEF" w:rsidRPr="005F4D33" w:rsidRDefault="004D3FEF" w:rsidP="00E42C59">
      <w:pPr>
        <w:rPr>
          <w:sz w:val="14"/>
          <w:szCs w:val="18"/>
          <w:lang w:eastAsia="en-AU"/>
        </w:rPr>
      </w:pPr>
    </w:p>
    <w:p w14:paraId="5B6A1994" w14:textId="77777777" w:rsidR="000F4C23" w:rsidRPr="005F4D33" w:rsidRDefault="000F4C23" w:rsidP="00E42C59">
      <w:pPr>
        <w:rPr>
          <w:sz w:val="14"/>
          <w:szCs w:val="18"/>
          <w:lang w:eastAsia="en-AU"/>
        </w:rPr>
      </w:pPr>
    </w:p>
    <w:p w14:paraId="10643A34" w14:textId="77777777" w:rsidR="000F4C23" w:rsidRPr="005F4D33" w:rsidRDefault="004F5354">
      <w:pPr>
        <w:spacing w:after="0"/>
        <w:rPr>
          <w:sz w:val="14"/>
          <w:szCs w:val="18"/>
          <w:lang w:eastAsia="en-AU"/>
        </w:rPr>
      </w:pPr>
      <w:r w:rsidRPr="005F4D33">
        <w:rPr>
          <w:sz w:val="14"/>
          <w:szCs w:val="18"/>
          <w:lang w:eastAsia="en-AU"/>
        </w:rPr>
        <w:br w:type="page"/>
      </w:r>
    </w:p>
    <w:p w14:paraId="7019A4E5" w14:textId="77777777" w:rsidR="000F4C23" w:rsidRPr="005F4D33" w:rsidRDefault="004F5354" w:rsidP="00880EAA">
      <w:pPr>
        <w:pStyle w:val="Heading2"/>
        <w:rPr>
          <w:color w:val="auto"/>
        </w:rPr>
      </w:pPr>
      <w:bookmarkStart w:id="36" w:name="_Toc184220094"/>
      <w:r w:rsidRPr="005F4D33">
        <w:rPr>
          <w:color w:val="auto"/>
        </w:rPr>
        <w:lastRenderedPageBreak/>
        <w:t>Australia’s</w:t>
      </w:r>
      <w:r w:rsidR="00143328" w:rsidRPr="005F4D33">
        <w:rPr>
          <w:color w:val="auto"/>
        </w:rPr>
        <w:t xml:space="preserve"> </w:t>
      </w:r>
      <w:r w:rsidR="00AA4F3E" w:rsidRPr="005F4D33">
        <w:rPr>
          <w:color w:val="auto"/>
        </w:rPr>
        <w:t xml:space="preserve">sectoral </w:t>
      </w:r>
      <w:r w:rsidR="00143328" w:rsidRPr="005F4D33">
        <w:rPr>
          <w:color w:val="auto"/>
        </w:rPr>
        <w:t>priorities</w:t>
      </w:r>
      <w:bookmarkEnd w:id="36"/>
    </w:p>
    <w:p w14:paraId="22D7D463" w14:textId="77777777" w:rsidR="00B661B1" w:rsidRPr="004A46C0" w:rsidRDefault="004F5354" w:rsidP="00B661B1">
      <w:pPr>
        <w:rPr>
          <w:rFonts w:ascii="Calibri" w:hAnsi="Calibri" w:cs="Calibri"/>
          <w:b/>
          <w:sz w:val="22"/>
        </w:rPr>
      </w:pPr>
      <w:r w:rsidRPr="004A46C0">
        <w:rPr>
          <w:sz w:val="22"/>
        </w:rPr>
        <w:t>Australia's most significant short- to medium-term opportunities to drive a competitive and sustainable circular economy are in:</w:t>
      </w:r>
    </w:p>
    <w:p w14:paraId="4CFBA2B8" w14:textId="77777777" w:rsidR="000F4C23" w:rsidRPr="004A46C0" w:rsidRDefault="004F5354" w:rsidP="00106A5A">
      <w:pPr>
        <w:pStyle w:val="ListParagraph"/>
        <w:numPr>
          <w:ilvl w:val="0"/>
          <w:numId w:val="11"/>
        </w:numPr>
        <w:spacing w:after="120"/>
        <w:rPr>
          <w:b/>
          <w:sz w:val="22"/>
        </w:rPr>
      </w:pPr>
      <w:r w:rsidRPr="004A46C0">
        <w:rPr>
          <w:b/>
          <w:sz w:val="22"/>
        </w:rPr>
        <w:t>Industry</w:t>
      </w:r>
    </w:p>
    <w:p w14:paraId="6C9E54FE" w14:textId="77777777" w:rsidR="000F4C23" w:rsidRPr="004A46C0" w:rsidRDefault="004F5354" w:rsidP="00106A5A">
      <w:pPr>
        <w:pStyle w:val="ListParagraph"/>
        <w:numPr>
          <w:ilvl w:val="0"/>
          <w:numId w:val="11"/>
        </w:numPr>
        <w:spacing w:after="120"/>
        <w:rPr>
          <w:b/>
          <w:sz w:val="22"/>
        </w:rPr>
      </w:pPr>
      <w:r w:rsidRPr="004A46C0">
        <w:rPr>
          <w:b/>
          <w:sz w:val="22"/>
        </w:rPr>
        <w:t>Built environment</w:t>
      </w:r>
    </w:p>
    <w:p w14:paraId="112F808C" w14:textId="77777777" w:rsidR="000F4C23" w:rsidRPr="004A46C0" w:rsidRDefault="004F5354" w:rsidP="00106A5A">
      <w:pPr>
        <w:pStyle w:val="ListParagraph"/>
        <w:numPr>
          <w:ilvl w:val="0"/>
          <w:numId w:val="11"/>
        </w:numPr>
        <w:spacing w:after="120"/>
        <w:rPr>
          <w:b/>
          <w:sz w:val="22"/>
        </w:rPr>
      </w:pPr>
      <w:r w:rsidRPr="004A46C0">
        <w:rPr>
          <w:b/>
          <w:sz w:val="22"/>
        </w:rPr>
        <w:t>Food and agriculture</w:t>
      </w:r>
    </w:p>
    <w:p w14:paraId="66634077" w14:textId="77777777" w:rsidR="000F4C23" w:rsidRPr="004A46C0" w:rsidRDefault="004F5354" w:rsidP="00106A5A">
      <w:pPr>
        <w:pStyle w:val="ListParagraph"/>
        <w:numPr>
          <w:ilvl w:val="0"/>
          <w:numId w:val="11"/>
        </w:numPr>
        <w:spacing w:after="120"/>
        <w:rPr>
          <w:b/>
          <w:sz w:val="22"/>
        </w:rPr>
      </w:pPr>
      <w:r w:rsidRPr="004A46C0">
        <w:rPr>
          <w:b/>
          <w:sz w:val="22"/>
        </w:rPr>
        <w:t>Resources</w:t>
      </w:r>
    </w:p>
    <w:p w14:paraId="08AD0B9F" w14:textId="77777777" w:rsidR="000F4C23" w:rsidRPr="004A46C0" w:rsidRDefault="004F5354" w:rsidP="00354E54">
      <w:pPr>
        <w:rPr>
          <w:sz w:val="22"/>
        </w:rPr>
      </w:pPr>
      <w:r w:rsidRPr="004A46C0">
        <w:rPr>
          <w:sz w:val="22"/>
        </w:rPr>
        <w:t>These sectors share at least one of the following qualities.</w:t>
      </w:r>
    </w:p>
    <w:p w14:paraId="71A385EF" w14:textId="77777777" w:rsidR="000F4C23" w:rsidRPr="004A46C0" w:rsidRDefault="004F5354" w:rsidP="00686EFB">
      <w:pPr>
        <w:ind w:left="720"/>
        <w:rPr>
          <w:sz w:val="22"/>
        </w:rPr>
      </w:pPr>
      <w:r w:rsidRPr="004A46C0">
        <w:rPr>
          <w:b/>
          <w:bCs/>
          <w:sz w:val="22"/>
        </w:rPr>
        <w:t xml:space="preserve">They are a significant part of the Australian economy </w:t>
      </w:r>
      <w:r w:rsidRPr="004A46C0">
        <w:rPr>
          <w:sz w:val="22"/>
        </w:rPr>
        <w:t>– meaning Australia has the ability to directly affect change in and through these industries.</w:t>
      </w:r>
    </w:p>
    <w:p w14:paraId="2956245A" w14:textId="77777777" w:rsidR="000F4C23" w:rsidRPr="004A46C0" w:rsidRDefault="004F5354" w:rsidP="00686EFB">
      <w:pPr>
        <w:ind w:left="720"/>
        <w:rPr>
          <w:sz w:val="22"/>
        </w:rPr>
      </w:pPr>
      <w:r w:rsidRPr="004A46C0">
        <w:rPr>
          <w:b/>
          <w:bCs/>
          <w:sz w:val="22"/>
        </w:rPr>
        <w:t xml:space="preserve">They are heavy material users </w:t>
      </w:r>
      <w:r w:rsidRPr="004A46C0">
        <w:rPr>
          <w:sz w:val="22"/>
        </w:rPr>
        <w:t>– meaning changes in circularity in these industries will result in significant shifts in Australia’s circularity rate overall.</w:t>
      </w:r>
    </w:p>
    <w:p w14:paraId="68BD545A" w14:textId="77777777" w:rsidR="004F090B" w:rsidRPr="004A46C0" w:rsidRDefault="004F5354" w:rsidP="00686EFB">
      <w:pPr>
        <w:ind w:left="720"/>
        <w:rPr>
          <w:sz w:val="22"/>
        </w:rPr>
      </w:pPr>
      <w:r w:rsidRPr="004A46C0">
        <w:rPr>
          <w:b/>
          <w:bCs/>
          <w:sz w:val="22"/>
        </w:rPr>
        <w:t xml:space="preserve">Australia has a competitive advantage to build-on in these areas </w:t>
      </w:r>
      <w:r w:rsidRPr="004A46C0">
        <w:rPr>
          <w:sz w:val="22"/>
        </w:rPr>
        <w:t>– meaning circular economy progress can deliver economic benefits and are more likely to be sustained.</w:t>
      </w:r>
    </w:p>
    <w:p w14:paraId="425A01B9" w14:textId="77777777" w:rsidR="000F4C23" w:rsidRPr="004A46C0" w:rsidRDefault="004F5354" w:rsidP="00354E54">
      <w:pPr>
        <w:rPr>
          <w:sz w:val="22"/>
        </w:rPr>
      </w:pPr>
      <w:r w:rsidRPr="004A46C0">
        <w:rPr>
          <w:sz w:val="22"/>
        </w:rPr>
        <w:t xml:space="preserve">For similar reasons, these </w:t>
      </w:r>
      <w:r w:rsidR="00AD0924" w:rsidRPr="004A46C0">
        <w:rPr>
          <w:sz w:val="22"/>
        </w:rPr>
        <w:t>circular economy priority sectors</w:t>
      </w:r>
      <w:r w:rsidRPr="004A46C0">
        <w:rPr>
          <w:sz w:val="22"/>
        </w:rPr>
        <w:t xml:space="preserve"> are also a focus of the net zero </w:t>
      </w:r>
      <w:r w:rsidR="00834B2E" w:rsidRPr="004A46C0">
        <w:rPr>
          <w:sz w:val="22"/>
        </w:rPr>
        <w:t>transition and</w:t>
      </w:r>
      <w:r w:rsidR="005E7525" w:rsidRPr="004A46C0">
        <w:rPr>
          <w:sz w:val="22"/>
        </w:rPr>
        <w:t xml:space="preserve"> are </w:t>
      </w:r>
      <w:r w:rsidR="00AD0924" w:rsidRPr="004A46C0">
        <w:rPr>
          <w:sz w:val="22"/>
        </w:rPr>
        <w:t>further described</w:t>
      </w:r>
      <w:r w:rsidR="003806AC" w:rsidRPr="004A46C0">
        <w:rPr>
          <w:sz w:val="22"/>
        </w:rPr>
        <w:t xml:space="preserve"> </w:t>
      </w:r>
      <w:r w:rsidR="005E7525" w:rsidRPr="004A46C0">
        <w:rPr>
          <w:sz w:val="22"/>
        </w:rPr>
        <w:t xml:space="preserve">in analysis </w:t>
      </w:r>
      <w:r w:rsidR="0088079B" w:rsidRPr="004A46C0">
        <w:rPr>
          <w:sz w:val="22"/>
        </w:rPr>
        <w:t xml:space="preserve">by the National Science </w:t>
      </w:r>
      <w:r w:rsidR="00E10AFD" w:rsidRPr="004A46C0">
        <w:rPr>
          <w:sz w:val="22"/>
        </w:rPr>
        <w:t>and</w:t>
      </w:r>
      <w:r w:rsidR="0088079B" w:rsidRPr="004A46C0">
        <w:rPr>
          <w:sz w:val="22"/>
        </w:rPr>
        <w:t xml:space="preserve"> Technology Council.</w:t>
      </w:r>
      <w:r w:rsidRPr="004A46C0">
        <w:rPr>
          <w:rStyle w:val="EndnoteReference"/>
          <w:sz w:val="22"/>
        </w:rPr>
        <w:endnoteReference w:id="34"/>
      </w:r>
    </w:p>
    <w:p w14:paraId="1200E7CF" w14:textId="77777777" w:rsidR="00BD3110" w:rsidRPr="004A46C0" w:rsidRDefault="004F5354" w:rsidP="00354E54">
      <w:pPr>
        <w:rPr>
          <w:sz w:val="22"/>
        </w:rPr>
      </w:pPr>
      <w:r w:rsidRPr="004A46C0">
        <w:rPr>
          <w:sz w:val="22"/>
        </w:rPr>
        <w:t xml:space="preserve">Within these sectors </w:t>
      </w:r>
      <w:r w:rsidR="00B36149" w:rsidRPr="004A46C0">
        <w:rPr>
          <w:sz w:val="22"/>
        </w:rPr>
        <w:t xml:space="preserve">there are discrete </w:t>
      </w:r>
      <w:r w:rsidR="00621B4D" w:rsidRPr="004A46C0">
        <w:rPr>
          <w:sz w:val="22"/>
        </w:rPr>
        <w:t>priorities for action</w:t>
      </w:r>
      <w:r w:rsidR="00DC1CA1" w:rsidRPr="004A46C0">
        <w:rPr>
          <w:sz w:val="22"/>
        </w:rPr>
        <w:t xml:space="preserve">. </w:t>
      </w:r>
      <w:r w:rsidR="00DB4180" w:rsidRPr="004A46C0">
        <w:rPr>
          <w:sz w:val="22"/>
        </w:rPr>
        <w:t xml:space="preserve">These </w:t>
      </w:r>
      <w:r w:rsidR="00072A87" w:rsidRPr="004A46C0">
        <w:rPr>
          <w:sz w:val="22"/>
        </w:rPr>
        <w:t>include</w:t>
      </w:r>
      <w:r w:rsidR="006D1192" w:rsidRPr="004A46C0">
        <w:rPr>
          <w:sz w:val="22"/>
        </w:rPr>
        <w:t xml:space="preserve"> specific</w:t>
      </w:r>
      <w:r w:rsidR="00DB4180" w:rsidRPr="004A46C0">
        <w:rPr>
          <w:sz w:val="22"/>
        </w:rPr>
        <w:t xml:space="preserve"> market opportunities </w:t>
      </w:r>
      <w:r w:rsidR="00C743AA" w:rsidRPr="004A46C0">
        <w:rPr>
          <w:sz w:val="22"/>
        </w:rPr>
        <w:t xml:space="preserve">that Australia is well-positioned to </w:t>
      </w:r>
      <w:r w:rsidR="00A06CDC" w:rsidRPr="004A46C0">
        <w:rPr>
          <w:sz w:val="22"/>
        </w:rPr>
        <w:t>meet</w:t>
      </w:r>
      <w:r w:rsidR="001C44B8" w:rsidRPr="004A46C0">
        <w:rPr>
          <w:sz w:val="22"/>
        </w:rPr>
        <w:t>,</w:t>
      </w:r>
      <w:r w:rsidR="00D4261E" w:rsidRPr="004A46C0">
        <w:rPr>
          <w:sz w:val="22"/>
        </w:rPr>
        <w:t xml:space="preserve"> drawing on our comparative </w:t>
      </w:r>
      <w:r w:rsidR="00E64D72" w:rsidRPr="004A46C0">
        <w:rPr>
          <w:sz w:val="22"/>
        </w:rPr>
        <w:t>advantage</w:t>
      </w:r>
      <w:r w:rsidR="002366AA" w:rsidRPr="004A46C0">
        <w:rPr>
          <w:sz w:val="22"/>
        </w:rPr>
        <w:t>s. They also include</w:t>
      </w:r>
      <w:r w:rsidR="00DB4180" w:rsidRPr="004A46C0">
        <w:rPr>
          <w:sz w:val="22"/>
        </w:rPr>
        <w:t xml:space="preserve"> enabling activities</w:t>
      </w:r>
      <w:r w:rsidR="00A06284" w:rsidRPr="004A46C0">
        <w:rPr>
          <w:sz w:val="22"/>
        </w:rPr>
        <w:t xml:space="preserve"> that will unlock </w:t>
      </w:r>
      <w:r w:rsidR="002366AA" w:rsidRPr="004A46C0">
        <w:rPr>
          <w:sz w:val="22"/>
        </w:rPr>
        <w:t>these opportunities</w:t>
      </w:r>
      <w:r w:rsidR="00A06284" w:rsidRPr="004A46C0">
        <w:rPr>
          <w:sz w:val="22"/>
        </w:rPr>
        <w:t>.</w:t>
      </w:r>
    </w:p>
    <w:p w14:paraId="47C99C42" w14:textId="77777777" w:rsidR="00BD3110" w:rsidRPr="004A46C0" w:rsidRDefault="004F5354" w:rsidP="00823DED">
      <w:pPr>
        <w:rPr>
          <w:sz w:val="22"/>
        </w:rPr>
      </w:pPr>
      <w:r w:rsidRPr="004A46C0">
        <w:rPr>
          <w:sz w:val="22"/>
        </w:rPr>
        <w:t xml:space="preserve">The sectoral </w:t>
      </w:r>
      <w:r w:rsidR="00171986" w:rsidRPr="004A46C0">
        <w:rPr>
          <w:sz w:val="22"/>
        </w:rPr>
        <w:t>priorities and</w:t>
      </w:r>
      <w:r w:rsidRPr="004A46C0">
        <w:rPr>
          <w:sz w:val="22"/>
        </w:rPr>
        <w:t xml:space="preserve"> supporting actions will need to be revisited periodically to ensure they remain contemporary in achieving the overarching, decadal goal.</w:t>
      </w:r>
      <w:r w:rsidR="00072A87" w:rsidRPr="004A46C0">
        <w:rPr>
          <w:sz w:val="22"/>
        </w:rPr>
        <w:t xml:space="preserve"> </w:t>
      </w:r>
      <w:r w:rsidR="004456E3" w:rsidRPr="004A46C0">
        <w:rPr>
          <w:sz w:val="22"/>
        </w:rPr>
        <w:t>This approach acknowledges that Australia's strategy needs to evolve over time.</w:t>
      </w:r>
    </w:p>
    <w:p w14:paraId="22DB563E" w14:textId="75AAFD26" w:rsidR="000F4C23" w:rsidRPr="005F4D33" w:rsidRDefault="004F5354" w:rsidP="00823DED">
      <w:pPr>
        <w:rPr>
          <w:sz w:val="14"/>
          <w:szCs w:val="18"/>
        </w:rPr>
      </w:pPr>
      <w:r w:rsidRPr="005F4D33">
        <w:rPr>
          <w:sz w:val="14"/>
          <w:szCs w:val="18"/>
        </w:rPr>
        <w:t xml:space="preserve"> </w:t>
      </w:r>
    </w:p>
    <w:p w14:paraId="74DF3B45" w14:textId="250370BB" w:rsidR="009D47C1" w:rsidRDefault="009D47C1" w:rsidP="009D47C1">
      <w:pPr>
        <w:pStyle w:val="Heading3"/>
      </w:pPr>
      <w:bookmarkStart w:id="37" w:name="_Toc184220095"/>
      <w:bookmarkStart w:id="38" w:name="_Toc156478678"/>
      <w:r w:rsidRPr="00171986">
        <w:t>Industry</w:t>
      </w:r>
      <w:bookmarkEnd w:id="37"/>
    </w:p>
    <w:p w14:paraId="3049B172" w14:textId="36FF229A" w:rsidR="000F4C23" w:rsidRPr="005F4D33" w:rsidRDefault="004F5354" w:rsidP="000D72B9">
      <w:pPr>
        <w:pStyle w:val="Heading4"/>
      </w:pPr>
      <w:r w:rsidRPr="005F4D33">
        <w:t>Rationale</w:t>
      </w:r>
    </w:p>
    <w:p w14:paraId="16291F7C" w14:textId="77777777" w:rsidR="00EA5EF3" w:rsidRPr="00312716" w:rsidRDefault="004F5354" w:rsidP="00972DA3">
      <w:pPr>
        <w:rPr>
          <w:sz w:val="22"/>
        </w:rPr>
      </w:pPr>
      <w:r w:rsidRPr="00312716">
        <w:rPr>
          <w:sz w:val="22"/>
        </w:rPr>
        <w:t xml:space="preserve">Australia is </w:t>
      </w:r>
      <w:r w:rsidR="006710E7" w:rsidRPr="00312716">
        <w:rPr>
          <w:sz w:val="22"/>
        </w:rPr>
        <w:t xml:space="preserve">building its domestic manufacturing capabilities </w:t>
      </w:r>
      <w:r w:rsidR="00154A8F" w:rsidRPr="00312716">
        <w:rPr>
          <w:sz w:val="22"/>
        </w:rPr>
        <w:t xml:space="preserve">through the </w:t>
      </w:r>
      <w:r w:rsidR="00154A8F" w:rsidRPr="00312716">
        <w:rPr>
          <w:i/>
          <w:iCs/>
          <w:sz w:val="22"/>
        </w:rPr>
        <w:t>Future Made in Australia</w:t>
      </w:r>
      <w:r w:rsidR="00154A8F" w:rsidRPr="00312716">
        <w:rPr>
          <w:sz w:val="22"/>
        </w:rPr>
        <w:t xml:space="preserve"> agenda.</w:t>
      </w:r>
    </w:p>
    <w:p w14:paraId="42A98CF2" w14:textId="77777777" w:rsidR="006A396B" w:rsidRPr="00312716" w:rsidRDefault="004F5354" w:rsidP="00972DA3">
      <w:pPr>
        <w:rPr>
          <w:sz w:val="22"/>
        </w:rPr>
      </w:pPr>
      <w:r w:rsidRPr="00312716">
        <w:rPr>
          <w:sz w:val="22"/>
        </w:rPr>
        <w:t>This period offers a key opportunity for the use of secondary materials as feedstocks</w:t>
      </w:r>
      <w:r w:rsidR="00154A8F" w:rsidRPr="00312716">
        <w:rPr>
          <w:sz w:val="22"/>
        </w:rPr>
        <w:t xml:space="preserve"> for local manufacturing</w:t>
      </w:r>
      <w:r w:rsidRPr="00312716">
        <w:rPr>
          <w:sz w:val="22"/>
        </w:rPr>
        <w:t xml:space="preserve">. </w:t>
      </w:r>
      <w:r w:rsidR="007848EB" w:rsidRPr="00312716">
        <w:rPr>
          <w:sz w:val="22"/>
        </w:rPr>
        <w:t>Using recycled</w:t>
      </w:r>
      <w:r w:rsidR="00A22372" w:rsidRPr="00312716">
        <w:rPr>
          <w:sz w:val="22"/>
        </w:rPr>
        <w:t xml:space="preserve"> materials as inputs for manufacturing reduces </w:t>
      </w:r>
      <w:r w:rsidR="005A382D" w:rsidRPr="00312716">
        <w:rPr>
          <w:sz w:val="22"/>
        </w:rPr>
        <w:t xml:space="preserve">Australia’s exposure to supply chain </w:t>
      </w:r>
      <w:r w:rsidR="007848EB" w:rsidRPr="00312716">
        <w:rPr>
          <w:sz w:val="22"/>
        </w:rPr>
        <w:t>disruptions</w:t>
      </w:r>
      <w:r w:rsidR="005A382D" w:rsidRPr="00312716">
        <w:rPr>
          <w:sz w:val="22"/>
        </w:rPr>
        <w:t xml:space="preserve">. </w:t>
      </w:r>
      <w:r w:rsidR="006B7D15" w:rsidRPr="00312716">
        <w:rPr>
          <w:sz w:val="22"/>
        </w:rPr>
        <w:t xml:space="preserve">Remanufacturing also supports </w:t>
      </w:r>
      <w:r w:rsidR="004A3E68" w:rsidRPr="00312716">
        <w:rPr>
          <w:sz w:val="22"/>
        </w:rPr>
        <w:t xml:space="preserve">high-value </w:t>
      </w:r>
      <w:r w:rsidR="006B7D15" w:rsidRPr="00312716">
        <w:rPr>
          <w:sz w:val="22"/>
        </w:rPr>
        <w:t>job-creation</w:t>
      </w:r>
      <w:r w:rsidR="006F2B7D" w:rsidRPr="00312716">
        <w:rPr>
          <w:sz w:val="22"/>
        </w:rPr>
        <w:t xml:space="preserve"> in </w:t>
      </w:r>
      <w:r w:rsidR="00C64DD6" w:rsidRPr="00312716">
        <w:rPr>
          <w:sz w:val="22"/>
        </w:rPr>
        <w:t>adjacent</w:t>
      </w:r>
      <w:r w:rsidR="006F2B7D" w:rsidRPr="00312716">
        <w:rPr>
          <w:sz w:val="22"/>
        </w:rPr>
        <w:t xml:space="preserve"> sectors</w:t>
      </w:r>
      <w:r w:rsidR="00AC4E5D" w:rsidRPr="00312716">
        <w:rPr>
          <w:sz w:val="22"/>
        </w:rPr>
        <w:t>. This includes Australia’s</w:t>
      </w:r>
      <w:r w:rsidR="001F5C46" w:rsidRPr="00312716">
        <w:rPr>
          <w:sz w:val="22"/>
        </w:rPr>
        <w:t xml:space="preserve"> recycling industry</w:t>
      </w:r>
      <w:r w:rsidR="004A3E68" w:rsidRPr="00312716">
        <w:rPr>
          <w:sz w:val="22"/>
        </w:rPr>
        <w:t xml:space="preserve">, </w:t>
      </w:r>
      <w:r w:rsidR="006F2B7D" w:rsidRPr="00312716">
        <w:rPr>
          <w:sz w:val="22"/>
        </w:rPr>
        <w:t>which contributes an estimated $</w:t>
      </w:r>
      <w:r w:rsidR="00DF2A3D" w:rsidRPr="00312716">
        <w:rPr>
          <w:sz w:val="22"/>
        </w:rPr>
        <w:t>1</w:t>
      </w:r>
      <w:r w:rsidR="00CE2AC2" w:rsidRPr="00312716">
        <w:rPr>
          <w:sz w:val="22"/>
        </w:rPr>
        <w:t>9</w:t>
      </w:r>
      <w:r w:rsidR="00DF2A3D" w:rsidRPr="00312716">
        <w:rPr>
          <w:sz w:val="22"/>
        </w:rPr>
        <w:t xml:space="preserve"> </w:t>
      </w:r>
      <w:r w:rsidR="00154A8F" w:rsidRPr="00312716">
        <w:rPr>
          <w:sz w:val="22"/>
        </w:rPr>
        <w:t xml:space="preserve">billion </w:t>
      </w:r>
      <w:r w:rsidR="00DF2A3D" w:rsidRPr="00312716">
        <w:rPr>
          <w:sz w:val="22"/>
        </w:rPr>
        <w:t xml:space="preserve">to the economy </w:t>
      </w:r>
      <w:r w:rsidR="00FB23D4" w:rsidRPr="00312716">
        <w:rPr>
          <w:sz w:val="22"/>
        </w:rPr>
        <w:t>and</w:t>
      </w:r>
      <w:r w:rsidR="00780059" w:rsidRPr="00312716">
        <w:rPr>
          <w:sz w:val="22"/>
        </w:rPr>
        <w:t xml:space="preserve"> salaries </w:t>
      </w:r>
      <w:r w:rsidR="00772B4D" w:rsidRPr="00312716">
        <w:rPr>
          <w:sz w:val="22"/>
        </w:rPr>
        <w:t xml:space="preserve">approximately </w:t>
      </w:r>
      <w:r w:rsidR="00FB23D4" w:rsidRPr="00312716">
        <w:rPr>
          <w:sz w:val="22"/>
        </w:rPr>
        <w:t xml:space="preserve">$12,000 above the average Australian </w:t>
      </w:r>
      <w:r w:rsidR="00696852" w:rsidRPr="00312716">
        <w:rPr>
          <w:sz w:val="22"/>
        </w:rPr>
        <w:t>annual</w:t>
      </w:r>
      <w:r w:rsidR="00FB23D4" w:rsidRPr="00312716">
        <w:rPr>
          <w:sz w:val="22"/>
        </w:rPr>
        <w:t xml:space="preserve"> earnings.</w:t>
      </w:r>
      <w:r w:rsidRPr="00312716">
        <w:rPr>
          <w:rStyle w:val="EndnoteReference"/>
          <w:sz w:val="22"/>
        </w:rPr>
        <w:endnoteReference w:id="35"/>
      </w:r>
    </w:p>
    <w:p w14:paraId="7D9102E4" w14:textId="01522248" w:rsidR="00A12398" w:rsidRPr="00312716" w:rsidRDefault="004F5354" w:rsidP="00A12398">
      <w:pPr>
        <w:rPr>
          <w:sz w:val="22"/>
        </w:rPr>
      </w:pPr>
      <w:r w:rsidRPr="00312716">
        <w:rPr>
          <w:sz w:val="22"/>
        </w:rPr>
        <w:t>Australia’s comparative advantages in design, and niche, high value manufacturing expertise can support growth in manufacturing durable, reuseable and sustainable goods</w:t>
      </w:r>
      <w:r w:rsidR="00F253DC" w:rsidRPr="00312716">
        <w:rPr>
          <w:sz w:val="22"/>
        </w:rPr>
        <w:t xml:space="preserve"> that are essential to a circular economy.</w:t>
      </w:r>
    </w:p>
    <w:p w14:paraId="3F28E302" w14:textId="77777777" w:rsidR="000F4C23" w:rsidRPr="005F4D33" w:rsidRDefault="004F5354" w:rsidP="000D72B9">
      <w:pPr>
        <w:pStyle w:val="Heading4"/>
      </w:pPr>
      <w:r w:rsidRPr="005F4D33">
        <w:t>Priorities</w:t>
      </w:r>
    </w:p>
    <w:p w14:paraId="1E999912" w14:textId="77777777" w:rsidR="00AB7122" w:rsidRPr="00312716" w:rsidRDefault="004F5354" w:rsidP="00D25A3D">
      <w:pPr>
        <w:pStyle w:val="Heading5"/>
        <w:rPr>
          <w:sz w:val="22"/>
        </w:rPr>
      </w:pPr>
      <w:r w:rsidRPr="00312716">
        <w:rPr>
          <w:sz w:val="22"/>
        </w:rPr>
        <w:t>Circular packaging</w:t>
      </w:r>
    </w:p>
    <w:p w14:paraId="05921D1C" w14:textId="21778210" w:rsidR="007E3731" w:rsidRPr="00312716" w:rsidRDefault="004F5354" w:rsidP="007E3731">
      <w:pPr>
        <w:rPr>
          <w:sz w:val="22"/>
        </w:rPr>
      </w:pPr>
      <w:r w:rsidRPr="00312716">
        <w:rPr>
          <w:sz w:val="22"/>
        </w:rPr>
        <w:t>Packaging is a clear circular economy priority in Australia because of its significant environmental impact and the potential for improvement through sustainable design, recovery, reuse and recycling. In 2020–21, Australia produced 6.74 million tonnes of packaging – 44% of which was disposed of in landfills.</w:t>
      </w:r>
      <w:r w:rsidRPr="00312716">
        <w:rPr>
          <w:rStyle w:val="EndnoteReference"/>
          <w:sz w:val="22"/>
        </w:rPr>
        <w:endnoteReference w:id="36"/>
      </w:r>
    </w:p>
    <w:p w14:paraId="51737F48" w14:textId="75FCDD12" w:rsidR="00AB7122" w:rsidRPr="00312716" w:rsidRDefault="004F5354" w:rsidP="00AB7122">
      <w:pPr>
        <w:rPr>
          <w:sz w:val="22"/>
          <w:lang w:eastAsia="en-AU"/>
        </w:rPr>
      </w:pPr>
      <w:r w:rsidRPr="00312716">
        <w:rPr>
          <w:sz w:val="22"/>
          <w:lang w:eastAsia="en-AU"/>
        </w:rPr>
        <w:lastRenderedPageBreak/>
        <w:t xml:space="preserve">The demand for food-grade recycled plastic is expected to witness significant growth due to increasing consumer awareness of environmental issues and regulatory pressures to reduce plastic waste. The global food-grade recycled plastics market size was valued at US$9.1 </w:t>
      </w:r>
      <w:r w:rsidR="00EE5A83" w:rsidRPr="00312716">
        <w:rPr>
          <w:sz w:val="22"/>
          <w:lang w:eastAsia="en-AU"/>
        </w:rPr>
        <w:t>billion</w:t>
      </w:r>
      <w:r w:rsidRPr="00312716">
        <w:rPr>
          <w:sz w:val="22"/>
          <w:lang w:eastAsia="en-AU"/>
        </w:rPr>
        <w:t xml:space="preserve"> in 2020 and is projected to reach US$12.9 </w:t>
      </w:r>
      <w:r w:rsidR="00EE5A83" w:rsidRPr="00312716">
        <w:rPr>
          <w:sz w:val="22"/>
          <w:lang w:eastAsia="en-AU"/>
        </w:rPr>
        <w:t>billion</w:t>
      </w:r>
      <w:r w:rsidRPr="00312716">
        <w:rPr>
          <w:sz w:val="22"/>
          <w:lang w:eastAsia="en-AU"/>
        </w:rPr>
        <w:t xml:space="preserve"> by 2027, with a compound annual growth rate (CAGR) of 5.1% during the forecast period.</w:t>
      </w:r>
    </w:p>
    <w:p w14:paraId="56E6CB44" w14:textId="5DB4C6D7" w:rsidR="00AB7122" w:rsidRPr="00312716" w:rsidRDefault="004F5354" w:rsidP="00AB7122">
      <w:pPr>
        <w:rPr>
          <w:sz w:val="22"/>
          <w:lang w:eastAsia="en-AU"/>
        </w:rPr>
      </w:pPr>
      <w:r w:rsidRPr="00312716">
        <w:rPr>
          <w:sz w:val="22"/>
          <w:lang w:eastAsia="en-AU"/>
        </w:rPr>
        <w:t>This growth is driven by the rising adoption of sustainable packaging solutions by food and beverage manufacturers to meet consumer demand for eco-friendly products. Top brands (representing 20% of all global packaging) average 6.2% recycled plastics in packaging – but most have targets to reach 25% or more by 2025.</w:t>
      </w:r>
      <w:r w:rsidR="007E5192" w:rsidRPr="00312716">
        <w:rPr>
          <w:rStyle w:val="EndnoteReference"/>
          <w:sz w:val="22"/>
          <w:lang w:eastAsia="en-AU"/>
        </w:rPr>
        <w:endnoteReference w:id="37"/>
      </w:r>
    </w:p>
    <w:p w14:paraId="6F10CEEF" w14:textId="77777777" w:rsidR="0095104F" w:rsidRPr="00312716" w:rsidRDefault="004F5354" w:rsidP="00536E6E">
      <w:pPr>
        <w:rPr>
          <w:sz w:val="22"/>
        </w:rPr>
      </w:pPr>
      <w:r w:rsidRPr="00312716">
        <w:rPr>
          <w:sz w:val="22"/>
        </w:rPr>
        <w:t xml:space="preserve">Australia is reforming the domestic regulation of packaging to ensure products placed on the market are designed to be recovered, reused, recycled and reprocessed safely. Innovative technologies to recover, recycle and remanufacture packaging, and business-to-business procurement of circular packaging solutions are </w:t>
      </w:r>
      <w:r w:rsidR="00E05550" w:rsidRPr="00312716">
        <w:rPr>
          <w:sz w:val="22"/>
        </w:rPr>
        <w:t>important components of this priority</w:t>
      </w:r>
      <w:r w:rsidRPr="00312716">
        <w:rPr>
          <w:sz w:val="22"/>
        </w:rPr>
        <w:t>.</w:t>
      </w:r>
    </w:p>
    <w:p w14:paraId="46CC0C66" w14:textId="77777777" w:rsidR="00536E6E" w:rsidRPr="00312716" w:rsidRDefault="004F5354" w:rsidP="00D25A3D">
      <w:pPr>
        <w:pStyle w:val="Heading5"/>
        <w:rPr>
          <w:sz w:val="22"/>
        </w:rPr>
      </w:pPr>
      <w:r w:rsidRPr="00312716">
        <w:rPr>
          <w:sz w:val="22"/>
        </w:rPr>
        <w:t>Durable</w:t>
      </w:r>
      <w:r w:rsidR="00794899" w:rsidRPr="00312716">
        <w:rPr>
          <w:sz w:val="22"/>
        </w:rPr>
        <w:t xml:space="preserve">, </w:t>
      </w:r>
      <w:r w:rsidRPr="00312716">
        <w:rPr>
          <w:sz w:val="22"/>
        </w:rPr>
        <w:t>re-usable</w:t>
      </w:r>
      <w:r w:rsidR="00794899" w:rsidRPr="00312716">
        <w:rPr>
          <w:sz w:val="22"/>
        </w:rPr>
        <w:t xml:space="preserve"> and </w:t>
      </w:r>
      <w:r w:rsidRPr="00312716">
        <w:rPr>
          <w:sz w:val="22"/>
        </w:rPr>
        <w:t>sustainable goods</w:t>
      </w:r>
    </w:p>
    <w:p w14:paraId="1D047A40" w14:textId="4F3422F7" w:rsidR="00536E6E" w:rsidRPr="00312716" w:rsidRDefault="004F5354" w:rsidP="00536E6E">
      <w:pPr>
        <w:rPr>
          <w:sz w:val="22"/>
        </w:rPr>
      </w:pPr>
      <w:r w:rsidRPr="00312716">
        <w:rPr>
          <w:sz w:val="22"/>
        </w:rPr>
        <w:t xml:space="preserve">Australia has globally competitive capabilities in manufacturing high-technology bespoke components for mining vehicles, land transport, and high-speed aluminium ferries. Australian exports of transport components, parts, and accessories was over $1.5 </w:t>
      </w:r>
      <w:r w:rsidR="007532C9" w:rsidRPr="00312716">
        <w:rPr>
          <w:sz w:val="22"/>
        </w:rPr>
        <w:t>billion,</w:t>
      </w:r>
      <w:r w:rsidRPr="00312716">
        <w:rPr>
          <w:sz w:val="22"/>
        </w:rPr>
        <w:t xml:space="preserve"> and it has experienced 7% year-on-year growth between 2018 and 2023.</w:t>
      </w:r>
      <w:r w:rsidR="0044376A" w:rsidRPr="00312716">
        <w:rPr>
          <w:rStyle w:val="EndnoteReference"/>
          <w:sz w:val="22"/>
        </w:rPr>
        <w:endnoteReference w:id="38"/>
      </w:r>
      <w:r w:rsidR="0088361D" w:rsidRPr="00312716">
        <w:rPr>
          <w:sz w:val="22"/>
        </w:rPr>
        <w:t xml:space="preserve"> </w:t>
      </w:r>
      <w:r w:rsidR="00EA5EF3" w:rsidRPr="00312716">
        <w:rPr>
          <w:sz w:val="22"/>
        </w:rPr>
        <w:t>These products support the circular economy and net zero transitions and are in-demand in international markets.</w:t>
      </w:r>
    </w:p>
    <w:p w14:paraId="4FD2B0E1" w14:textId="7328A9D2" w:rsidR="00536E6E" w:rsidRPr="00312716" w:rsidRDefault="004F5354" w:rsidP="00536E6E">
      <w:pPr>
        <w:rPr>
          <w:sz w:val="22"/>
        </w:rPr>
      </w:pPr>
      <w:r w:rsidRPr="00312716">
        <w:rPr>
          <w:sz w:val="22"/>
        </w:rPr>
        <w:t xml:space="preserve">Another area of niche expertise is novel technology solutions for medical waste. For example, </w:t>
      </w:r>
      <w:proofErr w:type="spellStart"/>
      <w:r w:rsidRPr="00312716">
        <w:rPr>
          <w:sz w:val="22"/>
        </w:rPr>
        <w:t>Nanosonics</w:t>
      </w:r>
      <w:proofErr w:type="spellEnd"/>
      <w:r w:rsidRPr="00312716">
        <w:rPr>
          <w:sz w:val="22"/>
        </w:rPr>
        <w:t xml:space="preserve"> is an Australian technology start-up that has reached unicorn status (valued at over US$1 b</w:t>
      </w:r>
      <w:r w:rsidR="00B86AD1" w:rsidRPr="00312716">
        <w:rPr>
          <w:sz w:val="22"/>
        </w:rPr>
        <w:t>illion</w:t>
      </w:r>
      <w:r w:rsidRPr="00312716">
        <w:rPr>
          <w:sz w:val="22"/>
        </w:rPr>
        <w:t>) whose products eliminate chemicals of concern and are less harmful to the environment.</w:t>
      </w:r>
    </w:p>
    <w:p w14:paraId="60D89A74" w14:textId="77777777" w:rsidR="00536E6E" w:rsidRPr="00312716" w:rsidRDefault="004F5354" w:rsidP="00536E6E">
      <w:pPr>
        <w:rPr>
          <w:sz w:val="22"/>
        </w:rPr>
      </w:pPr>
      <w:r w:rsidRPr="00312716">
        <w:rPr>
          <w:sz w:val="22"/>
        </w:rPr>
        <w:t>Australia can leverage its strengths in medical technology innovation by investing to create sustainable alternatives to disposable healthcare products, reducing the burden of medical waste.</w:t>
      </w:r>
    </w:p>
    <w:p w14:paraId="70AA3180" w14:textId="77777777" w:rsidR="00E005F3" w:rsidRPr="00312716" w:rsidRDefault="004F5354" w:rsidP="00536E6E">
      <w:pPr>
        <w:rPr>
          <w:sz w:val="22"/>
        </w:rPr>
      </w:pPr>
      <w:r w:rsidRPr="00312716">
        <w:rPr>
          <w:sz w:val="22"/>
        </w:rPr>
        <w:t xml:space="preserve">‘Medical science’ and ‘transport’ are priority areas identified for targeted investment through the $15 </w:t>
      </w:r>
      <w:r w:rsidR="006B3873" w:rsidRPr="00312716">
        <w:rPr>
          <w:sz w:val="22"/>
        </w:rPr>
        <w:t>billion</w:t>
      </w:r>
      <w:r w:rsidRPr="00312716">
        <w:rPr>
          <w:sz w:val="22"/>
        </w:rPr>
        <w:t xml:space="preserve"> </w:t>
      </w:r>
      <w:r w:rsidR="009F61D7" w:rsidRPr="00312716">
        <w:rPr>
          <w:sz w:val="22"/>
        </w:rPr>
        <w:t>National Reconstruction Fund</w:t>
      </w:r>
      <w:r w:rsidRPr="00312716">
        <w:rPr>
          <w:sz w:val="22"/>
        </w:rPr>
        <w:t xml:space="preserve"> (NRF). With healthcare waste accounting for around 5.9% of Australia's total waste generation, innovating towards reusable or biodegradable medical devices can significantly mitigate environmental impacts while addressing the rising demand for healthcare services</w:t>
      </w:r>
      <w:r w:rsidR="009F61D7" w:rsidRPr="00312716">
        <w:rPr>
          <w:sz w:val="22"/>
        </w:rPr>
        <w:t>.</w:t>
      </w:r>
    </w:p>
    <w:p w14:paraId="4C39E1C7" w14:textId="77777777" w:rsidR="00E005F3" w:rsidRPr="005F4D33" w:rsidRDefault="004F5354" w:rsidP="00D25A3D">
      <w:pPr>
        <w:pStyle w:val="Heading4"/>
      </w:pPr>
      <w:r w:rsidRPr="005F4D33">
        <w:t>Enablers</w:t>
      </w:r>
    </w:p>
    <w:p w14:paraId="639766E2" w14:textId="77777777" w:rsidR="000F4C23" w:rsidRPr="00312716" w:rsidRDefault="004F5354" w:rsidP="00D25A3D">
      <w:pPr>
        <w:pStyle w:val="Heading5"/>
        <w:rPr>
          <w:sz w:val="22"/>
        </w:rPr>
      </w:pPr>
      <w:r w:rsidRPr="00312716">
        <w:rPr>
          <w:sz w:val="22"/>
        </w:rPr>
        <w:t>C</w:t>
      </w:r>
      <w:r w:rsidR="00577AC8" w:rsidRPr="00312716">
        <w:rPr>
          <w:sz w:val="22"/>
        </w:rPr>
        <w:t>ircular p</w:t>
      </w:r>
      <w:r w:rsidR="009E3420" w:rsidRPr="00312716">
        <w:rPr>
          <w:sz w:val="22"/>
        </w:rPr>
        <w:t>roduct design</w:t>
      </w:r>
    </w:p>
    <w:p w14:paraId="4252D2E7" w14:textId="77777777" w:rsidR="002A431F" w:rsidRPr="00312716" w:rsidRDefault="004F5354" w:rsidP="00823DED">
      <w:pPr>
        <w:rPr>
          <w:sz w:val="22"/>
        </w:rPr>
      </w:pPr>
      <w:r w:rsidRPr="00312716">
        <w:rPr>
          <w:sz w:val="22"/>
        </w:rPr>
        <w:t>The design stage of a product determines around 80% of its environmental impact.</w:t>
      </w:r>
      <w:r w:rsidRPr="00312716">
        <w:rPr>
          <w:sz w:val="22"/>
          <w:vertAlign w:val="superscript"/>
        </w:rPr>
        <w:endnoteReference w:id="39"/>
      </w:r>
      <w:r w:rsidRPr="00312716">
        <w:rPr>
          <w:sz w:val="22"/>
        </w:rPr>
        <w:t xml:space="preserve"> </w:t>
      </w:r>
      <w:r w:rsidR="0003789A" w:rsidRPr="00312716">
        <w:rPr>
          <w:sz w:val="22"/>
        </w:rPr>
        <w:t>E</w:t>
      </w:r>
      <w:r w:rsidR="005C3B7E" w:rsidRPr="00312716">
        <w:rPr>
          <w:sz w:val="22"/>
        </w:rPr>
        <w:t xml:space="preserve">conomies such as the EU, China, </w:t>
      </w:r>
      <w:r w:rsidR="00380851" w:rsidRPr="00312716">
        <w:rPr>
          <w:sz w:val="22"/>
        </w:rPr>
        <w:t>Japan</w:t>
      </w:r>
      <w:r w:rsidR="00CE30FF" w:rsidRPr="00312716">
        <w:rPr>
          <w:sz w:val="22"/>
        </w:rPr>
        <w:t xml:space="preserve"> and South Korea </w:t>
      </w:r>
      <w:r w:rsidR="0003789A" w:rsidRPr="00312716">
        <w:rPr>
          <w:sz w:val="22"/>
        </w:rPr>
        <w:t xml:space="preserve">are </w:t>
      </w:r>
      <w:r w:rsidR="00DF7359" w:rsidRPr="00312716">
        <w:rPr>
          <w:sz w:val="22"/>
        </w:rPr>
        <w:t xml:space="preserve">developing </w:t>
      </w:r>
      <w:r w:rsidR="00790C8D" w:rsidRPr="00312716">
        <w:rPr>
          <w:sz w:val="22"/>
        </w:rPr>
        <w:t>standards</w:t>
      </w:r>
      <w:r w:rsidR="006F1FCA" w:rsidRPr="00312716">
        <w:rPr>
          <w:sz w:val="22"/>
        </w:rPr>
        <w:t xml:space="preserve"> </w:t>
      </w:r>
      <w:r w:rsidR="008759DB" w:rsidRPr="00312716">
        <w:rPr>
          <w:sz w:val="22"/>
        </w:rPr>
        <w:t xml:space="preserve">and frameworks </w:t>
      </w:r>
      <w:r w:rsidR="00444DA1" w:rsidRPr="00312716">
        <w:rPr>
          <w:sz w:val="22"/>
        </w:rPr>
        <w:t xml:space="preserve">to </w:t>
      </w:r>
      <w:r w:rsidR="00F904A5" w:rsidRPr="00312716">
        <w:rPr>
          <w:sz w:val="22"/>
        </w:rPr>
        <w:t>improve</w:t>
      </w:r>
      <w:r w:rsidR="006F1FCA" w:rsidRPr="00312716">
        <w:rPr>
          <w:sz w:val="22"/>
        </w:rPr>
        <w:t xml:space="preserve"> the environmental performance of products</w:t>
      </w:r>
      <w:r w:rsidRPr="00312716">
        <w:rPr>
          <w:sz w:val="22"/>
        </w:rPr>
        <w:t xml:space="preserve">. </w:t>
      </w:r>
      <w:r w:rsidR="0091066B" w:rsidRPr="00312716">
        <w:rPr>
          <w:sz w:val="22"/>
        </w:rPr>
        <w:t xml:space="preserve">Trade-alignment of standards will be important to maintain competitiveness </w:t>
      </w:r>
      <w:r w:rsidR="008D2C91" w:rsidRPr="00312716">
        <w:rPr>
          <w:sz w:val="22"/>
        </w:rPr>
        <w:t>in these markets</w:t>
      </w:r>
      <w:r w:rsidR="0091066B" w:rsidRPr="00312716">
        <w:rPr>
          <w:sz w:val="22"/>
        </w:rPr>
        <w:t>.</w:t>
      </w:r>
    </w:p>
    <w:p w14:paraId="7E71C9D9" w14:textId="77777777" w:rsidR="00171986" w:rsidRPr="00312716" w:rsidRDefault="004F5354" w:rsidP="001F5455">
      <w:pPr>
        <w:rPr>
          <w:sz w:val="22"/>
        </w:rPr>
      </w:pPr>
      <w:r w:rsidRPr="00312716">
        <w:rPr>
          <w:sz w:val="22"/>
        </w:rPr>
        <w:t xml:space="preserve">Design priorities include durability, reusability, modularity, upgradability, repairability, </w:t>
      </w:r>
      <w:r w:rsidR="00C45183" w:rsidRPr="00312716">
        <w:rPr>
          <w:sz w:val="22"/>
        </w:rPr>
        <w:t xml:space="preserve">and </w:t>
      </w:r>
      <w:r w:rsidR="00F43DFD" w:rsidRPr="00312716">
        <w:rPr>
          <w:sz w:val="22"/>
        </w:rPr>
        <w:t>reducing the use of</w:t>
      </w:r>
      <w:r w:rsidRPr="00312716">
        <w:rPr>
          <w:sz w:val="22"/>
        </w:rPr>
        <w:t xml:space="preserve"> </w:t>
      </w:r>
      <w:r w:rsidR="00C45183" w:rsidRPr="00312716">
        <w:rPr>
          <w:sz w:val="22"/>
        </w:rPr>
        <w:t>chemicals of concern</w:t>
      </w:r>
      <w:r w:rsidRPr="00312716">
        <w:rPr>
          <w:sz w:val="22"/>
        </w:rPr>
        <w:t xml:space="preserve"> in products.</w:t>
      </w:r>
      <w:r w:rsidR="00DD0F4C" w:rsidRPr="00312716">
        <w:rPr>
          <w:sz w:val="22"/>
        </w:rPr>
        <w:t xml:space="preserve"> </w:t>
      </w:r>
      <w:r w:rsidR="007B10BA" w:rsidRPr="00312716">
        <w:rPr>
          <w:sz w:val="22"/>
        </w:rPr>
        <w:t xml:space="preserve">Better </w:t>
      </w:r>
      <w:r w:rsidR="00CC7501" w:rsidRPr="00312716">
        <w:rPr>
          <w:sz w:val="22"/>
        </w:rPr>
        <w:t>design requires</w:t>
      </w:r>
      <w:r w:rsidR="007F57A4" w:rsidRPr="00312716">
        <w:rPr>
          <w:sz w:val="22"/>
        </w:rPr>
        <w:t xml:space="preserve"> </w:t>
      </w:r>
      <w:r w:rsidR="00771AB3" w:rsidRPr="00312716">
        <w:rPr>
          <w:sz w:val="22"/>
        </w:rPr>
        <w:t>collaboration between product designers, producers, and the resource recovery sector</w:t>
      </w:r>
      <w:r w:rsidR="00532757" w:rsidRPr="00312716">
        <w:rPr>
          <w:sz w:val="22"/>
        </w:rPr>
        <w:t xml:space="preserve">, stronger standards, </w:t>
      </w:r>
      <w:r w:rsidR="0072051B" w:rsidRPr="00312716">
        <w:rPr>
          <w:sz w:val="22"/>
        </w:rPr>
        <w:t>and product innovation</w:t>
      </w:r>
      <w:r w:rsidR="00771AB3" w:rsidRPr="00312716">
        <w:rPr>
          <w:sz w:val="22"/>
        </w:rPr>
        <w:t>.</w:t>
      </w:r>
    </w:p>
    <w:p w14:paraId="6E59732E" w14:textId="77777777" w:rsidR="0036767B" w:rsidRPr="00312716" w:rsidRDefault="004F5354" w:rsidP="00D25A3D">
      <w:pPr>
        <w:pStyle w:val="Heading5"/>
        <w:rPr>
          <w:sz w:val="22"/>
        </w:rPr>
      </w:pPr>
      <w:r w:rsidRPr="00312716">
        <w:rPr>
          <w:sz w:val="22"/>
        </w:rPr>
        <w:t>Verifying the provenance, properties</w:t>
      </w:r>
      <w:r w:rsidR="00EF79BB" w:rsidRPr="00312716">
        <w:rPr>
          <w:sz w:val="22"/>
        </w:rPr>
        <w:t xml:space="preserve"> and performance of recycled materials</w:t>
      </w:r>
    </w:p>
    <w:p w14:paraId="78A49488" w14:textId="77777777" w:rsidR="00133D91" w:rsidRPr="00312716" w:rsidRDefault="004F5354" w:rsidP="00B36576">
      <w:pPr>
        <w:rPr>
          <w:sz w:val="22"/>
        </w:rPr>
      </w:pPr>
      <w:r w:rsidRPr="00312716">
        <w:rPr>
          <w:sz w:val="22"/>
        </w:rPr>
        <w:t>Traceability is crucial for enabling remanufacturing within the circular economy</w:t>
      </w:r>
      <w:r w:rsidR="001561A5" w:rsidRPr="00312716">
        <w:rPr>
          <w:sz w:val="22"/>
        </w:rPr>
        <w:t>,</w:t>
      </w:r>
      <w:r w:rsidRPr="00312716">
        <w:rPr>
          <w:sz w:val="22"/>
        </w:rPr>
        <w:t xml:space="preserve"> by ensuring that products and materials can be tracked throughout their lifecycle. </w:t>
      </w:r>
      <w:r w:rsidR="00E43472" w:rsidRPr="00312716">
        <w:rPr>
          <w:sz w:val="22"/>
        </w:rPr>
        <w:t xml:space="preserve">Australia has developed a </w:t>
      </w:r>
      <w:r w:rsidR="00894E94" w:rsidRPr="00312716">
        <w:rPr>
          <w:sz w:val="22"/>
        </w:rPr>
        <w:t>National Framework for Recycled Content Traceability</w:t>
      </w:r>
      <w:r w:rsidR="00E43472" w:rsidRPr="00312716">
        <w:rPr>
          <w:sz w:val="22"/>
        </w:rPr>
        <w:t xml:space="preserve"> to ensure materials used in products are verifiably sourced from recycled inputs, promoting transparency and consumer confidence.</w:t>
      </w:r>
    </w:p>
    <w:p w14:paraId="5CE32A1A" w14:textId="41F27E4B" w:rsidR="00937E25" w:rsidRPr="00312716" w:rsidRDefault="004F5354" w:rsidP="00071B18">
      <w:pPr>
        <w:rPr>
          <w:sz w:val="22"/>
        </w:rPr>
      </w:pPr>
      <w:bookmarkStart w:id="40" w:name="_Hlk160097790"/>
      <w:r w:rsidRPr="00312716">
        <w:rPr>
          <w:sz w:val="22"/>
        </w:rPr>
        <w:t>Consistent</w:t>
      </w:r>
      <w:r w:rsidR="003B0915" w:rsidRPr="00312716">
        <w:rPr>
          <w:sz w:val="22"/>
        </w:rPr>
        <w:t>,</w:t>
      </w:r>
      <w:r w:rsidRPr="00312716">
        <w:rPr>
          <w:sz w:val="22"/>
        </w:rPr>
        <w:t xml:space="preserve"> verifiable</w:t>
      </w:r>
      <w:r w:rsidR="00071B18" w:rsidRPr="00312716">
        <w:rPr>
          <w:sz w:val="22"/>
        </w:rPr>
        <w:t xml:space="preserve"> standards and </w:t>
      </w:r>
      <w:r w:rsidR="00DE017B" w:rsidRPr="00312716">
        <w:rPr>
          <w:sz w:val="22"/>
        </w:rPr>
        <w:t>regulations</w:t>
      </w:r>
      <w:r w:rsidR="008B6BF0" w:rsidRPr="00312716">
        <w:rPr>
          <w:sz w:val="22"/>
        </w:rPr>
        <w:t xml:space="preserve"> for classification and treatment of recycled materials</w:t>
      </w:r>
      <w:r w:rsidR="000351F9" w:rsidRPr="00312716">
        <w:rPr>
          <w:sz w:val="22"/>
        </w:rPr>
        <w:t xml:space="preserve"> across different Australian jurisdictions</w:t>
      </w:r>
      <w:r w:rsidR="00071B18" w:rsidRPr="00312716">
        <w:rPr>
          <w:sz w:val="22"/>
        </w:rPr>
        <w:t xml:space="preserve"> </w:t>
      </w:r>
      <w:r w:rsidR="003B2D8B" w:rsidRPr="00312716">
        <w:rPr>
          <w:sz w:val="22"/>
        </w:rPr>
        <w:t>supports</w:t>
      </w:r>
      <w:r w:rsidR="00071B18" w:rsidRPr="00312716">
        <w:rPr>
          <w:sz w:val="22"/>
        </w:rPr>
        <w:t xml:space="preserve"> integration of </w:t>
      </w:r>
      <w:r w:rsidR="00000CBB" w:rsidRPr="00312716">
        <w:rPr>
          <w:sz w:val="22"/>
        </w:rPr>
        <w:t xml:space="preserve">recycled </w:t>
      </w:r>
      <w:r w:rsidR="00071B18" w:rsidRPr="00312716">
        <w:rPr>
          <w:sz w:val="22"/>
        </w:rPr>
        <w:t xml:space="preserve">materials into </w:t>
      </w:r>
      <w:r w:rsidR="00422604" w:rsidRPr="00312716">
        <w:rPr>
          <w:sz w:val="22"/>
        </w:rPr>
        <w:t>m</w:t>
      </w:r>
      <w:r w:rsidR="00071B18" w:rsidRPr="00312716">
        <w:rPr>
          <w:sz w:val="22"/>
        </w:rPr>
        <w:t>anufacturing processes</w:t>
      </w:r>
      <w:r w:rsidR="00937E25" w:rsidRPr="00312716">
        <w:rPr>
          <w:sz w:val="22"/>
        </w:rPr>
        <w:t xml:space="preserve">. </w:t>
      </w:r>
      <w:r w:rsidR="00000CBB" w:rsidRPr="00312716">
        <w:rPr>
          <w:sz w:val="22"/>
        </w:rPr>
        <w:t>Harmonising relevant classifications and standards</w:t>
      </w:r>
      <w:r w:rsidR="00B218F5" w:rsidRPr="00312716">
        <w:rPr>
          <w:sz w:val="22"/>
        </w:rPr>
        <w:t xml:space="preserve"> reduces uncertainties and variations in material quality, enabling manufacturers to confidently use recycled content without compromising product integrity. This streamlines production, lowers costs, and enhances market acceptance.</w:t>
      </w:r>
    </w:p>
    <w:p w14:paraId="11D31BAA" w14:textId="77777777" w:rsidR="00B218F5" w:rsidRPr="00312716" w:rsidRDefault="004F5354" w:rsidP="00071B18">
      <w:pPr>
        <w:rPr>
          <w:sz w:val="22"/>
        </w:rPr>
      </w:pPr>
      <w:r w:rsidRPr="00312716">
        <w:rPr>
          <w:sz w:val="22"/>
        </w:rPr>
        <w:lastRenderedPageBreak/>
        <w:t>For innovators, consistent standards across Australia ensure that new technologies and processes can be applied and recogni</w:t>
      </w:r>
      <w:r w:rsidR="00C10370" w:rsidRPr="00312716">
        <w:rPr>
          <w:sz w:val="22"/>
        </w:rPr>
        <w:t>s</w:t>
      </w:r>
      <w:r w:rsidRPr="00312716">
        <w:rPr>
          <w:sz w:val="22"/>
        </w:rPr>
        <w:t xml:space="preserve">ed nationwide, </w:t>
      </w:r>
      <w:r w:rsidR="00C10370" w:rsidRPr="00312716">
        <w:rPr>
          <w:sz w:val="22"/>
        </w:rPr>
        <w:t>supporting</w:t>
      </w:r>
      <w:r w:rsidRPr="00312716">
        <w:rPr>
          <w:sz w:val="22"/>
        </w:rPr>
        <w:t xml:space="preserve"> smoother expansion.</w:t>
      </w:r>
    </w:p>
    <w:p w14:paraId="6AD8F1AB" w14:textId="77777777" w:rsidR="00D72D13" w:rsidRPr="00312716" w:rsidRDefault="004F5354" w:rsidP="00D25A3D">
      <w:pPr>
        <w:pStyle w:val="Heading5"/>
        <w:rPr>
          <w:sz w:val="22"/>
        </w:rPr>
      </w:pPr>
      <w:r w:rsidRPr="00312716">
        <w:rPr>
          <w:sz w:val="22"/>
        </w:rPr>
        <w:t>Green</w:t>
      </w:r>
      <w:r w:rsidR="006D168B" w:rsidRPr="00312716">
        <w:rPr>
          <w:sz w:val="22"/>
        </w:rPr>
        <w:t xml:space="preserve"> chemistry and </w:t>
      </w:r>
      <w:r w:rsidR="000C66A5" w:rsidRPr="00312716">
        <w:rPr>
          <w:sz w:val="22"/>
        </w:rPr>
        <w:t xml:space="preserve">advanced </w:t>
      </w:r>
      <w:r w:rsidR="006D168B" w:rsidRPr="00312716">
        <w:rPr>
          <w:sz w:val="22"/>
        </w:rPr>
        <w:t>technology</w:t>
      </w:r>
    </w:p>
    <w:p w14:paraId="1FBC0DB5" w14:textId="77777777" w:rsidR="006E1802" w:rsidRPr="00312716" w:rsidRDefault="004F5354" w:rsidP="002978A1">
      <w:pPr>
        <w:rPr>
          <w:sz w:val="22"/>
        </w:rPr>
      </w:pPr>
      <w:r w:rsidRPr="00312716">
        <w:rPr>
          <w:sz w:val="22"/>
        </w:rPr>
        <w:t>The choice of chemical</w:t>
      </w:r>
      <w:r w:rsidR="00C867CB" w:rsidRPr="00312716">
        <w:rPr>
          <w:sz w:val="22"/>
        </w:rPr>
        <w:t xml:space="preserve"> building blocks for materials</w:t>
      </w:r>
      <w:r w:rsidRPr="00312716">
        <w:rPr>
          <w:sz w:val="22"/>
        </w:rPr>
        <w:t xml:space="preserve"> plays a pivotal role in the safe recirculation and remanufacturing of </w:t>
      </w:r>
      <w:r w:rsidR="00C867CB" w:rsidRPr="00312716">
        <w:rPr>
          <w:sz w:val="22"/>
        </w:rPr>
        <w:t xml:space="preserve">these </w:t>
      </w:r>
      <w:r w:rsidRPr="00312716">
        <w:rPr>
          <w:sz w:val="22"/>
        </w:rPr>
        <w:t xml:space="preserve">materials within the circular economy. Chemicals of concern can pose significant challenges to the recycling process, potentially leading to harmful emissions or residues in recycled products. </w:t>
      </w:r>
      <w:r w:rsidR="00A26979" w:rsidRPr="00312716">
        <w:rPr>
          <w:sz w:val="22"/>
        </w:rPr>
        <w:t>Consumers and businesses need confidence in the s</w:t>
      </w:r>
      <w:r w:rsidR="00546D6D" w:rsidRPr="00312716">
        <w:rPr>
          <w:sz w:val="22"/>
        </w:rPr>
        <w:t xml:space="preserve">afety and efficacy of </w:t>
      </w:r>
      <w:r w:rsidR="00A26979" w:rsidRPr="00312716">
        <w:rPr>
          <w:sz w:val="22"/>
        </w:rPr>
        <w:t xml:space="preserve">recycled </w:t>
      </w:r>
      <w:r w:rsidR="007532C9" w:rsidRPr="00312716">
        <w:rPr>
          <w:sz w:val="22"/>
        </w:rPr>
        <w:t>products,</w:t>
      </w:r>
      <w:r w:rsidR="004F735C" w:rsidRPr="00312716">
        <w:rPr>
          <w:sz w:val="22"/>
        </w:rPr>
        <w:t xml:space="preserve"> and this starts with </w:t>
      </w:r>
      <w:r w:rsidR="00BF73E7" w:rsidRPr="00312716">
        <w:rPr>
          <w:sz w:val="22"/>
        </w:rPr>
        <w:t>safer product design.</w:t>
      </w:r>
    </w:p>
    <w:p w14:paraId="0C66917A" w14:textId="7BD66439" w:rsidR="008D2622" w:rsidRPr="00312716" w:rsidRDefault="004F5354" w:rsidP="002978A1">
      <w:pPr>
        <w:rPr>
          <w:sz w:val="22"/>
        </w:rPr>
      </w:pPr>
      <w:r w:rsidRPr="00312716">
        <w:rPr>
          <w:sz w:val="22"/>
        </w:rPr>
        <w:t xml:space="preserve">Regulation and </w:t>
      </w:r>
      <w:r w:rsidR="006222AC" w:rsidRPr="00312716">
        <w:rPr>
          <w:sz w:val="22"/>
        </w:rPr>
        <w:t>policies supporting safe chemical substitution are essential to driving innovation and use of circular materials in the Australian economy.</w:t>
      </w:r>
      <w:r w:rsidR="00D506E3" w:rsidRPr="00312716">
        <w:rPr>
          <w:sz w:val="22"/>
        </w:rPr>
        <w:t xml:space="preserve"> High</w:t>
      </w:r>
      <w:r w:rsidR="00D22332" w:rsidRPr="00312716">
        <w:rPr>
          <w:sz w:val="22"/>
        </w:rPr>
        <w:t>-</w:t>
      </w:r>
      <w:r w:rsidR="00D506E3" w:rsidRPr="00312716">
        <w:rPr>
          <w:sz w:val="22"/>
        </w:rPr>
        <w:t xml:space="preserve">efficiency detection technologies are another important enabler for </w:t>
      </w:r>
      <w:r w:rsidR="001F7A80" w:rsidRPr="00312716">
        <w:rPr>
          <w:sz w:val="22"/>
        </w:rPr>
        <w:t>real-time identification and removal of chemicals of concern from circular supply chains.</w:t>
      </w:r>
    </w:p>
    <w:p w14:paraId="7A4AF3D6" w14:textId="243A2EC9" w:rsidR="00312716" w:rsidRDefault="00E03EB2" w:rsidP="00312716">
      <w:pPr>
        <w:pStyle w:val="Heading4"/>
      </w:pPr>
      <w:r>
        <w:t xml:space="preserve">Case study: </w:t>
      </w:r>
      <w:r w:rsidR="00312716">
        <w:t>Samsara Eco</w:t>
      </w:r>
    </w:p>
    <w:p w14:paraId="2879556D" w14:textId="77777777" w:rsidR="00312716" w:rsidRPr="00312716" w:rsidRDefault="00312716" w:rsidP="00312716">
      <w:pPr>
        <w:rPr>
          <w:sz w:val="22"/>
        </w:rPr>
      </w:pPr>
      <w:r w:rsidRPr="00312716">
        <w:rPr>
          <w:sz w:val="22"/>
        </w:rPr>
        <w:t>Samsara Eco is a climate tech innovator at the forefront of the circular economy. Founded in 2021 in Australia, Samsara Eco aims to address the growing plastic problem with its enzymatic recycling technology transforming end-of-life plastics and textiles back into their original building blocks to be used in remanufacturing.</w:t>
      </w:r>
    </w:p>
    <w:p w14:paraId="51CEF3AA" w14:textId="77777777" w:rsidR="00312716" w:rsidRPr="00312716" w:rsidRDefault="00312716" w:rsidP="00312716">
      <w:pPr>
        <w:rPr>
          <w:sz w:val="22"/>
        </w:rPr>
      </w:pPr>
      <w:r w:rsidRPr="00312716">
        <w:rPr>
          <w:sz w:val="22"/>
        </w:rPr>
        <w:t>Samsara Eco’s technology is developed with Earth in mind. The enzymatic recycling process is completed at low temperatures and low pressure, with a high recovery yield making it an efficient and sustainable solution.</w:t>
      </w:r>
    </w:p>
    <w:p w14:paraId="0B669C06" w14:textId="77777777" w:rsidR="00312716" w:rsidRPr="00312716" w:rsidRDefault="00312716" w:rsidP="00312716">
      <w:pPr>
        <w:rPr>
          <w:sz w:val="22"/>
        </w:rPr>
      </w:pPr>
      <w:r w:rsidRPr="00312716">
        <w:rPr>
          <w:sz w:val="22"/>
        </w:rPr>
        <w:t>In collaboration with leading fashion brands such as lululemon, Samsara Eco has successfully demonstrated the commercial application of its technology. Most recently, Samsara Eco partnered with lululemon to release the world’s first enzymatically recycled nylon 6,6 garment, as well as an enzymatically recycled polyester jacket, which sold out. The apparel was made from post-consumer and post-industrial waste, showcasing the technological feasibility and potential for large-scale implementation in various industries.</w:t>
      </w:r>
    </w:p>
    <w:p w14:paraId="3809DC6C" w14:textId="77777777" w:rsidR="009D47C1" w:rsidRPr="00232468" w:rsidRDefault="009D47C1" w:rsidP="009D47C1">
      <w:pPr>
        <w:pStyle w:val="Heading3"/>
      </w:pPr>
      <w:bookmarkStart w:id="41" w:name="_Toc184220096"/>
      <w:bookmarkEnd w:id="38"/>
      <w:bookmarkEnd w:id="40"/>
      <w:r>
        <w:t>Built environment</w:t>
      </w:r>
      <w:bookmarkEnd w:id="41"/>
    </w:p>
    <w:p w14:paraId="7F536BB1" w14:textId="05DBC2C0" w:rsidR="000F4C23" w:rsidRPr="005F4D33" w:rsidRDefault="004F5354" w:rsidP="00232468">
      <w:pPr>
        <w:pStyle w:val="Heading4"/>
      </w:pPr>
      <w:r w:rsidRPr="005F4D33">
        <w:t>Rationale</w:t>
      </w:r>
    </w:p>
    <w:p w14:paraId="3E576727" w14:textId="1B35C17C" w:rsidR="00FA5921" w:rsidRPr="00312716" w:rsidRDefault="004F5354" w:rsidP="00856953">
      <w:pPr>
        <w:rPr>
          <w:sz w:val="22"/>
        </w:rPr>
      </w:pPr>
      <w:r w:rsidRPr="00312716">
        <w:rPr>
          <w:sz w:val="22"/>
        </w:rPr>
        <w:t xml:space="preserve">The built environment, which includes buildings and infrastructure, accounts for a third of resource consumption globally </w:t>
      </w:r>
      <w:r w:rsidR="00A22F68" w:rsidRPr="00312716">
        <w:rPr>
          <w:sz w:val="22"/>
        </w:rPr>
        <w:t>and</w:t>
      </w:r>
      <w:r w:rsidRPr="00312716">
        <w:rPr>
          <w:sz w:val="22"/>
        </w:rPr>
        <w:t xml:space="preserve"> is the primary destination for materials in Australia.</w:t>
      </w:r>
      <w:r w:rsidR="00D22332" w:rsidRPr="00312716">
        <w:rPr>
          <w:rStyle w:val="EndnoteReference"/>
          <w:sz w:val="22"/>
        </w:rPr>
        <w:t xml:space="preserve"> </w:t>
      </w:r>
      <w:r w:rsidR="00D22332" w:rsidRPr="00312716">
        <w:rPr>
          <w:rStyle w:val="EndnoteReference"/>
          <w:sz w:val="22"/>
        </w:rPr>
        <w:endnoteReference w:id="40"/>
      </w:r>
      <w:r w:rsidR="00E50A26" w:rsidRPr="00312716">
        <w:rPr>
          <w:rStyle w:val="EndnoteReference"/>
          <w:sz w:val="22"/>
        </w:rPr>
        <w:t>,</w:t>
      </w:r>
      <w:r w:rsidR="00E50A26" w:rsidRPr="00312716">
        <w:rPr>
          <w:sz w:val="22"/>
        </w:rPr>
        <w:t xml:space="preserve"> </w:t>
      </w:r>
      <w:r w:rsidRPr="00312716">
        <w:rPr>
          <w:rStyle w:val="EndnoteReference"/>
          <w:sz w:val="22"/>
        </w:rPr>
        <w:endnoteReference w:id="41"/>
      </w:r>
      <w:r w:rsidR="00966F26" w:rsidRPr="00312716">
        <w:rPr>
          <w:sz w:val="22"/>
        </w:rPr>
        <w:t xml:space="preserve"> </w:t>
      </w:r>
      <w:r w:rsidR="006E12CA" w:rsidRPr="00312716">
        <w:rPr>
          <w:sz w:val="22"/>
        </w:rPr>
        <w:t>In 2020</w:t>
      </w:r>
      <w:r w:rsidR="006E12CA" w:rsidRPr="00312716">
        <w:rPr>
          <w:rFonts w:cstheme="minorHAnsi"/>
          <w:sz w:val="22"/>
        </w:rPr>
        <w:t>–</w:t>
      </w:r>
      <w:r w:rsidR="006E12CA" w:rsidRPr="00312716">
        <w:rPr>
          <w:sz w:val="22"/>
        </w:rPr>
        <w:t xml:space="preserve">21, construction and demolition activities alone generated 29 </w:t>
      </w:r>
      <w:proofErr w:type="spellStart"/>
      <w:r w:rsidR="006E12CA" w:rsidRPr="00312716">
        <w:rPr>
          <w:sz w:val="22"/>
        </w:rPr>
        <w:t>megatonnes</w:t>
      </w:r>
      <w:proofErr w:type="spellEnd"/>
      <w:r w:rsidR="006E12CA" w:rsidRPr="00312716">
        <w:rPr>
          <w:sz w:val="22"/>
        </w:rPr>
        <w:t xml:space="preserve"> (Mt) of waste, making it the largest (and fastest-growing) source of materials received and processed in recycling and waste reuse systems.</w:t>
      </w:r>
      <w:r w:rsidRPr="00312716">
        <w:rPr>
          <w:rStyle w:val="EndnoteReference"/>
          <w:sz w:val="22"/>
        </w:rPr>
        <w:endnoteReference w:id="42"/>
      </w:r>
    </w:p>
    <w:p w14:paraId="3A1D14C4" w14:textId="77777777" w:rsidR="000F4C23" w:rsidRPr="00312716" w:rsidRDefault="004F5354" w:rsidP="00856953">
      <w:pPr>
        <w:rPr>
          <w:sz w:val="22"/>
        </w:rPr>
      </w:pPr>
      <w:r w:rsidRPr="00312716">
        <w:rPr>
          <w:sz w:val="22"/>
        </w:rPr>
        <w:t>The</w:t>
      </w:r>
      <w:r w:rsidR="006E12CA" w:rsidRPr="00312716">
        <w:rPr>
          <w:sz w:val="22"/>
        </w:rPr>
        <w:t xml:space="preserve"> built environment</w:t>
      </w:r>
      <w:r w:rsidRPr="00312716">
        <w:rPr>
          <w:sz w:val="22"/>
        </w:rPr>
        <w:t xml:space="preserve"> </w:t>
      </w:r>
      <w:r w:rsidR="00C7539F" w:rsidRPr="00312716">
        <w:rPr>
          <w:sz w:val="22"/>
        </w:rPr>
        <w:t>re</w:t>
      </w:r>
      <w:r w:rsidRPr="00312716">
        <w:rPr>
          <w:sz w:val="22"/>
        </w:rPr>
        <w:t xml:space="preserve">presents the most significant opportunity for </w:t>
      </w:r>
      <w:r w:rsidR="00966F26" w:rsidRPr="00312716">
        <w:rPr>
          <w:sz w:val="22"/>
        </w:rPr>
        <w:t>Australia</w:t>
      </w:r>
      <w:r w:rsidRPr="00312716">
        <w:rPr>
          <w:sz w:val="22"/>
        </w:rPr>
        <w:t xml:space="preserve"> to decrease material footprint</w:t>
      </w:r>
      <w:r w:rsidR="008C2178" w:rsidRPr="00312716">
        <w:rPr>
          <w:sz w:val="22"/>
        </w:rPr>
        <w:t xml:space="preserve"> and drive uptake of circular, sustainable materials.</w:t>
      </w:r>
      <w:r w:rsidR="00FA5921" w:rsidRPr="00312716">
        <w:rPr>
          <w:sz w:val="22"/>
        </w:rPr>
        <w:t xml:space="preserve"> It</w:t>
      </w:r>
      <w:r w:rsidRPr="00312716">
        <w:rPr>
          <w:sz w:val="22"/>
        </w:rPr>
        <w:t xml:space="preserve"> </w:t>
      </w:r>
      <w:r w:rsidR="00FA5921" w:rsidRPr="00312716">
        <w:rPr>
          <w:sz w:val="22"/>
        </w:rPr>
        <w:t>is also</w:t>
      </w:r>
      <w:r w:rsidRPr="00312716">
        <w:rPr>
          <w:sz w:val="22"/>
        </w:rPr>
        <w:t xml:space="preserve"> </w:t>
      </w:r>
      <w:r w:rsidR="00FA5921" w:rsidRPr="00312716">
        <w:rPr>
          <w:sz w:val="22"/>
        </w:rPr>
        <w:t xml:space="preserve">an </w:t>
      </w:r>
      <w:r w:rsidRPr="00312716">
        <w:rPr>
          <w:sz w:val="22"/>
        </w:rPr>
        <w:t xml:space="preserve">opportunity to </w:t>
      </w:r>
      <w:r w:rsidR="00C82B43" w:rsidRPr="00312716">
        <w:rPr>
          <w:sz w:val="22"/>
        </w:rPr>
        <w:t>reduce GHG</w:t>
      </w:r>
      <w:r w:rsidRPr="00312716">
        <w:rPr>
          <w:sz w:val="22"/>
        </w:rPr>
        <w:t xml:space="preserve"> emissions through circular economy practices. Recent analysis has estimated that incorporating a circular economy approach into the built environment could reduce emissions by 3.6 million tonnes of CO2e per year by 2040</w:t>
      </w:r>
      <w:r w:rsidRPr="00312716">
        <w:rPr>
          <w:rStyle w:val="Hyperlink"/>
          <w:rFonts w:eastAsia="Calibri" w:cstheme="minorHAnsi"/>
          <w:color w:val="auto"/>
          <w:sz w:val="22"/>
          <w:u w:val="none"/>
        </w:rPr>
        <w:t>.</w:t>
      </w:r>
      <w:r w:rsidRPr="00312716">
        <w:rPr>
          <w:rStyle w:val="EndnoteReference"/>
          <w:rFonts w:eastAsia="Calibri" w:cstheme="minorHAnsi"/>
          <w:sz w:val="22"/>
        </w:rPr>
        <w:endnoteReference w:id="43"/>
      </w:r>
      <w:r w:rsidR="006710E7" w:rsidRPr="00312716">
        <w:rPr>
          <w:rStyle w:val="Hyperlink"/>
          <w:rFonts w:eastAsia="Calibri" w:cstheme="minorHAnsi"/>
          <w:color w:val="auto"/>
          <w:sz w:val="22"/>
          <w:u w:val="none"/>
        </w:rPr>
        <w:t xml:space="preserve"> </w:t>
      </w:r>
      <w:r w:rsidR="006710E7" w:rsidRPr="00312716">
        <w:rPr>
          <w:sz w:val="22"/>
        </w:rPr>
        <w:t>Using building materials that are resilient to changing climate conditions and natural disasters also has the potential to substantially reduce waste.</w:t>
      </w:r>
    </w:p>
    <w:p w14:paraId="08B275A1" w14:textId="77777777" w:rsidR="000F4C23" w:rsidRPr="00312716" w:rsidRDefault="004F5354" w:rsidP="00823DED">
      <w:pPr>
        <w:rPr>
          <w:sz w:val="22"/>
        </w:rPr>
      </w:pPr>
      <w:r w:rsidRPr="00312716">
        <w:rPr>
          <w:sz w:val="22"/>
        </w:rPr>
        <w:t xml:space="preserve">Australia has robust and credible building-rating systems </w:t>
      </w:r>
      <w:r w:rsidR="006A338D" w:rsidRPr="00312716">
        <w:rPr>
          <w:sz w:val="22"/>
        </w:rPr>
        <w:t xml:space="preserve">and regulations, </w:t>
      </w:r>
      <w:r w:rsidRPr="00312716">
        <w:rPr>
          <w:sz w:val="22"/>
        </w:rPr>
        <w:t>such as Green Star</w:t>
      </w:r>
      <w:r w:rsidR="006A338D" w:rsidRPr="00312716">
        <w:rPr>
          <w:rStyle w:val="Hyperlink"/>
          <w:color w:val="auto"/>
          <w:sz w:val="22"/>
          <w:u w:val="none"/>
        </w:rPr>
        <w:t xml:space="preserve">, </w:t>
      </w:r>
      <w:r w:rsidRPr="00312716">
        <w:rPr>
          <w:sz w:val="22"/>
        </w:rPr>
        <w:t>NABERS</w:t>
      </w:r>
      <w:r w:rsidR="007044FD" w:rsidRPr="00312716">
        <w:rPr>
          <w:sz w:val="22"/>
        </w:rPr>
        <w:t>,</w:t>
      </w:r>
      <w:r w:rsidR="006A338D" w:rsidRPr="00312716">
        <w:rPr>
          <w:sz w:val="22"/>
        </w:rPr>
        <w:t xml:space="preserve"> and the Buildings Code,</w:t>
      </w:r>
      <w:r w:rsidR="007044FD" w:rsidRPr="00312716">
        <w:rPr>
          <w:sz w:val="22"/>
        </w:rPr>
        <w:t xml:space="preserve"> which set a solid foundation for further </w:t>
      </w:r>
      <w:r w:rsidR="008032CE" w:rsidRPr="00312716">
        <w:rPr>
          <w:sz w:val="22"/>
        </w:rPr>
        <w:t>reform focussed on circularity.</w:t>
      </w:r>
      <w:r w:rsidRPr="00312716">
        <w:rPr>
          <w:rStyle w:val="EndnoteReference"/>
          <w:sz w:val="22"/>
        </w:rPr>
        <w:endnoteReference w:id="44"/>
      </w:r>
    </w:p>
    <w:p w14:paraId="41574D79" w14:textId="77777777" w:rsidR="000F4C23" w:rsidRPr="005F4D33" w:rsidRDefault="004F5354" w:rsidP="00232468">
      <w:pPr>
        <w:pStyle w:val="Heading4"/>
      </w:pPr>
      <w:r w:rsidRPr="005F4D33">
        <w:t>Priorities</w:t>
      </w:r>
    </w:p>
    <w:p w14:paraId="4D43E656" w14:textId="3A5AF3EF" w:rsidR="00286B6B" w:rsidRPr="00312716" w:rsidRDefault="004F5354" w:rsidP="00232468">
      <w:pPr>
        <w:pStyle w:val="Heading5"/>
        <w:rPr>
          <w:sz w:val="22"/>
        </w:rPr>
      </w:pPr>
      <w:r w:rsidRPr="00312716">
        <w:rPr>
          <w:sz w:val="22"/>
        </w:rPr>
        <w:t>Refurbishing and adaptive reuse</w:t>
      </w:r>
    </w:p>
    <w:p w14:paraId="40E840BE" w14:textId="6C6D56BE" w:rsidR="00286B6B" w:rsidRPr="00312716" w:rsidRDefault="004F5354" w:rsidP="00012ABC">
      <w:pPr>
        <w:pStyle w:val="ListBullet"/>
        <w:numPr>
          <w:ilvl w:val="0"/>
          <w:numId w:val="0"/>
        </w:numPr>
        <w:rPr>
          <w:sz w:val="22"/>
        </w:rPr>
      </w:pPr>
      <w:r w:rsidRPr="00312716">
        <w:rPr>
          <w:bCs/>
          <w:sz w:val="22"/>
        </w:rPr>
        <w:t xml:space="preserve">Refurbishment and adaptive reuse are circular economy strategies that maintain existing buildings and infrastructure assets for longer, reducing waste and emissions associated with demolition and rebuilds. They can also significantly reduce construction times. For example, the Quay Quarter tower refurbishment in Sydney saved 12,000 tonnes of embodied carbon (equivalent of 2 years of </w:t>
      </w:r>
      <w:r w:rsidRPr="00312716">
        <w:rPr>
          <w:bCs/>
          <w:sz w:val="22"/>
        </w:rPr>
        <w:lastRenderedPageBreak/>
        <w:t>operational emissions from building services) and 12 months in construction time compared to a full rebuild.</w:t>
      </w:r>
      <w:r w:rsidRPr="00312716">
        <w:rPr>
          <w:rStyle w:val="EndnoteReference"/>
          <w:bCs/>
          <w:sz w:val="22"/>
        </w:rPr>
        <w:endnoteReference w:id="45"/>
      </w:r>
    </w:p>
    <w:p w14:paraId="29088826" w14:textId="77777777" w:rsidR="00286B6B" w:rsidRPr="00312716" w:rsidRDefault="004F5354" w:rsidP="00286B6B">
      <w:pPr>
        <w:rPr>
          <w:sz w:val="22"/>
        </w:rPr>
      </w:pPr>
      <w:r w:rsidRPr="00312716">
        <w:rPr>
          <w:sz w:val="22"/>
        </w:rPr>
        <w:t xml:space="preserve">Adaptive reuse and refurbishment can be supported by financial incentives including </w:t>
      </w:r>
      <w:r w:rsidR="00D22887" w:rsidRPr="00312716">
        <w:rPr>
          <w:sz w:val="22"/>
        </w:rPr>
        <w:t>environmental, social,</w:t>
      </w:r>
      <w:r w:rsidRPr="00312716">
        <w:rPr>
          <w:sz w:val="22"/>
        </w:rPr>
        <w:t xml:space="preserve"> and </w:t>
      </w:r>
      <w:r w:rsidR="00D22887" w:rsidRPr="00312716">
        <w:rPr>
          <w:sz w:val="22"/>
        </w:rPr>
        <w:t>governance</w:t>
      </w:r>
      <w:r w:rsidRPr="00312716">
        <w:rPr>
          <w:sz w:val="22"/>
        </w:rPr>
        <w:t xml:space="preserve"> (ESG) frameworks recognising retrofitting activities. Other incentives used globally include grants or low-interest loans for sustainable </w:t>
      </w:r>
      <w:r w:rsidR="009E464E" w:rsidRPr="00312716">
        <w:rPr>
          <w:sz w:val="22"/>
        </w:rPr>
        <w:t>renovations and</w:t>
      </w:r>
      <w:r w:rsidRPr="00312716">
        <w:rPr>
          <w:sz w:val="22"/>
        </w:rPr>
        <w:t xml:space="preserve"> updating zoning laws to encourage the repurposing of existing structures. This includes zoning overlays that facilitate the conversion of industrial spaces into mixed-use developments or residential spaces. Building codes that prioritise materials efficiency</w:t>
      </w:r>
      <w:r w:rsidR="00FE22B3" w:rsidRPr="00312716">
        <w:rPr>
          <w:sz w:val="22"/>
        </w:rPr>
        <w:t xml:space="preserve">, </w:t>
      </w:r>
      <w:r w:rsidRPr="00312716">
        <w:rPr>
          <w:sz w:val="22"/>
        </w:rPr>
        <w:t>sustainability</w:t>
      </w:r>
      <w:r w:rsidR="00FE22B3" w:rsidRPr="00312716">
        <w:rPr>
          <w:sz w:val="22"/>
        </w:rPr>
        <w:t xml:space="preserve"> and climate and disaster resilience</w:t>
      </w:r>
      <w:r w:rsidRPr="00312716">
        <w:rPr>
          <w:sz w:val="22"/>
        </w:rPr>
        <w:t xml:space="preserve"> can further support these efforts.</w:t>
      </w:r>
    </w:p>
    <w:p w14:paraId="475BEC73" w14:textId="77777777" w:rsidR="00146DA8" w:rsidRPr="00312716" w:rsidRDefault="004F5354" w:rsidP="00232468">
      <w:pPr>
        <w:pStyle w:val="Heading5"/>
        <w:rPr>
          <w:sz w:val="22"/>
        </w:rPr>
      </w:pPr>
      <w:r w:rsidRPr="00312716">
        <w:rPr>
          <w:sz w:val="22"/>
        </w:rPr>
        <w:t>Manufacture and use of circular, low carbon</w:t>
      </w:r>
      <w:r w:rsidR="006710E7" w:rsidRPr="00312716">
        <w:rPr>
          <w:sz w:val="22"/>
        </w:rPr>
        <w:t>, and climate resistant</w:t>
      </w:r>
      <w:r w:rsidRPr="00312716">
        <w:rPr>
          <w:sz w:val="22"/>
        </w:rPr>
        <w:t xml:space="preserve"> construction materials</w:t>
      </w:r>
      <w:r w:rsidR="008F2069" w:rsidRPr="00312716">
        <w:rPr>
          <w:sz w:val="22"/>
        </w:rPr>
        <w:t xml:space="preserve"> and fit outs</w:t>
      </w:r>
    </w:p>
    <w:p w14:paraId="2C8ADF08" w14:textId="77777777" w:rsidR="00146DA8" w:rsidRPr="00312716" w:rsidRDefault="004F5354" w:rsidP="00146DA8">
      <w:pPr>
        <w:rPr>
          <w:sz w:val="22"/>
        </w:rPr>
      </w:pPr>
      <w:r w:rsidRPr="00312716">
        <w:rPr>
          <w:sz w:val="22"/>
        </w:rPr>
        <w:t>The expected growth for green steel and other sustainable construction materials (such as those incorporating recycled content or timber products) is significant. In Australia, the market for sustainable building materials is projected to grow at a CAGR of 12.1% from 2021 to 2026.</w:t>
      </w:r>
    </w:p>
    <w:p w14:paraId="669AF4EB" w14:textId="1930E574" w:rsidR="00146DA8" w:rsidRPr="00312716" w:rsidRDefault="004F5354" w:rsidP="00146DA8">
      <w:pPr>
        <w:rPr>
          <w:sz w:val="22"/>
        </w:rPr>
      </w:pPr>
      <w:r w:rsidRPr="00312716">
        <w:rPr>
          <w:sz w:val="22"/>
        </w:rPr>
        <w:t xml:space="preserve">The green steel market is forecasted </w:t>
      </w:r>
      <w:r w:rsidR="0098102B" w:rsidRPr="00312716">
        <w:rPr>
          <w:sz w:val="22"/>
        </w:rPr>
        <w:t>to increase from US</w:t>
      </w:r>
      <w:r w:rsidR="00FE3E0A" w:rsidRPr="00312716">
        <w:rPr>
          <w:sz w:val="22"/>
        </w:rPr>
        <w:t>$</w:t>
      </w:r>
      <w:r w:rsidR="0098102B" w:rsidRPr="00312716">
        <w:rPr>
          <w:sz w:val="22"/>
        </w:rPr>
        <w:t>3.75 billion in 2024 to US</w:t>
      </w:r>
      <w:r w:rsidR="00FE3E0A" w:rsidRPr="00312716">
        <w:rPr>
          <w:sz w:val="22"/>
        </w:rPr>
        <w:t>$</w:t>
      </w:r>
      <w:r w:rsidR="0098102B" w:rsidRPr="00312716">
        <w:rPr>
          <w:sz w:val="22"/>
        </w:rPr>
        <w:t xml:space="preserve">129.08 billion by 2032, exhibiting a CAGR of 55.6%, </w:t>
      </w:r>
      <w:r w:rsidR="00E74DF3" w:rsidRPr="00312716">
        <w:rPr>
          <w:sz w:val="22"/>
        </w:rPr>
        <w:t>and the</w:t>
      </w:r>
      <w:r w:rsidRPr="00312716">
        <w:rPr>
          <w:sz w:val="22"/>
        </w:rPr>
        <w:t xml:space="preserve"> Asian Development Bank estimates over US$30 </w:t>
      </w:r>
      <w:r w:rsidR="006B3873" w:rsidRPr="00312716">
        <w:rPr>
          <w:sz w:val="22"/>
        </w:rPr>
        <w:t>billion</w:t>
      </w:r>
      <w:r w:rsidRPr="00312716">
        <w:rPr>
          <w:sz w:val="22"/>
        </w:rPr>
        <w:t xml:space="preserve"> needs to be invested in infrastructure across Pacific Island countries by 2030.</w:t>
      </w:r>
      <w:r w:rsidRPr="00312716">
        <w:rPr>
          <w:rStyle w:val="EndnoteReference"/>
          <w:sz w:val="22"/>
        </w:rPr>
        <w:endnoteReference w:id="46"/>
      </w:r>
      <w:r w:rsidR="0098102B" w:rsidRPr="00312716">
        <w:rPr>
          <w:sz w:val="22"/>
        </w:rPr>
        <w:t xml:space="preserve"> </w:t>
      </w:r>
    </w:p>
    <w:p w14:paraId="61B2D25B" w14:textId="77777777" w:rsidR="00146DA8" w:rsidRPr="00312716" w:rsidRDefault="004F5354" w:rsidP="00146DA8">
      <w:pPr>
        <w:rPr>
          <w:sz w:val="22"/>
        </w:rPr>
      </w:pPr>
      <w:r w:rsidRPr="00312716">
        <w:rPr>
          <w:sz w:val="22"/>
        </w:rPr>
        <w:t>Australia’s proximity to growing markets of the Asia-Pacific region, and abundance of renewable energy inputs and feedstock materials provide potential to capture export opportunities for green steel and other construction materials.</w:t>
      </w:r>
    </w:p>
    <w:p w14:paraId="243CD7FC" w14:textId="356AC69A" w:rsidR="00146DA8" w:rsidRPr="00312716" w:rsidRDefault="004F5354" w:rsidP="00146DA8">
      <w:pPr>
        <w:rPr>
          <w:sz w:val="22"/>
        </w:rPr>
      </w:pPr>
      <w:r w:rsidRPr="00312716">
        <w:rPr>
          <w:sz w:val="22"/>
        </w:rPr>
        <w:t xml:space="preserve">The Australian Government’s </w:t>
      </w:r>
      <w:hyperlink r:id="rId25" w:history="1">
        <w:r w:rsidR="008F2069" w:rsidRPr="00312716">
          <w:rPr>
            <w:rStyle w:val="Hyperlink"/>
            <w:color w:val="auto"/>
            <w:sz w:val="22"/>
          </w:rPr>
          <w:t>Environmentally Sustainable Procurement Policy</w:t>
        </w:r>
      </w:hyperlink>
      <w:r w:rsidRPr="00312716">
        <w:rPr>
          <w:sz w:val="22"/>
        </w:rPr>
        <w:t xml:space="preserve"> will drive demand for recycled content and circular goods and services in the construction sector including construction services and fit-outs of building and office interiors.</w:t>
      </w:r>
    </w:p>
    <w:p w14:paraId="4D3699BD" w14:textId="77777777" w:rsidR="00605305" w:rsidRPr="005F4D33" w:rsidRDefault="004F5354" w:rsidP="00232468">
      <w:pPr>
        <w:pStyle w:val="Heading4"/>
      </w:pPr>
      <w:r w:rsidRPr="005F4D33">
        <w:t>Enablers</w:t>
      </w:r>
    </w:p>
    <w:p w14:paraId="42B4D488" w14:textId="32096BF6" w:rsidR="00BF0B40" w:rsidRPr="00312716" w:rsidRDefault="004F5354" w:rsidP="00232468">
      <w:pPr>
        <w:pStyle w:val="Heading5"/>
        <w:rPr>
          <w:sz w:val="22"/>
        </w:rPr>
      </w:pPr>
      <w:r w:rsidRPr="00312716">
        <w:rPr>
          <w:sz w:val="22"/>
        </w:rPr>
        <w:t>Embedding the circular economy in new builds</w:t>
      </w:r>
    </w:p>
    <w:p w14:paraId="2E4A3C53" w14:textId="77777777" w:rsidR="00BF0B40" w:rsidRPr="00312716" w:rsidRDefault="004F5354" w:rsidP="00BF0B40">
      <w:pPr>
        <w:rPr>
          <w:sz w:val="22"/>
        </w:rPr>
      </w:pPr>
      <w:r w:rsidRPr="00312716">
        <w:rPr>
          <w:sz w:val="22"/>
        </w:rPr>
        <w:t>Australia is undergoing a national infrastructure upgrade, focused on projects that improve long term productivity, supply chains and economic growth. This includes modernising to support clean energy and boost technology, housing and local services infrastructure and investments.</w:t>
      </w:r>
      <w:r w:rsidRPr="00312716">
        <w:rPr>
          <w:rStyle w:val="EndnoteReference"/>
          <w:sz w:val="22"/>
        </w:rPr>
        <w:endnoteReference w:id="47"/>
      </w:r>
      <w:r w:rsidRPr="00312716">
        <w:rPr>
          <w:sz w:val="22"/>
        </w:rPr>
        <w:t xml:space="preserve"> These projects present opportunities to embed whole-of-lifecycle thinking from the outset and drive uptake of sustainable, circular materials and practices.</w:t>
      </w:r>
    </w:p>
    <w:p w14:paraId="70F90A99" w14:textId="77777777" w:rsidR="003731E8" w:rsidRPr="00312716" w:rsidRDefault="004F5354" w:rsidP="00BF0B40">
      <w:pPr>
        <w:rPr>
          <w:sz w:val="22"/>
        </w:rPr>
      </w:pPr>
      <w:r w:rsidRPr="00312716">
        <w:rPr>
          <w:sz w:val="22"/>
        </w:rPr>
        <w:t xml:space="preserve">Opportunities </w:t>
      </w:r>
      <w:r w:rsidR="00B95865" w:rsidRPr="00312716">
        <w:rPr>
          <w:sz w:val="22"/>
        </w:rPr>
        <w:t>include using</w:t>
      </w:r>
      <w:r w:rsidRPr="00312716">
        <w:rPr>
          <w:sz w:val="22"/>
        </w:rPr>
        <w:t xml:space="preserve"> cross-laminated timber to replace steel in low- and medium-density buildings, prefabrication </w:t>
      </w:r>
      <w:r w:rsidR="00B95865" w:rsidRPr="00312716">
        <w:rPr>
          <w:sz w:val="22"/>
        </w:rPr>
        <w:t>to reduce</w:t>
      </w:r>
      <w:r w:rsidRPr="00312716">
        <w:rPr>
          <w:sz w:val="22"/>
        </w:rPr>
        <w:t xml:space="preserve"> waste, </w:t>
      </w:r>
      <w:r w:rsidR="00342773" w:rsidRPr="00312716">
        <w:rPr>
          <w:sz w:val="22"/>
        </w:rPr>
        <w:t xml:space="preserve">modular </w:t>
      </w:r>
      <w:r w:rsidR="00F906EA" w:rsidRPr="00312716">
        <w:rPr>
          <w:sz w:val="22"/>
        </w:rPr>
        <w:t xml:space="preserve">construction to </w:t>
      </w:r>
      <w:r w:rsidR="007D029B" w:rsidRPr="00312716">
        <w:rPr>
          <w:sz w:val="22"/>
        </w:rPr>
        <w:t xml:space="preserve">support repair and partial replacement over rebuilds, </w:t>
      </w:r>
      <w:r w:rsidRPr="00312716">
        <w:rPr>
          <w:sz w:val="22"/>
        </w:rPr>
        <w:t xml:space="preserve">and </w:t>
      </w:r>
      <w:r w:rsidR="00B95865" w:rsidRPr="00312716">
        <w:rPr>
          <w:sz w:val="22"/>
        </w:rPr>
        <w:t>designing</w:t>
      </w:r>
      <w:r w:rsidRPr="00312716">
        <w:rPr>
          <w:sz w:val="22"/>
        </w:rPr>
        <w:t xml:space="preserve"> for smaller, more flexible buildings</w:t>
      </w:r>
      <w:r w:rsidR="00B95865" w:rsidRPr="00312716">
        <w:rPr>
          <w:sz w:val="22"/>
        </w:rPr>
        <w:t>.</w:t>
      </w:r>
    </w:p>
    <w:p w14:paraId="1D18969B" w14:textId="77777777" w:rsidR="0095045C" w:rsidRPr="00312716" w:rsidRDefault="004F5354" w:rsidP="00232468">
      <w:pPr>
        <w:pStyle w:val="Heading5"/>
        <w:rPr>
          <w:sz w:val="22"/>
        </w:rPr>
      </w:pPr>
      <w:r w:rsidRPr="00312716">
        <w:rPr>
          <w:sz w:val="22"/>
        </w:rPr>
        <w:t>Developing recycled content markets</w:t>
      </w:r>
    </w:p>
    <w:p w14:paraId="53567812" w14:textId="77777777" w:rsidR="00605305" w:rsidRPr="00312716" w:rsidRDefault="004F5354" w:rsidP="00605305">
      <w:pPr>
        <w:rPr>
          <w:sz w:val="22"/>
        </w:rPr>
      </w:pPr>
      <w:r w:rsidRPr="00312716">
        <w:rPr>
          <w:sz w:val="22"/>
        </w:rPr>
        <w:t xml:space="preserve">Scaling the use of recycled </w:t>
      </w:r>
      <w:r w:rsidR="004559CA" w:rsidRPr="00312716">
        <w:rPr>
          <w:sz w:val="22"/>
        </w:rPr>
        <w:t>materials</w:t>
      </w:r>
      <w:r w:rsidRPr="00312716">
        <w:rPr>
          <w:sz w:val="22"/>
        </w:rPr>
        <w:t xml:space="preserve"> paves the way for materials innovation elsewhere in the economy. Priority materials that will significantly lift national recycling rates and reduce material footprint include secondary concrete and steel, ash from coal-combustion, and asphalt.</w:t>
      </w:r>
    </w:p>
    <w:p w14:paraId="37493A7C" w14:textId="77777777" w:rsidR="00280C88" w:rsidRPr="00312716" w:rsidRDefault="004F5354" w:rsidP="00280C88">
      <w:pPr>
        <w:rPr>
          <w:sz w:val="22"/>
          <w:vertAlign w:val="superscript"/>
        </w:rPr>
      </w:pPr>
      <w:r w:rsidRPr="00312716">
        <w:rPr>
          <w:sz w:val="22"/>
        </w:rPr>
        <w:t>Infrastructure Australia estimates that around 27% of virgin materials used for road projects could be replaced with a range of recycled materials, lifting to 43% with advanced standards and technology.</w:t>
      </w:r>
      <w:r w:rsidRPr="00312716">
        <w:rPr>
          <w:sz w:val="22"/>
          <w:vertAlign w:val="superscript"/>
        </w:rPr>
        <w:endnoteReference w:id="48"/>
      </w:r>
      <w:r w:rsidRPr="00312716">
        <w:rPr>
          <w:sz w:val="22"/>
          <w:vertAlign w:val="superscript"/>
        </w:rPr>
        <w:t xml:space="preserve"> </w:t>
      </w:r>
    </w:p>
    <w:p w14:paraId="0F5568C3" w14:textId="77777777" w:rsidR="00605305" w:rsidRPr="00312716" w:rsidRDefault="004F5354" w:rsidP="00605305">
      <w:pPr>
        <w:rPr>
          <w:sz w:val="22"/>
        </w:rPr>
      </w:pPr>
      <w:r w:rsidRPr="00312716">
        <w:rPr>
          <w:sz w:val="22"/>
        </w:rPr>
        <w:t>Demand for recycled materials can be supported by developing and using recycled content procurement clauses in construction contracts, and associated material and product standards</w:t>
      </w:r>
      <w:r w:rsidR="003F5C06" w:rsidRPr="00312716">
        <w:rPr>
          <w:sz w:val="22"/>
        </w:rPr>
        <w:t xml:space="preserve"> – which are predominantly managed </w:t>
      </w:r>
      <w:r w:rsidR="00405973" w:rsidRPr="00312716">
        <w:rPr>
          <w:sz w:val="22"/>
        </w:rPr>
        <w:t>by state and territory and local governments</w:t>
      </w:r>
      <w:r w:rsidRPr="00312716">
        <w:rPr>
          <w:sz w:val="22"/>
        </w:rPr>
        <w:t>. Businesses also need to be able to readily identify and access secondary materials to build with them.</w:t>
      </w:r>
    </w:p>
    <w:p w14:paraId="5AA0BFC7" w14:textId="77777777" w:rsidR="00605305" w:rsidRPr="00312716" w:rsidRDefault="004F5354" w:rsidP="00605305">
      <w:pPr>
        <w:rPr>
          <w:sz w:val="22"/>
        </w:rPr>
      </w:pPr>
      <w:r w:rsidRPr="00312716">
        <w:rPr>
          <w:sz w:val="22"/>
        </w:rPr>
        <w:t>Australian governments, as the largest tenants in the economy, are major buyers of goods and services, particularly for infrastructure and buildings. Governments can leverage their purchasing power to create stable markets for sustainable and circular goods and services.</w:t>
      </w:r>
      <w:r w:rsidRPr="00312716">
        <w:rPr>
          <w:rStyle w:val="EndnoteReference"/>
          <w:sz w:val="22"/>
        </w:rPr>
        <w:endnoteReference w:id="49"/>
      </w:r>
      <w:r w:rsidRPr="00312716">
        <w:rPr>
          <w:sz w:val="22"/>
        </w:rPr>
        <w:t xml:space="preserve"> This may involve purchase of recycled materials or prioritising reuse or asset sharing.</w:t>
      </w:r>
    </w:p>
    <w:p w14:paraId="63EA254F" w14:textId="37D06BDF" w:rsidR="00EF0083" w:rsidRPr="00312716" w:rsidRDefault="004F5354" w:rsidP="00232468">
      <w:pPr>
        <w:pStyle w:val="Heading5"/>
        <w:rPr>
          <w:strike/>
          <w:sz w:val="22"/>
        </w:rPr>
      </w:pPr>
      <w:r w:rsidRPr="00312716">
        <w:rPr>
          <w:sz w:val="22"/>
        </w:rPr>
        <w:lastRenderedPageBreak/>
        <w:t>Better design</w:t>
      </w:r>
    </w:p>
    <w:p w14:paraId="28A636BF" w14:textId="34771B4A" w:rsidR="00EF0083" w:rsidRPr="00312716" w:rsidRDefault="004F5354" w:rsidP="00EF0083">
      <w:pPr>
        <w:rPr>
          <w:sz w:val="22"/>
        </w:rPr>
      </w:pPr>
      <w:r w:rsidRPr="00312716">
        <w:rPr>
          <w:sz w:val="22"/>
        </w:rPr>
        <w:t xml:space="preserve">Circular design strategies can substantially reduce waste and carbon emissions associated with new developments throughout their lifecycle. The following circular economy design priorities support all </w:t>
      </w:r>
      <w:r w:rsidR="001439F5" w:rsidRPr="00312716">
        <w:rPr>
          <w:sz w:val="22"/>
        </w:rPr>
        <w:t xml:space="preserve">3 </w:t>
      </w:r>
      <w:r w:rsidRPr="00312716">
        <w:rPr>
          <w:sz w:val="22"/>
        </w:rPr>
        <w:t>of Australia’s circular economy targets, and Australia’s net zero target</w:t>
      </w:r>
      <w:r w:rsidRPr="00312716">
        <w:rPr>
          <w:rStyle w:val="EndnoteReference"/>
          <w:sz w:val="22"/>
        </w:rPr>
        <w:endnoteReference w:id="50"/>
      </w:r>
      <w:r w:rsidRPr="00312716">
        <w:rPr>
          <w:sz w:val="22"/>
        </w:rPr>
        <w:t>:</w:t>
      </w:r>
    </w:p>
    <w:p w14:paraId="0B8EF835" w14:textId="4A715A65" w:rsidR="00EF0083" w:rsidRPr="00312716" w:rsidRDefault="004F5354" w:rsidP="00EF0083">
      <w:pPr>
        <w:pStyle w:val="ListParagraph"/>
        <w:numPr>
          <w:ilvl w:val="0"/>
          <w:numId w:val="12"/>
        </w:numPr>
        <w:rPr>
          <w:sz w:val="22"/>
        </w:rPr>
      </w:pPr>
      <w:r w:rsidRPr="00312716">
        <w:rPr>
          <w:sz w:val="22"/>
        </w:rPr>
        <w:t>design to reuse or refurbish existing assets or materials</w:t>
      </w:r>
    </w:p>
    <w:p w14:paraId="06D4D349" w14:textId="77777777" w:rsidR="00EF0083" w:rsidRPr="00312716" w:rsidRDefault="004F5354" w:rsidP="00EF0083">
      <w:pPr>
        <w:pStyle w:val="ListParagraph"/>
        <w:numPr>
          <w:ilvl w:val="0"/>
          <w:numId w:val="12"/>
        </w:numPr>
        <w:rPr>
          <w:sz w:val="22"/>
        </w:rPr>
      </w:pPr>
      <w:r w:rsidRPr="00312716">
        <w:rPr>
          <w:sz w:val="22"/>
        </w:rPr>
        <w:t>design to enable disassembly (</w:t>
      </w:r>
      <w:r w:rsidR="00133E86" w:rsidRPr="00312716">
        <w:rPr>
          <w:sz w:val="22"/>
        </w:rPr>
        <w:t>including</w:t>
      </w:r>
      <w:r w:rsidRPr="00312716">
        <w:rPr>
          <w:sz w:val="22"/>
        </w:rPr>
        <w:t xml:space="preserve"> information about materials in buildings)</w:t>
      </w:r>
    </w:p>
    <w:p w14:paraId="2DBA5CAE" w14:textId="0DE43440" w:rsidR="00EF0083" w:rsidRPr="00312716" w:rsidRDefault="004F5354" w:rsidP="00EF0083">
      <w:pPr>
        <w:pStyle w:val="ListParagraph"/>
        <w:numPr>
          <w:ilvl w:val="0"/>
          <w:numId w:val="12"/>
        </w:numPr>
        <w:rPr>
          <w:sz w:val="22"/>
        </w:rPr>
      </w:pPr>
      <w:r w:rsidRPr="00312716">
        <w:rPr>
          <w:sz w:val="22"/>
        </w:rPr>
        <w:t>design for longevity</w:t>
      </w:r>
    </w:p>
    <w:p w14:paraId="61824BC9" w14:textId="77777777" w:rsidR="00EF0083" w:rsidRPr="00312716" w:rsidRDefault="004F5354" w:rsidP="00EF0083">
      <w:pPr>
        <w:pStyle w:val="ListParagraph"/>
        <w:numPr>
          <w:ilvl w:val="0"/>
          <w:numId w:val="12"/>
        </w:numPr>
        <w:rPr>
          <w:sz w:val="22"/>
        </w:rPr>
      </w:pPr>
      <w:r w:rsidRPr="00312716">
        <w:rPr>
          <w:sz w:val="22"/>
        </w:rPr>
        <w:t>design for modularity</w:t>
      </w:r>
    </w:p>
    <w:p w14:paraId="5EA25049" w14:textId="58F9C511" w:rsidR="00EF0083" w:rsidRPr="00312716" w:rsidRDefault="004F5354" w:rsidP="00EF0083">
      <w:pPr>
        <w:pStyle w:val="ListParagraph"/>
        <w:numPr>
          <w:ilvl w:val="0"/>
          <w:numId w:val="12"/>
        </w:numPr>
        <w:rPr>
          <w:sz w:val="22"/>
        </w:rPr>
      </w:pPr>
      <w:r w:rsidRPr="00312716">
        <w:rPr>
          <w:sz w:val="22"/>
        </w:rPr>
        <w:t>design for best practice operational waste management</w:t>
      </w:r>
    </w:p>
    <w:p w14:paraId="13EEDA70" w14:textId="307AB296" w:rsidR="00EF0083" w:rsidRPr="00312716" w:rsidRDefault="004F5354" w:rsidP="00EF0083">
      <w:pPr>
        <w:pStyle w:val="ListParagraph"/>
        <w:numPr>
          <w:ilvl w:val="0"/>
          <w:numId w:val="12"/>
        </w:numPr>
        <w:rPr>
          <w:sz w:val="22"/>
        </w:rPr>
      </w:pPr>
      <w:r w:rsidRPr="00312716">
        <w:rPr>
          <w:sz w:val="22"/>
        </w:rPr>
        <w:t>design with recycled content</w:t>
      </w:r>
    </w:p>
    <w:p w14:paraId="4D3EACF7" w14:textId="0E603CE9" w:rsidR="00EF0083" w:rsidRPr="00312716" w:rsidRDefault="004F5354" w:rsidP="00EF0083">
      <w:pPr>
        <w:pStyle w:val="ListParagraph"/>
        <w:numPr>
          <w:ilvl w:val="0"/>
          <w:numId w:val="12"/>
        </w:numPr>
        <w:spacing w:after="240"/>
        <w:rPr>
          <w:sz w:val="22"/>
        </w:rPr>
      </w:pPr>
      <w:r w:rsidRPr="00312716">
        <w:rPr>
          <w:sz w:val="22"/>
        </w:rPr>
        <w:t>design with others to make use of waste outputs as material inputs.</w:t>
      </w:r>
      <w:r w:rsidRPr="00312716">
        <w:rPr>
          <w:sz w:val="22"/>
          <w:vertAlign w:val="superscript"/>
        </w:rPr>
        <w:endnoteReference w:id="51"/>
      </w:r>
    </w:p>
    <w:p w14:paraId="674AFBBB" w14:textId="77777777" w:rsidR="00312716" w:rsidRDefault="004F5354" w:rsidP="00BA65AD">
      <w:pPr>
        <w:rPr>
          <w:noProof/>
        </w:rPr>
      </w:pPr>
      <w:r w:rsidRPr="00312716">
        <w:rPr>
          <w:sz w:val="22"/>
        </w:rPr>
        <w:t>Planning authorities, regulators, procurers and investors have shared responsibility for design changes, through regulations, rating schemes and guidelines, procurements, risk-management</w:t>
      </w:r>
      <w:r w:rsidR="00BA65AD" w:rsidRPr="00312716">
        <w:rPr>
          <w:sz w:val="22"/>
        </w:rPr>
        <w:t xml:space="preserve"> </w:t>
      </w:r>
      <w:r w:rsidRPr="00312716">
        <w:rPr>
          <w:sz w:val="22"/>
        </w:rPr>
        <w:t>strategies and building codes.</w:t>
      </w:r>
      <w:r w:rsidR="008F6442" w:rsidRPr="008F6442">
        <w:rPr>
          <w:noProof/>
        </w:rPr>
        <w:t xml:space="preserve"> </w:t>
      </w:r>
    </w:p>
    <w:p w14:paraId="42A81332" w14:textId="6085B26A" w:rsidR="00312716" w:rsidRDefault="00E03EB2" w:rsidP="00312716">
      <w:pPr>
        <w:pStyle w:val="Heading4"/>
      </w:pPr>
      <w:r>
        <w:t xml:space="preserve">Case study: </w:t>
      </w:r>
      <w:r w:rsidR="00312716">
        <w:t>Burwood Brickworks</w:t>
      </w:r>
    </w:p>
    <w:p w14:paraId="44F52BF9" w14:textId="77777777" w:rsidR="00312716" w:rsidRPr="00312716" w:rsidRDefault="00312716" w:rsidP="00312716">
      <w:pPr>
        <w:rPr>
          <w:sz w:val="22"/>
        </w:rPr>
      </w:pPr>
      <w:r w:rsidRPr="00312716">
        <w:rPr>
          <w:sz w:val="22"/>
        </w:rPr>
        <w:t>The Burwood Brickworks precinct in Melbourne, Victoria is a sustainable urban development celebrated for its innovative design, material selection and the reuse of resources.</w:t>
      </w:r>
    </w:p>
    <w:p w14:paraId="0CA4BBE3" w14:textId="77777777" w:rsidR="00312716" w:rsidRPr="00312716" w:rsidRDefault="00312716" w:rsidP="00312716">
      <w:pPr>
        <w:rPr>
          <w:sz w:val="22"/>
        </w:rPr>
      </w:pPr>
      <w:r w:rsidRPr="00312716">
        <w:rPr>
          <w:sz w:val="22"/>
        </w:rPr>
        <w:t>Developed by Frasers Property Australia, the design process of Burwood Brickworks was driven by the principles of circular economy and sustainability from the outset. The project team employed integrated design techniques, collaborating with architects, sustainability experts, and the local community to ensure the development met stringent environmental standards. The precinct achieved a 6-Star Green Star rating and targeted Living Building Challenge certification, emphasising regenerative design.</w:t>
      </w:r>
    </w:p>
    <w:p w14:paraId="26C8B16F" w14:textId="77777777" w:rsidR="00312716" w:rsidRPr="00312716" w:rsidRDefault="00312716" w:rsidP="00312716">
      <w:pPr>
        <w:rPr>
          <w:sz w:val="22"/>
        </w:rPr>
      </w:pPr>
      <w:r w:rsidRPr="00312716">
        <w:rPr>
          <w:sz w:val="22"/>
        </w:rPr>
        <w:t>Locally sourced, recycled, and low-impact materials were prioritised to minimise the precinct’s environmental footprint. Reclaimed timber salvaged from several locations was used in the project including from a dismantled pier at Sydney’s Circular Quay and from a Melbourne CBD office building that was being demolished. The 3260 individual roof-mounted solar panels and 250KW battery, ensures Brickworks generates more energy that it consumes. All tenants are also connected to a central thermal network, which avoids the use of more inefficient individual systems.</w:t>
      </w:r>
    </w:p>
    <w:p w14:paraId="7C4BAB1D" w14:textId="77777777" w:rsidR="00312716" w:rsidRPr="00312716" w:rsidRDefault="00312716" w:rsidP="00312716">
      <w:pPr>
        <w:rPr>
          <w:sz w:val="22"/>
        </w:rPr>
      </w:pPr>
      <w:r w:rsidRPr="00312716">
        <w:rPr>
          <w:sz w:val="22"/>
        </w:rPr>
        <w:t>The precinct features an advanced water management system, including rainwater harvesting and greywater recycling, which significantly reduces potable water consumption. An on-site rooftop urban farm and closed-loop organic waste system allow for the production and reuse of organic products. Food waste from the precinct’s restaurants is composted and used to nourish the rooftop garden, which supplies fresh produce to the local community and eateries within the precinct.</w:t>
      </w:r>
    </w:p>
    <w:p w14:paraId="7DF075C9" w14:textId="77777777" w:rsidR="00312716" w:rsidRPr="00312716" w:rsidRDefault="00312716" w:rsidP="00312716">
      <w:pPr>
        <w:rPr>
          <w:sz w:val="22"/>
        </w:rPr>
      </w:pPr>
      <w:r w:rsidRPr="00312716">
        <w:rPr>
          <w:sz w:val="22"/>
        </w:rPr>
        <w:t>Burwood Brickworks precinct shows how sustainable design, material reuse, and resource circularity can be seamlessly integrated into profitable modern precincts to create vibrant, eco-friendly communities.</w:t>
      </w:r>
    </w:p>
    <w:p w14:paraId="51FC4631" w14:textId="77777777" w:rsidR="009D47C1" w:rsidRPr="003F57AA" w:rsidRDefault="009D47C1" w:rsidP="009D47C1">
      <w:pPr>
        <w:pStyle w:val="Heading3"/>
      </w:pPr>
      <w:bookmarkStart w:id="42" w:name="_Toc184220097"/>
      <w:r>
        <w:t xml:space="preserve">Food and </w:t>
      </w:r>
      <w:r w:rsidRPr="007B091E">
        <w:t>agriculture</w:t>
      </w:r>
      <w:bookmarkEnd w:id="42"/>
    </w:p>
    <w:p w14:paraId="23661B8A" w14:textId="5FEEAB69" w:rsidR="000F4C23" w:rsidRPr="005F4D33" w:rsidRDefault="004F5354" w:rsidP="007B091E">
      <w:pPr>
        <w:pStyle w:val="Heading4"/>
      </w:pPr>
      <w:r w:rsidRPr="005F4D33">
        <w:t>Rationale</w:t>
      </w:r>
    </w:p>
    <w:p w14:paraId="1F3B37E1" w14:textId="77777777" w:rsidR="00B60348" w:rsidRPr="00DE3D91" w:rsidRDefault="004F5354" w:rsidP="0072044A">
      <w:pPr>
        <w:rPr>
          <w:sz w:val="22"/>
        </w:rPr>
      </w:pPr>
      <w:r w:rsidRPr="00DE3D91">
        <w:rPr>
          <w:sz w:val="22"/>
        </w:rPr>
        <w:t xml:space="preserve">Australia’s food </w:t>
      </w:r>
      <w:r w:rsidR="00DF641B" w:rsidRPr="00DE3D91">
        <w:rPr>
          <w:sz w:val="22"/>
        </w:rPr>
        <w:t xml:space="preserve">and </w:t>
      </w:r>
      <w:r w:rsidRPr="00DE3D91">
        <w:rPr>
          <w:sz w:val="22"/>
        </w:rPr>
        <w:t>agriculture sector accounts for 55% of Australian land use, 74% of water consumption, 13.6% of goods and services exports, and contributes 2.7% of value added (GDP)</w:t>
      </w:r>
      <w:r w:rsidR="00274FE2" w:rsidRPr="00DE3D91">
        <w:rPr>
          <w:sz w:val="22"/>
        </w:rPr>
        <w:t>.</w:t>
      </w:r>
      <w:r w:rsidRPr="00DE3D91">
        <w:rPr>
          <w:rStyle w:val="EndnoteReference"/>
          <w:sz w:val="22"/>
        </w:rPr>
        <w:endnoteReference w:id="52"/>
      </w:r>
      <w:r w:rsidR="00C01E6F" w:rsidRPr="00DE3D91">
        <w:rPr>
          <w:sz w:val="22"/>
        </w:rPr>
        <w:t xml:space="preserve"> </w:t>
      </w:r>
      <w:r w:rsidR="003227FE" w:rsidRPr="00DE3D91">
        <w:rPr>
          <w:sz w:val="22"/>
        </w:rPr>
        <w:t>Australia also creates more than 7.6 million tonnes of food waste each year</w:t>
      </w:r>
      <w:r w:rsidR="00274FE2" w:rsidRPr="00DE3D91">
        <w:rPr>
          <w:sz w:val="22"/>
        </w:rPr>
        <w:t>,</w:t>
      </w:r>
      <w:r w:rsidR="00740A7C" w:rsidRPr="00DE3D91">
        <w:rPr>
          <w:sz w:val="22"/>
        </w:rPr>
        <w:t xml:space="preserve"> </w:t>
      </w:r>
      <w:r w:rsidR="003227FE" w:rsidRPr="00DE3D91">
        <w:rPr>
          <w:sz w:val="22"/>
        </w:rPr>
        <w:t xml:space="preserve">costing the Australian economy over $36.6 </w:t>
      </w:r>
      <w:r w:rsidR="00BB4DCB" w:rsidRPr="00DE3D91">
        <w:rPr>
          <w:sz w:val="22"/>
        </w:rPr>
        <w:t>billion</w:t>
      </w:r>
      <w:r w:rsidR="00740A7C" w:rsidRPr="00DE3D91">
        <w:rPr>
          <w:sz w:val="22"/>
        </w:rPr>
        <w:t>.</w:t>
      </w:r>
      <w:r w:rsidRPr="00DE3D91">
        <w:rPr>
          <w:rStyle w:val="EndnoteReference"/>
          <w:sz w:val="22"/>
        </w:rPr>
        <w:endnoteReference w:id="53"/>
      </w:r>
    </w:p>
    <w:p w14:paraId="3DDB75CD" w14:textId="77777777" w:rsidR="00370E29" w:rsidRPr="00DE3D91" w:rsidRDefault="004F5354" w:rsidP="00370E29">
      <w:pPr>
        <w:rPr>
          <w:sz w:val="22"/>
        </w:rPr>
      </w:pPr>
      <w:r w:rsidRPr="00DE3D91">
        <w:rPr>
          <w:sz w:val="22"/>
        </w:rPr>
        <w:t xml:space="preserve">Australian farmers recognise the importance of maintaining soil health and promoting natural capital. Adopting circular economy strategies can further enhance the sustainability of farming practices. Circular opportunities in agriculture address waste reduction, resource and water efficiency, </w:t>
      </w:r>
      <w:r w:rsidRPr="00DE3D91">
        <w:rPr>
          <w:sz w:val="22"/>
        </w:rPr>
        <w:lastRenderedPageBreak/>
        <w:t>renewable energy and regenerating nature which aligns closely with the principles of the circular economy.</w:t>
      </w:r>
    </w:p>
    <w:p w14:paraId="274302C1" w14:textId="77777777" w:rsidR="00652440" w:rsidRPr="00DE3D91" w:rsidRDefault="004F5354" w:rsidP="0072044A">
      <w:pPr>
        <w:rPr>
          <w:sz w:val="22"/>
        </w:rPr>
      </w:pPr>
      <w:r w:rsidRPr="00DE3D91">
        <w:rPr>
          <w:sz w:val="22"/>
        </w:rPr>
        <w:t>Australia’s</w:t>
      </w:r>
      <w:r w:rsidR="001B2C72" w:rsidRPr="00DE3D91">
        <w:rPr>
          <w:sz w:val="22"/>
        </w:rPr>
        <w:t xml:space="preserve"> food and agriculture sector is</w:t>
      </w:r>
      <w:r w:rsidR="0072044A" w:rsidRPr="00DE3D91">
        <w:rPr>
          <w:sz w:val="22"/>
        </w:rPr>
        <w:t xml:space="preserve"> </w:t>
      </w:r>
      <w:r w:rsidR="00161AEB" w:rsidRPr="00DE3D91">
        <w:rPr>
          <w:sz w:val="22"/>
        </w:rPr>
        <w:t xml:space="preserve">recognised </w:t>
      </w:r>
      <w:r w:rsidR="0072044A" w:rsidRPr="00DE3D91">
        <w:rPr>
          <w:sz w:val="22"/>
        </w:rPr>
        <w:t>for its innovation leadership</w:t>
      </w:r>
      <w:r w:rsidR="00D7529E" w:rsidRPr="00DE3D91">
        <w:rPr>
          <w:sz w:val="22"/>
        </w:rPr>
        <w:t xml:space="preserve">, with opportunities to </w:t>
      </w:r>
      <w:r w:rsidR="00FA0F34" w:rsidRPr="00DE3D91">
        <w:rPr>
          <w:sz w:val="22"/>
        </w:rPr>
        <w:t xml:space="preserve">direct this innovation </w:t>
      </w:r>
      <w:r w:rsidR="00291155" w:rsidRPr="00DE3D91">
        <w:rPr>
          <w:sz w:val="22"/>
        </w:rPr>
        <w:t>towards</w:t>
      </w:r>
      <w:r w:rsidR="00FA0F34" w:rsidRPr="00DE3D91">
        <w:rPr>
          <w:sz w:val="22"/>
        </w:rPr>
        <w:t xml:space="preserve"> emerging circular economy markets and</w:t>
      </w:r>
      <w:r w:rsidR="0072044A" w:rsidRPr="00DE3D91">
        <w:rPr>
          <w:sz w:val="22"/>
        </w:rPr>
        <w:t xml:space="preserve"> </w:t>
      </w:r>
      <w:r w:rsidR="00370E29" w:rsidRPr="00DE3D91">
        <w:rPr>
          <w:sz w:val="22"/>
        </w:rPr>
        <w:t>sustainably</w:t>
      </w:r>
      <w:r w:rsidR="0072044A" w:rsidRPr="00DE3D91">
        <w:rPr>
          <w:sz w:val="22"/>
        </w:rPr>
        <w:t xml:space="preserve"> improving productivity</w:t>
      </w:r>
      <w:r w:rsidR="00DC1176" w:rsidRPr="00DE3D91">
        <w:rPr>
          <w:sz w:val="22"/>
        </w:rPr>
        <w:t>.</w:t>
      </w:r>
      <w:r w:rsidRPr="00DE3D91">
        <w:rPr>
          <w:rStyle w:val="EndnoteReference"/>
          <w:sz w:val="22"/>
        </w:rPr>
        <w:endnoteReference w:id="54"/>
      </w:r>
    </w:p>
    <w:p w14:paraId="50CD7251" w14:textId="77777777" w:rsidR="000F4C23" w:rsidRPr="005F4D33" w:rsidRDefault="004F5354" w:rsidP="007B091E">
      <w:pPr>
        <w:pStyle w:val="Heading4"/>
      </w:pPr>
      <w:r w:rsidRPr="005F4D33">
        <w:t>Priorities</w:t>
      </w:r>
    </w:p>
    <w:p w14:paraId="74A75CD9" w14:textId="77777777" w:rsidR="000F4C23" w:rsidRPr="00DE3D91" w:rsidRDefault="004F5354" w:rsidP="007B091E">
      <w:pPr>
        <w:pStyle w:val="Heading5"/>
        <w:rPr>
          <w:sz w:val="22"/>
          <w:lang w:eastAsia="en-AU"/>
        </w:rPr>
      </w:pPr>
      <w:r w:rsidRPr="00DE3D91">
        <w:rPr>
          <w:sz w:val="22"/>
          <w:lang w:eastAsia="en-AU"/>
        </w:rPr>
        <w:t>Reducing food waste</w:t>
      </w:r>
    </w:p>
    <w:p w14:paraId="53A1DF5A" w14:textId="0C8F9C11" w:rsidR="00F3331E" w:rsidRPr="00DE3D91" w:rsidRDefault="004F5354" w:rsidP="006B6566">
      <w:pPr>
        <w:rPr>
          <w:sz w:val="22"/>
        </w:rPr>
      </w:pPr>
      <w:r w:rsidRPr="00DE3D91">
        <w:rPr>
          <w:sz w:val="22"/>
        </w:rPr>
        <w:t xml:space="preserve">Australia </w:t>
      </w:r>
      <w:r w:rsidR="0068604C" w:rsidRPr="00DE3D91">
        <w:rPr>
          <w:sz w:val="22"/>
        </w:rPr>
        <w:t>has a</w:t>
      </w:r>
      <w:r w:rsidR="00A26979" w:rsidRPr="00DE3D91">
        <w:rPr>
          <w:sz w:val="22"/>
        </w:rPr>
        <w:t xml:space="preserve"> current </w:t>
      </w:r>
      <w:r w:rsidRPr="00DE3D91">
        <w:rPr>
          <w:sz w:val="22"/>
        </w:rPr>
        <w:t>goal of halving preventable food waste by 2030.</w:t>
      </w:r>
      <w:r w:rsidRPr="00DE3D91">
        <w:rPr>
          <w:rStyle w:val="EndnoteReference"/>
          <w:sz w:val="22"/>
        </w:rPr>
        <w:endnoteReference w:id="55"/>
      </w:r>
      <w:r w:rsidR="00AF1A58" w:rsidRPr="00DE3D91">
        <w:rPr>
          <w:sz w:val="22"/>
        </w:rPr>
        <w:t xml:space="preserve"> </w:t>
      </w:r>
      <w:r w:rsidR="00604D60" w:rsidRPr="00DE3D91">
        <w:rPr>
          <w:sz w:val="22"/>
        </w:rPr>
        <w:t>N</w:t>
      </w:r>
      <w:r w:rsidR="00912DC7" w:rsidRPr="00DE3D91">
        <w:rPr>
          <w:sz w:val="22"/>
        </w:rPr>
        <w:t>early 300kgs of food is wasted in Australia per person per year, with household food waste making up 2.5 million tonnes, or about 34% of the overall total amount of food wasted.</w:t>
      </w:r>
      <w:r w:rsidR="00604D60" w:rsidRPr="00DE3D91">
        <w:rPr>
          <w:sz w:val="22"/>
        </w:rPr>
        <w:t xml:space="preserve"> Reducing food waste can save the average family up to $3,800 per year.</w:t>
      </w:r>
    </w:p>
    <w:p w14:paraId="0402568B" w14:textId="77777777" w:rsidR="006B6566" w:rsidRPr="00DE3D91" w:rsidRDefault="004F5354" w:rsidP="006B6566">
      <w:pPr>
        <w:rPr>
          <w:sz w:val="22"/>
        </w:rPr>
      </w:pPr>
      <w:r w:rsidRPr="00DE3D91">
        <w:rPr>
          <w:sz w:val="22"/>
        </w:rPr>
        <w:t xml:space="preserve">Innovation, behaviour change, and standards </w:t>
      </w:r>
      <w:r w:rsidR="00F52970" w:rsidRPr="00DE3D91">
        <w:rPr>
          <w:sz w:val="22"/>
        </w:rPr>
        <w:t xml:space="preserve">are priorities to address these challenges. </w:t>
      </w:r>
      <w:r w:rsidRPr="00DE3D91">
        <w:rPr>
          <w:sz w:val="22"/>
        </w:rPr>
        <w:t xml:space="preserve">Innovations in food waste reduction technologies, such as smart packaging and food recovery platforms help mitigate </w:t>
      </w:r>
      <w:r w:rsidR="00BF2A0A" w:rsidRPr="00DE3D91">
        <w:rPr>
          <w:sz w:val="22"/>
        </w:rPr>
        <w:t>food</w:t>
      </w:r>
      <w:r w:rsidRPr="00DE3D91">
        <w:rPr>
          <w:sz w:val="22"/>
        </w:rPr>
        <w:t xml:space="preserve"> losses </w:t>
      </w:r>
      <w:r w:rsidR="00BF2A0A" w:rsidRPr="00DE3D91">
        <w:rPr>
          <w:sz w:val="22"/>
        </w:rPr>
        <w:t>and</w:t>
      </w:r>
      <w:r w:rsidRPr="00DE3D91">
        <w:rPr>
          <w:sz w:val="22"/>
        </w:rPr>
        <w:t xml:space="preserve"> open up new revenue streams.</w:t>
      </w:r>
      <w:r w:rsidR="004F0890" w:rsidRPr="00DE3D91">
        <w:rPr>
          <w:sz w:val="22"/>
        </w:rPr>
        <w:t xml:space="preserve"> </w:t>
      </w:r>
      <w:r w:rsidR="004C53CA" w:rsidRPr="00DE3D91">
        <w:rPr>
          <w:sz w:val="22"/>
        </w:rPr>
        <w:t xml:space="preserve">Promoting simple </w:t>
      </w:r>
      <w:r w:rsidR="00351EA1" w:rsidRPr="00DE3D91">
        <w:rPr>
          <w:sz w:val="22"/>
        </w:rPr>
        <w:t>behaviour</w:t>
      </w:r>
      <w:r w:rsidR="004C53CA" w:rsidRPr="00DE3D91">
        <w:rPr>
          <w:sz w:val="22"/>
        </w:rPr>
        <w:t xml:space="preserve"> changes, such as better meal planning and smarter food storage, can significantly reduce food waste in Australia.</w:t>
      </w:r>
    </w:p>
    <w:p w14:paraId="68BEB39D" w14:textId="77777777" w:rsidR="00591DC1" w:rsidRPr="00DE3D91" w:rsidRDefault="004F5354" w:rsidP="009F08B9">
      <w:pPr>
        <w:rPr>
          <w:sz w:val="22"/>
        </w:rPr>
      </w:pPr>
      <w:r w:rsidRPr="00DE3D91">
        <w:rPr>
          <w:sz w:val="22"/>
        </w:rPr>
        <w:t>Produce standards and specifications</w:t>
      </w:r>
      <w:r w:rsidR="0039777A" w:rsidRPr="00DE3D91">
        <w:rPr>
          <w:sz w:val="22"/>
        </w:rPr>
        <w:t>, and supply agreements</w:t>
      </w:r>
      <w:r w:rsidRPr="00DE3D91">
        <w:rPr>
          <w:sz w:val="22"/>
        </w:rPr>
        <w:t xml:space="preserve"> </w:t>
      </w:r>
      <w:r w:rsidR="001E73E0" w:rsidRPr="00DE3D91">
        <w:rPr>
          <w:sz w:val="22"/>
        </w:rPr>
        <w:t>can support less food waste</w:t>
      </w:r>
      <w:r w:rsidR="00CC2F18" w:rsidRPr="00DE3D91">
        <w:rPr>
          <w:sz w:val="22"/>
        </w:rPr>
        <w:t>.</w:t>
      </w:r>
      <w:r w:rsidR="00E02537" w:rsidRPr="00DE3D91">
        <w:rPr>
          <w:sz w:val="22"/>
        </w:rPr>
        <w:t xml:space="preserve"> </w:t>
      </w:r>
      <w:r w:rsidR="00CC2F18" w:rsidRPr="00DE3D91">
        <w:rPr>
          <w:sz w:val="22"/>
        </w:rPr>
        <w:t>An estimated 25% of all fruits and vegetables are wasted due to their odd shapes or sizes not meeting retailer standards</w:t>
      </w:r>
      <w:r w:rsidR="00DC14E5" w:rsidRPr="00DE3D91">
        <w:rPr>
          <w:sz w:val="22"/>
        </w:rPr>
        <w:t>.</w:t>
      </w:r>
      <w:r w:rsidRPr="00DE3D91">
        <w:rPr>
          <w:rStyle w:val="EndnoteReference"/>
          <w:sz w:val="22"/>
        </w:rPr>
        <w:endnoteReference w:id="56"/>
      </w:r>
      <w:r w:rsidR="00CC2F18" w:rsidRPr="00DE3D91">
        <w:rPr>
          <w:sz w:val="22"/>
        </w:rPr>
        <w:t xml:space="preserve"> </w:t>
      </w:r>
      <w:r w:rsidR="00DF1E1C" w:rsidRPr="00DE3D91">
        <w:rPr>
          <w:sz w:val="22"/>
        </w:rPr>
        <w:t xml:space="preserve">Variances between forecast and actual fresh produce purchases by retailers </w:t>
      </w:r>
      <w:r w:rsidR="007F00BB" w:rsidRPr="00DE3D91">
        <w:rPr>
          <w:sz w:val="22"/>
        </w:rPr>
        <w:t xml:space="preserve">can </w:t>
      </w:r>
      <w:r w:rsidR="00DF1E1C" w:rsidRPr="00DE3D91">
        <w:rPr>
          <w:sz w:val="22"/>
        </w:rPr>
        <w:t>also drive food waste.</w:t>
      </w:r>
      <w:r w:rsidR="0084448B" w:rsidRPr="00DE3D91">
        <w:rPr>
          <w:sz w:val="22"/>
        </w:rPr>
        <w:t xml:space="preserve"> </w:t>
      </w:r>
      <w:r w:rsidR="00834147" w:rsidRPr="00DE3D91">
        <w:rPr>
          <w:sz w:val="22"/>
        </w:rPr>
        <w:t>Australia has committed to ensuring fresh produce standards and specifications are reasonable</w:t>
      </w:r>
      <w:r w:rsidR="00DF1E1C" w:rsidRPr="00DE3D91">
        <w:rPr>
          <w:sz w:val="22"/>
        </w:rPr>
        <w:t xml:space="preserve">, and </w:t>
      </w:r>
      <w:r w:rsidR="00793D42" w:rsidRPr="00DE3D91">
        <w:rPr>
          <w:sz w:val="22"/>
        </w:rPr>
        <w:t>forecasting volumes are conducted with due care</w:t>
      </w:r>
      <w:r w:rsidR="005B762D" w:rsidRPr="00DE3D91">
        <w:rPr>
          <w:sz w:val="22"/>
        </w:rPr>
        <w:t>.</w:t>
      </w:r>
      <w:r w:rsidRPr="00DE3D91">
        <w:rPr>
          <w:rStyle w:val="EndnoteReference"/>
          <w:sz w:val="22"/>
        </w:rPr>
        <w:endnoteReference w:id="57"/>
      </w:r>
    </w:p>
    <w:p w14:paraId="76FD72D0" w14:textId="77777777" w:rsidR="009C5C85" w:rsidRPr="00DE3D91" w:rsidRDefault="004F5354" w:rsidP="007B091E">
      <w:pPr>
        <w:pStyle w:val="Heading5"/>
        <w:rPr>
          <w:sz w:val="22"/>
        </w:rPr>
      </w:pPr>
      <w:r w:rsidRPr="00DE3D91">
        <w:rPr>
          <w:sz w:val="22"/>
          <w:lang w:eastAsia="en-AU"/>
        </w:rPr>
        <w:t>Valorising</w:t>
      </w:r>
      <w:r w:rsidRPr="00DE3D91">
        <w:rPr>
          <w:sz w:val="22"/>
        </w:rPr>
        <w:t xml:space="preserve"> </w:t>
      </w:r>
      <w:proofErr w:type="spellStart"/>
      <w:r w:rsidRPr="00DE3D91">
        <w:rPr>
          <w:sz w:val="22"/>
        </w:rPr>
        <w:t>agri</w:t>
      </w:r>
      <w:proofErr w:type="spellEnd"/>
      <w:r w:rsidRPr="00DE3D91">
        <w:rPr>
          <w:sz w:val="22"/>
        </w:rPr>
        <w:t>-waste</w:t>
      </w:r>
    </w:p>
    <w:p w14:paraId="742A7B2A" w14:textId="77777777" w:rsidR="008649C7" w:rsidRPr="00DE3D91" w:rsidRDefault="004F5354" w:rsidP="009C5C85">
      <w:pPr>
        <w:rPr>
          <w:sz w:val="22"/>
        </w:rPr>
      </w:pPr>
      <w:r w:rsidRPr="00DE3D91">
        <w:rPr>
          <w:sz w:val="22"/>
        </w:rPr>
        <w:t>Valori</w:t>
      </w:r>
      <w:r w:rsidR="00367734" w:rsidRPr="00DE3D91">
        <w:rPr>
          <w:sz w:val="22"/>
        </w:rPr>
        <w:t>s</w:t>
      </w:r>
      <w:r w:rsidRPr="00DE3D91">
        <w:rPr>
          <w:sz w:val="22"/>
        </w:rPr>
        <w:t>ing agricultural waste presents an opportunity to enhance material productivity and service emerging regional markets</w:t>
      </w:r>
      <w:r w:rsidR="00E10936" w:rsidRPr="00DE3D91">
        <w:rPr>
          <w:sz w:val="22"/>
        </w:rPr>
        <w:t xml:space="preserve">. </w:t>
      </w:r>
      <w:r w:rsidR="008E647A" w:rsidRPr="00DE3D91">
        <w:rPr>
          <w:sz w:val="22"/>
        </w:rPr>
        <w:t xml:space="preserve">For example, </w:t>
      </w:r>
      <w:r w:rsidR="00A36A3D" w:rsidRPr="00DE3D91">
        <w:rPr>
          <w:sz w:val="22"/>
        </w:rPr>
        <w:t>a</w:t>
      </w:r>
      <w:r w:rsidR="008E647A" w:rsidRPr="00DE3D91">
        <w:rPr>
          <w:sz w:val="22"/>
        </w:rPr>
        <w:t>gricultural and forestry residues such as stalks, leaves, husks, woodchips and branches</w:t>
      </w:r>
      <w:r w:rsidR="004C09B3" w:rsidRPr="00DE3D91">
        <w:rPr>
          <w:sz w:val="22"/>
        </w:rPr>
        <w:t xml:space="preserve"> </w:t>
      </w:r>
      <w:r w:rsidR="008E647A" w:rsidRPr="00DE3D91">
        <w:rPr>
          <w:sz w:val="22"/>
        </w:rPr>
        <w:t>can be used as biofuel feedstocks, creating value from these previously low-value products.</w:t>
      </w:r>
      <w:r w:rsidR="00A36A3D" w:rsidRPr="00DE3D91">
        <w:rPr>
          <w:sz w:val="22"/>
        </w:rPr>
        <w:t xml:space="preserve"> D</w:t>
      </w:r>
      <w:r w:rsidR="00407DD2" w:rsidRPr="00DE3D91">
        <w:rPr>
          <w:sz w:val="22"/>
        </w:rPr>
        <w:t xml:space="preserve">evelopment of these biofuels could tap into a global sustainable aviation fuel market, which is projected to reach </w:t>
      </w:r>
      <w:r w:rsidR="00CF49B2" w:rsidRPr="00DE3D91">
        <w:rPr>
          <w:sz w:val="22"/>
        </w:rPr>
        <w:t>US</w:t>
      </w:r>
      <w:r w:rsidR="00407DD2" w:rsidRPr="00DE3D91">
        <w:rPr>
          <w:sz w:val="22"/>
        </w:rPr>
        <w:t>$</w:t>
      </w:r>
      <w:r w:rsidR="0081241A" w:rsidRPr="00DE3D91">
        <w:rPr>
          <w:sz w:val="22"/>
        </w:rPr>
        <w:t>2</w:t>
      </w:r>
      <w:r w:rsidR="00407DD2" w:rsidRPr="00DE3D91">
        <w:rPr>
          <w:sz w:val="22"/>
        </w:rPr>
        <w:t>5 billion by 2030, offering substantial economic and environmental benefits.</w:t>
      </w:r>
      <w:r w:rsidRPr="00DE3D91">
        <w:rPr>
          <w:rStyle w:val="EndnoteReference"/>
          <w:sz w:val="22"/>
        </w:rPr>
        <w:endnoteReference w:id="58"/>
      </w:r>
    </w:p>
    <w:p w14:paraId="1CC3DFCA" w14:textId="572FFDE0" w:rsidR="009C5C85" w:rsidRPr="00DE3D91" w:rsidRDefault="004F5354" w:rsidP="009C5C85">
      <w:pPr>
        <w:rPr>
          <w:sz w:val="22"/>
        </w:rPr>
      </w:pPr>
      <w:r w:rsidRPr="00DE3D91">
        <w:rPr>
          <w:sz w:val="22"/>
        </w:rPr>
        <w:t xml:space="preserve">Other </w:t>
      </w:r>
      <w:r w:rsidR="005276CC" w:rsidRPr="00DE3D91">
        <w:rPr>
          <w:sz w:val="22"/>
        </w:rPr>
        <w:t xml:space="preserve">relevant markets include alternative proteins and antioxidants. </w:t>
      </w:r>
      <w:r w:rsidRPr="00DE3D91">
        <w:rPr>
          <w:sz w:val="22"/>
        </w:rPr>
        <w:t>By 2035, alternative proteins are expected to make up 11 to 22% of the world’s protein market.</w:t>
      </w:r>
      <w:r w:rsidR="00975592" w:rsidRPr="00DE3D91">
        <w:rPr>
          <w:rStyle w:val="EndnoteReference"/>
          <w:sz w:val="22"/>
        </w:rPr>
        <w:endnoteReference w:id="59"/>
      </w:r>
      <w:r w:rsidRPr="00DE3D91">
        <w:rPr>
          <w:sz w:val="22"/>
        </w:rPr>
        <w:t xml:space="preserve"> Manufacturing techniques such as precision fermentation, which can use organic by-products as feedstock, are one avenue to service this demand. The insect protein market size is expected to grow from US$288.38 million in 2023 to US$348.97 million by 2028, at a CAGR of 3.89%. Insect technology creates biomass from agri-food waste and Australia ranks </w:t>
      </w:r>
      <w:r w:rsidR="009A78DD" w:rsidRPr="00DE3D91">
        <w:rPr>
          <w:sz w:val="22"/>
        </w:rPr>
        <w:t>fif</w:t>
      </w:r>
      <w:r w:rsidRPr="00DE3D91">
        <w:rPr>
          <w:sz w:val="22"/>
        </w:rPr>
        <w:t>th in the world for filing alternative protein patents.</w:t>
      </w:r>
    </w:p>
    <w:p w14:paraId="216D00A8" w14:textId="77777777" w:rsidR="009C5C85" w:rsidRPr="00DE3D91" w:rsidRDefault="004F5354" w:rsidP="009C5C85">
      <w:pPr>
        <w:rPr>
          <w:sz w:val="22"/>
        </w:rPr>
      </w:pPr>
      <w:r w:rsidRPr="00DE3D91">
        <w:rPr>
          <w:sz w:val="22"/>
        </w:rPr>
        <w:t xml:space="preserve">The antioxidant market is also projected to grow by 6.9%, reaching a US$7 </w:t>
      </w:r>
      <w:r w:rsidR="006B3873" w:rsidRPr="00DE3D91">
        <w:rPr>
          <w:sz w:val="22"/>
        </w:rPr>
        <w:t>billion</w:t>
      </w:r>
      <w:r w:rsidRPr="00DE3D91">
        <w:rPr>
          <w:sz w:val="22"/>
        </w:rPr>
        <w:t xml:space="preserve"> valuation by 2031, with the Asia-Pacific region being the primary market. Agri-food by-products, such as grape marc, can be processed to extract natural antioxidants.</w:t>
      </w:r>
    </w:p>
    <w:p w14:paraId="6DBEF050" w14:textId="77777777" w:rsidR="009C5C85" w:rsidRPr="00DE3D91" w:rsidRDefault="004F5354" w:rsidP="009C5C85">
      <w:pPr>
        <w:rPr>
          <w:sz w:val="22"/>
        </w:rPr>
      </w:pPr>
      <w:r w:rsidRPr="00DE3D91">
        <w:rPr>
          <w:sz w:val="22"/>
        </w:rPr>
        <w:t>Australia’s advantages in land availability and agricultural manufacturing innovation position us well to service these growing regional markets.</w:t>
      </w:r>
      <w:r w:rsidR="000C125D" w:rsidRPr="00DE3D91">
        <w:rPr>
          <w:sz w:val="22"/>
        </w:rPr>
        <w:t xml:space="preserve"> </w:t>
      </w:r>
      <w:r w:rsidRPr="00DE3D91">
        <w:rPr>
          <w:sz w:val="22"/>
        </w:rPr>
        <w:t xml:space="preserve">The Australian Government’s $15 </w:t>
      </w:r>
      <w:r w:rsidR="000C125D" w:rsidRPr="00DE3D91">
        <w:rPr>
          <w:sz w:val="22"/>
        </w:rPr>
        <w:t>billion</w:t>
      </w:r>
      <w:r w:rsidRPr="00DE3D91">
        <w:rPr>
          <w:sz w:val="22"/>
        </w:rPr>
        <w:t xml:space="preserve"> NRF will also provide finance for projects in priority areas that diversify and transform Australia’s industry and economy. Value-adding in agriculture, forestry and fisheries is a priority area identified for targeted investment through the NRF.</w:t>
      </w:r>
    </w:p>
    <w:p w14:paraId="5116319C" w14:textId="77777777" w:rsidR="00A06E33" w:rsidRPr="005F4D33" w:rsidRDefault="004F5354" w:rsidP="007B091E">
      <w:pPr>
        <w:pStyle w:val="Heading4"/>
      </w:pPr>
      <w:r w:rsidRPr="005F4D33">
        <w:t>Enablers</w:t>
      </w:r>
    </w:p>
    <w:p w14:paraId="5B7A13F3" w14:textId="77777777" w:rsidR="000F4C23" w:rsidRPr="00DE3D91" w:rsidRDefault="004F5354" w:rsidP="007B091E">
      <w:pPr>
        <w:pStyle w:val="Heading5"/>
        <w:rPr>
          <w:sz w:val="22"/>
          <w:lang w:eastAsia="en-AU"/>
        </w:rPr>
      </w:pPr>
      <w:r w:rsidRPr="00DE3D91">
        <w:rPr>
          <w:sz w:val="22"/>
          <w:lang w:eastAsia="en-AU"/>
        </w:rPr>
        <w:t>Shared</w:t>
      </w:r>
      <w:r w:rsidR="002A4368" w:rsidRPr="00DE3D91">
        <w:rPr>
          <w:sz w:val="22"/>
          <w:lang w:eastAsia="en-AU"/>
        </w:rPr>
        <w:t xml:space="preserve"> infrastructure, equipment, data and </w:t>
      </w:r>
      <w:r w:rsidR="00ED7775" w:rsidRPr="00DE3D91">
        <w:rPr>
          <w:sz w:val="22"/>
          <w:lang w:eastAsia="en-AU"/>
        </w:rPr>
        <w:t>resources</w:t>
      </w:r>
    </w:p>
    <w:p w14:paraId="755C28CA" w14:textId="77777777" w:rsidR="00370E29" w:rsidRPr="00DE3D91" w:rsidRDefault="004F5354" w:rsidP="00AB4418">
      <w:pPr>
        <w:rPr>
          <w:sz w:val="22"/>
          <w:lang w:eastAsia="en-AU"/>
        </w:rPr>
      </w:pPr>
      <w:r w:rsidRPr="00DE3D91">
        <w:rPr>
          <w:sz w:val="22"/>
          <w:lang w:eastAsia="en-AU"/>
        </w:rPr>
        <w:t xml:space="preserve">Around 80% of businesses in the </w:t>
      </w:r>
      <w:r w:rsidR="009E464E" w:rsidRPr="00DE3D91">
        <w:rPr>
          <w:sz w:val="22"/>
          <w:lang w:eastAsia="en-AU"/>
        </w:rPr>
        <w:t>agriculture</w:t>
      </w:r>
      <w:r w:rsidRPr="00DE3D91">
        <w:rPr>
          <w:sz w:val="22"/>
          <w:lang w:eastAsia="en-AU"/>
        </w:rPr>
        <w:t>, forestry and fishing sector are small to medium-sized enterprises</w:t>
      </w:r>
      <w:r w:rsidR="00550254" w:rsidRPr="00DE3D91">
        <w:rPr>
          <w:sz w:val="22"/>
          <w:lang w:eastAsia="en-AU"/>
        </w:rPr>
        <w:t>,</w:t>
      </w:r>
      <w:r w:rsidRPr="00DE3D91">
        <w:rPr>
          <w:sz w:val="22"/>
          <w:lang w:eastAsia="en-AU"/>
        </w:rPr>
        <w:t xml:space="preserve"> which can struggle</w:t>
      </w:r>
      <w:r w:rsidR="00EA59EB" w:rsidRPr="00DE3D91">
        <w:rPr>
          <w:sz w:val="22"/>
          <w:lang w:eastAsia="en-AU"/>
        </w:rPr>
        <w:t xml:space="preserve"> to justify capital expenditure on equipment</w:t>
      </w:r>
      <w:r w:rsidR="003F349C" w:rsidRPr="00DE3D91">
        <w:rPr>
          <w:sz w:val="22"/>
          <w:lang w:eastAsia="en-AU"/>
        </w:rPr>
        <w:t xml:space="preserve"> or infrastructure</w:t>
      </w:r>
      <w:r w:rsidR="00EA59EB" w:rsidRPr="00DE3D91">
        <w:rPr>
          <w:sz w:val="22"/>
          <w:lang w:eastAsia="en-AU"/>
        </w:rPr>
        <w:t xml:space="preserve"> that could significantly reduce waste and increase yield.</w:t>
      </w:r>
      <w:r w:rsidR="00550254" w:rsidRPr="00DE3D91">
        <w:rPr>
          <w:rStyle w:val="EndnoteReference"/>
          <w:sz w:val="22"/>
          <w:lang w:eastAsia="en-AU"/>
        </w:rPr>
        <w:t xml:space="preserve"> </w:t>
      </w:r>
      <w:r w:rsidRPr="00DE3D91">
        <w:rPr>
          <w:rStyle w:val="EndnoteReference"/>
          <w:sz w:val="22"/>
          <w:lang w:eastAsia="en-AU"/>
        </w:rPr>
        <w:endnoteReference w:id="60"/>
      </w:r>
    </w:p>
    <w:p w14:paraId="6B95D394" w14:textId="77777777" w:rsidR="000905C0" w:rsidRPr="00DE3D91" w:rsidRDefault="004F5354" w:rsidP="00AB4418">
      <w:pPr>
        <w:rPr>
          <w:sz w:val="22"/>
          <w:lang w:eastAsia="en-AU"/>
        </w:rPr>
      </w:pPr>
      <w:r w:rsidRPr="00DE3D91">
        <w:rPr>
          <w:sz w:val="22"/>
          <w:lang w:eastAsia="en-AU"/>
        </w:rPr>
        <w:lastRenderedPageBreak/>
        <w:t>P</w:t>
      </w:r>
      <w:r w:rsidR="00FD40A0" w:rsidRPr="00DE3D91">
        <w:rPr>
          <w:sz w:val="22"/>
          <w:lang w:eastAsia="en-AU"/>
        </w:rPr>
        <w:t xml:space="preserve">re-farm gate waste can be used to generate new revenue streams such as biofuels, </w:t>
      </w:r>
      <w:r w:rsidR="00AB108F" w:rsidRPr="00DE3D91">
        <w:rPr>
          <w:sz w:val="22"/>
          <w:lang w:eastAsia="en-AU"/>
        </w:rPr>
        <w:t>compost,</w:t>
      </w:r>
      <w:r w:rsidR="00FD40A0" w:rsidRPr="00DE3D91">
        <w:rPr>
          <w:sz w:val="22"/>
          <w:lang w:eastAsia="en-AU"/>
        </w:rPr>
        <w:t xml:space="preserve"> or animal feed</w:t>
      </w:r>
      <w:r w:rsidRPr="00DE3D91">
        <w:rPr>
          <w:sz w:val="22"/>
          <w:lang w:eastAsia="en-AU"/>
        </w:rPr>
        <w:t>,</w:t>
      </w:r>
      <w:r w:rsidR="00FD40A0" w:rsidRPr="00DE3D91">
        <w:rPr>
          <w:sz w:val="22"/>
          <w:lang w:eastAsia="en-AU"/>
        </w:rPr>
        <w:t xml:space="preserve"> but </w:t>
      </w:r>
      <w:r w:rsidR="000F660E" w:rsidRPr="00DE3D91">
        <w:rPr>
          <w:sz w:val="22"/>
          <w:lang w:eastAsia="en-AU"/>
        </w:rPr>
        <w:t xml:space="preserve">requires </w:t>
      </w:r>
      <w:r w:rsidRPr="00DE3D91">
        <w:rPr>
          <w:sz w:val="22"/>
          <w:lang w:eastAsia="en-AU"/>
        </w:rPr>
        <w:t>collection at scale</w:t>
      </w:r>
      <w:r w:rsidR="000F660E" w:rsidRPr="00DE3D91">
        <w:rPr>
          <w:sz w:val="22"/>
          <w:lang w:eastAsia="en-AU"/>
        </w:rPr>
        <w:t xml:space="preserve"> and significant processing infrastructure</w:t>
      </w:r>
      <w:r w:rsidRPr="00DE3D91">
        <w:rPr>
          <w:sz w:val="22"/>
          <w:lang w:eastAsia="en-AU"/>
        </w:rPr>
        <w:t xml:space="preserve"> that is not always accessible for small b</w:t>
      </w:r>
      <w:r w:rsidR="00AB108F" w:rsidRPr="00DE3D91">
        <w:rPr>
          <w:sz w:val="22"/>
          <w:lang w:eastAsia="en-AU"/>
        </w:rPr>
        <w:t>usinesses</w:t>
      </w:r>
      <w:r w:rsidR="000F660E" w:rsidRPr="00DE3D91">
        <w:rPr>
          <w:sz w:val="22"/>
          <w:lang w:eastAsia="en-AU"/>
        </w:rPr>
        <w:t>.</w:t>
      </w:r>
    </w:p>
    <w:p w14:paraId="6DE2BAE4" w14:textId="77777777" w:rsidR="001C2ABD" w:rsidRPr="00DE3D91" w:rsidRDefault="004F5354" w:rsidP="00AB4418">
      <w:pPr>
        <w:rPr>
          <w:sz w:val="22"/>
          <w:lang w:eastAsia="en-AU"/>
        </w:rPr>
      </w:pPr>
      <w:r w:rsidRPr="00DE3D91">
        <w:rPr>
          <w:sz w:val="22"/>
          <w:lang w:eastAsia="en-AU"/>
        </w:rPr>
        <w:t>Place-based hubs for circular economy activity, including shared equipment schemes and infrastructure</w:t>
      </w:r>
      <w:r w:rsidR="00386D39" w:rsidRPr="00DE3D91">
        <w:rPr>
          <w:sz w:val="22"/>
          <w:lang w:eastAsia="en-AU"/>
        </w:rPr>
        <w:t xml:space="preserve">, </w:t>
      </w:r>
      <w:r w:rsidR="00BB4DCB" w:rsidRPr="00DE3D91">
        <w:rPr>
          <w:sz w:val="22"/>
          <w:lang w:eastAsia="en-AU"/>
        </w:rPr>
        <w:t>can</w:t>
      </w:r>
      <w:r w:rsidR="00A26979" w:rsidRPr="00DE3D91">
        <w:rPr>
          <w:sz w:val="22"/>
          <w:lang w:eastAsia="en-AU"/>
        </w:rPr>
        <w:t xml:space="preserve"> </w:t>
      </w:r>
      <w:r w:rsidR="00386D39" w:rsidRPr="00DE3D91">
        <w:rPr>
          <w:sz w:val="22"/>
          <w:lang w:eastAsia="en-AU"/>
        </w:rPr>
        <w:t>unlock these opportunities</w:t>
      </w:r>
      <w:r w:rsidR="002F0448" w:rsidRPr="00DE3D91">
        <w:rPr>
          <w:sz w:val="22"/>
          <w:lang w:eastAsia="en-AU"/>
        </w:rPr>
        <w:t xml:space="preserve"> </w:t>
      </w:r>
      <w:r w:rsidR="00004775" w:rsidRPr="00DE3D91">
        <w:rPr>
          <w:sz w:val="22"/>
          <w:lang w:eastAsia="en-AU"/>
        </w:rPr>
        <w:t>close to where waste is generated</w:t>
      </w:r>
      <w:r w:rsidR="00AB108F" w:rsidRPr="00DE3D91">
        <w:rPr>
          <w:sz w:val="22"/>
          <w:lang w:eastAsia="en-AU"/>
        </w:rPr>
        <w:t>.</w:t>
      </w:r>
      <w:r w:rsidR="00EC48EF" w:rsidRPr="00DE3D91">
        <w:rPr>
          <w:sz w:val="22"/>
          <w:lang w:eastAsia="en-AU"/>
        </w:rPr>
        <w:t xml:space="preserve"> These initiatives help address the </w:t>
      </w:r>
      <w:r w:rsidR="00EC48EF" w:rsidRPr="00DE3D91">
        <w:rPr>
          <w:sz w:val="22"/>
        </w:rPr>
        <w:t>22% of Australia’s total food loss and waste comes from the primary production sector.</w:t>
      </w:r>
    </w:p>
    <w:p w14:paraId="2E28ACD9" w14:textId="77777777" w:rsidR="00EF6494" w:rsidRPr="00DE3D91" w:rsidRDefault="004F5354" w:rsidP="00AB4418">
      <w:pPr>
        <w:rPr>
          <w:sz w:val="22"/>
          <w:lang w:eastAsia="en-AU"/>
        </w:rPr>
      </w:pPr>
      <w:r w:rsidRPr="00DE3D91">
        <w:rPr>
          <w:sz w:val="22"/>
          <w:lang w:eastAsia="en-AU"/>
        </w:rPr>
        <w:t xml:space="preserve">Data tools and approaches to measure and track food waste generated </w:t>
      </w:r>
      <w:r w:rsidR="00BC2CEE" w:rsidRPr="00DE3D91">
        <w:rPr>
          <w:sz w:val="22"/>
          <w:lang w:eastAsia="en-AU"/>
        </w:rPr>
        <w:t xml:space="preserve">within the food system, </w:t>
      </w:r>
      <w:r w:rsidR="001A557E" w:rsidRPr="00DE3D91">
        <w:rPr>
          <w:sz w:val="22"/>
          <w:lang w:eastAsia="en-AU"/>
        </w:rPr>
        <w:t>especially</w:t>
      </w:r>
      <w:r w:rsidR="00BC2CEE" w:rsidRPr="00DE3D91">
        <w:rPr>
          <w:sz w:val="22"/>
          <w:lang w:eastAsia="en-AU"/>
        </w:rPr>
        <w:t xml:space="preserve"> </w:t>
      </w:r>
      <w:proofErr w:type="spellStart"/>
      <w:r w:rsidR="00BC2CEE" w:rsidRPr="00DE3D91">
        <w:rPr>
          <w:sz w:val="22"/>
          <w:lang w:eastAsia="en-AU"/>
        </w:rPr>
        <w:t>en</w:t>
      </w:r>
      <w:proofErr w:type="spellEnd"/>
      <w:r w:rsidR="00BC2CEE" w:rsidRPr="00DE3D91">
        <w:rPr>
          <w:sz w:val="22"/>
          <w:lang w:eastAsia="en-AU"/>
        </w:rPr>
        <w:t xml:space="preserve"> route to </w:t>
      </w:r>
      <w:r w:rsidR="000E671B" w:rsidRPr="00DE3D91">
        <w:rPr>
          <w:sz w:val="22"/>
          <w:lang w:eastAsia="en-AU"/>
        </w:rPr>
        <w:t>retailers</w:t>
      </w:r>
      <w:r w:rsidR="00BC2CEE" w:rsidRPr="00DE3D91">
        <w:rPr>
          <w:sz w:val="22"/>
          <w:lang w:eastAsia="en-AU"/>
        </w:rPr>
        <w:t xml:space="preserve">, </w:t>
      </w:r>
      <w:r w:rsidR="004E50BD" w:rsidRPr="00DE3D91">
        <w:rPr>
          <w:sz w:val="22"/>
          <w:lang w:eastAsia="en-AU"/>
        </w:rPr>
        <w:t>also</w:t>
      </w:r>
      <w:r w:rsidR="001A557E" w:rsidRPr="00DE3D91">
        <w:rPr>
          <w:sz w:val="22"/>
          <w:lang w:eastAsia="en-AU"/>
        </w:rPr>
        <w:t xml:space="preserve"> support a more transparent supply chain and </w:t>
      </w:r>
      <w:r w:rsidR="004E50BD" w:rsidRPr="00DE3D91">
        <w:rPr>
          <w:sz w:val="22"/>
          <w:lang w:eastAsia="en-AU"/>
        </w:rPr>
        <w:t xml:space="preserve">help </w:t>
      </w:r>
      <w:r w:rsidR="001A557E" w:rsidRPr="00DE3D91">
        <w:rPr>
          <w:sz w:val="22"/>
          <w:lang w:eastAsia="en-AU"/>
        </w:rPr>
        <w:t>identify circular economy opportunities.</w:t>
      </w:r>
      <w:r w:rsidR="00193F6E" w:rsidRPr="00DE3D91">
        <w:rPr>
          <w:sz w:val="22"/>
          <w:lang w:eastAsia="en-AU"/>
        </w:rPr>
        <w:t xml:space="preserve"> These tools also help measure and demonstrate success to investors.</w:t>
      </w:r>
    </w:p>
    <w:p w14:paraId="69304FEC" w14:textId="77777777" w:rsidR="008F6442" w:rsidRPr="00DE3D91" w:rsidRDefault="008F6442" w:rsidP="008F6442">
      <w:pPr>
        <w:pStyle w:val="Heading5"/>
        <w:rPr>
          <w:sz w:val="22"/>
        </w:rPr>
      </w:pPr>
      <w:r w:rsidRPr="00DE3D91">
        <w:rPr>
          <w:rStyle w:val="Heading5Char"/>
          <w:b/>
        </w:rPr>
        <w:t>Higher quality recycled organic</w:t>
      </w:r>
      <w:r w:rsidRPr="00DE3D91">
        <w:rPr>
          <w:sz w:val="22"/>
        </w:rPr>
        <w:t xml:space="preserve">s     </w:t>
      </w:r>
    </w:p>
    <w:p w14:paraId="7D77126F" w14:textId="77777777" w:rsidR="008F6442" w:rsidRPr="00DE3D91" w:rsidRDefault="008F6442" w:rsidP="008F6442">
      <w:pPr>
        <w:rPr>
          <w:sz w:val="22"/>
        </w:rPr>
      </w:pPr>
      <w:r w:rsidRPr="00DE3D91">
        <w:rPr>
          <w:sz w:val="22"/>
        </w:rPr>
        <w:t>Improving the quality of recycled organics requires that organic waste streams are free from contaminants, and are properly sorted and processed, and supports market development and confidence in these products. This can be achieved through better source separation practices, public education on proper disposal methods, and advanced processing technologies like composting and anaerobic digestion that enhance the nutrient content and safety of the recycled organics for use.</w:t>
      </w:r>
    </w:p>
    <w:p w14:paraId="5C0B1645" w14:textId="77777777" w:rsidR="008F6442" w:rsidRPr="00DE3D91" w:rsidRDefault="008F6442" w:rsidP="008F6442">
      <w:pPr>
        <w:pStyle w:val="Heading5"/>
        <w:rPr>
          <w:sz w:val="22"/>
        </w:rPr>
      </w:pPr>
      <w:r w:rsidRPr="00DE3D91">
        <w:rPr>
          <w:sz w:val="22"/>
        </w:rPr>
        <w:t>Cold-chain transport</w:t>
      </w:r>
    </w:p>
    <w:p w14:paraId="30624F47" w14:textId="77777777" w:rsidR="008F6442" w:rsidRPr="00DE3D91" w:rsidRDefault="008F6442" w:rsidP="008F6442">
      <w:pPr>
        <w:rPr>
          <w:sz w:val="22"/>
        </w:rPr>
      </w:pPr>
      <w:r w:rsidRPr="00DE3D91">
        <w:rPr>
          <w:sz w:val="22"/>
        </w:rPr>
        <w:t>Australia's agricultural exports depend heavily on efficient cold chain logistics, yet these systems often result in significant energy consumption and waste. Better adoption of technologies such as energy-efficient refrigeration, smart logistics management, and reusable packaging solutions help minimise environmental impact and operational costs and support the priority of reducing food waste. Integrating reverse logistics for packaging and pallets also enhance resource recovery and reduce waste.</w:t>
      </w:r>
    </w:p>
    <w:p w14:paraId="0D044BA0" w14:textId="6E3A3BC5" w:rsidR="00E03EB2" w:rsidRDefault="00E03EB2" w:rsidP="00E03EB2">
      <w:pPr>
        <w:pStyle w:val="Heading4"/>
      </w:pPr>
      <w:r>
        <w:t xml:space="preserve">Case Study: </w:t>
      </w:r>
      <w:r w:rsidRPr="00A26766">
        <w:t>Bega Circular Valley Initiative</w:t>
      </w:r>
    </w:p>
    <w:p w14:paraId="78D5FD02" w14:textId="77777777" w:rsidR="00E03EB2" w:rsidRPr="00E03EB2" w:rsidRDefault="00E03EB2" w:rsidP="00E03EB2">
      <w:pPr>
        <w:rPr>
          <w:sz w:val="22"/>
          <w:lang w:eastAsia="en-AU"/>
        </w:rPr>
      </w:pPr>
      <w:r w:rsidRPr="00E03EB2">
        <w:rPr>
          <w:sz w:val="22"/>
          <w:lang w:eastAsia="en-AU"/>
        </w:rPr>
        <w:t>The Bega Valley Shire in New South Wales is home to a pioneering place-based circular economy transition, particularly in its agricultural sector. Known for its dairy industry and diverse agricultural output, the region has embraced circular economy principles to enhance sustainability and economic resilience.</w:t>
      </w:r>
    </w:p>
    <w:p w14:paraId="4458254B" w14:textId="77777777" w:rsidR="00E03EB2" w:rsidRPr="00E03EB2" w:rsidRDefault="00E03EB2" w:rsidP="00E03EB2">
      <w:pPr>
        <w:rPr>
          <w:sz w:val="22"/>
          <w:lang w:eastAsia="en-AU"/>
        </w:rPr>
      </w:pPr>
      <w:r w:rsidRPr="00E03EB2">
        <w:rPr>
          <w:sz w:val="22"/>
          <w:lang w:eastAsia="en-AU"/>
        </w:rPr>
        <w:t>Farmers are central to this transition, actively engaging in practices that minimise waste and maximise resource efficiency. One key project is the integration of organic waste management systems on farms. Agricultural waste, such as manure and crop residues, is converted into valuable compost through advanced composting techniques. This compost is then used to enrich soil health, improving crop yields and reducing the need for chemical fertilisers.</w:t>
      </w:r>
    </w:p>
    <w:p w14:paraId="049B99EC" w14:textId="77777777" w:rsidR="00E03EB2" w:rsidRPr="00E03EB2" w:rsidRDefault="00E03EB2" w:rsidP="00E03EB2">
      <w:pPr>
        <w:rPr>
          <w:sz w:val="22"/>
          <w:lang w:eastAsia="en-AU"/>
        </w:rPr>
      </w:pPr>
      <w:r w:rsidRPr="00E03EB2">
        <w:rPr>
          <w:sz w:val="22"/>
          <w:lang w:eastAsia="en-AU"/>
        </w:rPr>
        <w:t>Water circularity is another crucial focus. Farmers have implemented rainwater harvesting systems and efficient irrigation technologies to reduce freshwater usage. Wastewater from dairy operations is treated and reused for irrigation, ensuring that water resources are conserved and sustainably managed.</w:t>
      </w:r>
    </w:p>
    <w:p w14:paraId="606CA6E2" w14:textId="77777777" w:rsidR="00E03EB2" w:rsidRPr="00E03EB2" w:rsidRDefault="00E03EB2" w:rsidP="00E03EB2">
      <w:pPr>
        <w:rPr>
          <w:sz w:val="22"/>
          <w:lang w:eastAsia="en-AU"/>
        </w:rPr>
      </w:pPr>
      <w:r w:rsidRPr="00E03EB2">
        <w:rPr>
          <w:sz w:val="22"/>
          <w:lang w:eastAsia="en-AU"/>
        </w:rPr>
        <w:t>Collaboration is a hallmark of Bega's approach to circularity. Farmers work closely with local councils, research institutions, and businesses to develop and implement innovative practices. For example, the Bega Circular Valley initiative brings together various stakeholders to create a circular economy hub, fostering knowledge exchange and supporting the adoption of circular practices across the region. The local Shire Council is a key partner in the initiative and plays a core role in showcasing businesses’ circular economy innovation to other prospective adopters.</w:t>
      </w:r>
    </w:p>
    <w:p w14:paraId="434B1620" w14:textId="77777777" w:rsidR="00E03EB2" w:rsidRPr="00E03EB2" w:rsidRDefault="00E03EB2" w:rsidP="00E03EB2">
      <w:pPr>
        <w:rPr>
          <w:sz w:val="22"/>
          <w:lang w:eastAsia="en-AU"/>
        </w:rPr>
      </w:pPr>
      <w:r w:rsidRPr="00E03EB2">
        <w:rPr>
          <w:sz w:val="22"/>
          <w:lang w:eastAsia="en-AU"/>
        </w:rPr>
        <w:t>Through these efforts, the initiative demonstrates how agricultural areas can successfully transition to a circular economy. By focusing on waste reduction, water efficiency, renewable energy, and collaborative efforts, Bega Circular Valley is setting a precedent for sustainable agriculture that can be replicated across Australia.</w:t>
      </w:r>
    </w:p>
    <w:p w14:paraId="443FEE99" w14:textId="77777777" w:rsidR="009D47C1" w:rsidRPr="007B091E" w:rsidRDefault="009D47C1" w:rsidP="009D47C1">
      <w:pPr>
        <w:pStyle w:val="Heading3"/>
      </w:pPr>
      <w:bookmarkStart w:id="43" w:name="_Toc184220098"/>
      <w:bookmarkStart w:id="44" w:name="_Toc156478682"/>
      <w:r w:rsidRPr="007B091E">
        <w:lastRenderedPageBreak/>
        <w:t>Resources</w:t>
      </w:r>
      <w:bookmarkEnd w:id="43"/>
    </w:p>
    <w:p w14:paraId="490C9479" w14:textId="23A0EF25" w:rsidR="000F4C23" w:rsidRPr="005F4D33" w:rsidRDefault="004F5354" w:rsidP="00792078">
      <w:pPr>
        <w:pStyle w:val="Heading4"/>
      </w:pPr>
      <w:r w:rsidRPr="005F4D33">
        <w:t>Rationale</w:t>
      </w:r>
    </w:p>
    <w:p w14:paraId="02A8BEAD" w14:textId="77777777" w:rsidR="002B2429" w:rsidRPr="00E03EB2" w:rsidRDefault="004F5354" w:rsidP="002B2429">
      <w:pPr>
        <w:rPr>
          <w:sz w:val="22"/>
        </w:rPr>
      </w:pPr>
      <w:r w:rsidRPr="00E03EB2">
        <w:rPr>
          <w:sz w:val="22"/>
        </w:rPr>
        <w:t>A circular economy approach can maximise the value of minerals, reduce energy demand, and lower the environmental footprint of the mining and resources industry, throughout the product value chain.</w:t>
      </w:r>
    </w:p>
    <w:p w14:paraId="1EA7A8B9" w14:textId="4B655210" w:rsidR="00263CCD" w:rsidRPr="00E03EB2" w:rsidRDefault="004F5354" w:rsidP="00263CCD">
      <w:pPr>
        <w:rPr>
          <w:sz w:val="22"/>
        </w:rPr>
      </w:pPr>
      <w:r w:rsidRPr="00E03EB2">
        <w:rPr>
          <w:sz w:val="22"/>
        </w:rPr>
        <w:t xml:space="preserve">Progress towards a circular economy is a priority within Australia’s </w:t>
      </w:r>
      <w:hyperlink r:id="rId26" w:history="1">
        <w:r w:rsidRPr="00E03EB2">
          <w:rPr>
            <w:rStyle w:val="Hyperlink"/>
            <w:iCs/>
            <w:color w:val="auto"/>
            <w:sz w:val="22"/>
          </w:rPr>
          <w:t>Critical Minerals Strategy 2023</w:t>
        </w:r>
        <w:r w:rsidR="005E5CE5" w:rsidRPr="00E03EB2">
          <w:rPr>
            <w:rStyle w:val="Hyperlink"/>
            <w:iCs/>
            <w:color w:val="auto"/>
            <w:sz w:val="22"/>
          </w:rPr>
          <w:t>–</w:t>
        </w:r>
        <w:r w:rsidRPr="00E03EB2">
          <w:rPr>
            <w:rStyle w:val="Hyperlink"/>
            <w:iCs/>
            <w:color w:val="auto"/>
            <w:sz w:val="22"/>
          </w:rPr>
          <w:t>2030</w:t>
        </w:r>
      </w:hyperlink>
      <w:r w:rsidR="006F2F77" w:rsidRPr="00E03EB2">
        <w:rPr>
          <w:iCs/>
          <w:sz w:val="22"/>
        </w:rPr>
        <w:t>. C</w:t>
      </w:r>
      <w:r w:rsidR="008728AD" w:rsidRPr="00E03EB2">
        <w:rPr>
          <w:sz w:val="22"/>
        </w:rPr>
        <w:t xml:space="preserve">ircular economy </w:t>
      </w:r>
      <w:r w:rsidR="005D6C3A" w:rsidRPr="00E03EB2">
        <w:rPr>
          <w:sz w:val="22"/>
        </w:rPr>
        <w:t xml:space="preserve">principles </w:t>
      </w:r>
      <w:r w:rsidR="003A60CE" w:rsidRPr="00E03EB2">
        <w:rPr>
          <w:sz w:val="22"/>
        </w:rPr>
        <w:t xml:space="preserve">are </w:t>
      </w:r>
      <w:r w:rsidR="00904809" w:rsidRPr="00E03EB2">
        <w:rPr>
          <w:sz w:val="22"/>
        </w:rPr>
        <w:t xml:space="preserve">also </w:t>
      </w:r>
      <w:r w:rsidR="003A60CE" w:rsidRPr="00E03EB2">
        <w:rPr>
          <w:sz w:val="22"/>
        </w:rPr>
        <w:t xml:space="preserve">embedded in </w:t>
      </w:r>
      <w:r w:rsidR="008B214A" w:rsidRPr="00E03EB2">
        <w:rPr>
          <w:sz w:val="22"/>
        </w:rPr>
        <w:t xml:space="preserve">the </w:t>
      </w:r>
      <w:r w:rsidR="00405575" w:rsidRPr="00E03EB2">
        <w:rPr>
          <w:sz w:val="22"/>
        </w:rPr>
        <w:t>g</w:t>
      </w:r>
      <w:r w:rsidR="00BC03C4" w:rsidRPr="00E03EB2">
        <w:rPr>
          <w:sz w:val="22"/>
        </w:rPr>
        <w:t>overnment policy priorities</w:t>
      </w:r>
      <w:r w:rsidR="00904809" w:rsidRPr="00E03EB2">
        <w:rPr>
          <w:sz w:val="22"/>
        </w:rPr>
        <w:t xml:space="preserve"> to which the </w:t>
      </w:r>
      <w:hyperlink r:id="rId27" w:history="1">
        <w:r w:rsidRPr="00E03EB2">
          <w:rPr>
            <w:rStyle w:val="Hyperlink"/>
            <w:color w:val="auto"/>
            <w:sz w:val="22"/>
          </w:rPr>
          <w:t>Northern Australia Infrastructure Facility</w:t>
        </w:r>
      </w:hyperlink>
      <w:r w:rsidR="00904809" w:rsidRPr="00E03EB2">
        <w:rPr>
          <w:sz w:val="22"/>
        </w:rPr>
        <w:t xml:space="preserve"> is expected to contribute through its Investment Mandate</w:t>
      </w:r>
      <w:r w:rsidRPr="00E03EB2">
        <w:rPr>
          <w:sz w:val="22"/>
        </w:rPr>
        <w:t>.</w:t>
      </w:r>
    </w:p>
    <w:p w14:paraId="21008BB1" w14:textId="5099EE9B" w:rsidR="00B034E3" w:rsidRPr="00E03EB2" w:rsidRDefault="004F5354" w:rsidP="00B034E3">
      <w:pPr>
        <w:rPr>
          <w:sz w:val="22"/>
        </w:rPr>
      </w:pPr>
      <w:r w:rsidRPr="00E03EB2">
        <w:rPr>
          <w:sz w:val="22"/>
        </w:rPr>
        <w:t xml:space="preserve">In parallel with the </w:t>
      </w:r>
      <w:r w:rsidR="006E3F6E" w:rsidRPr="00E03EB2">
        <w:rPr>
          <w:sz w:val="22"/>
        </w:rPr>
        <w:t xml:space="preserve">global </w:t>
      </w:r>
      <w:r w:rsidRPr="00E03EB2">
        <w:rPr>
          <w:sz w:val="22"/>
        </w:rPr>
        <w:t xml:space="preserve">net zero transition, major consuming economies (such as the US, the EU and China) are also turning their economies to circular ones. Through policies and investment these economies are looking to source minerals inputs through material reuse, repair or in-country recycling. These policies </w:t>
      </w:r>
      <w:r w:rsidR="00D96F68" w:rsidRPr="00E03EB2">
        <w:rPr>
          <w:sz w:val="22"/>
        </w:rPr>
        <w:t>will drive demand for secondary minerals</w:t>
      </w:r>
      <w:r w:rsidR="00387CB2" w:rsidRPr="00E03EB2">
        <w:rPr>
          <w:sz w:val="22"/>
        </w:rPr>
        <w:t>,</w:t>
      </w:r>
      <w:r w:rsidR="004649CB" w:rsidRPr="00E03EB2">
        <w:rPr>
          <w:sz w:val="22"/>
        </w:rPr>
        <w:t xml:space="preserve"> </w:t>
      </w:r>
      <w:r w:rsidR="001A1C88" w:rsidRPr="00E03EB2">
        <w:rPr>
          <w:sz w:val="22"/>
        </w:rPr>
        <w:t>presenting</w:t>
      </w:r>
      <w:r w:rsidR="00387CB2" w:rsidRPr="00E03EB2">
        <w:rPr>
          <w:sz w:val="22"/>
        </w:rPr>
        <w:t xml:space="preserve"> both an opportunity and challenge for </w:t>
      </w:r>
      <w:r w:rsidR="00291FDE" w:rsidRPr="00E03EB2">
        <w:rPr>
          <w:sz w:val="22"/>
        </w:rPr>
        <w:t xml:space="preserve">Australia’s resources </w:t>
      </w:r>
      <w:r w:rsidR="00387CB2" w:rsidRPr="00E03EB2">
        <w:rPr>
          <w:sz w:val="22"/>
        </w:rPr>
        <w:t>sector</w:t>
      </w:r>
      <w:r w:rsidR="00D96F68" w:rsidRPr="00E03EB2">
        <w:rPr>
          <w:sz w:val="22"/>
        </w:rPr>
        <w:t>.</w:t>
      </w:r>
    </w:p>
    <w:p w14:paraId="2CFBBE8C" w14:textId="77777777" w:rsidR="000F4C23" w:rsidRPr="00E03EB2" w:rsidRDefault="004F5354" w:rsidP="00261F73">
      <w:pPr>
        <w:rPr>
          <w:sz w:val="22"/>
        </w:rPr>
      </w:pPr>
      <w:r w:rsidRPr="00E03EB2">
        <w:rPr>
          <w:sz w:val="22"/>
        </w:rPr>
        <w:t xml:space="preserve">The </w:t>
      </w:r>
      <w:r w:rsidR="00BA2D9B" w:rsidRPr="00E03EB2">
        <w:rPr>
          <w:sz w:val="22"/>
        </w:rPr>
        <w:t xml:space="preserve">mining </w:t>
      </w:r>
      <w:r w:rsidRPr="00E03EB2">
        <w:rPr>
          <w:sz w:val="22"/>
        </w:rPr>
        <w:t xml:space="preserve">industry is a leading source of innovation in the Australian economy, with many technologies, products and services driving </w:t>
      </w:r>
      <w:r w:rsidR="00360BFD" w:rsidRPr="00E03EB2">
        <w:rPr>
          <w:sz w:val="22"/>
        </w:rPr>
        <w:t>resource</w:t>
      </w:r>
      <w:r w:rsidRPr="00E03EB2">
        <w:rPr>
          <w:sz w:val="22"/>
        </w:rPr>
        <w:t xml:space="preserve"> efficiency improvements</w:t>
      </w:r>
      <w:r w:rsidR="00A604B9" w:rsidRPr="00E03EB2">
        <w:rPr>
          <w:sz w:val="22"/>
        </w:rPr>
        <w:t>. These</w:t>
      </w:r>
      <w:r w:rsidRPr="00E03EB2">
        <w:rPr>
          <w:sz w:val="22"/>
        </w:rPr>
        <w:t xml:space="preserve"> </w:t>
      </w:r>
      <w:r w:rsidR="00A604B9" w:rsidRPr="00E03EB2">
        <w:rPr>
          <w:sz w:val="22"/>
        </w:rPr>
        <w:t>can</w:t>
      </w:r>
      <w:r w:rsidRPr="00E03EB2">
        <w:rPr>
          <w:sz w:val="22"/>
        </w:rPr>
        <w:t xml:space="preserve"> support the circular economy transition</w:t>
      </w:r>
      <w:r w:rsidR="00FC7C84" w:rsidRPr="00E03EB2">
        <w:rPr>
          <w:sz w:val="22"/>
        </w:rPr>
        <w:t xml:space="preserve"> </w:t>
      </w:r>
      <w:r w:rsidR="00A604B9" w:rsidRPr="00E03EB2">
        <w:rPr>
          <w:sz w:val="22"/>
        </w:rPr>
        <w:t>directly or</w:t>
      </w:r>
      <w:r w:rsidR="00FC7C84" w:rsidRPr="00E03EB2">
        <w:rPr>
          <w:sz w:val="22"/>
        </w:rPr>
        <w:t xml:space="preserve"> translate into other areas of the economy. </w:t>
      </w:r>
      <w:r w:rsidR="00BA2D9B" w:rsidRPr="00E03EB2">
        <w:rPr>
          <w:sz w:val="22"/>
        </w:rPr>
        <w:t>E</w:t>
      </w:r>
      <w:r w:rsidR="00CA1211" w:rsidRPr="00E03EB2">
        <w:rPr>
          <w:sz w:val="22"/>
        </w:rPr>
        <w:t xml:space="preserve">xtraction and processing </w:t>
      </w:r>
      <w:r w:rsidR="00BA2D9B" w:rsidRPr="00E03EB2">
        <w:rPr>
          <w:sz w:val="22"/>
        </w:rPr>
        <w:t xml:space="preserve">efficiency innovations </w:t>
      </w:r>
      <w:r w:rsidR="004F41B3" w:rsidRPr="00E03EB2">
        <w:rPr>
          <w:sz w:val="22"/>
        </w:rPr>
        <w:t xml:space="preserve">can be major drivers of </w:t>
      </w:r>
      <w:r w:rsidR="00173DE8" w:rsidRPr="00E03EB2">
        <w:rPr>
          <w:sz w:val="22"/>
        </w:rPr>
        <w:t>materials productivity and reducing Australia’s material footprint</w:t>
      </w:r>
      <w:r w:rsidR="00BA2D9B" w:rsidRPr="00E03EB2">
        <w:rPr>
          <w:sz w:val="22"/>
        </w:rPr>
        <w:t xml:space="preserve"> overall</w:t>
      </w:r>
      <w:r w:rsidR="00173DE8" w:rsidRPr="00E03EB2">
        <w:rPr>
          <w:sz w:val="22"/>
        </w:rPr>
        <w:t>.</w:t>
      </w:r>
    </w:p>
    <w:p w14:paraId="50C9D202" w14:textId="7BB5C6E3" w:rsidR="00F30610" w:rsidRPr="00E03EB2" w:rsidRDefault="004F5354" w:rsidP="00261F73">
      <w:pPr>
        <w:rPr>
          <w:sz w:val="22"/>
        </w:rPr>
      </w:pPr>
      <w:r w:rsidRPr="00E03EB2">
        <w:rPr>
          <w:sz w:val="22"/>
        </w:rPr>
        <w:t>Renewable energy</w:t>
      </w:r>
      <w:r w:rsidR="00361E02" w:rsidRPr="00E03EB2">
        <w:rPr>
          <w:sz w:val="22"/>
        </w:rPr>
        <w:t xml:space="preserve"> technologies are also being widely deployed in the Australian economy, as part of the net zero transition. </w:t>
      </w:r>
      <w:r w:rsidR="009B4C0C" w:rsidRPr="00E03EB2">
        <w:rPr>
          <w:sz w:val="22"/>
        </w:rPr>
        <w:t xml:space="preserve">As these technologies and products reach their end-of-life, Australia must be prepared to recover and </w:t>
      </w:r>
      <w:r w:rsidR="001C5DA3" w:rsidRPr="00E03EB2">
        <w:rPr>
          <w:sz w:val="22"/>
        </w:rPr>
        <w:t xml:space="preserve">reuse </w:t>
      </w:r>
      <w:r w:rsidRPr="00E03EB2">
        <w:rPr>
          <w:sz w:val="22"/>
        </w:rPr>
        <w:t>the</w:t>
      </w:r>
      <w:r w:rsidR="001C5DA3" w:rsidRPr="00E03EB2">
        <w:rPr>
          <w:sz w:val="22"/>
        </w:rPr>
        <w:t xml:space="preserve"> valuable materials</w:t>
      </w:r>
      <w:r w:rsidRPr="00E03EB2">
        <w:rPr>
          <w:sz w:val="22"/>
        </w:rPr>
        <w:t xml:space="preserve"> and minerals in these products</w:t>
      </w:r>
      <w:r w:rsidR="001C5DA3" w:rsidRPr="00E03EB2">
        <w:rPr>
          <w:sz w:val="22"/>
        </w:rPr>
        <w:t>.</w:t>
      </w:r>
    </w:p>
    <w:p w14:paraId="698A65B3" w14:textId="77777777" w:rsidR="000F4C23" w:rsidRPr="005F4D33" w:rsidRDefault="004F5354" w:rsidP="00792078">
      <w:pPr>
        <w:pStyle w:val="Heading4"/>
      </w:pPr>
      <w:r w:rsidRPr="005F4D33">
        <w:t>Priorities</w:t>
      </w:r>
    </w:p>
    <w:p w14:paraId="7D6C6F19" w14:textId="77777777" w:rsidR="00271820" w:rsidRPr="00E03EB2" w:rsidRDefault="004F5354" w:rsidP="00792078">
      <w:pPr>
        <w:pStyle w:val="Heading5"/>
        <w:rPr>
          <w:sz w:val="22"/>
        </w:rPr>
      </w:pPr>
      <w:r w:rsidRPr="00E03EB2">
        <w:rPr>
          <w:sz w:val="22"/>
        </w:rPr>
        <w:t>Minerals beneficiation</w:t>
      </w:r>
    </w:p>
    <w:p w14:paraId="43EF0193" w14:textId="77777777" w:rsidR="0043282F" w:rsidRPr="00E03EB2" w:rsidRDefault="004F5354" w:rsidP="0043282F">
      <w:pPr>
        <w:rPr>
          <w:sz w:val="22"/>
        </w:rPr>
      </w:pPr>
      <w:r w:rsidRPr="00E03EB2">
        <w:rPr>
          <w:sz w:val="22"/>
        </w:rPr>
        <w:t>Mining tailings and waste from mining projects represent an underutilised resource that can create new value in the industry without requiring new extraction activities. In 2018</w:t>
      </w:r>
      <w:r w:rsidRPr="00E03EB2">
        <w:rPr>
          <w:rFonts w:cstheme="minorHAnsi"/>
          <w:sz w:val="22"/>
        </w:rPr>
        <w:t>–</w:t>
      </w:r>
      <w:r w:rsidRPr="00E03EB2">
        <w:rPr>
          <w:sz w:val="22"/>
        </w:rPr>
        <w:t>19, mining waste was estimated at 620 Mt, more than 40 times the amount of municipal solid waste generated in Australia.</w:t>
      </w:r>
      <w:r w:rsidRPr="00E03EB2">
        <w:rPr>
          <w:sz w:val="22"/>
          <w:vertAlign w:val="superscript"/>
        </w:rPr>
        <w:endnoteReference w:id="61"/>
      </w:r>
      <w:r w:rsidRPr="00E03EB2">
        <w:rPr>
          <w:sz w:val="22"/>
        </w:rPr>
        <w:t xml:space="preserve"> The volume of tailings is expected to double in Australia by 2035, as the transition to renewable energy increases the demand for critical minerals.</w:t>
      </w:r>
      <w:r w:rsidRPr="00E03EB2">
        <w:rPr>
          <w:sz w:val="22"/>
          <w:vertAlign w:val="superscript"/>
        </w:rPr>
        <w:endnoteReference w:id="62"/>
      </w:r>
    </w:p>
    <w:p w14:paraId="431C4908" w14:textId="357FDFF4" w:rsidR="00271820" w:rsidRPr="00E03EB2" w:rsidRDefault="004F5354" w:rsidP="00271820">
      <w:pPr>
        <w:rPr>
          <w:sz w:val="22"/>
        </w:rPr>
      </w:pPr>
      <w:r w:rsidRPr="00E03EB2">
        <w:rPr>
          <w:sz w:val="22"/>
        </w:rPr>
        <w:t xml:space="preserve">Australia has the potential to leverage our competitive advantage in resource extraction and technology innovation to develop new methods and technologies to extract valuable minerals from wastes (such as mining tailings) and renewables technologies (such as batteries and solar </w:t>
      </w:r>
      <w:r w:rsidR="007E5DA6" w:rsidRPr="00E03EB2">
        <w:rPr>
          <w:sz w:val="22"/>
        </w:rPr>
        <w:t>photovoltaic</w:t>
      </w:r>
      <w:r w:rsidR="00C65B5C" w:rsidRPr="00E03EB2">
        <w:rPr>
          <w:sz w:val="22"/>
        </w:rPr>
        <w:t>s</w:t>
      </w:r>
      <w:r w:rsidRPr="00E03EB2">
        <w:rPr>
          <w:sz w:val="22"/>
        </w:rPr>
        <w:t>).</w:t>
      </w:r>
    </w:p>
    <w:p w14:paraId="2F2A8F93" w14:textId="21D58722" w:rsidR="00271820" w:rsidRPr="00E03EB2" w:rsidRDefault="004F5354" w:rsidP="00271820">
      <w:pPr>
        <w:rPr>
          <w:sz w:val="22"/>
        </w:rPr>
      </w:pPr>
      <w:r w:rsidRPr="00E03EB2">
        <w:rPr>
          <w:sz w:val="22"/>
        </w:rPr>
        <w:t>Australia has the largest penetration of rooftop solar in the world, with over 25% of homes with solar. The earliest installations are now reaching the end of life (20+ years) and are starting to be removed.</w:t>
      </w:r>
      <w:r w:rsidR="00F4114F" w:rsidRPr="00E03EB2">
        <w:rPr>
          <w:rStyle w:val="EndnoteReference"/>
          <w:sz w:val="22"/>
        </w:rPr>
        <w:endnoteReference w:id="63"/>
      </w:r>
      <w:r w:rsidRPr="00E03EB2">
        <w:rPr>
          <w:sz w:val="22"/>
        </w:rPr>
        <w:t xml:space="preserve"> This will establish a predictable supply of materials for testing innovative solutions and building markets around secondary industries. But technology solutions are required to effectively recover, reuse or recycle the resources in these goods.</w:t>
      </w:r>
    </w:p>
    <w:p w14:paraId="0ED2C1D0" w14:textId="50D02C42" w:rsidR="00271820" w:rsidRPr="00E03EB2" w:rsidRDefault="004F5354" w:rsidP="00271820">
      <w:pPr>
        <w:rPr>
          <w:sz w:val="22"/>
        </w:rPr>
      </w:pPr>
      <w:r w:rsidRPr="00E03EB2">
        <w:rPr>
          <w:sz w:val="22"/>
        </w:rPr>
        <w:t>The Australian Government has committed to develop a regulated product stewardship scheme to reduce waste from solar photovoltaic systems.</w:t>
      </w:r>
    </w:p>
    <w:p w14:paraId="46620002" w14:textId="77777777" w:rsidR="00CB023F" w:rsidRPr="00E03EB2" w:rsidRDefault="004F5354" w:rsidP="00792078">
      <w:pPr>
        <w:pStyle w:val="Heading5"/>
        <w:rPr>
          <w:sz w:val="22"/>
        </w:rPr>
      </w:pPr>
      <w:r w:rsidRPr="00E03EB2">
        <w:rPr>
          <w:sz w:val="22"/>
        </w:rPr>
        <w:t>Co-</w:t>
      </w:r>
      <w:r w:rsidRPr="00E03EB2">
        <w:rPr>
          <w:bCs/>
          <w:sz w:val="22"/>
        </w:rPr>
        <w:t>extraction</w:t>
      </w:r>
      <w:r w:rsidRPr="00E03EB2">
        <w:rPr>
          <w:sz w:val="22"/>
        </w:rPr>
        <w:t xml:space="preserve"> and resource sharing through precincts</w:t>
      </w:r>
    </w:p>
    <w:p w14:paraId="38A73673" w14:textId="77777777" w:rsidR="00CB023F" w:rsidRPr="00E03EB2" w:rsidRDefault="004F5354" w:rsidP="00CB023F">
      <w:pPr>
        <w:rPr>
          <w:sz w:val="22"/>
        </w:rPr>
      </w:pPr>
      <w:r w:rsidRPr="00E03EB2">
        <w:rPr>
          <w:sz w:val="22"/>
        </w:rPr>
        <w:t>Mineral co-extraction at Australian facilities represents a significant opportunity to improve resource efficiency and productivity, by extracting multiple minerals from the same ore or material.</w:t>
      </w:r>
      <w:r w:rsidR="002E1E69" w:rsidRPr="00E03EB2">
        <w:rPr>
          <w:sz w:val="22"/>
        </w:rPr>
        <w:t xml:space="preserve"> </w:t>
      </w:r>
      <w:r w:rsidRPr="00E03EB2">
        <w:rPr>
          <w:sz w:val="22"/>
        </w:rPr>
        <w:t>Partnerships between larger mining enterprises focussed on primary extraction, and small and medium sized enterprises who can operate side industries for secondary co-extraction, are a critical enabler of these opportunities.</w:t>
      </w:r>
    </w:p>
    <w:p w14:paraId="01E0BEEF" w14:textId="69C0F4C0" w:rsidR="00CB023F" w:rsidRPr="00E03EB2" w:rsidRDefault="004F5354" w:rsidP="00CB023F">
      <w:pPr>
        <w:rPr>
          <w:sz w:val="22"/>
        </w:rPr>
      </w:pPr>
      <w:r w:rsidRPr="00E03EB2">
        <w:rPr>
          <w:sz w:val="22"/>
        </w:rPr>
        <w:lastRenderedPageBreak/>
        <w:t xml:space="preserve">Co-extraction viability depends on industries reallocating funds, usually set aside for facility upgrades and maintenance, towards extracting secondary minerals that </w:t>
      </w:r>
      <w:r w:rsidR="000662DF" w:rsidRPr="00E03EB2">
        <w:rPr>
          <w:sz w:val="22"/>
        </w:rPr>
        <w:t>are not</w:t>
      </w:r>
      <w:r w:rsidRPr="00E03EB2">
        <w:rPr>
          <w:sz w:val="22"/>
        </w:rPr>
        <w:t xml:space="preserve"> their main source of income. ESG settings </w:t>
      </w:r>
      <w:r w:rsidR="00744DA9" w:rsidRPr="00E03EB2">
        <w:rPr>
          <w:sz w:val="22"/>
        </w:rPr>
        <w:t xml:space="preserve">and risk-sharing </w:t>
      </w:r>
      <w:r w:rsidRPr="00E03EB2">
        <w:rPr>
          <w:sz w:val="22"/>
        </w:rPr>
        <w:t xml:space="preserve">bear significant influence on </w:t>
      </w:r>
      <w:r w:rsidR="007A19F9" w:rsidRPr="00E03EB2">
        <w:rPr>
          <w:sz w:val="22"/>
        </w:rPr>
        <w:t xml:space="preserve">these </w:t>
      </w:r>
      <w:r w:rsidRPr="00E03EB2">
        <w:rPr>
          <w:sz w:val="22"/>
        </w:rPr>
        <w:t>business decisions.</w:t>
      </w:r>
    </w:p>
    <w:p w14:paraId="2609928B" w14:textId="77777777" w:rsidR="00CB023F" w:rsidRPr="00E03EB2" w:rsidRDefault="004F5354" w:rsidP="00CB023F">
      <w:pPr>
        <w:rPr>
          <w:sz w:val="22"/>
        </w:rPr>
      </w:pPr>
      <w:r w:rsidRPr="00E03EB2">
        <w:rPr>
          <w:sz w:val="22"/>
        </w:rPr>
        <w:t xml:space="preserve">Australia is anticipating an increase in its minerals processing capabilities to support the global transition to net zero. Embedding circular economy principles in the design and operation of minerals </w:t>
      </w:r>
      <w:r w:rsidR="00744DA9" w:rsidRPr="00E03EB2">
        <w:rPr>
          <w:sz w:val="22"/>
        </w:rPr>
        <w:t xml:space="preserve">processing </w:t>
      </w:r>
      <w:r w:rsidRPr="00E03EB2">
        <w:rPr>
          <w:sz w:val="22"/>
        </w:rPr>
        <w:t>hubs can maximise value and minimise waste in these precincts.</w:t>
      </w:r>
    </w:p>
    <w:p w14:paraId="5847AF6B" w14:textId="77777777" w:rsidR="00CB023F" w:rsidRPr="00E03EB2" w:rsidRDefault="004F5354" w:rsidP="00792078">
      <w:pPr>
        <w:pStyle w:val="Heading5"/>
        <w:rPr>
          <w:sz w:val="22"/>
        </w:rPr>
      </w:pPr>
      <w:r w:rsidRPr="00E03EB2">
        <w:rPr>
          <w:sz w:val="22"/>
        </w:rPr>
        <w:t xml:space="preserve">Second-use of mineral-containing products </w:t>
      </w:r>
    </w:p>
    <w:p w14:paraId="5121934E" w14:textId="77777777" w:rsidR="00CC2B13" w:rsidRPr="00E03EB2" w:rsidRDefault="004F5354" w:rsidP="00CB023F">
      <w:pPr>
        <w:rPr>
          <w:sz w:val="22"/>
          <w:lang w:eastAsia="ja-JP"/>
        </w:rPr>
      </w:pPr>
      <w:r w:rsidRPr="00E03EB2">
        <w:rPr>
          <w:sz w:val="22"/>
        </w:rPr>
        <w:t>Second-use provides alternate pathways to extend the life of products, without requiring complete recycling and re-manufacturing</w:t>
      </w:r>
      <w:r w:rsidRPr="00E03EB2">
        <w:rPr>
          <w:sz w:val="22"/>
          <w:lang w:eastAsia="ja-JP"/>
        </w:rPr>
        <w:t>. This can include practices like redeploying EV batteries for stationary household energy storage.</w:t>
      </w:r>
    </w:p>
    <w:p w14:paraId="101D05B5" w14:textId="77777777" w:rsidR="00CB023F" w:rsidRPr="00E03EB2" w:rsidRDefault="004F5354" w:rsidP="00CB023F">
      <w:pPr>
        <w:rPr>
          <w:sz w:val="22"/>
        </w:rPr>
      </w:pPr>
      <w:r w:rsidRPr="00E03EB2">
        <w:rPr>
          <w:sz w:val="22"/>
        </w:rPr>
        <w:t>Research from the University of Technology Sydney suggests that 30,000 tonnes of EV batteries will reach their end-of-life in Australia by as soon as 2030. This is forecast to increase to 360,000 tonnes by 2040, and 1.6 million tonnes by 2050.</w:t>
      </w:r>
    </w:p>
    <w:p w14:paraId="4470B996" w14:textId="77777777" w:rsidR="00CB023F" w:rsidRPr="00E03EB2" w:rsidRDefault="004F5354" w:rsidP="00CB023F">
      <w:pPr>
        <w:rPr>
          <w:sz w:val="22"/>
        </w:rPr>
      </w:pPr>
      <w:r w:rsidRPr="00E03EB2">
        <w:rPr>
          <w:sz w:val="22"/>
        </w:rPr>
        <w:t>International precedent shows that standards and regulations for consumer safety of second-life goods are key to building consumer confidence in these products and scaling second-use.</w:t>
      </w:r>
      <w:r w:rsidRPr="00E03EB2">
        <w:rPr>
          <w:sz w:val="22"/>
          <w:vertAlign w:val="superscript"/>
        </w:rPr>
        <w:endnoteReference w:id="64"/>
      </w:r>
    </w:p>
    <w:p w14:paraId="2299C479" w14:textId="77777777" w:rsidR="00F230BB" w:rsidRPr="005F4D33" w:rsidRDefault="00F230BB" w:rsidP="00F230BB">
      <w:pPr>
        <w:pStyle w:val="Heading4"/>
      </w:pPr>
      <w:r w:rsidRPr="005F4D33">
        <w:t>Enablers</w:t>
      </w:r>
    </w:p>
    <w:p w14:paraId="00132C94" w14:textId="77777777" w:rsidR="00F230BB" w:rsidRPr="00E03EB2" w:rsidRDefault="00F230BB" w:rsidP="00F230BB">
      <w:pPr>
        <w:pStyle w:val="Heading5"/>
        <w:rPr>
          <w:sz w:val="22"/>
        </w:rPr>
      </w:pPr>
      <w:r w:rsidRPr="00E03EB2">
        <w:rPr>
          <w:sz w:val="22"/>
        </w:rPr>
        <w:t>ESG frameworks and standards</w:t>
      </w:r>
    </w:p>
    <w:p w14:paraId="7AA1DC57" w14:textId="77777777" w:rsidR="00F230BB" w:rsidRPr="00E03EB2" w:rsidRDefault="00F230BB" w:rsidP="00F230BB">
      <w:pPr>
        <w:rPr>
          <w:sz w:val="22"/>
        </w:rPr>
      </w:pPr>
      <w:r w:rsidRPr="00E03EB2">
        <w:rPr>
          <w:sz w:val="22"/>
          <w:lang w:eastAsia="ja-JP"/>
        </w:rPr>
        <w:t>ESG frameworks and international standards that incorporate and recognise circular economy principles and actions provide an important enabling condition to support further industry investment in innovation. While these frameworks increasingly highlight sustainability, there remains an opportunity to more explicitly consider circularity within ESG criteria.</w:t>
      </w:r>
    </w:p>
    <w:p w14:paraId="2E8EE6C0" w14:textId="77777777" w:rsidR="00F230BB" w:rsidRPr="00E03EB2" w:rsidRDefault="00F230BB" w:rsidP="00F230BB">
      <w:pPr>
        <w:pStyle w:val="Heading5"/>
        <w:rPr>
          <w:sz w:val="22"/>
        </w:rPr>
      </w:pPr>
      <w:r w:rsidRPr="00E03EB2">
        <w:rPr>
          <w:sz w:val="22"/>
        </w:rPr>
        <w:t>Pre-competitive information on re-extraction opportunities</w:t>
      </w:r>
    </w:p>
    <w:p w14:paraId="3B371FA7" w14:textId="77777777" w:rsidR="00F230BB" w:rsidRPr="00E03EB2" w:rsidRDefault="00F230BB" w:rsidP="00F230BB">
      <w:pPr>
        <w:rPr>
          <w:sz w:val="22"/>
        </w:rPr>
      </w:pPr>
      <w:r w:rsidRPr="00E03EB2">
        <w:rPr>
          <w:sz w:val="22"/>
        </w:rPr>
        <w:t>Geoscience Australia’s Atlas of Mine Waste identifies 1,050 possible sites where critical minerals could be extracted from the waste of existing projects, including mine tailings, waste rock, smelter residues and related mine waste materials.</w:t>
      </w:r>
      <w:r w:rsidRPr="00E03EB2">
        <w:rPr>
          <w:rStyle w:val="EndnoteReference"/>
          <w:sz w:val="22"/>
        </w:rPr>
        <w:endnoteReference w:id="65"/>
      </w:r>
    </w:p>
    <w:p w14:paraId="338C7840" w14:textId="164711F2" w:rsidR="009326E1" w:rsidRDefault="00F230BB" w:rsidP="00F230BB">
      <w:pPr>
        <w:rPr>
          <w:sz w:val="22"/>
        </w:rPr>
      </w:pPr>
      <w:r w:rsidRPr="00E03EB2">
        <w:rPr>
          <w:sz w:val="22"/>
        </w:rPr>
        <w:t>Precompetitive information on the profile of waste stockpiles helps reveal the economic viability of re-extraction opportunities, as the value of latent minerals change, and technology improves</w:t>
      </w:r>
      <w:r w:rsidR="00E03EB2">
        <w:rPr>
          <w:sz w:val="22"/>
        </w:rPr>
        <w:t>.</w:t>
      </w:r>
    </w:p>
    <w:p w14:paraId="365D2412" w14:textId="07508034" w:rsidR="00E03EB2" w:rsidRDefault="00E03EB2" w:rsidP="00E03EB2">
      <w:pPr>
        <w:pStyle w:val="Heading4"/>
      </w:pPr>
      <w:r>
        <w:t xml:space="preserve">Case study: </w:t>
      </w:r>
      <w:r w:rsidRPr="002674DF">
        <w:t>Yarwun Alumina Refinery</w:t>
      </w:r>
    </w:p>
    <w:p w14:paraId="2E3D94D7" w14:textId="77777777" w:rsidR="00E03EB2" w:rsidRPr="00E03EB2" w:rsidRDefault="00E03EB2" w:rsidP="00E03EB2">
      <w:pPr>
        <w:spacing w:after="0"/>
        <w:rPr>
          <w:rFonts w:eastAsia="Times New Roman" w:cstheme="minorHAnsi"/>
          <w:color w:val="000000"/>
          <w:sz w:val="22"/>
          <w:lang w:val="en-US" w:eastAsia="en-AU"/>
        </w:rPr>
      </w:pPr>
      <w:r w:rsidRPr="00E03EB2">
        <w:rPr>
          <w:rFonts w:eastAsia="Times New Roman" w:cstheme="minorHAnsi"/>
          <w:color w:val="000000"/>
          <w:sz w:val="22"/>
          <w:lang w:val="en-US" w:eastAsia="en-AU"/>
        </w:rPr>
        <w:t xml:space="preserve">The </w:t>
      </w:r>
      <w:proofErr w:type="spellStart"/>
      <w:r w:rsidRPr="00E03EB2">
        <w:rPr>
          <w:rFonts w:eastAsia="Times New Roman" w:cstheme="minorHAnsi"/>
          <w:color w:val="000000"/>
          <w:sz w:val="22"/>
          <w:lang w:val="en-US" w:eastAsia="en-AU"/>
        </w:rPr>
        <w:t>Yarwun</w:t>
      </w:r>
      <w:proofErr w:type="spellEnd"/>
      <w:r w:rsidRPr="00E03EB2">
        <w:rPr>
          <w:rFonts w:eastAsia="Times New Roman" w:cstheme="minorHAnsi"/>
          <w:color w:val="000000"/>
          <w:sz w:val="22"/>
          <w:lang w:val="en-US" w:eastAsia="en-AU"/>
        </w:rPr>
        <w:t xml:space="preserve"> Alumina Refinery, operated by Rio Tinto in Gladstone, Queensland, is making significant strides towards integrating circular economy principles within its operations. This refinery is not only a key player in Australia's alumina production but also in finding innovative solutions to manage industrial by-products and enhance resource efficiency.</w:t>
      </w:r>
    </w:p>
    <w:p w14:paraId="0B83CED4" w14:textId="77777777" w:rsidR="00E03EB2" w:rsidRPr="00E03EB2" w:rsidRDefault="00E03EB2" w:rsidP="00E03EB2">
      <w:pPr>
        <w:spacing w:after="0"/>
        <w:rPr>
          <w:rFonts w:eastAsia="Times New Roman" w:cstheme="minorHAnsi"/>
          <w:color w:val="000000"/>
          <w:sz w:val="22"/>
          <w:lang w:eastAsia="en-AU"/>
        </w:rPr>
      </w:pPr>
    </w:p>
    <w:p w14:paraId="5AA262DF" w14:textId="77777777" w:rsidR="00E03EB2" w:rsidRPr="00E03EB2" w:rsidRDefault="00E03EB2" w:rsidP="00E03EB2">
      <w:pPr>
        <w:spacing w:after="0"/>
        <w:rPr>
          <w:rFonts w:eastAsia="Times New Roman" w:cstheme="minorHAnsi"/>
          <w:color w:val="000000"/>
          <w:sz w:val="22"/>
          <w:lang w:eastAsia="en-AU"/>
        </w:rPr>
      </w:pPr>
      <w:r w:rsidRPr="00E03EB2">
        <w:rPr>
          <w:rFonts w:eastAsia="Times New Roman" w:cstheme="minorHAnsi"/>
          <w:color w:val="000000"/>
          <w:sz w:val="22"/>
          <w:lang w:eastAsia="en-AU"/>
        </w:rPr>
        <w:t xml:space="preserve">A major focus of the Yarwun refinery’s circular economy efforts is the management and valorisation of bauxite residue, a by-product from the production of alumina and </w:t>
      </w:r>
      <w:r w:rsidRPr="00E03EB2">
        <w:rPr>
          <w:rFonts w:eastAsia="Times New Roman" w:cstheme="minorHAnsi"/>
          <w:color w:val="000000"/>
          <w:sz w:val="22"/>
          <w:lang w:val="en-US" w:eastAsia="en-AU"/>
        </w:rPr>
        <w:t>commonly known as tailings</w:t>
      </w:r>
      <w:r w:rsidRPr="00E03EB2">
        <w:rPr>
          <w:rFonts w:eastAsia="Times New Roman" w:cstheme="minorHAnsi"/>
          <w:color w:val="000000"/>
          <w:sz w:val="22"/>
          <w:lang w:eastAsia="en-AU"/>
        </w:rPr>
        <w:t>. Traditionally considered waste, this by-product is now being viewed as valuable resources. The refinery has identified pathways that use the characteristics of bauxite residue, significantly reducing the need to store large volumes and environmental impact.</w:t>
      </w:r>
    </w:p>
    <w:p w14:paraId="22B7E645" w14:textId="77777777" w:rsidR="00E03EB2" w:rsidRPr="00E03EB2" w:rsidRDefault="00E03EB2" w:rsidP="00E03EB2">
      <w:pPr>
        <w:spacing w:after="0"/>
        <w:rPr>
          <w:rFonts w:eastAsia="Times New Roman" w:cstheme="minorHAnsi"/>
          <w:color w:val="000000"/>
          <w:sz w:val="22"/>
          <w:lang w:eastAsia="en-AU"/>
        </w:rPr>
      </w:pPr>
    </w:p>
    <w:p w14:paraId="0409B611" w14:textId="77777777" w:rsidR="00E03EB2" w:rsidRPr="00E03EB2" w:rsidRDefault="00E03EB2" w:rsidP="00E03EB2">
      <w:pPr>
        <w:spacing w:after="0"/>
        <w:rPr>
          <w:rFonts w:eastAsia="Times New Roman" w:cstheme="minorHAnsi"/>
          <w:color w:val="000000"/>
          <w:sz w:val="22"/>
          <w:lang w:eastAsia="en-AU"/>
        </w:rPr>
      </w:pPr>
      <w:r w:rsidRPr="00E03EB2">
        <w:rPr>
          <w:rFonts w:eastAsia="Times New Roman" w:cstheme="minorHAnsi"/>
          <w:color w:val="000000"/>
          <w:sz w:val="22"/>
          <w:lang w:eastAsia="en-AU"/>
        </w:rPr>
        <w:t>Technologies to recover common and critical materials exist and are in development to produce common commodity materials as well as rare earth elements. These critical materials can be used in various high-tech applications including semiconductors, solar panels and telecommunications.</w:t>
      </w:r>
    </w:p>
    <w:p w14:paraId="039A6B38" w14:textId="77777777" w:rsidR="00E03EB2" w:rsidRPr="00E03EB2" w:rsidRDefault="00E03EB2" w:rsidP="00E03EB2">
      <w:pPr>
        <w:spacing w:after="0"/>
        <w:rPr>
          <w:rFonts w:eastAsia="Times New Roman" w:cstheme="minorHAnsi"/>
          <w:color w:val="000000"/>
          <w:sz w:val="22"/>
          <w:lang w:eastAsia="en-AU"/>
        </w:rPr>
      </w:pPr>
    </w:p>
    <w:p w14:paraId="560FE9EE" w14:textId="77777777" w:rsidR="00E03EB2" w:rsidRPr="00E03EB2" w:rsidRDefault="00E03EB2" w:rsidP="00E03EB2">
      <w:pPr>
        <w:rPr>
          <w:rFonts w:eastAsia="Times New Roman" w:cstheme="minorHAnsi"/>
          <w:color w:val="000000"/>
          <w:sz w:val="22"/>
          <w:lang w:eastAsia="en-AU"/>
        </w:rPr>
      </w:pPr>
      <w:r w:rsidRPr="00E03EB2">
        <w:rPr>
          <w:rFonts w:eastAsia="Times New Roman" w:cstheme="minorHAnsi"/>
          <w:color w:val="000000"/>
          <w:sz w:val="22"/>
          <w:lang w:eastAsia="en-AU"/>
        </w:rPr>
        <w:t>The refinery’s pathway for by-product management also includes the use in construction materials and soil rehabilitation projects. By converting bauxite residue into building products or soil amendments, the refinery further reduces waste and creates circular loops within the industrial and construction sectors.</w:t>
      </w:r>
    </w:p>
    <w:p w14:paraId="3B8E3E35" w14:textId="77777777" w:rsidR="00E03EB2" w:rsidRPr="00E03EB2" w:rsidRDefault="00E03EB2" w:rsidP="00E03EB2">
      <w:pPr>
        <w:rPr>
          <w:rFonts w:cstheme="minorHAnsi"/>
          <w:sz w:val="22"/>
          <w:lang w:eastAsia="en-AU"/>
        </w:rPr>
      </w:pPr>
      <w:r w:rsidRPr="00E03EB2">
        <w:rPr>
          <w:rFonts w:eastAsia="Times New Roman" w:cstheme="minorHAnsi"/>
          <w:color w:val="000000"/>
          <w:sz w:val="22"/>
          <w:lang w:val="en-US" w:eastAsia="en-AU"/>
        </w:rPr>
        <w:lastRenderedPageBreak/>
        <w:t>These initiatives are supported by collaborative efforts with research institutions and industry partners, ensuring that the latest technological advancements and best practices are applied. This collaborative approach not only enhances the refinery's operational efficiency but also promotes knowledge-sharing and innovation within the broader industrial sector.</w:t>
      </w:r>
    </w:p>
    <w:p w14:paraId="1A316012" w14:textId="4338A1FB" w:rsidR="00E03EB2" w:rsidRPr="001131B7" w:rsidRDefault="00E03EB2" w:rsidP="00E03EB2">
      <w:pPr>
        <w:pStyle w:val="Heading4"/>
      </w:pPr>
      <w:r>
        <w:t xml:space="preserve">Case Study: </w:t>
      </w:r>
      <w:r w:rsidRPr="001131B7">
        <w:t>Heritage Minerals</w:t>
      </w:r>
    </w:p>
    <w:p w14:paraId="5EF7A768" w14:textId="77777777" w:rsidR="00E03EB2" w:rsidRPr="00E03EB2" w:rsidRDefault="00E03EB2" w:rsidP="00E03EB2">
      <w:pPr>
        <w:rPr>
          <w:rFonts w:ascii="Calibri" w:hAnsi="Calibri" w:cs="Calibri"/>
          <w:sz w:val="22"/>
        </w:rPr>
      </w:pPr>
      <w:r w:rsidRPr="00E03EB2">
        <w:rPr>
          <w:rFonts w:ascii="Calibri" w:hAnsi="Calibri" w:cs="Calibri"/>
          <w:sz w:val="22"/>
        </w:rPr>
        <w:t>Heritage Minerals is advancing sustainable resource management through its Mount Morgan Tailings Processing and Rehabilitation program, with owner equity combined with financing from the Northern Australia Infrastructure Facility and grant funding from the Queensland Government.</w:t>
      </w:r>
    </w:p>
    <w:p w14:paraId="5DDE251C" w14:textId="77777777" w:rsidR="00E03EB2" w:rsidRPr="00E03EB2" w:rsidRDefault="00E03EB2" w:rsidP="00E03EB2">
      <w:pPr>
        <w:rPr>
          <w:rFonts w:ascii="Calibri" w:hAnsi="Calibri" w:cs="Calibri"/>
          <w:sz w:val="22"/>
        </w:rPr>
      </w:pPr>
      <w:r w:rsidRPr="00E03EB2">
        <w:rPr>
          <w:rFonts w:ascii="Calibri" w:hAnsi="Calibri" w:cs="Calibri"/>
          <w:sz w:val="22"/>
        </w:rPr>
        <w:t xml:space="preserve">At its peak in the early 1900s, Mount Morgan was once the largest gold mine in the world, and has yielded approximately 262 metric tons of gold, 37 metric tons of silver and 387,000 metric tons of copper over its lifespan. Heritage Minerals is applying a technology from partner firm, </w:t>
      </w:r>
      <w:proofErr w:type="spellStart"/>
      <w:r w:rsidRPr="00E03EB2">
        <w:rPr>
          <w:rFonts w:ascii="Calibri" w:hAnsi="Calibri" w:cs="Calibri"/>
          <w:sz w:val="22"/>
        </w:rPr>
        <w:t>GreenGold</w:t>
      </w:r>
      <w:proofErr w:type="spellEnd"/>
      <w:r w:rsidRPr="00E03EB2">
        <w:rPr>
          <w:rFonts w:ascii="Calibri" w:hAnsi="Calibri" w:cs="Calibri"/>
          <w:sz w:val="22"/>
        </w:rPr>
        <w:t xml:space="preserve"> Technology, renowned for its expertise in processing gold tailings found in abandoned mines. This project aims to revitalise Mount Morgan by constructing a state-of-the-art tailings processing plant and supporting infrastructure to extract valuable minerals from historic mine waste.</w:t>
      </w:r>
    </w:p>
    <w:p w14:paraId="2E428554" w14:textId="77777777" w:rsidR="00E03EB2" w:rsidRPr="00E03EB2" w:rsidRDefault="00E03EB2" w:rsidP="00E03EB2">
      <w:pPr>
        <w:rPr>
          <w:rFonts w:ascii="Calibri" w:hAnsi="Calibri" w:cs="Calibri"/>
          <w:sz w:val="22"/>
        </w:rPr>
      </w:pPr>
      <w:r w:rsidRPr="00E03EB2">
        <w:rPr>
          <w:rFonts w:ascii="Calibri" w:hAnsi="Calibri" w:cs="Calibri"/>
          <w:sz w:val="22"/>
        </w:rPr>
        <w:t>Heritage Minerals is working closely with the local community, Indigenous businesses, and state and local governments to commission the project which aims to rehabilitate land at the same time as mining it. By recovering gold, copper, and pyrite from the tailings, the project reduces environmental hazards while generating economic value from previously untapped resources. The process not only recycles waste materials but also rehabilitates the land, reducing the environmental legacy of past mining activities.</w:t>
      </w:r>
    </w:p>
    <w:p w14:paraId="4901BF68" w14:textId="77777777" w:rsidR="00E03EB2" w:rsidRPr="00E03EB2" w:rsidRDefault="00E03EB2" w:rsidP="00E03EB2">
      <w:pPr>
        <w:rPr>
          <w:rFonts w:ascii="Calibri" w:hAnsi="Calibri" w:cs="Calibri"/>
          <w:sz w:val="22"/>
        </w:rPr>
      </w:pPr>
      <w:r w:rsidRPr="00E03EB2">
        <w:rPr>
          <w:rFonts w:ascii="Calibri" w:hAnsi="Calibri" w:cs="Calibri"/>
          <w:sz w:val="22"/>
        </w:rPr>
        <w:t>Driven by modern technology, infrastructure and partnerships, the program demonstrates how old mining sites can be transformed into new economic opportunities, aligning with Australia's circular economy goals while supporting regional jobs and sustainable development.</w:t>
      </w:r>
    </w:p>
    <w:p w14:paraId="3E2B3F4D" w14:textId="2EF6B0A2" w:rsidR="00BA65AD" w:rsidRDefault="00BA65AD">
      <w:pPr>
        <w:spacing w:after="0"/>
        <w:rPr>
          <w:sz w:val="14"/>
          <w:szCs w:val="18"/>
        </w:rPr>
      </w:pPr>
      <w:r>
        <w:rPr>
          <w:sz w:val="14"/>
          <w:szCs w:val="18"/>
        </w:rPr>
        <w:br w:type="page"/>
      </w:r>
    </w:p>
    <w:p w14:paraId="1C2831D6" w14:textId="77777777" w:rsidR="000F4C23" w:rsidRPr="005F4D33" w:rsidRDefault="004F5354" w:rsidP="001131B7">
      <w:pPr>
        <w:pStyle w:val="Heading2"/>
        <w:rPr>
          <w:color w:val="auto"/>
        </w:rPr>
      </w:pPr>
      <w:bookmarkStart w:id="45" w:name="_Toc184220099"/>
      <w:bookmarkEnd w:id="44"/>
      <w:r w:rsidRPr="005F4D33">
        <w:rPr>
          <w:color w:val="auto"/>
        </w:rPr>
        <w:lastRenderedPageBreak/>
        <w:t xml:space="preserve">Australia’s cross-cutting </w:t>
      </w:r>
      <w:r w:rsidR="00F502A2" w:rsidRPr="005F4D33">
        <w:rPr>
          <w:color w:val="auto"/>
        </w:rPr>
        <w:t>objectives</w:t>
      </w:r>
      <w:bookmarkEnd w:id="45"/>
    </w:p>
    <w:p w14:paraId="4D0C8F72" w14:textId="77777777" w:rsidR="000F4C23" w:rsidRPr="00E03EB2" w:rsidRDefault="004F5354" w:rsidP="0078778F">
      <w:pPr>
        <w:rPr>
          <w:sz w:val="22"/>
        </w:rPr>
      </w:pPr>
      <w:r w:rsidRPr="00E03EB2">
        <w:rPr>
          <w:sz w:val="22"/>
        </w:rPr>
        <w:t xml:space="preserve">Success in any one </w:t>
      </w:r>
      <w:r w:rsidR="00577EC9" w:rsidRPr="00E03EB2">
        <w:rPr>
          <w:sz w:val="22"/>
        </w:rPr>
        <w:t xml:space="preserve">of the above </w:t>
      </w:r>
      <w:r w:rsidRPr="00E03EB2">
        <w:rPr>
          <w:sz w:val="22"/>
        </w:rPr>
        <w:t>priority area</w:t>
      </w:r>
      <w:r w:rsidR="00577EC9" w:rsidRPr="00E03EB2">
        <w:rPr>
          <w:sz w:val="22"/>
        </w:rPr>
        <w:t>s</w:t>
      </w:r>
      <w:r w:rsidRPr="00E03EB2">
        <w:rPr>
          <w:sz w:val="22"/>
        </w:rPr>
        <w:t xml:space="preserve"> will depend on </w:t>
      </w:r>
      <w:r w:rsidR="008924C0" w:rsidRPr="00E03EB2">
        <w:rPr>
          <w:sz w:val="22"/>
        </w:rPr>
        <w:t xml:space="preserve">the following </w:t>
      </w:r>
      <w:r w:rsidRPr="00E03EB2">
        <w:rPr>
          <w:sz w:val="22"/>
        </w:rPr>
        <w:t xml:space="preserve">cross-cutting </w:t>
      </w:r>
      <w:r w:rsidR="00F502A2" w:rsidRPr="00E03EB2">
        <w:rPr>
          <w:sz w:val="22"/>
        </w:rPr>
        <w:t>objectives</w:t>
      </w:r>
      <w:r w:rsidRPr="00E03EB2">
        <w:rPr>
          <w:sz w:val="22"/>
        </w:rPr>
        <w:t>.</w:t>
      </w:r>
      <w:bookmarkStart w:id="46" w:name="_Toc156478683"/>
    </w:p>
    <w:p w14:paraId="75E7E4CC" w14:textId="77777777" w:rsidR="008924C0" w:rsidRPr="005F4D33" w:rsidRDefault="004F5354" w:rsidP="008924C0">
      <w:pPr>
        <w:pStyle w:val="Heading3"/>
        <w:rPr>
          <w:color w:val="auto"/>
          <w:sz w:val="28"/>
          <w:szCs w:val="20"/>
        </w:rPr>
      </w:pPr>
      <w:bookmarkStart w:id="47" w:name="_Toc184220100"/>
      <w:r w:rsidRPr="005F4D33">
        <w:rPr>
          <w:color w:val="auto"/>
          <w:sz w:val="28"/>
          <w:szCs w:val="20"/>
        </w:rPr>
        <w:t>Innovation</w:t>
      </w:r>
      <w:bookmarkEnd w:id="47"/>
    </w:p>
    <w:p w14:paraId="5C4164E3" w14:textId="77777777" w:rsidR="00506676" w:rsidRPr="00E03EB2" w:rsidRDefault="004F5354" w:rsidP="00D502AC">
      <w:pPr>
        <w:rPr>
          <w:sz w:val="22"/>
        </w:rPr>
      </w:pPr>
      <w:r w:rsidRPr="00E03EB2">
        <w:rPr>
          <w:sz w:val="22"/>
        </w:rPr>
        <w:t>Australian science is</w:t>
      </w:r>
      <w:r w:rsidR="00F82ABE" w:rsidRPr="00E03EB2">
        <w:rPr>
          <w:sz w:val="22"/>
        </w:rPr>
        <w:t xml:space="preserve"> in the</w:t>
      </w:r>
      <w:r w:rsidRPr="00E03EB2">
        <w:rPr>
          <w:sz w:val="22"/>
        </w:rPr>
        <w:t xml:space="preserve"> global top 10, but we lag in innovation – turning our science into economic benefit. Innovation works best when there is a clear market vision to target</w:t>
      </w:r>
      <w:r w:rsidR="00F82ABE" w:rsidRPr="00E03EB2">
        <w:rPr>
          <w:sz w:val="22"/>
        </w:rPr>
        <w:t>, which</w:t>
      </w:r>
      <w:r w:rsidRPr="00E03EB2">
        <w:rPr>
          <w:sz w:val="22"/>
        </w:rPr>
        <w:t xml:space="preserve"> drives collaboration</w:t>
      </w:r>
      <w:r w:rsidR="00F82ABE" w:rsidRPr="00E03EB2">
        <w:rPr>
          <w:sz w:val="22"/>
        </w:rPr>
        <w:t>. T</w:t>
      </w:r>
      <w:r w:rsidRPr="00E03EB2">
        <w:rPr>
          <w:sz w:val="22"/>
        </w:rPr>
        <w:t xml:space="preserve">his </w:t>
      </w:r>
      <w:r w:rsidR="00F82ABE" w:rsidRPr="00E03EB2">
        <w:rPr>
          <w:sz w:val="22"/>
        </w:rPr>
        <w:t>framework provides</w:t>
      </w:r>
      <w:r w:rsidRPr="00E03EB2">
        <w:rPr>
          <w:sz w:val="22"/>
        </w:rPr>
        <w:t xml:space="preserve"> that </w:t>
      </w:r>
      <w:r w:rsidR="00F82ABE" w:rsidRPr="00E03EB2">
        <w:rPr>
          <w:sz w:val="22"/>
        </w:rPr>
        <w:t>clarity</w:t>
      </w:r>
      <w:r w:rsidRPr="00E03EB2">
        <w:rPr>
          <w:sz w:val="22"/>
        </w:rPr>
        <w:t xml:space="preserve"> </w:t>
      </w:r>
      <w:r w:rsidR="00F82ABE" w:rsidRPr="00E03EB2">
        <w:rPr>
          <w:sz w:val="22"/>
        </w:rPr>
        <w:t>by establishing a</w:t>
      </w:r>
      <w:r w:rsidRPr="00E03EB2">
        <w:rPr>
          <w:sz w:val="22"/>
        </w:rPr>
        <w:t xml:space="preserve"> National Mission for </w:t>
      </w:r>
      <w:r w:rsidR="0010522F" w:rsidRPr="00E03EB2">
        <w:rPr>
          <w:sz w:val="22"/>
        </w:rPr>
        <w:t>c</w:t>
      </w:r>
      <w:r w:rsidRPr="00E03EB2">
        <w:rPr>
          <w:sz w:val="22"/>
        </w:rPr>
        <w:t>ircularity.</w:t>
      </w:r>
    </w:p>
    <w:p w14:paraId="53C83F31" w14:textId="77777777" w:rsidR="000A028F" w:rsidRPr="00E03EB2" w:rsidRDefault="004F5354" w:rsidP="00D502AC">
      <w:pPr>
        <w:rPr>
          <w:sz w:val="22"/>
        </w:rPr>
      </w:pPr>
      <w:r w:rsidRPr="00E03EB2">
        <w:rPr>
          <w:sz w:val="22"/>
        </w:rPr>
        <w:t xml:space="preserve">Innovation will drive the development of disruptive technologies, business models, and processes that make circular practices practical and profitable. Competitive Australian innovation </w:t>
      </w:r>
      <w:r w:rsidR="00506676" w:rsidRPr="00E03EB2">
        <w:rPr>
          <w:sz w:val="22"/>
        </w:rPr>
        <w:t>requires</w:t>
      </w:r>
      <w:r w:rsidRPr="00E03EB2">
        <w:rPr>
          <w:sz w:val="22"/>
        </w:rPr>
        <w:t xml:space="preserve"> aligning research efforts and investment with policy settings and market opportunities.</w:t>
      </w:r>
    </w:p>
    <w:p w14:paraId="442D15C4" w14:textId="6CB82C73" w:rsidR="000A028F" w:rsidRPr="00E03EB2" w:rsidRDefault="004F5354" w:rsidP="00D502AC">
      <w:pPr>
        <w:rPr>
          <w:b/>
          <w:bCs/>
          <w:sz w:val="22"/>
        </w:rPr>
      </w:pPr>
      <w:r w:rsidRPr="00E03EB2">
        <w:rPr>
          <w:sz w:val="22"/>
        </w:rPr>
        <w:t>To support circular economy innovators and transition from pilot projects to mainstream deployment, financial support and public-private partnerships are essential. In addition to setting clear priorities, investors and businesses need information on the scale and economic viability of opportunities.</w:t>
      </w:r>
      <w:r w:rsidR="00EF5C6C" w:rsidRPr="00E03EB2">
        <w:rPr>
          <w:sz w:val="22"/>
        </w:rPr>
        <w:t xml:space="preserve"> This is not information businesses can obtain unilaterally.</w:t>
      </w:r>
      <w:r w:rsidRPr="00E03EB2">
        <w:rPr>
          <w:sz w:val="22"/>
        </w:rPr>
        <w:t xml:space="preserve"> Mapping supply chains to identify the locations, volumes, and types of materials available for recycling or reprocessing, and their proximity to infrastructure and </w:t>
      </w:r>
      <w:r w:rsidR="00912E07" w:rsidRPr="00E03EB2">
        <w:rPr>
          <w:sz w:val="22"/>
        </w:rPr>
        <w:t>research and development (R&amp;D)</w:t>
      </w:r>
      <w:r w:rsidRPr="00E03EB2">
        <w:rPr>
          <w:sz w:val="22"/>
        </w:rPr>
        <w:t xml:space="preserve"> hubs, is a crucial enabler.</w:t>
      </w:r>
    </w:p>
    <w:p w14:paraId="10A8C750" w14:textId="1298FD9E" w:rsidR="006B0E46" w:rsidRPr="00E03EB2" w:rsidRDefault="004F5354" w:rsidP="006B0E46">
      <w:pPr>
        <w:rPr>
          <w:sz w:val="22"/>
        </w:rPr>
      </w:pPr>
      <w:r w:rsidRPr="00E03EB2">
        <w:rPr>
          <w:sz w:val="22"/>
        </w:rPr>
        <w:t xml:space="preserve">Business-to-business </w:t>
      </w:r>
      <w:r w:rsidR="00912E07" w:rsidRPr="00E03EB2">
        <w:rPr>
          <w:sz w:val="22"/>
        </w:rPr>
        <w:t xml:space="preserve">(B2B) </w:t>
      </w:r>
      <w:r w:rsidRPr="00E03EB2">
        <w:rPr>
          <w:sz w:val="22"/>
        </w:rPr>
        <w:t>collaboration is essential for the circular economy. However, only 12% of Australian businesses collaborate for innovation. This underscores the need for collaboration-focussed support in Australia’s circular economy transition. Competition settings play a key role in enabling companies to collaborate effectively, without compromising market fairness.</w:t>
      </w:r>
    </w:p>
    <w:p w14:paraId="35F30A00" w14:textId="77777777" w:rsidR="006B0E46" w:rsidRPr="00E03EB2" w:rsidRDefault="004F5354" w:rsidP="006B0E46">
      <w:pPr>
        <w:rPr>
          <w:sz w:val="22"/>
        </w:rPr>
      </w:pPr>
      <w:r w:rsidRPr="00E03EB2">
        <w:rPr>
          <w:rFonts w:cstheme="minorHAnsi"/>
          <w:sz w:val="22"/>
        </w:rPr>
        <w:t>Facility-sharing is another important enabler of cooperative innovation, with only 9% of Australian businesses collaboration activities involve sharing facilities. S</w:t>
      </w:r>
      <w:r w:rsidRPr="00E03EB2">
        <w:rPr>
          <w:sz w:val="22"/>
        </w:rPr>
        <w:t>hared infrastructure supports the development and production of innovative technologies by providing access to facilities that are otherwise too expensive for small and medium-sized companies to develop and/or access on their own.</w:t>
      </w:r>
    </w:p>
    <w:p w14:paraId="47D375D8" w14:textId="77777777" w:rsidR="004B0A8A" w:rsidRPr="005F4D33" w:rsidRDefault="004F5354" w:rsidP="000A028F">
      <w:pPr>
        <w:pStyle w:val="Heading3"/>
        <w:rPr>
          <w:color w:val="auto"/>
          <w:sz w:val="28"/>
          <w:szCs w:val="20"/>
        </w:rPr>
      </w:pPr>
      <w:bookmarkStart w:id="48" w:name="_Toc184220101"/>
      <w:r w:rsidRPr="005F4D33">
        <w:rPr>
          <w:color w:val="auto"/>
          <w:sz w:val="28"/>
          <w:szCs w:val="20"/>
        </w:rPr>
        <w:t>Market development and investment</w:t>
      </w:r>
      <w:bookmarkEnd w:id="48"/>
    </w:p>
    <w:p w14:paraId="165CC320" w14:textId="77777777" w:rsidR="004B0A8A" w:rsidRPr="00E03EB2" w:rsidRDefault="004F5354" w:rsidP="004B0A8A">
      <w:pPr>
        <w:rPr>
          <w:sz w:val="22"/>
        </w:rPr>
      </w:pPr>
      <w:r w:rsidRPr="00E03EB2">
        <w:rPr>
          <w:sz w:val="22"/>
        </w:rPr>
        <w:t>Effective markets provide the economic settings necessary to incentivise, scale, and sustain the circular economy transition. Active markets for circular goods and services are an essential first ‘domino’ for catalysing a</w:t>
      </w:r>
      <w:r w:rsidR="00757AA7" w:rsidRPr="00E03EB2">
        <w:rPr>
          <w:sz w:val="22"/>
        </w:rPr>
        <w:t xml:space="preserve"> </w:t>
      </w:r>
      <w:r w:rsidRPr="00E03EB2">
        <w:rPr>
          <w:sz w:val="22"/>
        </w:rPr>
        <w:t>whole-of-economy transition.</w:t>
      </w:r>
      <w:r w:rsidR="00757AA7" w:rsidRPr="00E03EB2">
        <w:rPr>
          <w:sz w:val="22"/>
        </w:rPr>
        <w:t xml:space="preserve"> </w:t>
      </w:r>
      <w:r w:rsidRPr="00E03EB2">
        <w:rPr>
          <w:sz w:val="22"/>
        </w:rPr>
        <w:t xml:space="preserve">Markets determine investor and business certainty in the value of changing practices </w:t>
      </w:r>
      <w:r w:rsidRPr="00E03EB2">
        <w:rPr>
          <w:rFonts w:cstheme="minorHAnsi"/>
          <w:sz w:val="22"/>
        </w:rPr>
        <w:t>–</w:t>
      </w:r>
      <w:r w:rsidRPr="00E03EB2">
        <w:rPr>
          <w:sz w:val="22"/>
        </w:rPr>
        <w:t xml:space="preserve"> justifying capital outlay for new infrastructure and increasing demand for circular economy thinking and skills.</w:t>
      </w:r>
    </w:p>
    <w:p w14:paraId="7FB66C6D" w14:textId="77777777" w:rsidR="003A0442" w:rsidRPr="00E03EB2" w:rsidRDefault="004F5354" w:rsidP="003A0442">
      <w:pPr>
        <w:rPr>
          <w:sz w:val="22"/>
        </w:rPr>
      </w:pPr>
      <w:r w:rsidRPr="00E03EB2">
        <w:rPr>
          <w:sz w:val="22"/>
        </w:rPr>
        <w:t xml:space="preserve">Demand for circular </w:t>
      </w:r>
      <w:r w:rsidR="007040F1" w:rsidRPr="00E03EB2">
        <w:rPr>
          <w:sz w:val="22"/>
        </w:rPr>
        <w:t>goods</w:t>
      </w:r>
      <w:r w:rsidRPr="00E03EB2">
        <w:rPr>
          <w:sz w:val="22"/>
        </w:rPr>
        <w:t xml:space="preserve"> and services can be delivered through clear market signals, such as policy </w:t>
      </w:r>
      <w:r w:rsidR="00F2347B" w:rsidRPr="00E03EB2">
        <w:rPr>
          <w:sz w:val="22"/>
        </w:rPr>
        <w:t xml:space="preserve">targets </w:t>
      </w:r>
      <w:r w:rsidRPr="00E03EB2">
        <w:rPr>
          <w:sz w:val="22"/>
        </w:rPr>
        <w:t xml:space="preserve">and </w:t>
      </w:r>
      <w:r w:rsidR="00F2347B" w:rsidRPr="00E03EB2">
        <w:rPr>
          <w:sz w:val="22"/>
        </w:rPr>
        <w:t>regulation</w:t>
      </w:r>
      <w:r w:rsidRPr="00E03EB2">
        <w:rPr>
          <w:sz w:val="22"/>
        </w:rPr>
        <w:t xml:space="preserve">, and prices that reflect the true environmental costs of goods and services. Demand can also be driven through government and business procurement power, particularly </w:t>
      </w:r>
      <w:r w:rsidR="009D032D" w:rsidRPr="00E03EB2">
        <w:rPr>
          <w:sz w:val="22"/>
        </w:rPr>
        <w:t>b</w:t>
      </w:r>
      <w:r w:rsidRPr="00E03EB2">
        <w:rPr>
          <w:sz w:val="22"/>
        </w:rPr>
        <w:t>usiness-to-business procurements. Strong business leadership is important to balancing price-driven procurements towards sustainable and circular decisions.</w:t>
      </w:r>
    </w:p>
    <w:p w14:paraId="146A8E95" w14:textId="77777777" w:rsidR="004B0A8A" w:rsidRPr="00E03EB2" w:rsidRDefault="004F5354" w:rsidP="004B0A8A">
      <w:pPr>
        <w:rPr>
          <w:sz w:val="22"/>
        </w:rPr>
      </w:pPr>
      <w:r w:rsidRPr="00E03EB2">
        <w:rPr>
          <w:sz w:val="22"/>
        </w:rPr>
        <w:t>Marketplaces for circular goods and services play a crucial role in facilitating the exchange of circular goods and services. These platforms connect suppliers with buyers, streamline transactions, and enhance transparency, while building demand for circular products.</w:t>
      </w:r>
    </w:p>
    <w:p w14:paraId="56EC9CB4" w14:textId="77777777" w:rsidR="00C1186F" w:rsidRPr="005F4D33" w:rsidRDefault="004F5354" w:rsidP="00C1186F">
      <w:pPr>
        <w:pStyle w:val="Heading3"/>
        <w:rPr>
          <w:color w:val="auto"/>
          <w:sz w:val="28"/>
          <w:szCs w:val="20"/>
        </w:rPr>
      </w:pPr>
      <w:bookmarkStart w:id="49" w:name="_Toc184220102"/>
      <w:r w:rsidRPr="005F4D33">
        <w:rPr>
          <w:color w:val="auto"/>
          <w:sz w:val="28"/>
          <w:szCs w:val="20"/>
        </w:rPr>
        <w:t>Advanced resource recovery and recycling</w:t>
      </w:r>
      <w:bookmarkEnd w:id="49"/>
    </w:p>
    <w:p w14:paraId="4E449688" w14:textId="77777777" w:rsidR="00C1186F" w:rsidRPr="00E03EB2" w:rsidRDefault="004F5354" w:rsidP="00C1186F">
      <w:pPr>
        <w:rPr>
          <w:sz w:val="22"/>
        </w:rPr>
      </w:pPr>
      <w:r w:rsidRPr="00E03EB2">
        <w:rPr>
          <w:sz w:val="22"/>
        </w:rPr>
        <w:t>Better resource recovery and recycling are fundamental to enabling the circular economy transition across all sectors of the Australian economy.</w:t>
      </w:r>
    </w:p>
    <w:p w14:paraId="384FC3E3" w14:textId="77777777" w:rsidR="00C1186F" w:rsidRPr="00E03EB2" w:rsidRDefault="004F5354" w:rsidP="00C1186F">
      <w:pPr>
        <w:rPr>
          <w:sz w:val="22"/>
        </w:rPr>
      </w:pPr>
      <w:r w:rsidRPr="00E03EB2">
        <w:rPr>
          <w:sz w:val="22"/>
        </w:rPr>
        <w:t>Australia’s resource recovery and recycling industry is undergoing considerable transformation, driven by global market pressures, evolving consumer preferences, and an increasing focus on reducing the carbon footprint.</w:t>
      </w:r>
      <w:r w:rsidRPr="00E03EB2">
        <w:rPr>
          <w:rStyle w:val="EndnoteReference"/>
          <w:sz w:val="22"/>
        </w:rPr>
        <w:endnoteReference w:id="66"/>
      </w:r>
    </w:p>
    <w:p w14:paraId="671AA531" w14:textId="77777777" w:rsidR="00C1186F" w:rsidRPr="00E03EB2" w:rsidRDefault="004F5354" w:rsidP="00C1186F">
      <w:pPr>
        <w:rPr>
          <w:sz w:val="22"/>
        </w:rPr>
      </w:pPr>
      <w:r w:rsidRPr="00E03EB2">
        <w:rPr>
          <w:sz w:val="22"/>
        </w:rPr>
        <w:lastRenderedPageBreak/>
        <w:t>Technologies such as AI, robotics and automation are going to play a significant role. Investment in advanced manufacturing sorting technologies is one of the most cost-effective opportunities to support markets for secondary materials.</w:t>
      </w:r>
    </w:p>
    <w:p w14:paraId="04403ED1" w14:textId="31AF5E8D" w:rsidR="00C1186F" w:rsidRPr="00E03EB2" w:rsidRDefault="004F5354" w:rsidP="00C1186F">
      <w:pPr>
        <w:rPr>
          <w:sz w:val="22"/>
        </w:rPr>
      </w:pPr>
      <w:r w:rsidRPr="00E03EB2">
        <w:rPr>
          <w:sz w:val="22"/>
        </w:rPr>
        <w:t xml:space="preserve">B2B recovery and recycling is another unmet opportunity. Every year Australian firms spend $1.4 </w:t>
      </w:r>
      <w:r w:rsidR="006B3873" w:rsidRPr="00E03EB2">
        <w:rPr>
          <w:sz w:val="22"/>
        </w:rPr>
        <w:t>billion</w:t>
      </w:r>
      <w:r w:rsidRPr="00E03EB2">
        <w:rPr>
          <w:sz w:val="22"/>
        </w:rPr>
        <w:t xml:space="preserve"> sending $26.5 </w:t>
      </w:r>
      <w:r w:rsidR="006B3873" w:rsidRPr="00E03EB2">
        <w:rPr>
          <w:sz w:val="22"/>
        </w:rPr>
        <w:t>billion</w:t>
      </w:r>
      <w:r w:rsidRPr="00E03EB2">
        <w:rPr>
          <w:sz w:val="22"/>
        </w:rPr>
        <w:t xml:space="preserve"> worth of material to landfill.</w:t>
      </w:r>
      <w:r w:rsidRPr="00E03EB2">
        <w:rPr>
          <w:sz w:val="22"/>
          <w:vertAlign w:val="superscript"/>
        </w:rPr>
        <w:endnoteReference w:id="67"/>
      </w:r>
      <w:r w:rsidRPr="00E03EB2">
        <w:rPr>
          <w:sz w:val="22"/>
        </w:rPr>
        <w:t xml:space="preserve"> Harmonised standards and specifications support greater B2B recovery, along with active markets for secondary materials.</w:t>
      </w:r>
    </w:p>
    <w:p w14:paraId="2FB68EA0" w14:textId="77777777" w:rsidR="00C1186F" w:rsidRPr="005F4D33" w:rsidRDefault="004F5354" w:rsidP="00C1186F">
      <w:pPr>
        <w:pStyle w:val="Heading3"/>
        <w:rPr>
          <w:color w:val="auto"/>
          <w:sz w:val="28"/>
          <w:szCs w:val="20"/>
        </w:rPr>
      </w:pPr>
      <w:bookmarkStart w:id="50" w:name="_Toc184220103"/>
      <w:r w:rsidRPr="005F4D33">
        <w:rPr>
          <w:color w:val="auto"/>
          <w:sz w:val="28"/>
          <w:szCs w:val="20"/>
        </w:rPr>
        <w:t>Systems thinking and circular economy skills</w:t>
      </w:r>
      <w:bookmarkEnd w:id="50"/>
    </w:p>
    <w:p w14:paraId="098A5A88" w14:textId="77777777" w:rsidR="00C1186F" w:rsidRPr="00E03EB2" w:rsidRDefault="004F5354" w:rsidP="00C1186F">
      <w:pPr>
        <w:rPr>
          <w:sz w:val="22"/>
        </w:rPr>
      </w:pPr>
      <w:r w:rsidRPr="00E03EB2">
        <w:rPr>
          <w:sz w:val="22"/>
        </w:rPr>
        <w:t>For tens of thousands of years, First Nations peoples have used systems-thinking approaches across various aspects of life, including the natural environment and resource management. The transition to a circular economy will require this kind of systems thinking across all professions.</w:t>
      </w:r>
    </w:p>
    <w:p w14:paraId="1BBFD50C" w14:textId="77777777" w:rsidR="00C1186F" w:rsidRPr="00E03EB2" w:rsidRDefault="004F5354" w:rsidP="00091632">
      <w:pPr>
        <w:rPr>
          <w:sz w:val="22"/>
        </w:rPr>
      </w:pPr>
      <w:r w:rsidRPr="00E03EB2">
        <w:rPr>
          <w:sz w:val="22"/>
        </w:rPr>
        <w:t>This involves adopting a holistic view of the material lifecycle, from design to disposal, understanding how changes to one part of a system can affect many other interconnected elements, and ensuring each stage is optim</w:t>
      </w:r>
      <w:r w:rsidR="006C2A4D" w:rsidRPr="00E03EB2">
        <w:rPr>
          <w:sz w:val="22"/>
        </w:rPr>
        <w:t>is</w:t>
      </w:r>
      <w:r w:rsidRPr="00E03EB2">
        <w:rPr>
          <w:sz w:val="22"/>
        </w:rPr>
        <w:t>ed for minimal environmental impact.</w:t>
      </w:r>
      <w:r w:rsidR="00091632" w:rsidRPr="00E03EB2">
        <w:rPr>
          <w:sz w:val="22"/>
        </w:rPr>
        <w:t xml:space="preserve"> </w:t>
      </w:r>
      <w:r w:rsidR="00C52CF6" w:rsidRPr="00E03EB2">
        <w:rPr>
          <w:sz w:val="22"/>
        </w:rPr>
        <w:t>Incorporating systems approaches will be both necessary and beneficial, providing market advantages, particularly for early adopters.</w:t>
      </w:r>
    </w:p>
    <w:p w14:paraId="57AE19DE" w14:textId="77777777" w:rsidR="009D47C1" w:rsidRPr="00E03EB2" w:rsidRDefault="004F5354" w:rsidP="009D47C1">
      <w:pPr>
        <w:rPr>
          <w:sz w:val="22"/>
        </w:rPr>
      </w:pPr>
      <w:r w:rsidRPr="00E03EB2">
        <w:rPr>
          <w:sz w:val="22"/>
        </w:rPr>
        <w:t>Speciali</w:t>
      </w:r>
      <w:r w:rsidR="00F0673C" w:rsidRPr="00E03EB2">
        <w:rPr>
          <w:sz w:val="22"/>
        </w:rPr>
        <w:t>s</w:t>
      </w:r>
      <w:r w:rsidRPr="00E03EB2">
        <w:rPr>
          <w:sz w:val="22"/>
        </w:rPr>
        <w:t>ed skills in areas like materials management, product design for circularity, resource optimi</w:t>
      </w:r>
      <w:r w:rsidR="00264946" w:rsidRPr="00E03EB2">
        <w:rPr>
          <w:sz w:val="22"/>
        </w:rPr>
        <w:t>s</w:t>
      </w:r>
      <w:r w:rsidRPr="00E03EB2">
        <w:rPr>
          <w:sz w:val="22"/>
        </w:rPr>
        <w:t xml:space="preserve">ation, and sustainable supply chain practices are crucial to a circular economy. Integrating these skills into fields such as engineering, quantity surveying, design and </w:t>
      </w:r>
      <w:r w:rsidR="009D47C1" w:rsidRPr="00E03EB2">
        <w:rPr>
          <w:sz w:val="22"/>
        </w:rPr>
        <w:t>architecture, business, and economics will help create the cultural change necessary for a widespread transition. This could mean incorporating materials lifecycle thinking into design and engineering courses or adding circular procurement skills to trade apprenticeships.</w:t>
      </w:r>
    </w:p>
    <w:p w14:paraId="4D2344F2" w14:textId="77777777" w:rsidR="009D47C1" w:rsidRPr="005F4D33" w:rsidRDefault="009D47C1" w:rsidP="009D47C1">
      <w:pPr>
        <w:pStyle w:val="Heading3"/>
        <w:rPr>
          <w:color w:val="auto"/>
          <w:sz w:val="28"/>
          <w:szCs w:val="20"/>
        </w:rPr>
      </w:pPr>
      <w:bookmarkStart w:id="51" w:name="_Toc184220104"/>
      <w:r w:rsidRPr="005F4D33">
        <w:rPr>
          <w:color w:val="auto"/>
          <w:sz w:val="28"/>
          <w:szCs w:val="20"/>
        </w:rPr>
        <w:t>Collaboration and place-based approaches</w:t>
      </w:r>
      <w:bookmarkEnd w:id="51"/>
    </w:p>
    <w:p w14:paraId="5D18D5F3" w14:textId="77777777" w:rsidR="009D47C1" w:rsidRPr="00E03EB2" w:rsidRDefault="009D47C1" w:rsidP="009D47C1">
      <w:pPr>
        <w:rPr>
          <w:sz w:val="22"/>
        </w:rPr>
      </w:pPr>
      <w:r w:rsidRPr="00E03EB2">
        <w:rPr>
          <w:sz w:val="22"/>
        </w:rPr>
        <w:t>No one can go circular alone. Australia’s circular economy transition will require cooperation up, down and across supply chains to share resources, design better goods and services, and innovate. And it will require policy settings and tools that support this kind of collaboration.</w:t>
      </w:r>
    </w:p>
    <w:p w14:paraId="1CD4A38C" w14:textId="77777777" w:rsidR="009D47C1" w:rsidRPr="00E03EB2" w:rsidRDefault="009D47C1" w:rsidP="009D47C1">
      <w:pPr>
        <w:rPr>
          <w:rFonts w:cstheme="minorHAnsi"/>
          <w:sz w:val="22"/>
        </w:rPr>
      </w:pPr>
      <w:r w:rsidRPr="00E03EB2">
        <w:rPr>
          <w:rFonts w:cstheme="minorHAnsi"/>
          <w:sz w:val="22"/>
        </w:rPr>
        <w:t xml:space="preserve">Local economies are leading Australia’s circular economy transition, each driven by different incentives. For some, circularity is the primary way of demonstrating ESG credentials to banks backing local business. For others, the circular economy is an opportunity to pivot from carbon-intensive regional economies to sustainable alternatives. The challenge and opportunity </w:t>
      </w:r>
      <w:proofErr w:type="gramStart"/>
      <w:r w:rsidRPr="00E03EB2">
        <w:rPr>
          <w:rFonts w:cstheme="minorHAnsi"/>
          <w:sz w:val="22"/>
        </w:rPr>
        <w:t>is</w:t>
      </w:r>
      <w:proofErr w:type="gramEnd"/>
      <w:r w:rsidRPr="00E03EB2">
        <w:rPr>
          <w:rFonts w:cstheme="minorHAnsi"/>
          <w:sz w:val="22"/>
        </w:rPr>
        <w:t xml:space="preserve"> to support those driving these local transitions.</w:t>
      </w:r>
    </w:p>
    <w:p w14:paraId="2492E44A" w14:textId="77777777" w:rsidR="009D47C1" w:rsidRPr="00E03EB2" w:rsidRDefault="009D47C1" w:rsidP="009D47C1">
      <w:pPr>
        <w:rPr>
          <w:rFonts w:cstheme="minorHAnsi"/>
          <w:sz w:val="22"/>
        </w:rPr>
      </w:pPr>
      <w:r w:rsidRPr="00E03EB2">
        <w:rPr>
          <w:rFonts w:cstheme="minorHAnsi"/>
          <w:sz w:val="22"/>
        </w:rPr>
        <w:t>The challenges of a take-make-waste linear economy concentrate in cities, but cities are also centres for change. Urban planning plays a pivotal role in supporting local circular economies by strategically designing cities and places to optimise the use and management of materials. This includes allocating sites for circular activities on public land and embedding circular economy principles into urban policy levers.</w:t>
      </w:r>
      <w:r w:rsidRPr="00E03EB2">
        <w:rPr>
          <w:rStyle w:val="EndnoteReference"/>
          <w:rFonts w:cstheme="minorHAnsi"/>
          <w:sz w:val="22"/>
        </w:rPr>
        <w:endnoteReference w:id="68"/>
      </w:r>
    </w:p>
    <w:p w14:paraId="324CA7BA" w14:textId="77777777" w:rsidR="009D47C1" w:rsidRPr="005F4D33" w:rsidRDefault="009D47C1" w:rsidP="009D47C1">
      <w:pPr>
        <w:pStyle w:val="Heading3"/>
        <w:rPr>
          <w:color w:val="auto"/>
          <w:sz w:val="28"/>
          <w:szCs w:val="20"/>
        </w:rPr>
      </w:pPr>
      <w:bookmarkStart w:id="52" w:name="_Toc184220105"/>
      <w:r w:rsidRPr="005F4D33">
        <w:rPr>
          <w:color w:val="auto"/>
          <w:sz w:val="28"/>
          <w:szCs w:val="20"/>
        </w:rPr>
        <w:t>Behaviour change</w:t>
      </w:r>
      <w:bookmarkEnd w:id="52"/>
      <w:r w:rsidRPr="005F4D33">
        <w:rPr>
          <w:color w:val="auto"/>
          <w:sz w:val="28"/>
          <w:szCs w:val="20"/>
        </w:rPr>
        <w:t xml:space="preserve"> </w:t>
      </w:r>
    </w:p>
    <w:p w14:paraId="41CB50EE" w14:textId="77777777" w:rsidR="009D47C1" w:rsidRPr="00E03EB2" w:rsidRDefault="009D47C1" w:rsidP="009D47C1">
      <w:pPr>
        <w:rPr>
          <w:sz w:val="22"/>
        </w:rPr>
      </w:pPr>
      <w:r w:rsidRPr="00E03EB2">
        <w:rPr>
          <w:sz w:val="22"/>
        </w:rPr>
        <w:t>Consumer goods, like textiles, packaging, electronic devices, and tools and equipment are where Australians engage at a practical level with the circular economy. Every Australian buys, makes, uses or disposes of these goods – in their business, workplace, community or at home.</w:t>
      </w:r>
    </w:p>
    <w:p w14:paraId="2FEC8371" w14:textId="77777777" w:rsidR="009D47C1" w:rsidRPr="00E03EB2" w:rsidRDefault="009D47C1" w:rsidP="009D47C1">
      <w:pPr>
        <w:rPr>
          <w:sz w:val="22"/>
        </w:rPr>
      </w:pPr>
      <w:r w:rsidRPr="00E03EB2">
        <w:rPr>
          <w:sz w:val="22"/>
        </w:rPr>
        <w:t>Consumers play a crucial role by deciding what to buy, and how to dispose of products. Information about product performance supports informed purchasing decisions. This includes details about product durability, repairability and recyclability. Digital platforms and technologies can be leveraged to provide real-time information, enabling consumers to access details about a product's environmental footprint instantly.</w:t>
      </w:r>
    </w:p>
    <w:p w14:paraId="1F7B5CBF" w14:textId="77777777" w:rsidR="009D47C1" w:rsidRPr="00E03EB2" w:rsidRDefault="009D47C1" w:rsidP="009D47C1">
      <w:pPr>
        <w:rPr>
          <w:sz w:val="22"/>
        </w:rPr>
      </w:pPr>
      <w:r w:rsidRPr="00E03EB2">
        <w:rPr>
          <w:sz w:val="22"/>
        </w:rPr>
        <w:t>Shifting cultural values towards sustainable consumption and production is crucial for achieving a more circular economy. Public information about the environmental, cultural, social and economic benefits of reducing waste, reusing products, and recycling materials are important drivers for behaviour change.</w:t>
      </w:r>
    </w:p>
    <w:bookmarkEnd w:id="46"/>
    <w:p w14:paraId="4D46F569" w14:textId="1DD27CEC" w:rsidR="00E03EB2" w:rsidRDefault="00E03EB2" w:rsidP="00E03EB2">
      <w:pPr>
        <w:pStyle w:val="Heading4"/>
      </w:pPr>
      <w:r>
        <w:lastRenderedPageBreak/>
        <w:t xml:space="preserve">Case study: </w:t>
      </w:r>
      <w:r w:rsidRPr="008E0D96">
        <w:t>Albury Wodonga</w:t>
      </w:r>
      <w:r>
        <w:t xml:space="preserve"> Regional Collaboration</w:t>
      </w:r>
    </w:p>
    <w:p w14:paraId="36419962" w14:textId="77777777" w:rsidR="00E03EB2" w:rsidRPr="00E03EB2" w:rsidRDefault="00E03EB2" w:rsidP="00E03EB2">
      <w:pPr>
        <w:rPr>
          <w:rFonts w:eastAsia="Times New Roman" w:cstheme="minorHAnsi"/>
          <w:sz w:val="22"/>
          <w:lang w:eastAsia="en-AU"/>
        </w:rPr>
      </w:pPr>
      <w:r w:rsidRPr="00E03EB2">
        <w:rPr>
          <w:rFonts w:eastAsia="Times New Roman" w:cstheme="minorHAnsi"/>
          <w:sz w:val="22"/>
          <w:lang w:eastAsia="en-AU"/>
        </w:rPr>
        <w:t>The Albury Wodonga region provides a model for advancing the circular economy through regional collaboration. A key initiative is the Albury Wodonga Regional Renewable Energy Hub, which facilitates partnerships and provides resources for businesses to adopt circular practices. A notable project involves local manufacturers and waste management companies repurposing industrial waste.</w:t>
      </w:r>
    </w:p>
    <w:p w14:paraId="0DA60F15" w14:textId="77777777" w:rsidR="00E03EB2" w:rsidRPr="00E03EB2" w:rsidRDefault="00E03EB2" w:rsidP="00E03EB2">
      <w:pPr>
        <w:rPr>
          <w:rFonts w:eastAsia="Times New Roman" w:cstheme="minorHAnsi"/>
          <w:sz w:val="22"/>
          <w:lang w:eastAsia="en-AU"/>
        </w:rPr>
      </w:pPr>
      <w:r w:rsidRPr="00E03EB2">
        <w:rPr>
          <w:rFonts w:eastAsia="Times New Roman" w:cstheme="minorHAnsi"/>
          <w:sz w:val="22"/>
          <w:lang w:eastAsia="en-AU"/>
        </w:rPr>
        <w:t>Significant investments in new infrastructure support these circular initiatives. The Albury Recycling Centre receives and prepares for offsite processing, various materials such as plastics, metals, and electronics, turning them into high-quality secondary resources for manufacturing.</w:t>
      </w:r>
    </w:p>
    <w:p w14:paraId="369D613C" w14:textId="77777777" w:rsidR="00E03EB2" w:rsidRPr="00E03EB2" w:rsidRDefault="00E03EB2" w:rsidP="00E03EB2">
      <w:pPr>
        <w:rPr>
          <w:rFonts w:eastAsia="Times New Roman" w:cstheme="minorHAnsi"/>
          <w:sz w:val="22"/>
          <w:lang w:eastAsia="en-AU"/>
        </w:rPr>
      </w:pPr>
      <w:r w:rsidRPr="00E03EB2">
        <w:rPr>
          <w:rFonts w:eastAsia="Times New Roman" w:cstheme="minorHAnsi"/>
          <w:sz w:val="22"/>
          <w:lang w:eastAsia="en-AU"/>
        </w:rPr>
        <w:t>The region has also established a new plastics reprocessing plant that converts post-consumer plastic waste into pellets for new plastic products. This facility represents a significant investment in the region's circular economy infrastructure, providing local manufacturers with a steady supply of recycled plastic.</w:t>
      </w:r>
    </w:p>
    <w:p w14:paraId="4EA81503" w14:textId="77777777" w:rsidR="00E03EB2" w:rsidRPr="00E03EB2" w:rsidRDefault="00E03EB2" w:rsidP="00E03EB2">
      <w:pPr>
        <w:rPr>
          <w:rFonts w:eastAsia="Times New Roman" w:cstheme="minorHAnsi"/>
          <w:sz w:val="22"/>
          <w:lang w:eastAsia="en-AU"/>
        </w:rPr>
      </w:pPr>
      <w:r w:rsidRPr="00E03EB2">
        <w:rPr>
          <w:rFonts w:eastAsia="Times New Roman" w:cstheme="minorHAnsi"/>
          <w:sz w:val="22"/>
          <w:lang w:eastAsia="en-AU"/>
        </w:rPr>
        <w:t>Local food producers and waste management services collaborate to handle organic waste. Food waste from restaurants and food processing businesses is collected and transformed into either, fertiliser, protein, compost and bioenergy, diverting waste from landfills, generating renewable energy, and enriching soil for agriculture.</w:t>
      </w:r>
    </w:p>
    <w:p w14:paraId="213AE23E" w14:textId="77777777" w:rsidR="00E03EB2" w:rsidRPr="00E03EB2" w:rsidRDefault="00E03EB2" w:rsidP="00E03EB2">
      <w:pPr>
        <w:rPr>
          <w:rFonts w:eastAsia="Times New Roman" w:cstheme="minorHAnsi"/>
          <w:sz w:val="22"/>
          <w:lang w:eastAsia="en-AU"/>
        </w:rPr>
      </w:pPr>
      <w:r w:rsidRPr="00E03EB2">
        <w:rPr>
          <w:rFonts w:eastAsia="Times New Roman" w:cstheme="minorHAnsi"/>
          <w:sz w:val="22"/>
          <w:lang w:eastAsia="en-AU"/>
        </w:rPr>
        <w:t>The Albury Wodonga region shows how infrastructure development can support and accelerate the transition to a circular economy. By creating advanced facilities for recycling and manufacturing, the region drives innovation and sustainability, fosters economic resilience, and enhances community well-being, serving as a blueprint for other regions in Australia and beyond.</w:t>
      </w:r>
    </w:p>
    <w:p w14:paraId="7EB90E4E" w14:textId="602CB30A" w:rsidR="00530238" w:rsidRPr="00FC10AC" w:rsidRDefault="00530238" w:rsidP="00530238">
      <w:pPr>
        <w:pStyle w:val="Heading4"/>
      </w:pPr>
      <w:r>
        <w:t xml:space="preserve">Case Study: </w:t>
      </w:r>
      <w:r w:rsidRPr="00FC10AC">
        <w:t>The Ricoh Group</w:t>
      </w:r>
      <w:r>
        <w:t xml:space="preserve"> </w:t>
      </w:r>
    </w:p>
    <w:p w14:paraId="1C66CA23" w14:textId="77777777" w:rsidR="00530238" w:rsidRPr="00530238" w:rsidRDefault="00530238" w:rsidP="00530238">
      <w:pPr>
        <w:rPr>
          <w:rFonts w:cstheme="minorHAnsi"/>
          <w:sz w:val="22"/>
        </w:rPr>
      </w:pPr>
      <w:r w:rsidRPr="00530238">
        <w:rPr>
          <w:rFonts w:cstheme="minorHAnsi"/>
          <w:sz w:val="22"/>
        </w:rPr>
        <w:t>The Ricoh Group, a global leader in imaging and electronics, has been a pioneer in integrating circular economy principles into its business strategy. In 1994, it introduced the ‘Comet Circle’ concept, laying the foundation for its long-term sustainability goals, including reducing environmental impact, promoting resource efficiency, and advancing circular economy principles</w:t>
      </w:r>
    </w:p>
    <w:p w14:paraId="2E6567AC" w14:textId="77777777" w:rsidR="00530238" w:rsidRPr="00530238" w:rsidRDefault="00530238" w:rsidP="00530238">
      <w:pPr>
        <w:rPr>
          <w:rFonts w:cstheme="minorHAnsi"/>
          <w:sz w:val="22"/>
        </w:rPr>
      </w:pPr>
      <w:r w:rsidRPr="00530238">
        <w:rPr>
          <w:rFonts w:cstheme="minorHAnsi"/>
          <w:sz w:val="22"/>
        </w:rPr>
        <w:t xml:space="preserve">Ricoh’s goal is to use resources efficiently across the value chain - by 2030, reduced virgin material consumption rate to 60% (or less) – and by 2050, 12% (or less). Part of its business strategy includes actively participating in sustainability networks and collaborating with stakeholders to promote circular economy practices, share expertise and work on joint initiatives to improve recycling, reuse, and circularity – with initiatives promoted across its international operations. </w:t>
      </w:r>
    </w:p>
    <w:p w14:paraId="03470BDA" w14:textId="77777777" w:rsidR="00530238" w:rsidRPr="00530238" w:rsidRDefault="00530238" w:rsidP="00530238">
      <w:pPr>
        <w:rPr>
          <w:rFonts w:cstheme="minorHAnsi"/>
          <w:sz w:val="22"/>
        </w:rPr>
      </w:pPr>
      <w:r w:rsidRPr="00530238">
        <w:rPr>
          <w:rFonts w:cstheme="minorHAnsi"/>
          <w:sz w:val="22"/>
        </w:rPr>
        <w:t>Ricoh has responded to growing transparency demands in public procurement by ensuring its products meet high environmental and social governance (ESG) standards. For instance, it secured a large public-sector contract in France by meeting stringent sustainability criteria. The company regularly reports its environmental performance and integrates ESG targets into management practices, including executive compensation.</w:t>
      </w:r>
    </w:p>
    <w:p w14:paraId="579E5FEB" w14:textId="77777777" w:rsidR="00530238" w:rsidRPr="00530238" w:rsidRDefault="00530238" w:rsidP="00530238">
      <w:pPr>
        <w:rPr>
          <w:rFonts w:cstheme="minorHAnsi"/>
          <w:sz w:val="22"/>
          <w:lang w:eastAsia="en-AU"/>
        </w:rPr>
      </w:pPr>
      <w:r w:rsidRPr="00530238">
        <w:rPr>
          <w:rFonts w:cstheme="minorHAnsi"/>
          <w:sz w:val="22"/>
        </w:rPr>
        <w:t>Ricoh’s commitment to a circular economy has not only enhanced its ESG credentials but is also creating lasting value for its business.</w:t>
      </w:r>
    </w:p>
    <w:p w14:paraId="77E7CE4E" w14:textId="75EA8203" w:rsidR="006E71A7" w:rsidRPr="005F4D33" w:rsidRDefault="006E71A7" w:rsidP="0033798E">
      <w:pPr>
        <w:rPr>
          <w:sz w:val="18"/>
        </w:rPr>
      </w:pPr>
    </w:p>
    <w:p w14:paraId="12E277DB" w14:textId="77777777" w:rsidR="00CB3DA2" w:rsidRPr="005F4D33" w:rsidRDefault="004F5354" w:rsidP="00D47A7C">
      <w:pPr>
        <w:pStyle w:val="Heading2"/>
        <w:rPr>
          <w:color w:val="auto"/>
        </w:rPr>
      </w:pPr>
      <w:bookmarkStart w:id="53" w:name="_Toc184220106"/>
      <w:r w:rsidRPr="005F4D33">
        <w:rPr>
          <w:color w:val="auto"/>
        </w:rPr>
        <w:lastRenderedPageBreak/>
        <w:t xml:space="preserve">Implementing the </w:t>
      </w:r>
      <w:r w:rsidR="005A602D" w:rsidRPr="005F4D33">
        <w:rPr>
          <w:color w:val="auto"/>
        </w:rPr>
        <w:t>f</w:t>
      </w:r>
      <w:r w:rsidRPr="005F4D33">
        <w:rPr>
          <w:color w:val="auto"/>
        </w:rPr>
        <w:t>ramework</w:t>
      </w:r>
      <w:bookmarkEnd w:id="53"/>
    </w:p>
    <w:p w14:paraId="151CC73B" w14:textId="77777777" w:rsidR="008D57E0" w:rsidRPr="005F4D33" w:rsidRDefault="008D57E0">
      <w:pPr>
        <w:spacing w:after="0"/>
      </w:pPr>
    </w:p>
    <w:p w14:paraId="0C13DE88" w14:textId="77777777" w:rsidR="00096385" w:rsidRPr="00530238" w:rsidRDefault="004F5354">
      <w:pPr>
        <w:spacing w:after="0"/>
        <w:rPr>
          <w:sz w:val="22"/>
        </w:rPr>
      </w:pPr>
      <w:r w:rsidRPr="00530238">
        <w:rPr>
          <w:sz w:val="22"/>
        </w:rPr>
        <w:t>A</w:t>
      </w:r>
      <w:r w:rsidR="00726822" w:rsidRPr="00530238">
        <w:rPr>
          <w:sz w:val="22"/>
        </w:rPr>
        <w:t xml:space="preserve">ction is needed from </w:t>
      </w:r>
      <w:r w:rsidR="00F82ABE" w:rsidRPr="00530238">
        <w:rPr>
          <w:sz w:val="22"/>
        </w:rPr>
        <w:t>governments</w:t>
      </w:r>
      <w:r w:rsidR="00726822" w:rsidRPr="00530238">
        <w:rPr>
          <w:sz w:val="22"/>
        </w:rPr>
        <w:t xml:space="preserve">, industry, investors, and communities, each </w:t>
      </w:r>
      <w:r w:rsidR="00B661B1" w:rsidRPr="00530238">
        <w:rPr>
          <w:sz w:val="22"/>
        </w:rPr>
        <w:t>in different ways</w:t>
      </w:r>
      <w:r w:rsidRPr="00530238">
        <w:rPr>
          <w:sz w:val="22"/>
        </w:rPr>
        <w:t xml:space="preserve"> to bring the circular economy framework to life</w:t>
      </w:r>
      <w:r w:rsidR="00726822" w:rsidRPr="00530238">
        <w:rPr>
          <w:sz w:val="22"/>
        </w:rPr>
        <w:t>.</w:t>
      </w:r>
    </w:p>
    <w:p w14:paraId="25CD173E" w14:textId="77777777" w:rsidR="008D57E0" w:rsidRPr="005F4D33" w:rsidRDefault="004F5354" w:rsidP="007B02E9">
      <w:pPr>
        <w:pStyle w:val="Heading3"/>
        <w:rPr>
          <w:color w:val="auto"/>
        </w:rPr>
      </w:pPr>
      <w:bookmarkStart w:id="54" w:name="_Toc184220107"/>
      <w:r w:rsidRPr="005F4D33">
        <w:rPr>
          <w:color w:val="auto"/>
        </w:rPr>
        <w:t>Governments</w:t>
      </w:r>
      <w:r w:rsidRPr="005F4D33">
        <w:rPr>
          <w:rFonts w:asciiTheme="minorHAnsi" w:eastAsiaTheme="minorHAnsi" w:hAnsiTheme="minorHAnsi" w:cstheme="minorBidi"/>
          <w:b w:val="0"/>
          <w:bCs w:val="0"/>
          <w:color w:val="auto"/>
          <w:szCs w:val="36"/>
        </w:rPr>
        <w:t>: the enablers</w:t>
      </w:r>
      <w:bookmarkEnd w:id="54"/>
    </w:p>
    <w:p w14:paraId="48017878" w14:textId="77777777" w:rsidR="00FC7A90" w:rsidRPr="00530238" w:rsidRDefault="004F5354">
      <w:pPr>
        <w:spacing w:after="0"/>
        <w:rPr>
          <w:sz w:val="22"/>
        </w:rPr>
      </w:pPr>
      <w:r w:rsidRPr="00530238">
        <w:rPr>
          <w:sz w:val="22"/>
        </w:rPr>
        <w:t xml:space="preserve">Policymakers </w:t>
      </w:r>
      <w:r w:rsidR="001B59CF" w:rsidRPr="00530238">
        <w:rPr>
          <w:sz w:val="22"/>
        </w:rPr>
        <w:t>set</w:t>
      </w:r>
      <w:r w:rsidRPr="00530238">
        <w:rPr>
          <w:sz w:val="22"/>
        </w:rPr>
        <w:t xml:space="preserve"> the direction and provid</w:t>
      </w:r>
      <w:r w:rsidR="001B59CF" w:rsidRPr="00530238">
        <w:rPr>
          <w:sz w:val="22"/>
        </w:rPr>
        <w:t>e</w:t>
      </w:r>
      <w:r w:rsidRPr="00530238">
        <w:rPr>
          <w:sz w:val="22"/>
        </w:rPr>
        <w:t xml:space="preserve"> the foundation for a successful transition to a circular economy. Governments can create the conditions that allow circular systems to thrive by implementing supportive policies, providing financial incentives, and encouraging collaboration </w:t>
      </w:r>
      <w:r w:rsidR="00BD007E" w:rsidRPr="00530238">
        <w:rPr>
          <w:sz w:val="22"/>
        </w:rPr>
        <w:t xml:space="preserve">and behaviour change </w:t>
      </w:r>
      <w:r w:rsidRPr="00530238">
        <w:rPr>
          <w:sz w:val="22"/>
        </w:rPr>
        <w:t>across sectors.</w:t>
      </w:r>
    </w:p>
    <w:p w14:paraId="301E27F4" w14:textId="77777777" w:rsidR="00F8419C" w:rsidRPr="005F4D33" w:rsidRDefault="004F5354" w:rsidP="00D47A7C">
      <w:pPr>
        <w:pStyle w:val="Heading4"/>
      </w:pPr>
      <w:r w:rsidRPr="005F4D33">
        <w:t>Creating supportive policies and regulations</w:t>
      </w:r>
    </w:p>
    <w:p w14:paraId="0FEF8DD7" w14:textId="77777777" w:rsidR="00FC7A90" w:rsidRPr="00530238" w:rsidRDefault="004F5354" w:rsidP="00FC7A90">
      <w:pPr>
        <w:rPr>
          <w:sz w:val="22"/>
        </w:rPr>
      </w:pPr>
      <w:r w:rsidRPr="00530238">
        <w:rPr>
          <w:sz w:val="22"/>
        </w:rPr>
        <w:t>Countries successfully transitioning to a circular economy deploy strong policies that target product design, placing responsibility on manufacturers to design products with end-of-life recycling and reuse in mind, reducing waste and encouraging innovation.</w:t>
      </w:r>
    </w:p>
    <w:p w14:paraId="74212E8B" w14:textId="77777777" w:rsidR="00F8419C" w:rsidRPr="00530238" w:rsidRDefault="004F5354" w:rsidP="00FC7A90">
      <w:pPr>
        <w:rPr>
          <w:sz w:val="22"/>
        </w:rPr>
      </w:pPr>
      <w:r w:rsidRPr="00530238">
        <w:rPr>
          <w:sz w:val="22"/>
        </w:rPr>
        <w:t xml:space="preserve">National efforts are most effective when circular economy principles are embedded across key programs and policies, especially in materials-intensive industries like </w:t>
      </w:r>
      <w:r w:rsidR="008953DE" w:rsidRPr="00530238">
        <w:rPr>
          <w:sz w:val="22"/>
        </w:rPr>
        <w:t>those prioritised in this framework</w:t>
      </w:r>
      <w:r w:rsidRPr="00530238">
        <w:rPr>
          <w:sz w:val="22"/>
        </w:rPr>
        <w:t xml:space="preserve">. </w:t>
      </w:r>
      <w:r w:rsidR="00BD007E" w:rsidRPr="00530238">
        <w:rPr>
          <w:sz w:val="22"/>
        </w:rPr>
        <w:t xml:space="preserve">Regulatory alignment (domestically and internationally) is crucial to scaling markets for circular goods and services and reaching </w:t>
      </w:r>
      <w:r w:rsidR="008953DE" w:rsidRPr="00530238">
        <w:rPr>
          <w:sz w:val="22"/>
        </w:rPr>
        <w:t>Australia’s targets.</w:t>
      </w:r>
    </w:p>
    <w:p w14:paraId="3803889A" w14:textId="77777777" w:rsidR="00F8419C" w:rsidRPr="005F4D33" w:rsidRDefault="004F5354" w:rsidP="00D47A7C">
      <w:pPr>
        <w:pStyle w:val="Heading4"/>
      </w:pPr>
      <w:r w:rsidRPr="005F4D33">
        <w:t>Aligning the economy with circular principles</w:t>
      </w:r>
    </w:p>
    <w:p w14:paraId="7A9C4A64" w14:textId="77777777" w:rsidR="00F8419C" w:rsidRPr="00530238" w:rsidRDefault="004F5354" w:rsidP="007B02E9">
      <w:pPr>
        <w:rPr>
          <w:sz w:val="22"/>
        </w:rPr>
      </w:pPr>
      <w:r w:rsidRPr="00530238">
        <w:rPr>
          <w:sz w:val="22"/>
        </w:rPr>
        <w:t>Governments play a central role in shaping the economic landscape. By embedding sustainability and circularity into financial frameworks, governments can incentivi</w:t>
      </w:r>
      <w:r w:rsidR="008953DE" w:rsidRPr="00530238">
        <w:rPr>
          <w:sz w:val="22"/>
        </w:rPr>
        <w:t>s</w:t>
      </w:r>
      <w:r w:rsidRPr="00530238">
        <w:rPr>
          <w:sz w:val="22"/>
        </w:rPr>
        <w:t xml:space="preserve">e businesses to adopt circular practices. This </w:t>
      </w:r>
      <w:r w:rsidR="00BD007E" w:rsidRPr="00530238">
        <w:rPr>
          <w:sz w:val="22"/>
        </w:rPr>
        <w:t>can include</w:t>
      </w:r>
      <w:r w:rsidRPr="00530238">
        <w:rPr>
          <w:sz w:val="22"/>
        </w:rPr>
        <w:t xml:space="preserve"> integrating circular economy principles into public procurement policies, ensuring that government contracts prioriti</w:t>
      </w:r>
      <w:r w:rsidR="008953DE" w:rsidRPr="00530238">
        <w:rPr>
          <w:sz w:val="22"/>
        </w:rPr>
        <w:t>s</w:t>
      </w:r>
      <w:r w:rsidRPr="00530238">
        <w:rPr>
          <w:sz w:val="22"/>
        </w:rPr>
        <w:t>e sustainable materials and solutions.</w:t>
      </w:r>
    </w:p>
    <w:p w14:paraId="58DEE559" w14:textId="77777777" w:rsidR="00F8419C" w:rsidRPr="00530238" w:rsidRDefault="004F5354" w:rsidP="00F8419C">
      <w:pPr>
        <w:rPr>
          <w:sz w:val="22"/>
        </w:rPr>
      </w:pPr>
      <w:r w:rsidRPr="00530238">
        <w:rPr>
          <w:sz w:val="22"/>
        </w:rPr>
        <w:t>Trade policies can also be adjusted to align with circular economy goals, encouraging the movement of recycled and reused materials across borders, and setting standards for transparency and disclosure.</w:t>
      </w:r>
    </w:p>
    <w:p w14:paraId="7A116D75" w14:textId="77777777" w:rsidR="008953DE" w:rsidRPr="005F4D33" w:rsidRDefault="004F5354" w:rsidP="00D47A7C">
      <w:pPr>
        <w:pStyle w:val="Heading4"/>
      </w:pPr>
      <w:r w:rsidRPr="005F4D33">
        <w:t>Driving behavioural change</w:t>
      </w:r>
    </w:p>
    <w:p w14:paraId="09A11173" w14:textId="77777777" w:rsidR="00F8419C" w:rsidRPr="00530238" w:rsidRDefault="004F5354" w:rsidP="00F8419C">
      <w:pPr>
        <w:rPr>
          <w:sz w:val="22"/>
        </w:rPr>
      </w:pPr>
      <w:r w:rsidRPr="00530238">
        <w:rPr>
          <w:sz w:val="22"/>
        </w:rPr>
        <w:t xml:space="preserve">Governments have the power to influence </w:t>
      </w:r>
      <w:r w:rsidR="008953DE" w:rsidRPr="00530238">
        <w:rPr>
          <w:sz w:val="22"/>
        </w:rPr>
        <w:t>behaviour</w:t>
      </w:r>
      <w:r w:rsidRPr="00530238">
        <w:rPr>
          <w:sz w:val="22"/>
        </w:rPr>
        <w:t xml:space="preserve"> on a large scale, both in the business community and among consumers. </w:t>
      </w:r>
      <w:r w:rsidR="008953DE" w:rsidRPr="00530238">
        <w:rPr>
          <w:sz w:val="22"/>
        </w:rPr>
        <w:t xml:space="preserve">By offering incentives and education programs, they can encourage both businesses and individuals to adopt more sustainable behaviours. </w:t>
      </w:r>
      <w:r w:rsidRPr="00530238">
        <w:rPr>
          <w:sz w:val="22"/>
        </w:rPr>
        <w:t>This change in mindset will help build the demand for circular products and services, reinforcing the overall transition.</w:t>
      </w:r>
    </w:p>
    <w:p w14:paraId="03272AA5" w14:textId="77777777" w:rsidR="00B76FD2" w:rsidRPr="005F4D33" w:rsidRDefault="004F5354" w:rsidP="007B02E9">
      <w:pPr>
        <w:pStyle w:val="Heading3"/>
        <w:rPr>
          <w:color w:val="auto"/>
        </w:rPr>
      </w:pPr>
      <w:bookmarkStart w:id="55" w:name="_Toc184220108"/>
      <w:r w:rsidRPr="005F4D33">
        <w:rPr>
          <w:color w:val="auto"/>
        </w:rPr>
        <w:t>Business</w:t>
      </w:r>
      <w:r w:rsidRPr="005F4D33">
        <w:rPr>
          <w:rFonts w:asciiTheme="minorHAnsi" w:eastAsiaTheme="minorHAnsi" w:hAnsiTheme="minorHAnsi" w:cstheme="minorBidi"/>
          <w:b w:val="0"/>
          <w:bCs w:val="0"/>
          <w:color w:val="auto"/>
          <w:szCs w:val="36"/>
        </w:rPr>
        <w:t>: the innovators</w:t>
      </w:r>
      <w:bookmarkEnd w:id="55"/>
    </w:p>
    <w:p w14:paraId="109BA275" w14:textId="77777777" w:rsidR="00B76FD2" w:rsidRPr="00530238" w:rsidRDefault="004F5354" w:rsidP="007B02E9">
      <w:pPr>
        <w:rPr>
          <w:sz w:val="22"/>
        </w:rPr>
      </w:pPr>
      <w:r w:rsidRPr="00530238">
        <w:rPr>
          <w:sz w:val="22"/>
        </w:rPr>
        <w:t>Businesses are at the forefront of driving innovation in a circular economy. They are uniquely positioned to rethink their products and processes to reduce waste, design for durability</w:t>
      </w:r>
      <w:r w:rsidR="00BD007E" w:rsidRPr="00530238">
        <w:rPr>
          <w:sz w:val="22"/>
        </w:rPr>
        <w:t xml:space="preserve"> and repair</w:t>
      </w:r>
      <w:r w:rsidRPr="00530238">
        <w:rPr>
          <w:sz w:val="22"/>
        </w:rPr>
        <w:t>, and enable product reuse, remanufacturing, and recycling.</w:t>
      </w:r>
    </w:p>
    <w:p w14:paraId="3DB423EB" w14:textId="77777777" w:rsidR="007B02E9" w:rsidRPr="005F4D33" w:rsidRDefault="004F5354" w:rsidP="00D47A7C">
      <w:pPr>
        <w:pStyle w:val="Heading4"/>
      </w:pPr>
      <w:r w:rsidRPr="005F4D33">
        <w:t>Strategy</w:t>
      </w:r>
      <w:r w:rsidR="00F82ABE" w:rsidRPr="005F4D33">
        <w:t xml:space="preserve">, </w:t>
      </w:r>
      <w:r w:rsidRPr="005F4D33">
        <w:t>planning</w:t>
      </w:r>
      <w:r w:rsidR="00F82ABE" w:rsidRPr="005F4D33">
        <w:t xml:space="preserve"> and reporting</w:t>
      </w:r>
    </w:p>
    <w:p w14:paraId="42D2CECE" w14:textId="77777777" w:rsidR="001B59CF" w:rsidRPr="00530238" w:rsidRDefault="004F5354" w:rsidP="007B02E9">
      <w:pPr>
        <w:rPr>
          <w:sz w:val="22"/>
        </w:rPr>
      </w:pPr>
      <w:r w:rsidRPr="00530238">
        <w:rPr>
          <w:sz w:val="22"/>
        </w:rPr>
        <w:t xml:space="preserve">Businesses can support the circular economy transition by making it a leadership priority and integrating circular principles into their core strategies. This includes incorporating these principles into business models, setting clear transition targets, </w:t>
      </w:r>
      <w:r w:rsidR="00BD007E" w:rsidRPr="00530238">
        <w:rPr>
          <w:sz w:val="22"/>
        </w:rPr>
        <w:t xml:space="preserve">and </w:t>
      </w:r>
      <w:r w:rsidRPr="00530238">
        <w:rPr>
          <w:sz w:val="22"/>
        </w:rPr>
        <w:t>creating actionable implementation plans.</w:t>
      </w:r>
    </w:p>
    <w:p w14:paraId="2C5485E9" w14:textId="77777777" w:rsidR="00F82ABE" w:rsidRPr="00530238" w:rsidRDefault="004F5354" w:rsidP="007B02E9">
      <w:pPr>
        <w:rPr>
          <w:sz w:val="22"/>
        </w:rPr>
      </w:pPr>
      <w:r w:rsidRPr="00530238">
        <w:rPr>
          <w:sz w:val="22"/>
        </w:rPr>
        <w:t>It is essential to track the transition across all areas of a business to demonstrate the value of business change. This not only informs ongoing strategy but also ensures transparent reporting aligned with internationally recognised standards and frameworks.</w:t>
      </w:r>
    </w:p>
    <w:p w14:paraId="41A203A7" w14:textId="77777777" w:rsidR="00B76FD2" w:rsidRPr="005F4D33" w:rsidRDefault="004F5354" w:rsidP="00D47A7C">
      <w:pPr>
        <w:pStyle w:val="Heading4"/>
      </w:pPr>
      <w:r w:rsidRPr="005F4D33">
        <w:t>Product redesign for circularity</w:t>
      </w:r>
    </w:p>
    <w:p w14:paraId="7F72E67F" w14:textId="607698C7" w:rsidR="00B76FD2" w:rsidRPr="00530238" w:rsidRDefault="004F5354" w:rsidP="007B02E9">
      <w:pPr>
        <w:rPr>
          <w:sz w:val="22"/>
        </w:rPr>
      </w:pPr>
      <w:r w:rsidRPr="00530238">
        <w:rPr>
          <w:sz w:val="22"/>
        </w:rPr>
        <w:t xml:space="preserve">Businesses need to embed circular principles into product design from the outset. This means creating products that are modular, easy to repair, and made from materials that can be reused, recycled or </w:t>
      </w:r>
      <w:r w:rsidRPr="00530238">
        <w:rPr>
          <w:sz w:val="22"/>
        </w:rPr>
        <w:lastRenderedPageBreak/>
        <w:t xml:space="preserve">biodegraded. Innovation in material science, product engineering, and packaging can </w:t>
      </w:r>
      <w:r w:rsidR="009B6674" w:rsidRPr="00530238">
        <w:rPr>
          <w:sz w:val="22"/>
        </w:rPr>
        <w:t>significantly</w:t>
      </w:r>
      <w:r w:rsidRPr="00530238">
        <w:rPr>
          <w:sz w:val="22"/>
        </w:rPr>
        <w:t xml:space="preserve"> reduce waste and create opportunities for new revenue streams through product-as-a-service models.</w:t>
      </w:r>
    </w:p>
    <w:p w14:paraId="76018541" w14:textId="77777777" w:rsidR="00B76FD2" w:rsidRPr="005F4D33" w:rsidRDefault="004F5354" w:rsidP="00D47A7C">
      <w:pPr>
        <w:pStyle w:val="Heading4"/>
      </w:pPr>
      <w:r w:rsidRPr="005F4D33">
        <w:t>Collaboration and partnerships</w:t>
      </w:r>
    </w:p>
    <w:p w14:paraId="3361F6D7" w14:textId="77777777" w:rsidR="00B76FD2" w:rsidRPr="00530238" w:rsidRDefault="004F5354" w:rsidP="007B02E9">
      <w:pPr>
        <w:rPr>
          <w:sz w:val="22"/>
        </w:rPr>
      </w:pPr>
      <w:r w:rsidRPr="00530238">
        <w:rPr>
          <w:sz w:val="22"/>
        </w:rPr>
        <w:t>The transition to a circular economy requires businesses to work together across supply chains. By forming partnerships with suppliers, manufacturers, and recyclers, companies can create closed-loop systems where materials are continually reused. Industry collaboration can help scale circular solutions, share risks, and drive systemic change across entire sectors.</w:t>
      </w:r>
    </w:p>
    <w:p w14:paraId="5047630E" w14:textId="77777777" w:rsidR="00B76FD2" w:rsidRPr="005F4D33" w:rsidRDefault="004F5354" w:rsidP="00D47A7C">
      <w:pPr>
        <w:pStyle w:val="Heading4"/>
      </w:pPr>
      <w:r w:rsidRPr="005F4D33">
        <w:t>Investing in new business models</w:t>
      </w:r>
    </w:p>
    <w:p w14:paraId="5DAFFED4" w14:textId="77777777" w:rsidR="00935577" w:rsidRPr="00530238" w:rsidRDefault="004F5354" w:rsidP="00B76FD2">
      <w:pPr>
        <w:rPr>
          <w:sz w:val="22"/>
        </w:rPr>
      </w:pPr>
      <w:r w:rsidRPr="00530238">
        <w:rPr>
          <w:sz w:val="22"/>
        </w:rPr>
        <w:t>Businesses can unlock value through circular business models such as leasing, sharing, and product-as-a-service. These models can help extend the lifespan of products and reduce the need for virgin materials, while also offering customers flexible and cost-effective alternatives.</w:t>
      </w:r>
    </w:p>
    <w:p w14:paraId="3A1753E2" w14:textId="77777777" w:rsidR="00530238" w:rsidRDefault="00530238" w:rsidP="00530238">
      <w:pPr>
        <w:pStyle w:val="Heading4"/>
      </w:pPr>
      <w:r w:rsidRPr="00745138">
        <w:t>Business indicators</w:t>
      </w:r>
    </w:p>
    <w:p w14:paraId="2BF9D341" w14:textId="77777777" w:rsidR="00530238" w:rsidRPr="00530238" w:rsidRDefault="00530238" w:rsidP="00530238">
      <w:pPr>
        <w:rPr>
          <w:sz w:val="22"/>
        </w:rPr>
      </w:pPr>
      <w:r w:rsidRPr="00530238">
        <w:rPr>
          <w:b/>
          <w:sz w:val="22"/>
        </w:rPr>
        <w:t>Circular Transition Indicators</w:t>
      </w:r>
      <w:r w:rsidRPr="00530238">
        <w:rPr>
          <w:sz w:val="22"/>
        </w:rPr>
        <w:t>: Developed by the World Business Council for Sustainable Development and KPMG, this resource provides a set of indicators that businesses can use to assess their progress towards circularity. The indicators cover various aspects of circularity, including material circularity, renewable energy use, and water stewardship.</w:t>
      </w:r>
    </w:p>
    <w:p w14:paraId="2A2A2966" w14:textId="77777777" w:rsidR="00530238" w:rsidRPr="00530238" w:rsidRDefault="00530238" w:rsidP="00530238">
      <w:pPr>
        <w:rPr>
          <w:sz w:val="22"/>
        </w:rPr>
      </w:pPr>
      <w:proofErr w:type="spellStart"/>
      <w:r w:rsidRPr="00530238">
        <w:rPr>
          <w:b/>
          <w:sz w:val="22"/>
        </w:rPr>
        <w:t>CIRCelligence</w:t>
      </w:r>
      <w:proofErr w:type="spellEnd"/>
      <w:r w:rsidRPr="00530238">
        <w:rPr>
          <w:b/>
          <w:sz w:val="22"/>
        </w:rPr>
        <w:t xml:space="preserve"> Indicators</w:t>
      </w:r>
      <w:r w:rsidRPr="00530238">
        <w:rPr>
          <w:sz w:val="22"/>
        </w:rPr>
        <w:t>: Developed by Boston Consulting Group, this resource provides a comprehensive set of indicators for measuring a company’s circularity. It covers various aspects of a business, including product design, collaborative business models, reverse logistics, and wider system conditions.</w:t>
      </w:r>
    </w:p>
    <w:p w14:paraId="2E82FE28" w14:textId="77777777" w:rsidR="00530238" w:rsidRDefault="00530238" w:rsidP="00530238">
      <w:pPr>
        <w:pStyle w:val="Heading4"/>
      </w:pPr>
      <w:r>
        <w:t>Other circular economy</w:t>
      </w:r>
      <w:r w:rsidRPr="00745138">
        <w:t xml:space="preserve"> indicators</w:t>
      </w:r>
    </w:p>
    <w:p w14:paraId="725CFEAC" w14:textId="77777777" w:rsidR="00530238" w:rsidRPr="00530238" w:rsidRDefault="00530238" w:rsidP="00530238">
      <w:pPr>
        <w:rPr>
          <w:sz w:val="22"/>
        </w:rPr>
      </w:pPr>
      <w:r w:rsidRPr="00530238">
        <w:rPr>
          <w:sz w:val="22"/>
        </w:rPr>
        <w:t>Different economies track various circular economy metrics including:</w:t>
      </w:r>
    </w:p>
    <w:tbl>
      <w:tblPr>
        <w:tblStyle w:val="ListTable3"/>
        <w:tblW w:w="0" w:type="auto"/>
        <w:tblBorders>
          <w:top w:val="none" w:sz="0" w:space="0" w:color="auto"/>
          <w:left w:val="none" w:sz="0" w:space="0" w:color="auto"/>
          <w:bottom w:val="none" w:sz="0" w:space="0" w:color="auto"/>
          <w:right w:val="none" w:sz="0" w:space="0" w:color="auto"/>
        </w:tblBorders>
        <w:shd w:val="clear" w:color="auto" w:fill="F2F2F2" w:themeFill="background1" w:themeFillShade="F2"/>
        <w:tblLook w:val="04A0" w:firstRow="1" w:lastRow="0" w:firstColumn="1" w:lastColumn="0" w:noHBand="0" w:noVBand="1"/>
      </w:tblPr>
      <w:tblGrid>
        <w:gridCol w:w="4508"/>
        <w:gridCol w:w="4508"/>
      </w:tblGrid>
      <w:tr w:rsidR="00530238" w:rsidRPr="00530238" w14:paraId="5AF065A1" w14:textId="77777777" w:rsidTr="00BA0A3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shd w:val="clear" w:color="auto" w:fill="F2F2F2" w:themeFill="background1" w:themeFillShade="F2"/>
          </w:tcPr>
          <w:p w14:paraId="74A30AE3" w14:textId="77777777" w:rsidR="00530238" w:rsidRPr="00530238" w:rsidRDefault="00530238" w:rsidP="00BA0A3E">
            <w:pPr>
              <w:spacing w:after="0"/>
              <w:rPr>
                <w:sz w:val="22"/>
              </w:rPr>
            </w:pPr>
            <w:r w:rsidRPr="00530238">
              <w:rPr>
                <w:color w:val="auto"/>
                <w:sz w:val="22"/>
              </w:rPr>
              <w:t>Indicators that decrease with the transition</w:t>
            </w:r>
          </w:p>
        </w:tc>
        <w:tc>
          <w:tcPr>
            <w:tcW w:w="4508" w:type="dxa"/>
            <w:shd w:val="clear" w:color="auto" w:fill="F2F2F2" w:themeFill="background1" w:themeFillShade="F2"/>
          </w:tcPr>
          <w:p w14:paraId="2DE590CA" w14:textId="77777777" w:rsidR="00530238" w:rsidRPr="00530238" w:rsidRDefault="00530238" w:rsidP="00BA0A3E">
            <w:pPr>
              <w:spacing w:after="0"/>
              <w:cnfStyle w:val="100000000000" w:firstRow="1" w:lastRow="0" w:firstColumn="0" w:lastColumn="0" w:oddVBand="0" w:evenVBand="0" w:oddHBand="0" w:evenHBand="0" w:firstRowFirstColumn="0" w:firstRowLastColumn="0" w:lastRowFirstColumn="0" w:lastRowLastColumn="0"/>
              <w:rPr>
                <w:sz w:val="22"/>
              </w:rPr>
            </w:pPr>
            <w:r w:rsidRPr="00530238">
              <w:rPr>
                <w:color w:val="auto"/>
                <w:sz w:val="22"/>
              </w:rPr>
              <w:t>Indicators that increase with the transition</w:t>
            </w:r>
          </w:p>
        </w:tc>
      </w:tr>
      <w:tr w:rsidR="00530238" w:rsidRPr="00530238" w14:paraId="1341A784" w14:textId="77777777" w:rsidTr="00BA0A3E">
        <w:trPr>
          <w:cnfStyle w:val="000000100000" w:firstRow="0" w:lastRow="0" w:firstColumn="0" w:lastColumn="0" w:oddVBand="0" w:evenVBand="0" w:oddHBand="1" w:evenHBand="0" w:firstRowFirstColumn="0" w:firstRowLastColumn="0" w:lastRowFirstColumn="0" w:lastRowLastColumn="0"/>
          <w:trHeight w:val="2219"/>
        </w:trPr>
        <w:tc>
          <w:tcPr>
            <w:cnfStyle w:val="001000000000" w:firstRow="0" w:lastRow="0" w:firstColumn="1" w:lastColumn="0" w:oddVBand="0" w:evenVBand="0" w:oddHBand="0" w:evenHBand="0" w:firstRowFirstColumn="0" w:firstRowLastColumn="0" w:lastRowFirstColumn="0" w:lastRowLastColumn="0"/>
            <w:tcW w:w="4508" w:type="dxa"/>
            <w:shd w:val="clear" w:color="auto" w:fill="F2F2F2" w:themeFill="background1" w:themeFillShade="F2"/>
          </w:tcPr>
          <w:p w14:paraId="5377BFEF" w14:textId="77777777" w:rsidR="00530238" w:rsidRPr="00530238" w:rsidRDefault="00530238" w:rsidP="00BA0A3E">
            <w:pPr>
              <w:pStyle w:val="ListParagraph"/>
              <w:numPr>
                <w:ilvl w:val="0"/>
                <w:numId w:val="16"/>
              </w:numPr>
              <w:rPr>
                <w:sz w:val="22"/>
              </w:rPr>
            </w:pPr>
            <w:r w:rsidRPr="00530238">
              <w:rPr>
                <w:b w:val="0"/>
                <w:bCs w:val="0"/>
                <w:sz w:val="22"/>
              </w:rPr>
              <w:t>Material footprint</w:t>
            </w:r>
          </w:p>
          <w:p w14:paraId="340B03A0" w14:textId="77777777" w:rsidR="00530238" w:rsidRPr="00530238" w:rsidRDefault="00530238" w:rsidP="00BA0A3E">
            <w:pPr>
              <w:pStyle w:val="ListParagraph"/>
              <w:numPr>
                <w:ilvl w:val="0"/>
                <w:numId w:val="16"/>
              </w:numPr>
              <w:rPr>
                <w:sz w:val="22"/>
              </w:rPr>
            </w:pPr>
            <w:r w:rsidRPr="00530238">
              <w:rPr>
                <w:b w:val="0"/>
                <w:bCs w:val="0"/>
                <w:sz w:val="22"/>
              </w:rPr>
              <w:t>Households and sector waste</w:t>
            </w:r>
          </w:p>
          <w:p w14:paraId="2596D5C3" w14:textId="77777777" w:rsidR="00530238" w:rsidRPr="00530238" w:rsidRDefault="00530238" w:rsidP="00BA0A3E">
            <w:pPr>
              <w:pStyle w:val="ListParagraph"/>
              <w:numPr>
                <w:ilvl w:val="0"/>
                <w:numId w:val="16"/>
              </w:numPr>
              <w:rPr>
                <w:sz w:val="22"/>
              </w:rPr>
            </w:pPr>
            <w:r w:rsidRPr="00530238">
              <w:rPr>
                <w:b w:val="0"/>
                <w:bCs w:val="0"/>
                <w:sz w:val="22"/>
              </w:rPr>
              <w:t>Waste landfilled</w:t>
            </w:r>
          </w:p>
          <w:p w14:paraId="26935C01" w14:textId="77777777" w:rsidR="00530238" w:rsidRPr="00530238" w:rsidRDefault="00530238" w:rsidP="00BA0A3E">
            <w:pPr>
              <w:pStyle w:val="ListParagraph"/>
              <w:numPr>
                <w:ilvl w:val="0"/>
                <w:numId w:val="16"/>
              </w:numPr>
              <w:rPr>
                <w:sz w:val="22"/>
              </w:rPr>
            </w:pPr>
            <w:r w:rsidRPr="00530238">
              <w:rPr>
                <w:b w:val="0"/>
                <w:bCs w:val="0"/>
                <w:sz w:val="22"/>
              </w:rPr>
              <w:t>Water use</w:t>
            </w:r>
          </w:p>
          <w:p w14:paraId="7E3D54BF" w14:textId="77777777" w:rsidR="00530238" w:rsidRPr="00530238" w:rsidRDefault="00530238" w:rsidP="00BA0A3E">
            <w:pPr>
              <w:pStyle w:val="ListParagraph"/>
              <w:numPr>
                <w:ilvl w:val="0"/>
                <w:numId w:val="16"/>
              </w:numPr>
              <w:rPr>
                <w:sz w:val="22"/>
              </w:rPr>
            </w:pPr>
            <w:r w:rsidRPr="00530238">
              <w:rPr>
                <w:b w:val="0"/>
                <w:bCs w:val="0"/>
                <w:sz w:val="22"/>
              </w:rPr>
              <w:t>Water pollution incidents</w:t>
            </w:r>
          </w:p>
          <w:p w14:paraId="11E9210B" w14:textId="77777777" w:rsidR="00530238" w:rsidRPr="00530238" w:rsidRDefault="00530238" w:rsidP="00BA0A3E">
            <w:pPr>
              <w:pStyle w:val="ListParagraph"/>
              <w:numPr>
                <w:ilvl w:val="0"/>
                <w:numId w:val="16"/>
              </w:numPr>
              <w:rPr>
                <w:sz w:val="22"/>
              </w:rPr>
            </w:pPr>
            <w:r w:rsidRPr="00530238">
              <w:rPr>
                <w:b w:val="0"/>
                <w:bCs w:val="0"/>
                <w:sz w:val="22"/>
              </w:rPr>
              <w:t>GHG emissions across sectors</w:t>
            </w:r>
          </w:p>
          <w:p w14:paraId="37A56E00" w14:textId="77777777" w:rsidR="00530238" w:rsidRPr="00530238" w:rsidRDefault="00530238" w:rsidP="00BA0A3E">
            <w:pPr>
              <w:pStyle w:val="ListParagraph"/>
              <w:numPr>
                <w:ilvl w:val="0"/>
                <w:numId w:val="16"/>
              </w:numPr>
              <w:rPr>
                <w:sz w:val="22"/>
              </w:rPr>
            </w:pPr>
            <w:r w:rsidRPr="00530238">
              <w:rPr>
                <w:b w:val="0"/>
                <w:bCs w:val="0"/>
                <w:sz w:val="22"/>
              </w:rPr>
              <w:t>Overall energy use</w:t>
            </w:r>
          </w:p>
          <w:p w14:paraId="6079C905" w14:textId="77777777" w:rsidR="00530238" w:rsidRPr="00530238" w:rsidRDefault="00530238" w:rsidP="00BA0A3E">
            <w:pPr>
              <w:pStyle w:val="ListParagraph"/>
              <w:numPr>
                <w:ilvl w:val="0"/>
                <w:numId w:val="16"/>
              </w:numPr>
              <w:rPr>
                <w:sz w:val="22"/>
              </w:rPr>
            </w:pPr>
            <w:r w:rsidRPr="00530238">
              <w:rPr>
                <w:b w:val="0"/>
                <w:bCs w:val="0"/>
                <w:sz w:val="22"/>
              </w:rPr>
              <w:t>Number of derelict buildings and empty homes</w:t>
            </w:r>
          </w:p>
          <w:p w14:paraId="3B21A88C" w14:textId="77777777" w:rsidR="00530238" w:rsidRPr="00530238" w:rsidRDefault="00530238" w:rsidP="00BA0A3E">
            <w:pPr>
              <w:pStyle w:val="ListParagraph"/>
              <w:numPr>
                <w:ilvl w:val="0"/>
                <w:numId w:val="16"/>
              </w:numPr>
              <w:rPr>
                <w:sz w:val="22"/>
              </w:rPr>
            </w:pPr>
            <w:r w:rsidRPr="00530238">
              <w:rPr>
                <w:b w:val="0"/>
                <w:bCs w:val="0"/>
                <w:sz w:val="22"/>
              </w:rPr>
              <w:t>Biodiversity loss</w:t>
            </w:r>
          </w:p>
        </w:tc>
        <w:tc>
          <w:tcPr>
            <w:tcW w:w="4508" w:type="dxa"/>
            <w:shd w:val="clear" w:color="auto" w:fill="F2F2F2" w:themeFill="background1" w:themeFillShade="F2"/>
          </w:tcPr>
          <w:p w14:paraId="154BD3A3"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Resource recovery rates</w:t>
            </w:r>
          </w:p>
          <w:p w14:paraId="1902C05A"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Reuse and repair enterprises</w:t>
            </w:r>
          </w:p>
          <w:p w14:paraId="1999EFA6"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Companies publishing ESG reports</w:t>
            </w:r>
          </w:p>
          <w:p w14:paraId="418B7A90"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Green/circular jobs</w:t>
            </w:r>
          </w:p>
          <w:p w14:paraId="1EE9B630"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Water, soil and air quality</w:t>
            </w:r>
          </w:p>
          <w:p w14:paraId="06FF1B0B"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Nutrient capture and reuse</w:t>
            </w:r>
          </w:p>
          <w:p w14:paraId="03BD330A"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Energy from renewable sources</w:t>
            </w:r>
          </w:p>
          <w:p w14:paraId="0C5BC966"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Public sustainable procurement</w:t>
            </w:r>
          </w:p>
          <w:p w14:paraId="3849FB76"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Patents for circular goods</w:t>
            </w:r>
          </w:p>
          <w:p w14:paraId="0940BA8F" w14:textId="77777777" w:rsidR="00530238" w:rsidRPr="00530238" w:rsidRDefault="00530238" w:rsidP="00BA0A3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2"/>
              </w:rPr>
            </w:pPr>
            <w:r w:rsidRPr="00530238">
              <w:rPr>
                <w:sz w:val="22"/>
              </w:rPr>
              <w:t>Retrofitted homes</w:t>
            </w:r>
          </w:p>
        </w:tc>
      </w:tr>
    </w:tbl>
    <w:p w14:paraId="58C422D5" w14:textId="77777777" w:rsidR="00530238" w:rsidRDefault="00530238" w:rsidP="00530238">
      <w:pPr>
        <w:rPr>
          <w:rStyle w:val="PlaceholderText"/>
          <w:color w:val="191818" w:themeColor="text2" w:themeShade="BF"/>
        </w:rPr>
      </w:pPr>
    </w:p>
    <w:p w14:paraId="43CFF6B0" w14:textId="7141AEE6" w:rsidR="00935577" w:rsidRPr="005F4D33" w:rsidRDefault="004F5354">
      <w:pPr>
        <w:spacing w:after="0"/>
      </w:pPr>
      <w:r w:rsidRPr="005F4D33">
        <w:br w:type="page"/>
      </w:r>
    </w:p>
    <w:p w14:paraId="1C379874" w14:textId="196A859C" w:rsidR="00EC0B11" w:rsidRPr="005F4D33" w:rsidRDefault="00EC0B11" w:rsidP="00EC0B11">
      <w:pPr>
        <w:pStyle w:val="Heading3"/>
        <w:rPr>
          <w:color w:val="auto"/>
        </w:rPr>
      </w:pPr>
      <w:bookmarkStart w:id="56" w:name="_Toc184220109"/>
      <w:r w:rsidRPr="005F4D33">
        <w:rPr>
          <w:color w:val="auto"/>
        </w:rPr>
        <w:lastRenderedPageBreak/>
        <w:t>Investors</w:t>
      </w:r>
      <w:r w:rsidRPr="005F4D33">
        <w:rPr>
          <w:rFonts w:asciiTheme="minorHAnsi" w:eastAsiaTheme="minorHAnsi" w:hAnsiTheme="minorHAnsi" w:cstheme="minorBidi"/>
          <w:b w:val="0"/>
          <w:bCs w:val="0"/>
          <w:color w:val="auto"/>
          <w:szCs w:val="36"/>
        </w:rPr>
        <w:t>: the catalysts</w:t>
      </w:r>
      <w:bookmarkEnd w:id="56"/>
    </w:p>
    <w:p w14:paraId="1BE05DCE" w14:textId="77777777" w:rsidR="00EC0B11" w:rsidRPr="00530238" w:rsidRDefault="004F5354" w:rsidP="0097206A">
      <w:pPr>
        <w:rPr>
          <w:sz w:val="22"/>
        </w:rPr>
      </w:pPr>
      <w:r w:rsidRPr="00530238">
        <w:rPr>
          <w:sz w:val="22"/>
        </w:rPr>
        <w:t xml:space="preserve">By directing capital toward circular solutions, </w:t>
      </w:r>
      <w:r w:rsidR="002057BA" w:rsidRPr="00530238">
        <w:rPr>
          <w:sz w:val="22"/>
        </w:rPr>
        <w:t>investors</w:t>
      </w:r>
      <w:r w:rsidRPr="00530238">
        <w:rPr>
          <w:sz w:val="22"/>
        </w:rPr>
        <w:t xml:space="preserve"> can help scale innovative business models, technologies, and infrastructure that support resource efficiency and waste reduction. The financial sector has a significant opportunity to influence the pace of change by aligning investment strategies with circular economy principles.</w:t>
      </w:r>
    </w:p>
    <w:p w14:paraId="097B5C24" w14:textId="77777777" w:rsidR="0097206A" w:rsidRPr="005F4D33" w:rsidRDefault="004F5354" w:rsidP="00D47A7C">
      <w:pPr>
        <w:pStyle w:val="Heading4"/>
      </w:pPr>
      <w:r w:rsidRPr="005F4D33">
        <w:t>Prioritising circular economy investments</w:t>
      </w:r>
    </w:p>
    <w:p w14:paraId="5C8A7C4F" w14:textId="77777777" w:rsidR="00EC0B11" w:rsidRPr="00530238" w:rsidRDefault="004F5354" w:rsidP="0097206A">
      <w:pPr>
        <w:rPr>
          <w:sz w:val="22"/>
        </w:rPr>
      </w:pPr>
      <w:r w:rsidRPr="00530238">
        <w:rPr>
          <w:sz w:val="22"/>
        </w:rPr>
        <w:t xml:space="preserve">Investors can drive change by prioritising investments in companies and sectors that are adopting circular practices. This includes businesses that focus on product reuse, remanufacturing, recycling, and innovative materials. </w:t>
      </w:r>
      <w:r w:rsidR="008D5127" w:rsidRPr="00530238">
        <w:rPr>
          <w:sz w:val="22"/>
        </w:rPr>
        <w:t>I</w:t>
      </w:r>
      <w:r w:rsidRPr="00530238">
        <w:rPr>
          <w:sz w:val="22"/>
        </w:rPr>
        <w:t>nvestors can help these businesses scale and compete with traditional linear models, creating both financial returns and positive environmental outcomes.</w:t>
      </w:r>
    </w:p>
    <w:p w14:paraId="47CFDB7C" w14:textId="77777777" w:rsidR="00EC0B11" w:rsidRPr="00530238" w:rsidRDefault="004F5354" w:rsidP="0097206A">
      <w:pPr>
        <w:rPr>
          <w:sz w:val="22"/>
        </w:rPr>
      </w:pPr>
      <w:r w:rsidRPr="00530238">
        <w:rPr>
          <w:sz w:val="22"/>
        </w:rPr>
        <w:t>Venture capital and private equity firms can support early-stage companies developing breakthrough technologies that enable circularity, such as advanced recycling processes, materials innovation, and digital platforms that facilitate product sharing or leasing.</w:t>
      </w:r>
    </w:p>
    <w:p w14:paraId="0C23F666" w14:textId="77777777" w:rsidR="0097206A" w:rsidRPr="005F4D33" w:rsidRDefault="004F5354" w:rsidP="00D47A7C">
      <w:pPr>
        <w:pStyle w:val="Heading4"/>
      </w:pPr>
      <w:r w:rsidRPr="005F4D33">
        <w:t>Embedding circularity into ESG frameworks</w:t>
      </w:r>
    </w:p>
    <w:p w14:paraId="5AB04C11" w14:textId="77777777" w:rsidR="00EC0B11" w:rsidRPr="00530238" w:rsidRDefault="004F5354" w:rsidP="0097206A">
      <w:pPr>
        <w:rPr>
          <w:sz w:val="22"/>
        </w:rPr>
      </w:pPr>
      <w:r w:rsidRPr="00530238">
        <w:rPr>
          <w:sz w:val="22"/>
        </w:rPr>
        <w:t>As ESG considerations become increasingly important in investment decisions, circular economy principles are being embedded into these frameworks. Investors can assess companies based on their resource efficiency, waste reduction strategies, and commitment to sustainable supply chains. By integrating circularity into ESG criteria, investors can encourage businesses to adopt practices that not only benefit the environment but also strengthen long-term resilience and profitability.</w:t>
      </w:r>
    </w:p>
    <w:p w14:paraId="38631E0A" w14:textId="77777777" w:rsidR="0097206A" w:rsidRPr="005F4D33" w:rsidRDefault="004F5354" w:rsidP="00D47A7C">
      <w:pPr>
        <w:pStyle w:val="Heading4"/>
      </w:pPr>
      <w:r w:rsidRPr="005F4D33">
        <w:t>Engaging in active ownership and stewardship</w:t>
      </w:r>
    </w:p>
    <w:p w14:paraId="4D8434C2" w14:textId="77777777" w:rsidR="00EC0B11" w:rsidRPr="00530238" w:rsidRDefault="004F5354" w:rsidP="0097206A">
      <w:pPr>
        <w:rPr>
          <w:sz w:val="22"/>
        </w:rPr>
      </w:pPr>
      <w:r w:rsidRPr="00530238">
        <w:rPr>
          <w:sz w:val="22"/>
        </w:rPr>
        <w:t>Investors can play an active role in promoting circularity by engaging with companies in their portfolios. Through active ownership, investors can influence corporate strategies, encouraging businesses to adopt circular practices, improve product lifecycles, and reduce waste.</w:t>
      </w:r>
    </w:p>
    <w:p w14:paraId="63E8C91F" w14:textId="1E631176" w:rsidR="00EC0B11" w:rsidRPr="00530238" w:rsidRDefault="004F5354" w:rsidP="0097206A">
      <w:pPr>
        <w:rPr>
          <w:sz w:val="22"/>
        </w:rPr>
      </w:pPr>
      <w:r w:rsidRPr="00530238">
        <w:rPr>
          <w:sz w:val="22"/>
        </w:rPr>
        <w:t xml:space="preserve">Collaborative initiatives among investors, such as the </w:t>
      </w:r>
      <w:r w:rsidR="00877E21" w:rsidRPr="00877E21">
        <w:rPr>
          <w:sz w:val="22"/>
        </w:rPr>
        <w:t>Industrial Circular Economy Investments Alliance</w:t>
      </w:r>
      <w:r w:rsidRPr="00530238">
        <w:rPr>
          <w:sz w:val="22"/>
        </w:rPr>
        <w:t>, can amplify these efforts by promoting best practices, sharing insights, and advocating for systemic change across the financial sector.</w:t>
      </w:r>
    </w:p>
    <w:p w14:paraId="74789183" w14:textId="77777777" w:rsidR="0097206A" w:rsidRPr="005F4D33" w:rsidRDefault="004F5354" w:rsidP="00D47A7C">
      <w:pPr>
        <w:pStyle w:val="Heading4"/>
      </w:pPr>
      <w:r w:rsidRPr="005F4D33">
        <w:t>De-risking circular economy investments</w:t>
      </w:r>
    </w:p>
    <w:p w14:paraId="203A4BDE" w14:textId="77777777" w:rsidR="00530238" w:rsidRDefault="004F5354" w:rsidP="00FE0A8E">
      <w:pPr>
        <w:rPr>
          <w:noProof/>
        </w:rPr>
      </w:pPr>
      <w:r w:rsidRPr="00530238">
        <w:rPr>
          <w:sz w:val="22"/>
        </w:rPr>
        <w:t>Transitioning to a circular economy can involve new risks for businesses, including shifts in supply chains and the need for upfront capital investment. Investors can play a key role in de-risking these transitions by providing patient capital, offering flexible financing terms, or supporting public-private partnerships.</w:t>
      </w:r>
      <w:r w:rsidR="009D47C1" w:rsidRPr="009D47C1">
        <w:rPr>
          <w:noProof/>
        </w:rPr>
        <w:t xml:space="preserve"> </w:t>
      </w:r>
    </w:p>
    <w:p w14:paraId="777D352C" w14:textId="77777777" w:rsidR="00530238" w:rsidRDefault="00530238" w:rsidP="00530238">
      <w:pPr>
        <w:pStyle w:val="Heading4"/>
      </w:pPr>
      <w:r>
        <w:t>Circular economy in financial frameworks – A growing trend</w:t>
      </w:r>
    </w:p>
    <w:p w14:paraId="196DDBA9" w14:textId="77777777" w:rsidR="00530238" w:rsidRPr="00530238" w:rsidRDefault="00530238" w:rsidP="00530238">
      <w:pPr>
        <w:rPr>
          <w:color w:val="191818" w:themeColor="text2" w:themeShade="BF"/>
          <w:sz w:val="22"/>
        </w:rPr>
      </w:pPr>
      <w:r w:rsidRPr="00530238">
        <w:rPr>
          <w:color w:val="191818" w:themeColor="text2" w:themeShade="BF"/>
          <w:sz w:val="22"/>
        </w:rPr>
        <w:t>The integration of circular economy and resource efficiency principles into financial frameworks is gaining momentum as investors and regulators recognise the need for more sustainable economic models. This shift is reflected in the increasing inclusion of circular economy metrics in ESG frameworks and disclosure standards.</w:t>
      </w:r>
    </w:p>
    <w:p w14:paraId="2690B3D8" w14:textId="77777777" w:rsidR="00530238" w:rsidRPr="00530238" w:rsidRDefault="00530238" w:rsidP="00530238">
      <w:pPr>
        <w:numPr>
          <w:ilvl w:val="0"/>
          <w:numId w:val="18"/>
        </w:numPr>
        <w:rPr>
          <w:color w:val="191818" w:themeColor="text2" w:themeShade="BF"/>
          <w:sz w:val="22"/>
        </w:rPr>
      </w:pPr>
      <w:r w:rsidRPr="00530238">
        <w:rPr>
          <w:b/>
          <w:bCs/>
          <w:color w:val="191818" w:themeColor="text2" w:themeShade="BF"/>
          <w:sz w:val="22"/>
        </w:rPr>
        <w:t>ESG integration</w:t>
      </w:r>
      <w:r w:rsidRPr="00530238">
        <w:rPr>
          <w:color w:val="191818" w:themeColor="text2" w:themeShade="BF"/>
          <w:sz w:val="22"/>
        </w:rPr>
        <w:t>: Circular economy principles are becoming a key component of ESG assessments. Investors are looking beyond short-term financial gains and focusing on long-term sustainability, evaluating how companies manage resources, reduce waste, and design products for longevity and recyclability. Companies with strong circular practices are being rewarded with higher ESG scores, reflecting their resilience and alignment with global sustainability goals.</w:t>
      </w:r>
    </w:p>
    <w:p w14:paraId="185029F5" w14:textId="77777777" w:rsidR="00530238" w:rsidRPr="00530238" w:rsidRDefault="00530238" w:rsidP="00530238">
      <w:pPr>
        <w:numPr>
          <w:ilvl w:val="0"/>
          <w:numId w:val="18"/>
        </w:numPr>
        <w:rPr>
          <w:color w:val="191818" w:themeColor="text2" w:themeShade="BF"/>
          <w:sz w:val="22"/>
        </w:rPr>
      </w:pPr>
      <w:r w:rsidRPr="00530238">
        <w:rPr>
          <w:b/>
          <w:bCs/>
          <w:color w:val="191818" w:themeColor="text2" w:themeShade="BF"/>
          <w:sz w:val="22"/>
        </w:rPr>
        <w:t>Disclosure standards</w:t>
      </w:r>
      <w:r w:rsidRPr="00530238">
        <w:rPr>
          <w:color w:val="191818" w:themeColor="text2" w:themeShade="BF"/>
          <w:sz w:val="22"/>
        </w:rPr>
        <w:t xml:space="preserve">: Global disclosure frameworks, such as the those developed by the Task Force on Climate-Related Financial Disclosures (TCFD) and the International Sustainability Standards Board (ISSB) guidelines, are beginning to incorporate circular economy considerations. Companies are increasingly expected to disclose their resource use, waste </w:t>
      </w:r>
      <w:r w:rsidRPr="00530238">
        <w:rPr>
          <w:color w:val="191818" w:themeColor="text2" w:themeShade="BF"/>
          <w:sz w:val="22"/>
        </w:rPr>
        <w:lastRenderedPageBreak/>
        <w:t>management strategies, and efforts to close material loops, giving investors better insights into their sustainability performance.</w:t>
      </w:r>
    </w:p>
    <w:p w14:paraId="5666503A" w14:textId="77777777" w:rsidR="00530238" w:rsidRPr="00530238" w:rsidRDefault="00530238" w:rsidP="00530238">
      <w:pPr>
        <w:numPr>
          <w:ilvl w:val="0"/>
          <w:numId w:val="18"/>
        </w:numPr>
        <w:rPr>
          <w:color w:val="191818" w:themeColor="text2" w:themeShade="BF"/>
          <w:sz w:val="22"/>
        </w:rPr>
      </w:pPr>
      <w:r w:rsidRPr="00530238">
        <w:rPr>
          <w:b/>
          <w:bCs/>
          <w:color w:val="191818" w:themeColor="text2" w:themeShade="BF"/>
          <w:sz w:val="22"/>
        </w:rPr>
        <w:t>Financial products and bonds</w:t>
      </w:r>
      <w:r w:rsidRPr="00530238">
        <w:rPr>
          <w:color w:val="191818" w:themeColor="text2" w:themeShade="BF"/>
          <w:sz w:val="22"/>
        </w:rPr>
        <w:t>: The financial sector is seeing a rise in sustainability-linked bonds and green bonds that target circular economy outcomes. These financial instruments are tied to measurable sustainability goals, such as reducing waste or increasing the use of recycled materials, providing both financial returns and environmental benefits. For example, the European Investment Bank, alongside Europe's largest public and promotional banks, has committed €16 billion to finance circular economy projects by 2025.</w:t>
      </w:r>
    </w:p>
    <w:p w14:paraId="2E20B210" w14:textId="77777777" w:rsidR="00530238" w:rsidRPr="00530238" w:rsidRDefault="00530238" w:rsidP="00530238">
      <w:pPr>
        <w:rPr>
          <w:color w:val="191818" w:themeColor="text2" w:themeShade="BF"/>
          <w:sz w:val="22"/>
        </w:rPr>
      </w:pPr>
      <w:r w:rsidRPr="00530238">
        <w:rPr>
          <w:color w:val="191818" w:themeColor="text2" w:themeShade="BF"/>
          <w:sz w:val="22"/>
        </w:rPr>
        <w:t xml:space="preserve">This growing focus on circularity within financial frameworks not only drives more sustainable business practices but also signals a broader shift in how value is measured </w:t>
      </w:r>
      <w:r w:rsidRPr="00530238">
        <w:rPr>
          <w:rFonts w:cstheme="minorHAnsi"/>
          <w:color w:val="191818" w:themeColor="text2" w:themeShade="BF"/>
          <w:sz w:val="22"/>
        </w:rPr>
        <w:t xml:space="preserve">– </w:t>
      </w:r>
      <w:r w:rsidRPr="00530238">
        <w:rPr>
          <w:color w:val="191818" w:themeColor="text2" w:themeShade="BF"/>
          <w:sz w:val="22"/>
        </w:rPr>
        <w:t>moving from a purely financial perspective to one that accounts for environmental impact and resource efficiency.</w:t>
      </w:r>
    </w:p>
    <w:p w14:paraId="375BE65B" w14:textId="77777777" w:rsidR="00530238" w:rsidRPr="00530238" w:rsidRDefault="00530238" w:rsidP="00530238">
      <w:pPr>
        <w:rPr>
          <w:color w:val="191818" w:themeColor="text2" w:themeShade="BF"/>
          <w:sz w:val="22"/>
        </w:rPr>
      </w:pPr>
      <w:r w:rsidRPr="00530238">
        <w:rPr>
          <w:color w:val="191818" w:themeColor="text2" w:themeShade="BF"/>
          <w:sz w:val="22"/>
        </w:rPr>
        <w:t>The Australian Government is contributing to this shift by creating a Nature Repair Market and establishing the Nature Finance Council. These initiatives aim to facilitate investment in projects that restore and protect natural environments, aligning financial flows with nature-positive outcomes.</w:t>
      </w:r>
    </w:p>
    <w:p w14:paraId="5BA10307" w14:textId="77777777" w:rsidR="00530238" w:rsidRPr="00530238" w:rsidRDefault="00530238" w:rsidP="00530238">
      <w:pPr>
        <w:rPr>
          <w:rStyle w:val="PlaceholderText"/>
          <w:color w:val="191818" w:themeColor="text2" w:themeShade="BF"/>
          <w:sz w:val="22"/>
        </w:rPr>
      </w:pPr>
      <w:r w:rsidRPr="00530238">
        <w:rPr>
          <w:color w:val="191818" w:themeColor="text2" w:themeShade="BF"/>
          <w:sz w:val="22"/>
        </w:rPr>
        <w:t>Australia’s Measuring What Matters framework integrates sustainability indicators, ensuring that factors such as resource efficiency and ecological health are considered in national policy and investment decisions. Additionally, the introduction of climate disclosure requirements in Australia is expected to foster transparency and encourage more sustainable business practices.</w:t>
      </w:r>
    </w:p>
    <w:p w14:paraId="32D84D16" w14:textId="3FCC6B39" w:rsidR="009D47C1" w:rsidRDefault="009D47C1" w:rsidP="00FE0A8E">
      <w:pPr>
        <w:rPr>
          <w:sz w:val="18"/>
          <w:szCs w:val="18"/>
        </w:rPr>
      </w:pPr>
      <w:r>
        <w:rPr>
          <w:sz w:val="18"/>
          <w:szCs w:val="18"/>
        </w:rPr>
        <w:br w:type="page"/>
      </w:r>
    </w:p>
    <w:p w14:paraId="282C9B21" w14:textId="31AEDD3C" w:rsidR="00EC0B11" w:rsidRPr="005F4D33" w:rsidRDefault="00EC0B11" w:rsidP="0097206A">
      <w:pPr>
        <w:rPr>
          <w:sz w:val="18"/>
          <w:szCs w:val="18"/>
        </w:rPr>
      </w:pPr>
    </w:p>
    <w:p w14:paraId="2B891446" w14:textId="743FE924" w:rsidR="007E2995" w:rsidRPr="005F4D33" w:rsidRDefault="007E2995" w:rsidP="00390173">
      <w:pPr>
        <w:pStyle w:val="Heading3"/>
        <w:spacing w:after="120"/>
        <w:rPr>
          <w:color w:val="auto"/>
        </w:rPr>
      </w:pPr>
      <w:bookmarkStart w:id="57" w:name="_Toc184220110"/>
      <w:r w:rsidRPr="005F4D33">
        <w:rPr>
          <w:color w:val="auto"/>
        </w:rPr>
        <w:t>Researchers and NGOs</w:t>
      </w:r>
      <w:r w:rsidRPr="005F4D33">
        <w:rPr>
          <w:rFonts w:asciiTheme="minorHAnsi" w:eastAsiaTheme="minorHAnsi" w:hAnsiTheme="minorHAnsi" w:cstheme="minorBidi"/>
          <w:b w:val="0"/>
          <w:bCs w:val="0"/>
          <w:color w:val="auto"/>
          <w:szCs w:val="36"/>
        </w:rPr>
        <w:t>: the thought leaders</w:t>
      </w:r>
      <w:bookmarkEnd w:id="57"/>
    </w:p>
    <w:p w14:paraId="44DB9EDE" w14:textId="77777777" w:rsidR="007E2995" w:rsidRPr="00530238" w:rsidRDefault="004F5354" w:rsidP="007E2995">
      <w:pPr>
        <w:rPr>
          <w:sz w:val="22"/>
        </w:rPr>
      </w:pPr>
      <w:r w:rsidRPr="00530238">
        <w:rPr>
          <w:sz w:val="22"/>
        </w:rPr>
        <w:t>Research institutions, universities, and non-governmental organi</w:t>
      </w:r>
      <w:r w:rsidR="00313904" w:rsidRPr="00530238">
        <w:rPr>
          <w:sz w:val="22"/>
        </w:rPr>
        <w:t>s</w:t>
      </w:r>
      <w:r w:rsidRPr="00530238">
        <w:rPr>
          <w:sz w:val="22"/>
        </w:rPr>
        <w:t>ations (NGOs) provide the necessary research, education, and advocacy to drive the circular economy forward.</w:t>
      </w:r>
    </w:p>
    <w:p w14:paraId="386A7188" w14:textId="77777777" w:rsidR="007E2995" w:rsidRPr="005F4D33" w:rsidRDefault="004F5354" w:rsidP="00923EF3">
      <w:pPr>
        <w:pStyle w:val="Heading4"/>
      </w:pPr>
      <w:r w:rsidRPr="005F4D33">
        <w:t>Advancing research and development</w:t>
      </w:r>
    </w:p>
    <w:p w14:paraId="669241CD" w14:textId="77777777" w:rsidR="007E2995" w:rsidRPr="00530238" w:rsidRDefault="004F5354" w:rsidP="007E2995">
      <w:pPr>
        <w:rPr>
          <w:sz w:val="22"/>
        </w:rPr>
      </w:pPr>
      <w:r w:rsidRPr="00530238">
        <w:rPr>
          <w:sz w:val="22"/>
        </w:rPr>
        <w:t xml:space="preserve">Academia plays a role in exploring new materials, technologies, and business models that can accelerate the shift to a circular economy. By investing in research focused </w:t>
      </w:r>
      <w:r w:rsidR="002E0964" w:rsidRPr="00530238">
        <w:rPr>
          <w:sz w:val="22"/>
        </w:rPr>
        <w:t>on the priorities of this framework</w:t>
      </w:r>
      <w:r w:rsidR="00072E8E" w:rsidRPr="00530238">
        <w:rPr>
          <w:sz w:val="22"/>
        </w:rPr>
        <w:t xml:space="preserve"> and Australia’s National Research and Science Priorities</w:t>
      </w:r>
      <w:r w:rsidRPr="00530238">
        <w:rPr>
          <w:sz w:val="22"/>
        </w:rPr>
        <w:t>, academia can support businesses and governments with the knowledge and tools needed to transition.</w:t>
      </w:r>
    </w:p>
    <w:p w14:paraId="13F335AF" w14:textId="77777777" w:rsidR="007E2995" w:rsidRPr="005F4D33" w:rsidRDefault="004F5354" w:rsidP="00923EF3">
      <w:pPr>
        <w:pStyle w:val="Heading4"/>
      </w:pPr>
      <w:r w:rsidRPr="005F4D33">
        <w:t>Raising awareness and advocating for change</w:t>
      </w:r>
    </w:p>
    <w:p w14:paraId="745F36BD" w14:textId="77777777" w:rsidR="007E2995" w:rsidRPr="00530238" w:rsidRDefault="004F5354" w:rsidP="007E2995">
      <w:pPr>
        <w:rPr>
          <w:sz w:val="22"/>
        </w:rPr>
      </w:pPr>
      <w:r w:rsidRPr="00530238">
        <w:rPr>
          <w:sz w:val="22"/>
        </w:rPr>
        <w:t xml:space="preserve">NGOs can act as a bridge between the public, policymakers, and businesses by raising awareness about the benefits of circularity and holding stakeholders accountable for progress. Through campaigns, reports, and community engagement, NGOs help drive the cultural and </w:t>
      </w:r>
      <w:r w:rsidR="002E0964" w:rsidRPr="00530238">
        <w:rPr>
          <w:sz w:val="22"/>
        </w:rPr>
        <w:t>behavioural</w:t>
      </w:r>
      <w:r w:rsidRPr="00530238">
        <w:rPr>
          <w:sz w:val="22"/>
        </w:rPr>
        <w:t xml:space="preserve"> shifts needed to make circularity mainstream.</w:t>
      </w:r>
    </w:p>
    <w:p w14:paraId="0E2A498D" w14:textId="77777777" w:rsidR="00DB612C" w:rsidRPr="005F4D33" w:rsidRDefault="004F5354" w:rsidP="00390173">
      <w:pPr>
        <w:pStyle w:val="Heading3"/>
        <w:spacing w:after="120"/>
        <w:rPr>
          <w:color w:val="auto"/>
        </w:rPr>
      </w:pPr>
      <w:bookmarkStart w:id="58" w:name="_Toc184220111"/>
      <w:r w:rsidRPr="005F4D33">
        <w:rPr>
          <w:color w:val="auto"/>
        </w:rPr>
        <w:t>Australians</w:t>
      </w:r>
      <w:r w:rsidRPr="005F4D33">
        <w:rPr>
          <w:rFonts w:asciiTheme="minorHAnsi" w:eastAsiaTheme="minorHAnsi" w:hAnsiTheme="minorHAnsi" w:cstheme="minorBidi"/>
          <w:b w:val="0"/>
          <w:bCs w:val="0"/>
          <w:color w:val="auto"/>
          <w:szCs w:val="36"/>
        </w:rPr>
        <w:t>: the changemakers</w:t>
      </w:r>
      <w:bookmarkEnd w:id="58"/>
    </w:p>
    <w:p w14:paraId="0754611F" w14:textId="77777777" w:rsidR="00DB612C" w:rsidRPr="00530238" w:rsidRDefault="004F5354" w:rsidP="00DB612C">
      <w:pPr>
        <w:rPr>
          <w:sz w:val="22"/>
        </w:rPr>
      </w:pPr>
      <w:r w:rsidRPr="00530238">
        <w:rPr>
          <w:sz w:val="22"/>
        </w:rPr>
        <w:t xml:space="preserve">Australians play a crucial role in driving demand for circular products and services. Their choices can influence market trends and push businesses toward sustainable practices. Empowering consumers with information </w:t>
      </w:r>
      <w:r w:rsidR="00622A64" w:rsidRPr="00530238">
        <w:rPr>
          <w:sz w:val="22"/>
        </w:rPr>
        <w:t xml:space="preserve">(for example, on product credentials) </w:t>
      </w:r>
      <w:r w:rsidRPr="00530238">
        <w:rPr>
          <w:sz w:val="22"/>
        </w:rPr>
        <w:t>and opportunities will be essential for a successful circular economy transition.</w:t>
      </w:r>
    </w:p>
    <w:p w14:paraId="4B1E8CE5" w14:textId="77777777" w:rsidR="00EC0B11" w:rsidRPr="00530238" w:rsidRDefault="004F5354" w:rsidP="007B02E9">
      <w:pPr>
        <w:rPr>
          <w:sz w:val="22"/>
        </w:rPr>
      </w:pPr>
      <w:r w:rsidRPr="00530238">
        <w:rPr>
          <w:sz w:val="22"/>
        </w:rPr>
        <w:t>Australians themselves can contribute by making sustainable product choices, practicing effective waste management, and supporting local circular initiatives such as repair caf</w:t>
      </w:r>
      <w:r w:rsidR="00BC6600" w:rsidRPr="00530238">
        <w:rPr>
          <w:sz w:val="22"/>
        </w:rPr>
        <w:t>e</w:t>
      </w:r>
      <w:r w:rsidRPr="00530238">
        <w:rPr>
          <w:sz w:val="22"/>
        </w:rPr>
        <w:t>s</w:t>
      </w:r>
      <w:r w:rsidR="00BC6600" w:rsidRPr="00530238">
        <w:rPr>
          <w:sz w:val="22"/>
        </w:rPr>
        <w:t>,</w:t>
      </w:r>
      <w:r w:rsidRPr="00530238">
        <w:rPr>
          <w:sz w:val="22"/>
        </w:rPr>
        <w:t xml:space="preserve"> libraries and second-hand marketplaces</w:t>
      </w:r>
      <w:r w:rsidR="00A6253F" w:rsidRPr="00530238">
        <w:rPr>
          <w:sz w:val="22"/>
        </w:rPr>
        <w:t>.</w:t>
      </w:r>
    </w:p>
    <w:p w14:paraId="18AC7182" w14:textId="77777777" w:rsidR="00530238" w:rsidRPr="00EA4839" w:rsidRDefault="00530238" w:rsidP="00530238">
      <w:pPr>
        <w:pStyle w:val="Heading4"/>
        <w:rPr>
          <w:sz w:val="20"/>
          <w:szCs w:val="20"/>
        </w:rPr>
      </w:pPr>
      <w:r>
        <w:t xml:space="preserve">Circular Economy in </w:t>
      </w:r>
      <w:r w:rsidRPr="00E30C93">
        <w:t xml:space="preserve">Australia’s </w:t>
      </w:r>
      <w:bookmarkStart w:id="59" w:name="_Hlk182901729"/>
      <w:r w:rsidRPr="00E30C93">
        <w:t>National Research and Science Priorities</w:t>
      </w:r>
    </w:p>
    <w:bookmarkEnd w:id="59"/>
    <w:p w14:paraId="2A8B3BEE" w14:textId="77777777" w:rsidR="00530238" w:rsidRPr="00530238" w:rsidRDefault="00530238" w:rsidP="00530238">
      <w:pPr>
        <w:spacing w:after="0"/>
        <w:rPr>
          <w:sz w:val="22"/>
        </w:rPr>
      </w:pPr>
      <w:r w:rsidRPr="00530238">
        <w:rPr>
          <w:sz w:val="22"/>
        </w:rPr>
        <w:t>The circular economy is a cross-cutting theme in Australia’s new National Research and Science Priorities.</w:t>
      </w:r>
      <w:r w:rsidRPr="00530238">
        <w:rPr>
          <w:rStyle w:val="PlaceholderText"/>
          <w:color w:val="191818" w:themeColor="text2" w:themeShade="BF"/>
          <w:sz w:val="22"/>
        </w:rPr>
        <w:t xml:space="preserve"> Australian research that supports the transition to a circular economy should align with these priorities, further defined by the sectoral challenges outlined in this framework.</w:t>
      </w:r>
    </w:p>
    <w:p w14:paraId="3A86D9AD" w14:textId="77777777" w:rsidR="00530238" w:rsidRPr="00530238" w:rsidRDefault="00530238" w:rsidP="00530238">
      <w:pPr>
        <w:spacing w:after="0"/>
        <w:rPr>
          <w:b/>
          <w:bCs/>
          <w:sz w:val="22"/>
        </w:rPr>
      </w:pPr>
    </w:p>
    <w:p w14:paraId="62598EDF" w14:textId="77777777" w:rsidR="00530238" w:rsidRPr="00530238" w:rsidRDefault="00530238" w:rsidP="00530238">
      <w:pPr>
        <w:pStyle w:val="Heading5"/>
        <w:rPr>
          <w:sz w:val="22"/>
        </w:rPr>
      </w:pPr>
      <w:r w:rsidRPr="00530238">
        <w:rPr>
          <w:sz w:val="22"/>
        </w:rPr>
        <w:t>National Research Priority 1 – Transitioning to a net zero future</w:t>
      </w:r>
    </w:p>
    <w:p w14:paraId="20CAF6BA" w14:textId="77777777" w:rsidR="00530238" w:rsidRPr="00530238" w:rsidRDefault="00530238" w:rsidP="00530238">
      <w:pPr>
        <w:pStyle w:val="ListParagraph"/>
        <w:numPr>
          <w:ilvl w:val="0"/>
          <w:numId w:val="19"/>
        </w:numPr>
        <w:spacing w:after="120"/>
        <w:ind w:left="714" w:hanging="357"/>
        <w:rPr>
          <w:sz w:val="22"/>
        </w:rPr>
      </w:pPr>
      <w:r w:rsidRPr="00530238">
        <w:rPr>
          <w:sz w:val="22"/>
        </w:rPr>
        <w:t>Shifting towards a circular economy through advanced materials and processes</w:t>
      </w:r>
    </w:p>
    <w:p w14:paraId="2567FEC3" w14:textId="77777777" w:rsidR="00530238" w:rsidRPr="00530238" w:rsidRDefault="00530238" w:rsidP="00530238">
      <w:pPr>
        <w:pStyle w:val="ListParagraph"/>
        <w:numPr>
          <w:ilvl w:val="0"/>
          <w:numId w:val="19"/>
        </w:numPr>
        <w:spacing w:after="120"/>
        <w:ind w:left="714" w:hanging="357"/>
        <w:rPr>
          <w:sz w:val="22"/>
        </w:rPr>
      </w:pPr>
      <w:r w:rsidRPr="00530238">
        <w:rPr>
          <w:sz w:val="22"/>
        </w:rPr>
        <w:t xml:space="preserve">Technological solutions for </w:t>
      </w:r>
      <w:proofErr w:type="gramStart"/>
      <w:r w:rsidRPr="00530238">
        <w:rPr>
          <w:sz w:val="22"/>
        </w:rPr>
        <w:t>sustainably reducing,</w:t>
      </w:r>
      <w:proofErr w:type="gramEnd"/>
      <w:r w:rsidRPr="00530238">
        <w:rPr>
          <w:sz w:val="22"/>
        </w:rPr>
        <w:t xml:space="preserve"> reprocessing and recycling Australia’s waste at scale</w:t>
      </w:r>
    </w:p>
    <w:p w14:paraId="59B05D49" w14:textId="70506730" w:rsidR="00530238" w:rsidRPr="00530238" w:rsidRDefault="00530238" w:rsidP="00530238">
      <w:pPr>
        <w:pStyle w:val="ListParagraph"/>
        <w:numPr>
          <w:ilvl w:val="0"/>
          <w:numId w:val="19"/>
        </w:numPr>
        <w:spacing w:after="120"/>
        <w:ind w:left="714" w:hanging="357"/>
        <w:rPr>
          <w:sz w:val="22"/>
        </w:rPr>
      </w:pPr>
      <w:r w:rsidRPr="00530238">
        <w:rPr>
          <w:sz w:val="22"/>
        </w:rPr>
        <w:t>New and innovative ways of extracting, refining and processing critical minerals which minimising environmental impact.</w:t>
      </w:r>
    </w:p>
    <w:p w14:paraId="5DF7A5F0" w14:textId="77777777" w:rsidR="00530238" w:rsidRPr="00530238" w:rsidRDefault="00530238" w:rsidP="00530238">
      <w:pPr>
        <w:pStyle w:val="Heading5"/>
        <w:rPr>
          <w:sz w:val="22"/>
        </w:rPr>
      </w:pPr>
      <w:r w:rsidRPr="00530238">
        <w:rPr>
          <w:sz w:val="22"/>
        </w:rPr>
        <w:t>National Research Priority 4 – Protecting and restoring Australia’s environment</w:t>
      </w:r>
    </w:p>
    <w:p w14:paraId="76DCC0FD" w14:textId="5D1F058E" w:rsidR="00530238" w:rsidRPr="00530238" w:rsidRDefault="00530238" w:rsidP="00530238">
      <w:pPr>
        <w:pStyle w:val="ListParagraph"/>
        <w:numPr>
          <w:ilvl w:val="0"/>
          <w:numId w:val="20"/>
        </w:numPr>
        <w:rPr>
          <w:sz w:val="22"/>
        </w:rPr>
      </w:pPr>
      <w:r w:rsidRPr="00530238">
        <w:rPr>
          <w:sz w:val="22"/>
        </w:rPr>
        <w:t>Transitioning to a more circular economy</w:t>
      </w:r>
    </w:p>
    <w:p w14:paraId="0DE4AEB0" w14:textId="77777777" w:rsidR="00530238" w:rsidRPr="00530238" w:rsidRDefault="00530238" w:rsidP="00530238">
      <w:pPr>
        <w:pStyle w:val="Heading5"/>
        <w:rPr>
          <w:sz w:val="22"/>
        </w:rPr>
      </w:pPr>
      <w:r w:rsidRPr="00530238">
        <w:rPr>
          <w:sz w:val="22"/>
        </w:rPr>
        <w:t>National Research Priority 5 – Building a secure and resilient nation</w:t>
      </w:r>
    </w:p>
    <w:p w14:paraId="190E4FDC" w14:textId="77777777" w:rsidR="00530238" w:rsidRPr="00530238" w:rsidRDefault="00530238" w:rsidP="00530238">
      <w:pPr>
        <w:pStyle w:val="ListParagraph"/>
        <w:numPr>
          <w:ilvl w:val="0"/>
          <w:numId w:val="19"/>
        </w:numPr>
        <w:spacing w:after="120"/>
        <w:ind w:left="714" w:hanging="357"/>
        <w:rPr>
          <w:sz w:val="22"/>
        </w:rPr>
      </w:pPr>
      <w:r w:rsidRPr="00530238">
        <w:rPr>
          <w:sz w:val="22"/>
        </w:rPr>
        <w:t>Cost effective built environments that are resilient to climate change</w:t>
      </w:r>
    </w:p>
    <w:p w14:paraId="551A6E0F" w14:textId="77777777" w:rsidR="00530238" w:rsidRPr="00530238" w:rsidRDefault="00530238" w:rsidP="00530238">
      <w:pPr>
        <w:pStyle w:val="ListParagraph"/>
        <w:numPr>
          <w:ilvl w:val="0"/>
          <w:numId w:val="19"/>
        </w:numPr>
        <w:spacing w:after="120"/>
        <w:ind w:left="714" w:hanging="357"/>
        <w:rPr>
          <w:sz w:val="22"/>
        </w:rPr>
      </w:pPr>
      <w:r w:rsidRPr="00530238">
        <w:rPr>
          <w:sz w:val="22"/>
        </w:rPr>
        <w:t>Secure and resilient supply chains that underpin Australia’s prosperity</w:t>
      </w:r>
    </w:p>
    <w:p w14:paraId="71FD05B2" w14:textId="77777777" w:rsidR="00530238" w:rsidRPr="00530238" w:rsidRDefault="00530238" w:rsidP="00530238">
      <w:pPr>
        <w:pStyle w:val="ListParagraph"/>
        <w:numPr>
          <w:ilvl w:val="0"/>
          <w:numId w:val="19"/>
        </w:numPr>
        <w:spacing w:after="120"/>
        <w:ind w:left="714" w:hanging="357"/>
        <w:rPr>
          <w:sz w:val="22"/>
        </w:rPr>
      </w:pPr>
      <w:r w:rsidRPr="00530238">
        <w:rPr>
          <w:sz w:val="22"/>
        </w:rPr>
        <w:t>Planning, design, materials and engineering of infrastructure and built environments for Australia and our region that account for likely future climate conditions.</w:t>
      </w:r>
    </w:p>
    <w:p w14:paraId="6E101497" w14:textId="58332814" w:rsidR="003E1272" w:rsidRPr="005F4D33" w:rsidRDefault="003E1272" w:rsidP="00CB771C">
      <w:pPr>
        <w:rPr>
          <w:sz w:val="18"/>
          <w:szCs w:val="18"/>
        </w:rPr>
      </w:pPr>
    </w:p>
    <w:p w14:paraId="79F2D82B" w14:textId="77777777" w:rsidR="000A4C3B" w:rsidRPr="005F4D33" w:rsidRDefault="000A4C3B" w:rsidP="00AF3499">
      <w:pPr>
        <w:spacing w:after="0"/>
        <w:rPr>
          <w:sz w:val="14"/>
          <w:szCs w:val="18"/>
        </w:rPr>
      </w:pPr>
    </w:p>
    <w:p w14:paraId="028B3368" w14:textId="32FBDC3C" w:rsidR="00CB3DA2" w:rsidRPr="005F4D33" w:rsidRDefault="004F5354" w:rsidP="00B72BC8">
      <w:pPr>
        <w:rPr>
          <w:sz w:val="14"/>
          <w:szCs w:val="18"/>
        </w:rPr>
      </w:pPr>
      <w:r w:rsidRPr="005F4D33">
        <w:rPr>
          <w:sz w:val="14"/>
          <w:szCs w:val="18"/>
        </w:rPr>
        <w:br w:type="page"/>
      </w:r>
    </w:p>
    <w:p w14:paraId="313FD3DB" w14:textId="7FA5E551" w:rsidR="00DA5FAD" w:rsidRDefault="004F5354" w:rsidP="00923EF3">
      <w:pPr>
        <w:pStyle w:val="Heading2"/>
        <w:rPr>
          <w:color w:val="auto"/>
        </w:rPr>
      </w:pPr>
      <w:bookmarkStart w:id="60" w:name="_Toc184220112"/>
      <w:r w:rsidRPr="005F4D33">
        <w:rPr>
          <w:color w:val="auto"/>
        </w:rPr>
        <w:lastRenderedPageBreak/>
        <w:t>Glossary</w:t>
      </w:r>
      <w:bookmarkEnd w:id="60"/>
    </w:p>
    <w:tbl>
      <w:tblPr>
        <w:tblStyle w:val="TableGrid"/>
        <w:tblW w:w="0" w:type="auto"/>
        <w:tblInd w:w="-5" w:type="dxa"/>
        <w:tblLook w:val="04A0" w:firstRow="1" w:lastRow="0" w:firstColumn="1" w:lastColumn="0" w:noHBand="0" w:noVBand="1"/>
      </w:tblPr>
      <w:tblGrid>
        <w:gridCol w:w="4530"/>
        <w:gridCol w:w="4530"/>
      </w:tblGrid>
      <w:tr w:rsidR="001A0A4B" w14:paraId="1EA23299" w14:textId="77777777" w:rsidTr="00E627D8">
        <w:tc>
          <w:tcPr>
            <w:tcW w:w="4530" w:type="dxa"/>
          </w:tcPr>
          <w:p w14:paraId="3E23C0C8" w14:textId="3F8F54B2" w:rsidR="001A0A4B" w:rsidRPr="00F27457" w:rsidRDefault="001A0A4B" w:rsidP="00BA0A3E">
            <w:pPr>
              <w:pStyle w:val="Tablebody"/>
              <w:rPr>
                <w:b/>
                <w:bCs/>
              </w:rPr>
            </w:pPr>
            <w:r w:rsidRPr="00FF2627">
              <w:rPr>
                <w:b/>
                <w:bCs/>
                <w:sz w:val="22"/>
                <w:szCs w:val="22"/>
              </w:rPr>
              <w:t>Term</w:t>
            </w:r>
          </w:p>
        </w:tc>
        <w:tc>
          <w:tcPr>
            <w:tcW w:w="4530" w:type="dxa"/>
          </w:tcPr>
          <w:p w14:paraId="2142E6EF" w14:textId="7A6D1558" w:rsidR="001A0A4B" w:rsidRPr="00F27457" w:rsidRDefault="001A0A4B" w:rsidP="00BA0A3E">
            <w:pPr>
              <w:pStyle w:val="Tablebody"/>
              <w:rPr>
                <w:b/>
                <w:bCs/>
              </w:rPr>
            </w:pPr>
            <w:r w:rsidRPr="00FF2627">
              <w:rPr>
                <w:b/>
                <w:bCs/>
                <w:sz w:val="22"/>
                <w:szCs w:val="22"/>
              </w:rPr>
              <w:t>Definition</w:t>
            </w:r>
          </w:p>
        </w:tc>
      </w:tr>
      <w:tr w:rsidR="00B04DC4" w:rsidRPr="00FF2627" w14:paraId="1C9E3F45"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6E54EB31" w14:textId="77777777" w:rsidR="00B04DC4" w:rsidRPr="00FF2627" w:rsidRDefault="00B04DC4" w:rsidP="00BA0A3E">
            <w:pPr>
              <w:pStyle w:val="Tablebody"/>
              <w:rPr>
                <w:sz w:val="22"/>
                <w:szCs w:val="22"/>
              </w:rPr>
            </w:pPr>
            <w:r w:rsidRPr="00FF2627">
              <w:rPr>
                <w:sz w:val="22"/>
                <w:szCs w:val="22"/>
              </w:rPr>
              <w:t>Biofuel</w:t>
            </w:r>
          </w:p>
        </w:tc>
        <w:tc>
          <w:tcPr>
            <w:tcW w:w="4530" w:type="dxa"/>
          </w:tcPr>
          <w:p w14:paraId="4ACFAFF6" w14:textId="77777777" w:rsidR="00B04DC4" w:rsidRPr="00FF2627" w:rsidRDefault="00B04DC4" w:rsidP="00BA0A3E">
            <w:pPr>
              <w:pStyle w:val="Tablebody"/>
              <w:rPr>
                <w:sz w:val="22"/>
                <w:szCs w:val="22"/>
              </w:rPr>
            </w:pPr>
            <w:r w:rsidRPr="00FF2627">
              <w:rPr>
                <w:sz w:val="22"/>
                <w:szCs w:val="22"/>
              </w:rPr>
              <w:t>Liquid fuels produced from biomass feedstocks such as agricultural crops, forestry products, or the organic portion of municipal solid waste.</w:t>
            </w:r>
          </w:p>
        </w:tc>
      </w:tr>
      <w:tr w:rsidR="00B04DC4" w:rsidRPr="00FF2627" w14:paraId="5367591B"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7DEDF7CE" w14:textId="77777777" w:rsidR="00B04DC4" w:rsidRPr="00FF2627" w:rsidRDefault="00B04DC4" w:rsidP="00BA0A3E">
            <w:pPr>
              <w:pStyle w:val="Tablebody"/>
              <w:rPr>
                <w:sz w:val="22"/>
                <w:szCs w:val="22"/>
              </w:rPr>
            </w:pPr>
            <w:r w:rsidRPr="00FF2627">
              <w:rPr>
                <w:sz w:val="22"/>
                <w:szCs w:val="22"/>
              </w:rPr>
              <w:t>Chemicals of concern</w:t>
            </w:r>
          </w:p>
        </w:tc>
        <w:tc>
          <w:tcPr>
            <w:tcW w:w="4530" w:type="dxa"/>
          </w:tcPr>
          <w:p w14:paraId="2D488D74" w14:textId="77777777" w:rsidR="00B04DC4" w:rsidRPr="00FF2627" w:rsidRDefault="00B04DC4" w:rsidP="00BA0A3E">
            <w:pPr>
              <w:pStyle w:val="Tablebody"/>
              <w:rPr>
                <w:sz w:val="22"/>
                <w:szCs w:val="22"/>
              </w:rPr>
            </w:pPr>
            <w:r w:rsidRPr="00FF2627">
              <w:rPr>
                <w:sz w:val="22"/>
                <w:szCs w:val="22"/>
              </w:rPr>
              <w:t>Refers to chemicals that have properties raising environmental or health concerns. These include chemicals that do not break down easily, are toxic, or can accumulate to high levels in animals.</w:t>
            </w:r>
          </w:p>
        </w:tc>
      </w:tr>
      <w:tr w:rsidR="00B04DC4" w:rsidRPr="00FF2627" w14:paraId="2E931113"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3ED242F7" w14:textId="77777777" w:rsidR="00B04DC4" w:rsidRPr="00FF2627" w:rsidRDefault="00B04DC4" w:rsidP="00BA0A3E">
            <w:pPr>
              <w:pStyle w:val="Tablebody"/>
              <w:rPr>
                <w:sz w:val="22"/>
                <w:szCs w:val="22"/>
              </w:rPr>
            </w:pPr>
            <w:r w:rsidRPr="00FF2627">
              <w:rPr>
                <w:sz w:val="22"/>
                <w:szCs w:val="22"/>
              </w:rPr>
              <w:t>Circular economy</w:t>
            </w:r>
          </w:p>
        </w:tc>
        <w:tc>
          <w:tcPr>
            <w:tcW w:w="4530" w:type="dxa"/>
          </w:tcPr>
          <w:p w14:paraId="235FD5A0" w14:textId="77777777" w:rsidR="00B04DC4" w:rsidRPr="00FF2627" w:rsidRDefault="00B04DC4" w:rsidP="00BA0A3E">
            <w:pPr>
              <w:pStyle w:val="Tablebody"/>
              <w:rPr>
                <w:sz w:val="22"/>
                <w:szCs w:val="22"/>
              </w:rPr>
            </w:pPr>
            <w:r w:rsidRPr="00FF2627">
              <w:rPr>
                <w:sz w:val="22"/>
                <w:szCs w:val="22"/>
              </w:rPr>
              <w:t>Is an economic model that promotes sustainable and efficient use of resources as a way to support environmental, economic and social outcomes. It shifts away from the current linear ‘take, make, dispose’ consumption approach to one that maintains a circular flow of materials by recovering, retaining, or adding to their value.</w:t>
            </w:r>
          </w:p>
        </w:tc>
      </w:tr>
      <w:tr w:rsidR="00B04DC4" w:rsidRPr="00FF2627" w14:paraId="3C3EF39A"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5B02D759" w14:textId="77777777" w:rsidR="00B04DC4" w:rsidRPr="00FF2627" w:rsidRDefault="00B04DC4" w:rsidP="00BA0A3E">
            <w:pPr>
              <w:pStyle w:val="Tablebody"/>
              <w:rPr>
                <w:sz w:val="22"/>
                <w:szCs w:val="22"/>
              </w:rPr>
            </w:pPr>
            <w:r w:rsidRPr="00FF2627">
              <w:rPr>
                <w:sz w:val="22"/>
                <w:szCs w:val="22"/>
              </w:rPr>
              <w:t>Circularity</w:t>
            </w:r>
          </w:p>
        </w:tc>
        <w:tc>
          <w:tcPr>
            <w:tcW w:w="4530" w:type="dxa"/>
          </w:tcPr>
          <w:p w14:paraId="170C5C2F" w14:textId="77777777" w:rsidR="00B04DC4" w:rsidRPr="00FF2627" w:rsidRDefault="00B04DC4" w:rsidP="00BA0A3E">
            <w:pPr>
              <w:spacing w:after="40"/>
              <w:rPr>
                <w:rFonts w:ascii="Calibri" w:hAnsi="Calibri" w:cs="Calibri"/>
                <w:sz w:val="22"/>
              </w:rPr>
            </w:pPr>
            <w:r w:rsidRPr="00FF2627">
              <w:rPr>
                <w:rFonts w:ascii="Calibri" w:hAnsi="Calibri" w:cs="Calibri"/>
                <w:sz w:val="22"/>
              </w:rPr>
              <w:t>Property of products that all materials used in a product can be recycled several times and kept in almost closed loops.</w:t>
            </w:r>
          </w:p>
          <w:p w14:paraId="50392B4C" w14:textId="77777777" w:rsidR="00B04DC4" w:rsidRPr="00FF2627" w:rsidRDefault="00B04DC4" w:rsidP="00BA0A3E">
            <w:pPr>
              <w:pStyle w:val="Tablebody"/>
              <w:rPr>
                <w:sz w:val="22"/>
                <w:szCs w:val="22"/>
              </w:rPr>
            </w:pPr>
            <w:r w:rsidRPr="00FF2627">
              <w:rPr>
                <w:sz w:val="22"/>
                <w:szCs w:val="22"/>
              </w:rPr>
              <w:t>In economics, circularity means a product, service, or resource is renewed or regenerated, rather than wasted. Circularity uses creativity and systems-thinking to eliminate waste and extend the life of important natural resources.</w:t>
            </w:r>
          </w:p>
        </w:tc>
      </w:tr>
      <w:tr w:rsidR="00B04DC4" w:rsidRPr="00FF2627" w14:paraId="31873081"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5614317D" w14:textId="77777777" w:rsidR="00B04DC4" w:rsidRPr="00FF2627" w:rsidRDefault="00B04DC4" w:rsidP="00BA0A3E">
            <w:pPr>
              <w:pStyle w:val="Tablebody"/>
              <w:rPr>
                <w:sz w:val="22"/>
                <w:szCs w:val="22"/>
              </w:rPr>
            </w:pPr>
            <w:r w:rsidRPr="00FF2627">
              <w:rPr>
                <w:sz w:val="22"/>
                <w:szCs w:val="22"/>
              </w:rPr>
              <w:t>Circularity rate</w:t>
            </w:r>
          </w:p>
        </w:tc>
        <w:tc>
          <w:tcPr>
            <w:tcW w:w="4530" w:type="dxa"/>
          </w:tcPr>
          <w:p w14:paraId="5FBB5A61" w14:textId="77777777" w:rsidR="00B04DC4" w:rsidRPr="00FF2627" w:rsidRDefault="00B04DC4" w:rsidP="00BA0A3E">
            <w:pPr>
              <w:pStyle w:val="Tablebody"/>
              <w:rPr>
                <w:sz w:val="22"/>
                <w:szCs w:val="22"/>
              </w:rPr>
            </w:pPr>
            <w:r w:rsidRPr="00FF2627">
              <w:rPr>
                <w:sz w:val="22"/>
                <w:szCs w:val="22"/>
              </w:rPr>
              <w:t>Is a measure of how much material input into an economy comes from recycled or reused sources. It indicates the proportion of resources that are cycled back into production rather than being disposed of as waste.</w:t>
            </w:r>
          </w:p>
        </w:tc>
      </w:tr>
      <w:tr w:rsidR="00B04DC4" w:rsidRPr="00FF2627" w14:paraId="5CDEEF34"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2A5C829B" w14:textId="77777777" w:rsidR="00B04DC4" w:rsidRPr="00FF2627" w:rsidRDefault="00B04DC4" w:rsidP="00BA0A3E">
            <w:pPr>
              <w:pStyle w:val="Tablebody"/>
              <w:rPr>
                <w:sz w:val="22"/>
                <w:szCs w:val="22"/>
              </w:rPr>
            </w:pPr>
            <w:r w:rsidRPr="00FF2627">
              <w:rPr>
                <w:sz w:val="22"/>
                <w:szCs w:val="22"/>
              </w:rPr>
              <w:t>Compound annual growth rate (CAGR)</w:t>
            </w:r>
          </w:p>
        </w:tc>
        <w:tc>
          <w:tcPr>
            <w:tcW w:w="4530" w:type="dxa"/>
          </w:tcPr>
          <w:p w14:paraId="3A0B418F" w14:textId="77777777" w:rsidR="00B04DC4" w:rsidRPr="00FF2627" w:rsidRDefault="00B04DC4" w:rsidP="00BA0A3E">
            <w:pPr>
              <w:pStyle w:val="Tablebody"/>
              <w:rPr>
                <w:sz w:val="22"/>
                <w:szCs w:val="22"/>
              </w:rPr>
            </w:pPr>
            <w:r w:rsidRPr="00FF2627">
              <w:rPr>
                <w:sz w:val="22"/>
                <w:szCs w:val="22"/>
              </w:rPr>
              <w:t>Is a metric used to describe the mean annual growth rate of an investment, company revenue, or market over a specified period of time longer than one year</w:t>
            </w:r>
          </w:p>
        </w:tc>
      </w:tr>
      <w:tr w:rsidR="00B04DC4" w:rsidRPr="00FF2627" w14:paraId="1E330FBB"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6F8B7913" w14:textId="77777777" w:rsidR="00B04DC4" w:rsidRPr="00FF2627" w:rsidRDefault="00B04DC4" w:rsidP="00BA0A3E">
            <w:pPr>
              <w:pStyle w:val="Tablebody"/>
              <w:rPr>
                <w:sz w:val="22"/>
                <w:szCs w:val="22"/>
              </w:rPr>
            </w:pPr>
            <w:r w:rsidRPr="00FF2627">
              <w:rPr>
                <w:sz w:val="22"/>
                <w:szCs w:val="22"/>
              </w:rPr>
              <w:t>Critical minerals</w:t>
            </w:r>
          </w:p>
        </w:tc>
        <w:tc>
          <w:tcPr>
            <w:tcW w:w="4530" w:type="dxa"/>
          </w:tcPr>
          <w:p w14:paraId="54B0D047" w14:textId="77777777" w:rsidR="00B04DC4" w:rsidRPr="00FF2627" w:rsidRDefault="00B04DC4" w:rsidP="00BA0A3E">
            <w:pPr>
              <w:pStyle w:val="Tablebody"/>
              <w:rPr>
                <w:sz w:val="22"/>
                <w:szCs w:val="22"/>
              </w:rPr>
            </w:pPr>
            <w:r w:rsidRPr="00FF2627">
              <w:rPr>
                <w:sz w:val="22"/>
                <w:szCs w:val="22"/>
              </w:rPr>
              <w:t>Are metallic or non-metallic materials that are essential to Australia’s modern technologies, economies and national security, and whose supply chains are vulnerable to disruption</w:t>
            </w:r>
          </w:p>
        </w:tc>
      </w:tr>
      <w:tr w:rsidR="00B04DC4" w:rsidRPr="00FF2627" w14:paraId="00B1D572"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27EF4DE7" w14:textId="77777777" w:rsidR="00B04DC4" w:rsidRPr="00FF2627" w:rsidRDefault="00B04DC4" w:rsidP="00BA0A3E">
            <w:pPr>
              <w:pStyle w:val="Tablebody"/>
              <w:rPr>
                <w:sz w:val="22"/>
                <w:szCs w:val="22"/>
              </w:rPr>
            </w:pPr>
            <w:r w:rsidRPr="00FF2627">
              <w:rPr>
                <w:sz w:val="22"/>
                <w:szCs w:val="22"/>
              </w:rPr>
              <w:t>Ecolabelling</w:t>
            </w:r>
          </w:p>
        </w:tc>
        <w:tc>
          <w:tcPr>
            <w:tcW w:w="4530" w:type="dxa"/>
          </w:tcPr>
          <w:p w14:paraId="228C7003" w14:textId="77777777" w:rsidR="00B04DC4" w:rsidRPr="00FF2627" w:rsidRDefault="00B04DC4" w:rsidP="00BA0A3E">
            <w:pPr>
              <w:pStyle w:val="Tablebody"/>
              <w:rPr>
                <w:sz w:val="22"/>
                <w:szCs w:val="22"/>
              </w:rPr>
            </w:pPr>
            <w:r w:rsidRPr="00FF2627">
              <w:rPr>
                <w:sz w:val="22"/>
                <w:szCs w:val="22"/>
              </w:rPr>
              <w:t>A certification scheme that identifies products or services meeting specific environmental performance criteria, helping consumers make more sustainable choices.</w:t>
            </w:r>
          </w:p>
        </w:tc>
      </w:tr>
      <w:tr w:rsidR="00B04DC4" w:rsidRPr="00FF2627" w14:paraId="3D520CDB"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1562C4A" w14:textId="77777777" w:rsidR="00B04DC4" w:rsidRPr="00FF2627" w:rsidRDefault="00B04DC4" w:rsidP="00BA0A3E">
            <w:pPr>
              <w:pStyle w:val="Tablebody"/>
              <w:rPr>
                <w:sz w:val="22"/>
                <w:szCs w:val="22"/>
              </w:rPr>
            </w:pPr>
            <w:r w:rsidRPr="00FF2627">
              <w:rPr>
                <w:sz w:val="22"/>
                <w:szCs w:val="22"/>
              </w:rPr>
              <w:t>Environmental Social and Governance (ESG)</w:t>
            </w:r>
          </w:p>
        </w:tc>
        <w:tc>
          <w:tcPr>
            <w:tcW w:w="4530" w:type="dxa"/>
          </w:tcPr>
          <w:p w14:paraId="21EDDD5D" w14:textId="77777777" w:rsidR="00B04DC4" w:rsidRPr="00FF2627" w:rsidRDefault="00B04DC4" w:rsidP="00BA0A3E">
            <w:pPr>
              <w:pStyle w:val="Tablebody"/>
              <w:rPr>
                <w:sz w:val="22"/>
                <w:szCs w:val="22"/>
              </w:rPr>
            </w:pPr>
            <w:r w:rsidRPr="00FF2627">
              <w:rPr>
                <w:sz w:val="22"/>
                <w:szCs w:val="22"/>
              </w:rPr>
              <w:t>A framework used to assess a company's operations concerning environmental stewardship, social responsibility, and corporate governance practices.</w:t>
            </w:r>
          </w:p>
        </w:tc>
      </w:tr>
      <w:tr w:rsidR="00B04DC4" w:rsidRPr="00FF2627" w14:paraId="0340791E"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0FC3FFC2" w14:textId="77777777" w:rsidR="00B04DC4" w:rsidRPr="00FF2627" w:rsidRDefault="00B04DC4" w:rsidP="00BA0A3E">
            <w:pPr>
              <w:pStyle w:val="Tablebody"/>
              <w:rPr>
                <w:sz w:val="22"/>
                <w:szCs w:val="22"/>
              </w:rPr>
            </w:pPr>
            <w:r w:rsidRPr="00FF2627">
              <w:rPr>
                <w:sz w:val="22"/>
                <w:szCs w:val="22"/>
              </w:rPr>
              <w:lastRenderedPageBreak/>
              <w:t>Feedstock</w:t>
            </w:r>
          </w:p>
        </w:tc>
        <w:tc>
          <w:tcPr>
            <w:tcW w:w="4530" w:type="dxa"/>
          </w:tcPr>
          <w:p w14:paraId="6D3772EA" w14:textId="77777777" w:rsidR="00B04DC4" w:rsidRPr="00FF2627" w:rsidRDefault="00B04DC4" w:rsidP="00BA0A3E">
            <w:pPr>
              <w:pStyle w:val="Tablebody"/>
              <w:rPr>
                <w:sz w:val="22"/>
                <w:szCs w:val="22"/>
              </w:rPr>
            </w:pPr>
            <w:r w:rsidRPr="00FF2627">
              <w:rPr>
                <w:sz w:val="22"/>
                <w:szCs w:val="22"/>
              </w:rPr>
              <w:t>A raw material, also known as a feedstock, unprocessed material, or primary commodity, is a basic material that is used to produce goods, finished goods, energy, or intermediate materials that are feedstock for future finished products.</w:t>
            </w:r>
          </w:p>
        </w:tc>
      </w:tr>
      <w:tr w:rsidR="00B04DC4" w:rsidRPr="00FF2627" w14:paraId="6E218EDE"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5B731BFC" w14:textId="77777777" w:rsidR="00B04DC4" w:rsidRPr="00FF2627" w:rsidRDefault="00B04DC4" w:rsidP="00BA0A3E">
            <w:pPr>
              <w:pStyle w:val="Tablebody"/>
              <w:rPr>
                <w:sz w:val="22"/>
                <w:szCs w:val="22"/>
              </w:rPr>
            </w:pPr>
            <w:r w:rsidRPr="00FF2627">
              <w:rPr>
                <w:sz w:val="22"/>
                <w:szCs w:val="22"/>
              </w:rPr>
              <w:t>Financial framework</w:t>
            </w:r>
          </w:p>
        </w:tc>
        <w:tc>
          <w:tcPr>
            <w:tcW w:w="4530" w:type="dxa"/>
          </w:tcPr>
          <w:p w14:paraId="6A057334" w14:textId="77777777" w:rsidR="00B04DC4" w:rsidRPr="00FF2627" w:rsidRDefault="00B04DC4" w:rsidP="00BA0A3E">
            <w:pPr>
              <w:pStyle w:val="Tablebody"/>
              <w:rPr>
                <w:sz w:val="22"/>
                <w:szCs w:val="22"/>
              </w:rPr>
            </w:pPr>
            <w:r w:rsidRPr="00FF2627">
              <w:rPr>
                <w:sz w:val="22"/>
                <w:szCs w:val="22"/>
              </w:rPr>
              <w:t>A financial framework is a system – including policies, procedures, regulations, and standing orders– that guide and support the structure and operations of all financial matters for a business.</w:t>
            </w:r>
          </w:p>
        </w:tc>
      </w:tr>
      <w:tr w:rsidR="00B04DC4" w:rsidRPr="00FF2627" w14:paraId="32F13D39"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1872D9F4" w14:textId="77777777" w:rsidR="00B04DC4" w:rsidRPr="00FF2627" w:rsidRDefault="00B04DC4" w:rsidP="00BA0A3E">
            <w:pPr>
              <w:pStyle w:val="Tablebody"/>
              <w:rPr>
                <w:sz w:val="22"/>
                <w:szCs w:val="22"/>
              </w:rPr>
            </w:pPr>
            <w:r w:rsidRPr="00FF2627">
              <w:rPr>
                <w:sz w:val="22"/>
                <w:szCs w:val="22"/>
              </w:rPr>
              <w:t>Green steel</w:t>
            </w:r>
          </w:p>
        </w:tc>
        <w:tc>
          <w:tcPr>
            <w:tcW w:w="4530" w:type="dxa"/>
          </w:tcPr>
          <w:p w14:paraId="0920307F" w14:textId="77777777" w:rsidR="00B04DC4" w:rsidRPr="00FF2627" w:rsidRDefault="00B04DC4" w:rsidP="00BA0A3E">
            <w:pPr>
              <w:pStyle w:val="Tablebody"/>
              <w:rPr>
                <w:sz w:val="22"/>
                <w:szCs w:val="22"/>
              </w:rPr>
            </w:pPr>
            <w:r w:rsidRPr="00FF2627">
              <w:rPr>
                <w:sz w:val="22"/>
                <w:szCs w:val="22"/>
              </w:rPr>
              <w:t>Steel produced using processes that minimise carbon emissions, often through renewable energy sources and innovative technologies like hydrogen-based reduction</w:t>
            </w:r>
          </w:p>
        </w:tc>
      </w:tr>
      <w:tr w:rsidR="00B04DC4" w:rsidRPr="00FF2627" w14:paraId="146A5D52"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6BC67950" w14:textId="77777777" w:rsidR="00B04DC4" w:rsidRPr="00FF2627" w:rsidRDefault="00B04DC4" w:rsidP="00BA0A3E">
            <w:pPr>
              <w:pStyle w:val="Tablebody"/>
              <w:rPr>
                <w:sz w:val="22"/>
                <w:szCs w:val="22"/>
              </w:rPr>
            </w:pPr>
            <w:r w:rsidRPr="00FF2627">
              <w:rPr>
                <w:sz w:val="22"/>
                <w:szCs w:val="22"/>
              </w:rPr>
              <w:t>Industrial symbiosis</w:t>
            </w:r>
          </w:p>
        </w:tc>
        <w:tc>
          <w:tcPr>
            <w:tcW w:w="4530" w:type="dxa"/>
          </w:tcPr>
          <w:p w14:paraId="3828E873" w14:textId="77777777" w:rsidR="00B04DC4" w:rsidRPr="00FF2627" w:rsidRDefault="00B04DC4" w:rsidP="00BA0A3E">
            <w:pPr>
              <w:pStyle w:val="Tablebody"/>
              <w:rPr>
                <w:sz w:val="22"/>
                <w:szCs w:val="22"/>
              </w:rPr>
            </w:pPr>
            <w:r w:rsidRPr="00FF2627">
              <w:rPr>
                <w:sz w:val="22"/>
                <w:szCs w:val="22"/>
              </w:rPr>
              <w:t>Industrial symbiosis is the association between industrial facilities or companies in which the waste or by-products of one become raw materials for another.</w:t>
            </w:r>
          </w:p>
        </w:tc>
      </w:tr>
      <w:tr w:rsidR="00B04DC4" w:rsidRPr="00FF2627" w14:paraId="596D3EE0"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F8AC896" w14:textId="77777777" w:rsidR="00B04DC4" w:rsidRPr="00FF2627" w:rsidRDefault="00B04DC4" w:rsidP="00BA0A3E">
            <w:pPr>
              <w:pStyle w:val="Tablebody"/>
              <w:rPr>
                <w:sz w:val="22"/>
                <w:szCs w:val="22"/>
              </w:rPr>
            </w:pPr>
            <w:r w:rsidRPr="00FF2627">
              <w:rPr>
                <w:sz w:val="22"/>
                <w:szCs w:val="22"/>
              </w:rPr>
              <w:t>Linear economy</w:t>
            </w:r>
          </w:p>
        </w:tc>
        <w:tc>
          <w:tcPr>
            <w:tcW w:w="4530" w:type="dxa"/>
          </w:tcPr>
          <w:p w14:paraId="1A3E0C5E" w14:textId="77777777" w:rsidR="00B04DC4" w:rsidRPr="00FF2627" w:rsidRDefault="00B04DC4" w:rsidP="00BA0A3E">
            <w:pPr>
              <w:pStyle w:val="Tablebody"/>
              <w:rPr>
                <w:sz w:val="22"/>
                <w:szCs w:val="22"/>
              </w:rPr>
            </w:pPr>
            <w:r w:rsidRPr="00FF2627">
              <w:rPr>
                <w:sz w:val="22"/>
                <w:szCs w:val="22"/>
              </w:rPr>
              <w:t>A traditional economic model characterised by a 'take-make-dispose' approach, where resources are extracted, used, and then discarded as waste.</w:t>
            </w:r>
          </w:p>
        </w:tc>
      </w:tr>
      <w:tr w:rsidR="00B04DC4" w:rsidRPr="00FF2627" w14:paraId="35098C0F"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F11F137" w14:textId="77777777" w:rsidR="00B04DC4" w:rsidRPr="00FF2627" w:rsidRDefault="00B04DC4" w:rsidP="00BA0A3E">
            <w:pPr>
              <w:pStyle w:val="Tablebody"/>
              <w:rPr>
                <w:sz w:val="22"/>
                <w:szCs w:val="22"/>
              </w:rPr>
            </w:pPr>
            <w:r w:rsidRPr="00FF2627">
              <w:rPr>
                <w:sz w:val="22"/>
                <w:szCs w:val="22"/>
              </w:rPr>
              <w:t>Material footprint</w:t>
            </w:r>
          </w:p>
        </w:tc>
        <w:tc>
          <w:tcPr>
            <w:tcW w:w="4530" w:type="dxa"/>
          </w:tcPr>
          <w:p w14:paraId="7E5F9CA6" w14:textId="77777777" w:rsidR="00B04DC4" w:rsidRPr="00FF2627" w:rsidRDefault="00B04DC4" w:rsidP="00BA0A3E">
            <w:pPr>
              <w:pStyle w:val="Tablebody"/>
              <w:rPr>
                <w:sz w:val="22"/>
                <w:szCs w:val="22"/>
              </w:rPr>
            </w:pPr>
            <w:r w:rsidRPr="00FF2627">
              <w:rPr>
                <w:sz w:val="22"/>
                <w:szCs w:val="22"/>
              </w:rPr>
              <w:t>A measure of the total amount of raw materials extracted globally to meet a country's consumption demands, including imported goods.</w:t>
            </w:r>
          </w:p>
        </w:tc>
      </w:tr>
      <w:tr w:rsidR="00B04DC4" w:rsidRPr="00FF2627" w14:paraId="16C512D1"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A4EE9C0" w14:textId="77777777" w:rsidR="00B04DC4" w:rsidRPr="00FF2627" w:rsidRDefault="00B04DC4" w:rsidP="00BA0A3E">
            <w:pPr>
              <w:pStyle w:val="Tablebody"/>
              <w:rPr>
                <w:sz w:val="22"/>
                <w:szCs w:val="22"/>
              </w:rPr>
            </w:pPr>
            <w:r w:rsidRPr="00FF2627">
              <w:rPr>
                <w:sz w:val="22"/>
                <w:szCs w:val="22"/>
              </w:rPr>
              <w:t>Minerals beneficiation</w:t>
            </w:r>
          </w:p>
        </w:tc>
        <w:tc>
          <w:tcPr>
            <w:tcW w:w="4530" w:type="dxa"/>
          </w:tcPr>
          <w:p w14:paraId="506A3D78" w14:textId="77777777" w:rsidR="00B04DC4" w:rsidRPr="00FF2627" w:rsidRDefault="00B04DC4" w:rsidP="00BA0A3E">
            <w:pPr>
              <w:pStyle w:val="Tablebody"/>
              <w:rPr>
                <w:sz w:val="22"/>
                <w:szCs w:val="22"/>
              </w:rPr>
            </w:pPr>
            <w:r w:rsidRPr="00FF2627">
              <w:rPr>
                <w:sz w:val="22"/>
                <w:szCs w:val="22"/>
              </w:rPr>
              <w:t>Describes processes to reuse and recycle products containing minerals, including mining tailings or mineral-containing products such as end-of-life solar panels or batteries.</w:t>
            </w:r>
          </w:p>
        </w:tc>
      </w:tr>
      <w:tr w:rsidR="00B04DC4" w:rsidRPr="00FF2627" w14:paraId="195F22EC"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216F96D2" w14:textId="77777777" w:rsidR="00B04DC4" w:rsidRPr="00FF2627" w:rsidRDefault="00B04DC4" w:rsidP="00BA0A3E">
            <w:pPr>
              <w:pStyle w:val="Tablebody"/>
              <w:rPr>
                <w:sz w:val="22"/>
                <w:szCs w:val="22"/>
              </w:rPr>
            </w:pPr>
            <w:r w:rsidRPr="00FF2627">
              <w:rPr>
                <w:sz w:val="22"/>
                <w:szCs w:val="22"/>
              </w:rPr>
              <w:t>Mining tailings</w:t>
            </w:r>
          </w:p>
        </w:tc>
        <w:tc>
          <w:tcPr>
            <w:tcW w:w="4530" w:type="dxa"/>
          </w:tcPr>
          <w:p w14:paraId="50F9C749" w14:textId="77777777" w:rsidR="00B04DC4" w:rsidRPr="00FF2627" w:rsidRDefault="00B04DC4" w:rsidP="00BA0A3E">
            <w:pPr>
              <w:pStyle w:val="Tablebody"/>
              <w:rPr>
                <w:sz w:val="22"/>
                <w:szCs w:val="22"/>
              </w:rPr>
            </w:pPr>
            <w:r w:rsidRPr="00FF2627">
              <w:rPr>
                <w:sz w:val="22"/>
                <w:szCs w:val="22"/>
              </w:rPr>
              <w:t>Tailings are the left-over materials from the processing of mined ore. They consist of ground rock, unrecoverable and uneconomic metals, chemicals, organic matter and effluent from the process used to extract the desired products from the ore.</w:t>
            </w:r>
          </w:p>
        </w:tc>
      </w:tr>
      <w:tr w:rsidR="00B04DC4" w:rsidRPr="00FF2627" w14:paraId="5D813B3F"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71CB84AF" w14:textId="77777777" w:rsidR="00B04DC4" w:rsidRPr="00FF2627" w:rsidRDefault="00B04DC4" w:rsidP="00BA0A3E">
            <w:pPr>
              <w:pStyle w:val="Tablebody"/>
              <w:rPr>
                <w:sz w:val="22"/>
                <w:szCs w:val="22"/>
              </w:rPr>
            </w:pPr>
            <w:r w:rsidRPr="00FF2627">
              <w:rPr>
                <w:sz w:val="22"/>
                <w:szCs w:val="22"/>
              </w:rPr>
              <w:t>Nationally Determined Contributions (NDC)</w:t>
            </w:r>
          </w:p>
        </w:tc>
        <w:tc>
          <w:tcPr>
            <w:tcW w:w="4530" w:type="dxa"/>
          </w:tcPr>
          <w:p w14:paraId="27AE1C52" w14:textId="77777777" w:rsidR="00B04DC4" w:rsidRPr="00FF2627" w:rsidRDefault="00B04DC4" w:rsidP="00BA0A3E">
            <w:pPr>
              <w:pStyle w:val="Tablebody"/>
              <w:rPr>
                <w:sz w:val="22"/>
                <w:szCs w:val="22"/>
              </w:rPr>
            </w:pPr>
            <w:r w:rsidRPr="00FF2627">
              <w:rPr>
                <w:sz w:val="22"/>
                <w:szCs w:val="22"/>
              </w:rPr>
              <w:t>Climate action plans submitted by countries outlining their efforts to reduce greenhouse gas emissions and adapt to climate change, as part of the Paris Agreement.</w:t>
            </w:r>
          </w:p>
        </w:tc>
      </w:tr>
      <w:tr w:rsidR="00B04DC4" w:rsidRPr="00FF2627" w14:paraId="5C875A97"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1CAC856" w14:textId="77777777" w:rsidR="00B04DC4" w:rsidRPr="00FF2627" w:rsidRDefault="00B04DC4" w:rsidP="00BA0A3E">
            <w:pPr>
              <w:pStyle w:val="Tablebody"/>
              <w:rPr>
                <w:sz w:val="22"/>
                <w:szCs w:val="22"/>
              </w:rPr>
            </w:pPr>
            <w:r w:rsidRPr="00FF2627">
              <w:rPr>
                <w:sz w:val="22"/>
                <w:szCs w:val="22"/>
              </w:rPr>
              <w:t>Organisation for Economic Cooperation and Development (OECD)</w:t>
            </w:r>
          </w:p>
        </w:tc>
        <w:tc>
          <w:tcPr>
            <w:tcW w:w="4530" w:type="dxa"/>
          </w:tcPr>
          <w:p w14:paraId="1B746D07" w14:textId="77777777" w:rsidR="00B04DC4" w:rsidRPr="00FF2627" w:rsidRDefault="00B04DC4" w:rsidP="00BA0A3E">
            <w:pPr>
              <w:pStyle w:val="Tablebody"/>
              <w:rPr>
                <w:sz w:val="22"/>
                <w:szCs w:val="22"/>
              </w:rPr>
            </w:pPr>
            <w:r w:rsidRPr="00FF2627">
              <w:rPr>
                <w:sz w:val="22"/>
                <w:szCs w:val="22"/>
              </w:rPr>
              <w:t>An international organisation comprised of 38 democracies that promotes policies to improve the economic and social well-being of people worldwide, focusing on sustainable development and economic growth. The OECD's 38 Member countries span the world, from North America and South America to Europe and Asia-Pacific.</w:t>
            </w:r>
          </w:p>
        </w:tc>
      </w:tr>
      <w:tr w:rsidR="00B04DC4" w:rsidRPr="00FF2627" w14:paraId="42BF74F5"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FAB43C6" w14:textId="77777777" w:rsidR="00B04DC4" w:rsidRPr="00FF2627" w:rsidRDefault="00B04DC4" w:rsidP="00BA0A3E">
            <w:pPr>
              <w:pStyle w:val="Tablebody"/>
              <w:rPr>
                <w:sz w:val="22"/>
                <w:szCs w:val="22"/>
              </w:rPr>
            </w:pPr>
            <w:r w:rsidRPr="00FF2627">
              <w:rPr>
                <w:sz w:val="22"/>
                <w:szCs w:val="22"/>
              </w:rPr>
              <w:t>Sustainable Development Goals (SDG)</w:t>
            </w:r>
          </w:p>
        </w:tc>
        <w:tc>
          <w:tcPr>
            <w:tcW w:w="4530" w:type="dxa"/>
          </w:tcPr>
          <w:p w14:paraId="7853D280" w14:textId="77777777" w:rsidR="00B04DC4" w:rsidRPr="00FF2627" w:rsidRDefault="00B04DC4" w:rsidP="00BA0A3E">
            <w:pPr>
              <w:pStyle w:val="Tablebody"/>
              <w:rPr>
                <w:sz w:val="22"/>
                <w:szCs w:val="22"/>
              </w:rPr>
            </w:pPr>
            <w:r w:rsidRPr="00FF2627">
              <w:rPr>
                <w:sz w:val="22"/>
                <w:szCs w:val="22"/>
              </w:rPr>
              <w:t xml:space="preserve">A set of 17 global goals established by the United Nations to address pressing social, economic, and </w:t>
            </w:r>
            <w:r w:rsidRPr="00FF2627">
              <w:rPr>
                <w:sz w:val="22"/>
                <w:szCs w:val="22"/>
              </w:rPr>
              <w:lastRenderedPageBreak/>
              <w:t>environmental challenges, aiming for a more sustainable and equitable world by 2030.</w:t>
            </w:r>
          </w:p>
        </w:tc>
      </w:tr>
      <w:tr w:rsidR="00B04DC4" w:rsidRPr="00FF2627" w14:paraId="6FF1F6DE"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5F6A99B" w14:textId="77777777" w:rsidR="00B04DC4" w:rsidRPr="00FF2627" w:rsidRDefault="00B04DC4" w:rsidP="00BA0A3E">
            <w:pPr>
              <w:pStyle w:val="Tablebody"/>
              <w:rPr>
                <w:sz w:val="22"/>
                <w:szCs w:val="22"/>
              </w:rPr>
            </w:pPr>
            <w:r w:rsidRPr="00FF2627">
              <w:rPr>
                <w:sz w:val="22"/>
                <w:szCs w:val="22"/>
              </w:rPr>
              <w:lastRenderedPageBreak/>
              <w:t>Sustainability</w:t>
            </w:r>
          </w:p>
        </w:tc>
        <w:tc>
          <w:tcPr>
            <w:tcW w:w="4530" w:type="dxa"/>
          </w:tcPr>
          <w:p w14:paraId="22D5678B" w14:textId="77777777" w:rsidR="00B04DC4" w:rsidRPr="00FF2627" w:rsidRDefault="00B04DC4" w:rsidP="00BA0A3E">
            <w:pPr>
              <w:pStyle w:val="Tablebody"/>
              <w:rPr>
                <w:sz w:val="22"/>
                <w:szCs w:val="22"/>
              </w:rPr>
            </w:pPr>
            <w:r w:rsidRPr="00FF2627">
              <w:rPr>
                <w:sz w:val="22"/>
                <w:szCs w:val="22"/>
              </w:rPr>
              <w:t>The practice of meeting present needs without compromising the ability of future generations to meet their own needs, balancing environmental, social, and economic considerations.</w:t>
            </w:r>
          </w:p>
        </w:tc>
      </w:tr>
      <w:tr w:rsidR="00B04DC4" w:rsidRPr="00FF2627" w14:paraId="267A8CC0"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30988568" w14:textId="77777777" w:rsidR="00B04DC4" w:rsidRPr="00FF2627" w:rsidRDefault="00B04DC4" w:rsidP="00BA0A3E">
            <w:pPr>
              <w:pStyle w:val="Tablebody"/>
              <w:rPr>
                <w:sz w:val="22"/>
                <w:szCs w:val="22"/>
              </w:rPr>
            </w:pPr>
            <w:r w:rsidRPr="00FF2627">
              <w:rPr>
                <w:sz w:val="22"/>
                <w:szCs w:val="22"/>
              </w:rPr>
              <w:t xml:space="preserve">Transition broker </w:t>
            </w:r>
          </w:p>
        </w:tc>
        <w:tc>
          <w:tcPr>
            <w:tcW w:w="4530" w:type="dxa"/>
          </w:tcPr>
          <w:p w14:paraId="6642A9D7" w14:textId="77777777" w:rsidR="00B04DC4" w:rsidRPr="00FF2627" w:rsidRDefault="00B04DC4" w:rsidP="00BA0A3E">
            <w:pPr>
              <w:pStyle w:val="Tablebody"/>
              <w:rPr>
                <w:sz w:val="22"/>
                <w:szCs w:val="22"/>
              </w:rPr>
            </w:pPr>
            <w:r w:rsidRPr="00FF2627">
              <w:rPr>
                <w:sz w:val="22"/>
                <w:szCs w:val="22"/>
              </w:rPr>
              <w:t>An entity or facilitator that assists in the shift towards a sustainable or circular economy by connecting stakeholders, fostering partnerships, and enabling the implementation of sustainable practices.</w:t>
            </w:r>
          </w:p>
        </w:tc>
      </w:tr>
      <w:tr w:rsidR="00B04DC4" w:rsidRPr="00FF2627" w14:paraId="64B3C954"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46766DF4" w14:textId="77777777" w:rsidR="00B04DC4" w:rsidRPr="00FF2627" w:rsidRDefault="00B04DC4" w:rsidP="00BA0A3E">
            <w:pPr>
              <w:pStyle w:val="Tablebody"/>
              <w:rPr>
                <w:sz w:val="22"/>
                <w:szCs w:val="22"/>
              </w:rPr>
            </w:pPr>
            <w:r w:rsidRPr="00FF2627">
              <w:rPr>
                <w:sz w:val="22"/>
                <w:szCs w:val="22"/>
              </w:rPr>
              <w:t>Value chain</w:t>
            </w:r>
          </w:p>
        </w:tc>
        <w:tc>
          <w:tcPr>
            <w:tcW w:w="4530" w:type="dxa"/>
          </w:tcPr>
          <w:p w14:paraId="4864F910" w14:textId="77777777" w:rsidR="00B04DC4" w:rsidRPr="00FF2627" w:rsidRDefault="00B04DC4" w:rsidP="00BA0A3E">
            <w:pPr>
              <w:pStyle w:val="Tablebody"/>
              <w:rPr>
                <w:sz w:val="22"/>
                <w:szCs w:val="22"/>
              </w:rPr>
            </w:pPr>
            <w:r w:rsidRPr="00FF2627">
              <w:rPr>
                <w:sz w:val="22"/>
                <w:szCs w:val="22"/>
              </w:rPr>
              <w:t>The full range of activities involved in bringing a product or service from conception, through production, to delivery to the end consumer, including after-sales services.</w:t>
            </w:r>
          </w:p>
        </w:tc>
      </w:tr>
      <w:tr w:rsidR="00B04DC4" w:rsidRPr="00FF2627" w14:paraId="7ABDB2D2"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603F98A5" w14:textId="77777777" w:rsidR="00B04DC4" w:rsidRPr="00FF2627" w:rsidRDefault="00B04DC4" w:rsidP="00BA0A3E">
            <w:pPr>
              <w:pStyle w:val="Tablebody"/>
              <w:rPr>
                <w:sz w:val="22"/>
                <w:szCs w:val="22"/>
              </w:rPr>
            </w:pPr>
            <w:r w:rsidRPr="00FF2627">
              <w:rPr>
                <w:sz w:val="22"/>
                <w:szCs w:val="22"/>
              </w:rPr>
              <w:t>Valorising</w:t>
            </w:r>
          </w:p>
        </w:tc>
        <w:tc>
          <w:tcPr>
            <w:tcW w:w="4530" w:type="dxa"/>
          </w:tcPr>
          <w:p w14:paraId="02CFD8D2" w14:textId="77777777" w:rsidR="00B04DC4" w:rsidRPr="00FF2627" w:rsidRDefault="00B04DC4" w:rsidP="00BA0A3E">
            <w:pPr>
              <w:pStyle w:val="Tablebody"/>
              <w:rPr>
                <w:sz w:val="22"/>
                <w:szCs w:val="22"/>
              </w:rPr>
            </w:pPr>
            <w:r w:rsidRPr="00FF2627">
              <w:rPr>
                <w:sz w:val="22"/>
                <w:szCs w:val="22"/>
              </w:rPr>
              <w:t>The process of enhancing the value of a product, material, or waste by repurposing, recycling, or transforming it into something more valuable or useful.</w:t>
            </w:r>
          </w:p>
        </w:tc>
      </w:tr>
      <w:tr w:rsidR="00B04DC4" w:rsidRPr="00FF2627" w14:paraId="28BBFF7C" w14:textId="77777777" w:rsidTr="00B80F4A">
        <w:tblPrEx>
          <w:tblBorders>
            <w:left w:val="none" w:sz="0" w:space="0" w:color="auto"/>
            <w:right w:val="none" w:sz="0" w:space="0" w:color="auto"/>
            <w:insideV w:val="none" w:sz="0" w:space="0" w:color="auto"/>
          </w:tblBorders>
          <w:tblCellMar>
            <w:left w:w="40" w:type="dxa"/>
            <w:right w:w="40" w:type="dxa"/>
          </w:tblCellMar>
        </w:tblPrEx>
        <w:trPr>
          <w:tblHeader/>
        </w:trPr>
        <w:tc>
          <w:tcPr>
            <w:tcW w:w="4530" w:type="dxa"/>
          </w:tcPr>
          <w:p w14:paraId="5A822DE2" w14:textId="77777777" w:rsidR="00B04DC4" w:rsidRPr="00FF2627" w:rsidRDefault="00B04DC4" w:rsidP="00BA0A3E">
            <w:pPr>
              <w:pStyle w:val="Tablebody"/>
              <w:rPr>
                <w:sz w:val="22"/>
                <w:szCs w:val="22"/>
              </w:rPr>
            </w:pPr>
            <w:r w:rsidRPr="00FF2627">
              <w:rPr>
                <w:sz w:val="22"/>
                <w:szCs w:val="22"/>
              </w:rPr>
              <w:t>Virgin materials</w:t>
            </w:r>
          </w:p>
        </w:tc>
        <w:tc>
          <w:tcPr>
            <w:tcW w:w="4530" w:type="dxa"/>
          </w:tcPr>
          <w:p w14:paraId="4F2710CA" w14:textId="77777777" w:rsidR="00B04DC4" w:rsidRPr="00FF2627" w:rsidRDefault="00B04DC4" w:rsidP="00BA0A3E">
            <w:pPr>
              <w:pStyle w:val="Tablebody"/>
              <w:rPr>
                <w:sz w:val="22"/>
                <w:szCs w:val="22"/>
              </w:rPr>
            </w:pPr>
            <w:r w:rsidRPr="00FF2627">
              <w:rPr>
                <w:sz w:val="22"/>
                <w:szCs w:val="22"/>
              </w:rPr>
              <w:t>Raw materials extracted from the Earth for the first time, as opposed to recycled or reused materials.</w:t>
            </w:r>
          </w:p>
        </w:tc>
      </w:tr>
    </w:tbl>
    <w:p w14:paraId="78AF3F71" w14:textId="731E5E55" w:rsidR="00D138BB" w:rsidRPr="005F4D33" w:rsidRDefault="004F5354">
      <w:pPr>
        <w:spacing w:after="0"/>
      </w:pPr>
      <w:r w:rsidRPr="005F4D33">
        <w:br w:type="page"/>
      </w:r>
    </w:p>
    <w:p w14:paraId="7621BC72" w14:textId="60928624" w:rsidR="00CB023C" w:rsidRPr="005F4D33" w:rsidRDefault="00C70102" w:rsidP="00077D23">
      <w:pPr>
        <w:pStyle w:val="Heading2"/>
        <w:rPr>
          <w:color w:val="auto"/>
        </w:rPr>
      </w:pPr>
      <w:bookmarkStart w:id="61" w:name="_Toc184220113"/>
      <w:r w:rsidRPr="005F4D33">
        <w:rPr>
          <w:color w:val="auto"/>
        </w:rPr>
        <w:lastRenderedPageBreak/>
        <w:t>References</w:t>
      </w:r>
      <w:bookmarkEnd w:id="61"/>
    </w:p>
    <w:sectPr w:rsidR="00CB023C" w:rsidRPr="005F4D33" w:rsidSect="002F5224">
      <w:headerReference w:type="even" r:id="rId28"/>
      <w:headerReference w:type="default" r:id="rId29"/>
      <w:footerReference w:type="even" r:id="rId30"/>
      <w:footerReference w:type="default" r:id="rId31"/>
      <w:headerReference w:type="first" r:id="rId32"/>
      <w:footerReference w:type="first" r:id="rId33"/>
      <w:pgSz w:w="11906" w:h="16838"/>
      <w:pgMar w:top="1134" w:right="1361" w:bottom="794" w:left="136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5AEC6" w14:textId="77777777" w:rsidR="00782C0B" w:rsidRDefault="00782C0B">
      <w:r>
        <w:separator/>
      </w:r>
    </w:p>
    <w:p w14:paraId="666EC2F6" w14:textId="77777777" w:rsidR="00782C0B" w:rsidRDefault="00782C0B"/>
    <w:p w14:paraId="423A39D3" w14:textId="77777777" w:rsidR="00782C0B" w:rsidRDefault="00782C0B"/>
  </w:endnote>
  <w:endnote w:type="continuationSeparator" w:id="0">
    <w:p w14:paraId="1505E1EB" w14:textId="77777777" w:rsidR="00782C0B" w:rsidRDefault="00782C0B">
      <w:r>
        <w:continuationSeparator/>
      </w:r>
    </w:p>
    <w:p w14:paraId="1DB8A0F5" w14:textId="77777777" w:rsidR="00782C0B" w:rsidRDefault="00782C0B"/>
    <w:p w14:paraId="4F038D67" w14:textId="77777777" w:rsidR="00782C0B" w:rsidRDefault="00782C0B"/>
  </w:endnote>
  <w:endnote w:type="continuationNotice" w:id="1">
    <w:p w14:paraId="02583830" w14:textId="77777777" w:rsidR="00782C0B" w:rsidRDefault="00782C0B">
      <w:pPr>
        <w:pStyle w:val="Footer"/>
      </w:pPr>
    </w:p>
    <w:p w14:paraId="0D703FEA" w14:textId="77777777" w:rsidR="00782C0B" w:rsidRDefault="00782C0B"/>
    <w:p w14:paraId="2650A983" w14:textId="77777777" w:rsidR="00782C0B" w:rsidRDefault="00782C0B"/>
  </w:endnote>
  <w:endnote w:id="2">
    <w:p w14:paraId="2C80494D" w14:textId="07A5CAF2" w:rsidR="00824D97"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Noting emissions reductions are a factor of complex interactions between domestic and global factors, the potential to support our economic, climate and environmental objectives is clear</w:t>
      </w:r>
      <w:r w:rsidR="000B7B21" w:rsidRPr="00437C7B">
        <w:rPr>
          <w:rFonts w:ascii="Calibri" w:hAnsi="Calibri" w:cs="Calibri"/>
          <w:sz w:val="22"/>
          <w:szCs w:val="22"/>
        </w:rPr>
        <w:t>.</w:t>
      </w:r>
    </w:p>
  </w:endnote>
  <w:endnote w:id="3">
    <w:p w14:paraId="5088E9F9" w14:textId="04B56EA6" w:rsidR="00AD0272"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3C724D" w:rsidRPr="00437C7B">
        <w:rPr>
          <w:rFonts w:ascii="Calibri" w:hAnsi="Calibri" w:cs="Calibri"/>
          <w:sz w:val="22"/>
          <w:szCs w:val="22"/>
        </w:rPr>
        <w:t>CSIRO</w:t>
      </w:r>
      <w:r w:rsidR="00054FDB" w:rsidRPr="00437C7B">
        <w:rPr>
          <w:rFonts w:ascii="Calibri" w:hAnsi="Calibri" w:cs="Calibri"/>
          <w:sz w:val="22"/>
          <w:szCs w:val="22"/>
        </w:rPr>
        <w:t>,</w:t>
      </w:r>
      <w:r w:rsidR="008E0E7F" w:rsidRPr="00437C7B">
        <w:rPr>
          <w:rFonts w:ascii="Calibri" w:hAnsi="Calibri" w:cs="Calibri"/>
          <w:sz w:val="22"/>
          <w:szCs w:val="22"/>
        </w:rPr>
        <w:t xml:space="preserve"> </w:t>
      </w:r>
      <w:r w:rsidR="008E0E7F" w:rsidRPr="00437C7B">
        <w:rPr>
          <w:rFonts w:ascii="Calibri" w:hAnsi="Calibri" w:cs="Calibri"/>
          <w:i/>
          <w:iCs/>
          <w:sz w:val="22"/>
          <w:szCs w:val="22"/>
        </w:rPr>
        <w:t>Modelling Circular Economy Transition Targets</w:t>
      </w:r>
      <w:r w:rsidR="00054FDB" w:rsidRPr="00437C7B">
        <w:rPr>
          <w:rFonts w:ascii="Calibri" w:hAnsi="Calibri" w:cs="Calibri"/>
          <w:sz w:val="22"/>
          <w:szCs w:val="22"/>
        </w:rPr>
        <w:t xml:space="preserve"> (unpublished)</w:t>
      </w:r>
      <w:r w:rsidR="008E0E7F" w:rsidRPr="00437C7B">
        <w:rPr>
          <w:rFonts w:ascii="Calibri" w:hAnsi="Calibri" w:cs="Calibri"/>
          <w:sz w:val="22"/>
          <w:szCs w:val="22"/>
        </w:rPr>
        <w:t xml:space="preserve">, </w:t>
      </w:r>
      <w:r w:rsidR="00B8670B" w:rsidRPr="00437C7B">
        <w:rPr>
          <w:rFonts w:ascii="Calibri" w:hAnsi="Calibri" w:cs="Calibri"/>
          <w:sz w:val="22"/>
          <w:szCs w:val="22"/>
        </w:rPr>
        <w:t xml:space="preserve">CSIRO, Australian Government, </w:t>
      </w:r>
      <w:r w:rsidR="008E0E7F" w:rsidRPr="00437C7B">
        <w:rPr>
          <w:rFonts w:ascii="Calibri" w:hAnsi="Calibri" w:cs="Calibri"/>
          <w:sz w:val="22"/>
          <w:szCs w:val="22"/>
        </w:rPr>
        <w:t>2024</w:t>
      </w:r>
      <w:r w:rsidR="00141A18" w:rsidRPr="00437C7B">
        <w:rPr>
          <w:rFonts w:ascii="Calibri" w:hAnsi="Calibri" w:cs="Calibri"/>
          <w:sz w:val="22"/>
          <w:szCs w:val="22"/>
        </w:rPr>
        <w:t>.</w:t>
      </w:r>
    </w:p>
  </w:endnote>
  <w:endnote w:id="4">
    <w:p w14:paraId="2F84D33B" w14:textId="59A18C0B" w:rsidR="00E736DA"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8C7B4B" w:rsidRPr="00437C7B">
        <w:rPr>
          <w:rFonts w:ascii="Calibri" w:hAnsi="Calibri" w:cs="Calibri"/>
          <w:sz w:val="22"/>
          <w:szCs w:val="22"/>
        </w:rPr>
        <w:t>Kaza, Silpa;</w:t>
      </w:r>
      <w:r w:rsidR="00693F57" w:rsidRPr="00437C7B">
        <w:rPr>
          <w:rFonts w:ascii="Calibri" w:hAnsi="Calibri" w:cs="Calibri"/>
          <w:sz w:val="22"/>
          <w:szCs w:val="22"/>
        </w:rPr>
        <w:t xml:space="preserve"> </w:t>
      </w:r>
      <w:r w:rsidR="008C7B4B" w:rsidRPr="00437C7B">
        <w:rPr>
          <w:rFonts w:ascii="Calibri" w:hAnsi="Calibri" w:cs="Calibri"/>
          <w:sz w:val="22"/>
          <w:szCs w:val="22"/>
        </w:rPr>
        <w:t>Yao, Lisa C.;</w:t>
      </w:r>
      <w:r w:rsidR="00877E21">
        <w:rPr>
          <w:rFonts w:ascii="Calibri" w:hAnsi="Calibri" w:cs="Calibri"/>
          <w:sz w:val="22"/>
          <w:szCs w:val="22"/>
        </w:rPr>
        <w:t xml:space="preserve"> </w:t>
      </w:r>
      <w:r w:rsidR="008C7B4B" w:rsidRPr="00437C7B">
        <w:rPr>
          <w:rFonts w:ascii="Calibri" w:hAnsi="Calibri" w:cs="Calibri"/>
          <w:sz w:val="22"/>
          <w:szCs w:val="22"/>
        </w:rPr>
        <w:t>Bhada-Tata, Perinaz;</w:t>
      </w:r>
      <w:r w:rsidR="00693F57" w:rsidRPr="00437C7B">
        <w:rPr>
          <w:rFonts w:ascii="Calibri" w:hAnsi="Calibri" w:cs="Calibri"/>
          <w:sz w:val="22"/>
          <w:szCs w:val="22"/>
        </w:rPr>
        <w:t xml:space="preserve"> </w:t>
      </w:r>
      <w:r w:rsidR="008C7B4B" w:rsidRPr="00437C7B">
        <w:rPr>
          <w:rFonts w:ascii="Calibri" w:hAnsi="Calibri" w:cs="Calibri"/>
          <w:sz w:val="22"/>
          <w:szCs w:val="22"/>
        </w:rPr>
        <w:t>Van Woerden, Frank.</w:t>
      </w:r>
      <w:r w:rsidRPr="00437C7B">
        <w:rPr>
          <w:rFonts w:ascii="Calibri" w:hAnsi="Calibri" w:cs="Calibri"/>
          <w:sz w:val="22"/>
          <w:szCs w:val="22"/>
        </w:rPr>
        <w:t xml:space="preserve">, </w:t>
      </w:r>
      <w:hyperlink r:id="rId1" w:history="1">
        <w:r w:rsidR="005D10C6" w:rsidRPr="00437C7B">
          <w:rPr>
            <w:rStyle w:val="Hyperlink"/>
            <w:rFonts w:ascii="Calibri" w:hAnsi="Calibri" w:cs="Calibri"/>
            <w:i/>
            <w:iCs/>
            <w:sz w:val="22"/>
            <w:szCs w:val="22"/>
          </w:rPr>
          <w:t>What a Waste 2.0: A Global Snapshot of Solid Waste Management to 2050</w:t>
        </w:r>
      </w:hyperlink>
      <w:r w:rsidRPr="00437C7B">
        <w:rPr>
          <w:rFonts w:ascii="Calibri" w:hAnsi="Calibri" w:cs="Calibri"/>
          <w:sz w:val="22"/>
          <w:szCs w:val="22"/>
        </w:rPr>
        <w:t xml:space="preserve">, </w:t>
      </w:r>
      <w:r w:rsidR="00BF35FA" w:rsidRPr="00437C7B">
        <w:rPr>
          <w:rFonts w:ascii="Calibri" w:hAnsi="Calibri" w:cs="Calibri"/>
          <w:sz w:val="22"/>
          <w:szCs w:val="22"/>
        </w:rPr>
        <w:t>Washington, DC: World Bank, 2018</w:t>
      </w:r>
      <w:r w:rsidR="005A06E9" w:rsidRPr="00437C7B">
        <w:rPr>
          <w:rFonts w:ascii="Calibri" w:hAnsi="Calibri" w:cs="Calibri"/>
          <w:sz w:val="22"/>
          <w:szCs w:val="22"/>
        </w:rPr>
        <w:t>.</w:t>
      </w:r>
    </w:p>
  </w:endnote>
  <w:endnote w:id="5">
    <w:p w14:paraId="7854A4A7" w14:textId="77777777" w:rsidR="00021C14" w:rsidRPr="00437C7B" w:rsidRDefault="00021C14" w:rsidP="00021C1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Detailed in the </w:t>
      </w:r>
      <w:r w:rsidRPr="00437C7B">
        <w:rPr>
          <w:rFonts w:ascii="Calibri" w:hAnsi="Calibri" w:cs="Calibri"/>
          <w:i/>
          <w:iCs/>
          <w:sz w:val="22"/>
          <w:szCs w:val="22"/>
        </w:rPr>
        <w:t xml:space="preserve">Climate Change Act 2022 </w:t>
      </w:r>
      <w:r w:rsidRPr="00437C7B">
        <w:rPr>
          <w:rFonts w:ascii="Calibri" w:hAnsi="Calibri" w:cs="Calibri"/>
          <w:sz w:val="22"/>
          <w:szCs w:val="22"/>
        </w:rPr>
        <w:t>(Cth).</w:t>
      </w:r>
    </w:p>
  </w:endnote>
  <w:endnote w:id="6">
    <w:p w14:paraId="7549B2DE" w14:textId="77777777" w:rsidR="009172F6"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I</w:t>
      </w:r>
      <w:r w:rsidRPr="00437C7B">
        <w:rPr>
          <w:rFonts w:ascii="Calibri" w:hAnsi="Calibri" w:cs="Calibri"/>
          <w:sz w:val="22"/>
          <w:szCs w:val="22"/>
          <w:lang w:eastAsia="ja-JP"/>
        </w:rPr>
        <w:t>n 2009, Australia endorsed the United Nations Declaration on the Rights of Indigenous Peoples, offering a valuable framework to enhance institutional support for First Nations' economic development in the transition to a circular economy.</w:t>
      </w:r>
    </w:p>
  </w:endnote>
  <w:endnote w:id="7">
    <w:p w14:paraId="275FE5C9" w14:textId="4AB987F1" w:rsidR="00316033"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Miatto A, Emami N, Goodwin K, West J, Taskhiri S, Wiedmann T, and Schandl H</w:t>
      </w:r>
      <w:r w:rsidR="00BF35FA" w:rsidRPr="00437C7B">
        <w:rPr>
          <w:rFonts w:ascii="Calibri" w:hAnsi="Calibri" w:cs="Calibri"/>
          <w:sz w:val="22"/>
          <w:szCs w:val="22"/>
        </w:rPr>
        <w:t xml:space="preserve">, </w:t>
      </w:r>
      <w:hyperlink r:id="rId2" w:history="1">
        <w:r w:rsidRPr="00437C7B">
          <w:rPr>
            <w:rStyle w:val="Hyperlink"/>
            <w:rFonts w:ascii="Calibri" w:hAnsi="Calibri" w:cs="Calibri"/>
            <w:i/>
            <w:iCs/>
            <w:sz w:val="22"/>
            <w:szCs w:val="22"/>
          </w:rPr>
          <w:t>A comprehensive material flow account for the Australian economy to support the assessment of Australia’s progress towards a circular economy</w:t>
        </w:r>
      </w:hyperlink>
      <w:r w:rsidR="00D451CE" w:rsidRPr="00437C7B">
        <w:rPr>
          <w:rStyle w:val="Hyperlink"/>
          <w:rFonts w:ascii="Calibri" w:hAnsi="Calibri" w:cs="Calibri"/>
          <w:sz w:val="22"/>
          <w:szCs w:val="22"/>
        </w:rPr>
        <w:t>,</w:t>
      </w:r>
      <w:r w:rsidRPr="00437C7B">
        <w:rPr>
          <w:rFonts w:ascii="Calibri" w:hAnsi="Calibri" w:cs="Calibri"/>
          <w:sz w:val="22"/>
          <w:szCs w:val="22"/>
        </w:rPr>
        <w:t xml:space="preserve"> CSIRO, Australia</w:t>
      </w:r>
      <w:r w:rsidR="00D451CE" w:rsidRPr="00437C7B">
        <w:rPr>
          <w:rFonts w:ascii="Calibri" w:hAnsi="Calibri" w:cs="Calibri"/>
          <w:sz w:val="22"/>
          <w:szCs w:val="22"/>
        </w:rPr>
        <w:t xml:space="preserve">n Government, </w:t>
      </w:r>
      <w:r w:rsidR="00BF35FA" w:rsidRPr="00437C7B">
        <w:rPr>
          <w:rFonts w:ascii="Calibri" w:hAnsi="Calibri" w:cs="Calibri"/>
          <w:sz w:val="22"/>
          <w:szCs w:val="22"/>
        </w:rPr>
        <w:t>2024.</w:t>
      </w:r>
    </w:p>
  </w:endnote>
  <w:endnote w:id="8">
    <w:p w14:paraId="24FF22AB" w14:textId="707EB90E" w:rsidR="000D3EC5"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CSIRO, </w:t>
      </w:r>
      <w:r w:rsidR="009802A6" w:rsidRPr="00437C7B">
        <w:rPr>
          <w:rFonts w:ascii="Calibri" w:hAnsi="Calibri" w:cs="Calibri"/>
          <w:i/>
          <w:iCs/>
          <w:sz w:val="22"/>
          <w:szCs w:val="22"/>
        </w:rPr>
        <w:t xml:space="preserve">A comprehensive material flow analysis </w:t>
      </w:r>
      <w:r w:rsidR="00A77EE3" w:rsidRPr="00437C7B">
        <w:rPr>
          <w:rFonts w:ascii="Calibri" w:hAnsi="Calibri" w:cs="Calibri"/>
          <w:i/>
          <w:iCs/>
          <w:sz w:val="22"/>
          <w:szCs w:val="22"/>
        </w:rPr>
        <w:t>for the Australian economy</w:t>
      </w:r>
      <w:r w:rsidR="004861E6" w:rsidRPr="00437C7B">
        <w:rPr>
          <w:rFonts w:ascii="Calibri" w:hAnsi="Calibri" w:cs="Calibri"/>
          <w:i/>
          <w:iCs/>
          <w:sz w:val="22"/>
          <w:szCs w:val="22"/>
        </w:rPr>
        <w:t>.</w:t>
      </w:r>
    </w:p>
  </w:endnote>
  <w:endnote w:id="9">
    <w:p w14:paraId="6AE1BB02" w14:textId="18178473"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OECD, </w:t>
      </w:r>
      <w:r w:rsidR="00882C41" w:rsidRPr="00437C7B">
        <w:rPr>
          <w:rFonts w:ascii="Calibri" w:hAnsi="Calibri" w:cs="Calibri"/>
          <w:i/>
          <w:iCs/>
          <w:sz w:val="22"/>
          <w:szCs w:val="22"/>
        </w:rPr>
        <w:t>Towards a more resource-efficient and circular economy -</w:t>
      </w:r>
      <w:r w:rsidR="00EE2F73" w:rsidRPr="00437C7B">
        <w:rPr>
          <w:rFonts w:ascii="Calibri" w:hAnsi="Calibri" w:cs="Calibri"/>
          <w:i/>
          <w:iCs/>
          <w:sz w:val="22"/>
          <w:szCs w:val="22"/>
        </w:rPr>
        <w:t xml:space="preserve"> A</w:t>
      </w:r>
      <w:r w:rsidR="00882C41" w:rsidRPr="00437C7B">
        <w:rPr>
          <w:rFonts w:ascii="Calibri" w:hAnsi="Calibri" w:cs="Calibri"/>
          <w:i/>
          <w:iCs/>
          <w:sz w:val="22"/>
          <w:szCs w:val="22"/>
        </w:rPr>
        <w:t xml:space="preserve"> report prepared for the 2021 G20 Presidency of Italy</w:t>
      </w:r>
      <w:r w:rsidRPr="00437C7B">
        <w:rPr>
          <w:rFonts w:ascii="Calibri" w:hAnsi="Calibri" w:cs="Calibri"/>
          <w:sz w:val="22"/>
          <w:szCs w:val="22"/>
        </w:rPr>
        <w:t xml:space="preserve">, OECD </w:t>
      </w:r>
      <w:r w:rsidR="00882C41" w:rsidRPr="00437C7B">
        <w:rPr>
          <w:rFonts w:ascii="Calibri" w:hAnsi="Calibri" w:cs="Calibri"/>
          <w:sz w:val="22"/>
          <w:szCs w:val="22"/>
        </w:rPr>
        <w:t>2021</w:t>
      </w:r>
      <w:r w:rsidR="00590FEB" w:rsidRPr="00437C7B">
        <w:rPr>
          <w:rFonts w:ascii="Calibri" w:hAnsi="Calibri" w:cs="Calibri"/>
          <w:sz w:val="22"/>
          <w:szCs w:val="22"/>
        </w:rPr>
        <w:t>.</w:t>
      </w:r>
    </w:p>
  </w:endnote>
  <w:endnote w:id="10">
    <w:p w14:paraId="70D0211A" w14:textId="523DDEDD"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OECD, </w:t>
      </w:r>
      <w:hyperlink r:id="rId3" w:history="1">
        <w:r w:rsidR="009D6AD8" w:rsidRPr="00437C7B">
          <w:rPr>
            <w:rStyle w:val="Hyperlink"/>
            <w:rFonts w:ascii="Calibri" w:hAnsi="Calibri" w:cs="Calibri"/>
            <w:sz w:val="22"/>
            <w:szCs w:val="22"/>
          </w:rPr>
          <w:t>Material productivity - Indicator</w:t>
        </w:r>
      </w:hyperlink>
      <w:r w:rsidR="009D6AD8" w:rsidRPr="00437C7B">
        <w:rPr>
          <w:rStyle w:val="Hyperlink"/>
          <w:rFonts w:ascii="Calibri" w:hAnsi="Calibri" w:cs="Calibri"/>
          <w:sz w:val="22"/>
          <w:szCs w:val="22"/>
        </w:rPr>
        <w:t xml:space="preserve">, </w:t>
      </w:r>
      <w:r w:rsidRPr="00437C7B">
        <w:rPr>
          <w:rFonts w:ascii="Calibri" w:hAnsi="Calibri" w:cs="Calibri"/>
          <w:sz w:val="22"/>
          <w:szCs w:val="22"/>
        </w:rPr>
        <w:t>OECD Data website</w:t>
      </w:r>
      <w:r w:rsidR="000365D2" w:rsidRPr="00437C7B">
        <w:rPr>
          <w:rFonts w:ascii="Calibri" w:hAnsi="Calibri" w:cs="Calibri"/>
          <w:sz w:val="22"/>
          <w:szCs w:val="22"/>
        </w:rPr>
        <w:t>, 2022</w:t>
      </w:r>
      <w:r w:rsidR="00565B15" w:rsidRPr="00437C7B">
        <w:rPr>
          <w:rFonts w:ascii="Calibri" w:hAnsi="Calibri" w:cs="Calibri"/>
          <w:sz w:val="22"/>
          <w:szCs w:val="22"/>
        </w:rPr>
        <w:t>.</w:t>
      </w:r>
    </w:p>
  </w:endnote>
  <w:endnote w:id="11">
    <w:p w14:paraId="7B92D981" w14:textId="4EE219DC" w:rsidR="000A31CE"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0B45B0" w:rsidRPr="00437C7B">
        <w:rPr>
          <w:rFonts w:ascii="Calibri" w:hAnsi="Calibri" w:cs="Calibri"/>
          <w:sz w:val="22"/>
          <w:szCs w:val="22"/>
        </w:rPr>
        <w:t xml:space="preserve">Blue Environment Pty Ltd., </w:t>
      </w:r>
      <w:hyperlink r:id="rId4" w:history="1">
        <w:r w:rsidR="000B45B0" w:rsidRPr="00437C7B">
          <w:rPr>
            <w:rStyle w:val="Hyperlink"/>
            <w:rFonts w:ascii="Calibri" w:hAnsi="Calibri" w:cs="Calibri"/>
            <w:i/>
            <w:iCs/>
            <w:sz w:val="22"/>
            <w:szCs w:val="22"/>
          </w:rPr>
          <w:t>National Waste Report 2022</w:t>
        </w:r>
      </w:hyperlink>
      <w:r w:rsidR="000B45B0" w:rsidRPr="00437C7B">
        <w:rPr>
          <w:rFonts w:ascii="Calibri" w:hAnsi="Calibri" w:cs="Calibri"/>
          <w:sz w:val="22"/>
          <w:szCs w:val="22"/>
        </w:rPr>
        <w:t xml:space="preserve">, prepared for the </w:t>
      </w:r>
      <w:r w:rsidR="007A07D2" w:rsidRPr="00437C7B">
        <w:rPr>
          <w:rFonts w:ascii="Calibri" w:hAnsi="Calibri" w:cs="Calibri"/>
          <w:sz w:val="22"/>
          <w:szCs w:val="22"/>
        </w:rPr>
        <w:t xml:space="preserve">Australian Government </w:t>
      </w:r>
      <w:r w:rsidR="000B45B0" w:rsidRPr="00437C7B">
        <w:rPr>
          <w:rFonts w:ascii="Calibri" w:hAnsi="Calibri" w:cs="Calibri"/>
          <w:sz w:val="22"/>
          <w:szCs w:val="22"/>
        </w:rPr>
        <w:t>Department of Climate Change, Energy, the Environment and Water (DCCEEW),</w:t>
      </w:r>
      <w:r w:rsidR="00550D1C" w:rsidRPr="00437C7B">
        <w:rPr>
          <w:rFonts w:ascii="Calibri" w:hAnsi="Calibri" w:cs="Calibri"/>
          <w:sz w:val="22"/>
          <w:szCs w:val="22"/>
        </w:rPr>
        <w:t xml:space="preserve"> </w:t>
      </w:r>
      <w:r w:rsidR="00C87C94" w:rsidRPr="00437C7B">
        <w:rPr>
          <w:rFonts w:ascii="Calibri" w:hAnsi="Calibri" w:cs="Calibri"/>
          <w:sz w:val="22"/>
          <w:szCs w:val="22"/>
        </w:rPr>
        <w:t>Blue Environment Pty Ltd</w:t>
      </w:r>
      <w:r w:rsidR="007A07D2" w:rsidRPr="00437C7B">
        <w:rPr>
          <w:rFonts w:ascii="Calibri" w:hAnsi="Calibri" w:cs="Calibri"/>
          <w:sz w:val="22"/>
          <w:szCs w:val="22"/>
        </w:rPr>
        <w:t>.,</w:t>
      </w:r>
      <w:r w:rsidR="00C87C94" w:rsidRPr="00437C7B">
        <w:rPr>
          <w:rFonts w:ascii="Calibri" w:hAnsi="Calibri" w:cs="Calibri"/>
          <w:sz w:val="22"/>
          <w:szCs w:val="22"/>
        </w:rPr>
        <w:t xml:space="preserve"> </w:t>
      </w:r>
      <w:r w:rsidR="000B45B0" w:rsidRPr="00437C7B">
        <w:rPr>
          <w:rFonts w:ascii="Calibri" w:hAnsi="Calibri" w:cs="Calibri"/>
          <w:sz w:val="22"/>
          <w:szCs w:val="22"/>
        </w:rPr>
        <w:t>2023.</w:t>
      </w:r>
    </w:p>
  </w:endnote>
  <w:endnote w:id="12">
    <w:p w14:paraId="4BAF1BD4" w14:textId="351D5AA7" w:rsidR="00352A82"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Encycle Consulting and Sustainable Resource Use, </w:t>
      </w:r>
      <w:hyperlink r:id="rId5" w:history="1">
        <w:r w:rsidR="007D7DB5" w:rsidRPr="00437C7B">
          <w:rPr>
            <w:rStyle w:val="Hyperlink"/>
            <w:rFonts w:ascii="Calibri" w:hAnsi="Calibri" w:cs="Calibri"/>
            <w:i/>
            <w:iCs/>
            <w:sz w:val="22"/>
            <w:szCs w:val="22"/>
          </w:rPr>
          <w:t>A study into commercial &amp; industrial (C&amp;I) waste and recycling in Australia by industry division</w:t>
        </w:r>
      </w:hyperlink>
      <w:r w:rsidRPr="00437C7B">
        <w:rPr>
          <w:rFonts w:ascii="Calibri" w:hAnsi="Calibri" w:cs="Calibri"/>
          <w:sz w:val="22"/>
          <w:szCs w:val="22"/>
        </w:rPr>
        <w:t xml:space="preserve">, prepared for the </w:t>
      </w:r>
      <w:r w:rsidR="00861CE5" w:rsidRPr="00437C7B">
        <w:rPr>
          <w:rFonts w:ascii="Calibri" w:hAnsi="Calibri" w:cs="Calibri"/>
          <w:sz w:val="22"/>
          <w:szCs w:val="22"/>
        </w:rPr>
        <w:t xml:space="preserve">Australian </w:t>
      </w:r>
      <w:r w:rsidRPr="00437C7B">
        <w:rPr>
          <w:rFonts w:ascii="Calibri" w:hAnsi="Calibri" w:cs="Calibri"/>
          <w:sz w:val="22"/>
          <w:szCs w:val="22"/>
        </w:rPr>
        <w:t>Department of Sustainability, Environment, Water, Population and Communities, 2013.</w:t>
      </w:r>
    </w:p>
  </w:endnote>
  <w:endnote w:id="13">
    <w:p w14:paraId="17CB787F" w14:textId="6454F793" w:rsidR="006222D4"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Globally, more than 75 national circular economy action plans, roadmaps and strategies have been launched (another 10 are in development). </w:t>
      </w:r>
      <w:r w:rsidR="00FD747C" w:rsidRPr="00437C7B">
        <w:rPr>
          <w:rFonts w:ascii="Calibri" w:hAnsi="Calibri" w:cs="Calibri"/>
          <w:sz w:val="22"/>
          <w:szCs w:val="22"/>
        </w:rPr>
        <w:t>United Nations Industrial Development Organization (</w:t>
      </w:r>
      <w:r w:rsidR="009D5B21" w:rsidRPr="00437C7B">
        <w:rPr>
          <w:rFonts w:ascii="Calibri" w:hAnsi="Calibri" w:cs="Calibri"/>
          <w:sz w:val="22"/>
          <w:szCs w:val="22"/>
        </w:rPr>
        <w:t>UNIDO</w:t>
      </w:r>
      <w:r w:rsidR="00FD747C" w:rsidRPr="00437C7B">
        <w:rPr>
          <w:rFonts w:ascii="Calibri" w:hAnsi="Calibri" w:cs="Calibri"/>
          <w:sz w:val="22"/>
          <w:szCs w:val="22"/>
        </w:rPr>
        <w:t xml:space="preserve">) and </w:t>
      </w:r>
      <w:r w:rsidRPr="00437C7B">
        <w:rPr>
          <w:rFonts w:ascii="Calibri" w:hAnsi="Calibri" w:cs="Calibri"/>
          <w:sz w:val="22"/>
          <w:szCs w:val="22"/>
        </w:rPr>
        <w:t xml:space="preserve">Chatham House, </w:t>
      </w:r>
      <w:hyperlink r:id="rId6" w:history="1">
        <w:r w:rsidRPr="00437C7B">
          <w:rPr>
            <w:rStyle w:val="Hyperlink"/>
            <w:rFonts w:ascii="Calibri" w:hAnsi="Calibri" w:cs="Calibri"/>
            <w:i/>
            <w:iCs/>
            <w:sz w:val="22"/>
            <w:szCs w:val="22"/>
          </w:rPr>
          <w:t>National circular economy roadmaps and strategies: global stocktake for 2024</w:t>
        </w:r>
      </w:hyperlink>
      <w:r w:rsidRPr="00437C7B">
        <w:rPr>
          <w:rFonts w:ascii="Calibri" w:hAnsi="Calibri" w:cs="Calibri"/>
          <w:sz w:val="22"/>
          <w:szCs w:val="22"/>
        </w:rPr>
        <w:t xml:space="preserve">, UNIDO </w:t>
      </w:r>
      <w:r w:rsidR="00F443E8" w:rsidRPr="00437C7B">
        <w:rPr>
          <w:rFonts w:ascii="Calibri" w:hAnsi="Calibri" w:cs="Calibri"/>
          <w:sz w:val="22"/>
          <w:szCs w:val="22"/>
        </w:rPr>
        <w:t xml:space="preserve">website, </w:t>
      </w:r>
      <w:r w:rsidRPr="00437C7B">
        <w:rPr>
          <w:rFonts w:ascii="Calibri" w:hAnsi="Calibri" w:cs="Calibri"/>
          <w:sz w:val="22"/>
          <w:szCs w:val="22"/>
        </w:rPr>
        <w:t>2024.</w:t>
      </w:r>
    </w:p>
  </w:endnote>
  <w:endnote w:id="14">
    <w:p w14:paraId="1DCF010C" w14:textId="77777777" w:rsidR="003A32E8" w:rsidRPr="00437C7B" w:rsidRDefault="003A32E8" w:rsidP="003A32E8">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The G7 Ministers of Climate, Energy, and the Environment have committed to fostering, promoting and supporting the circular economy through actions at all levels across all sectors and all countries to achieve the transformation towards net zero, circular and nature positive economies.</w:t>
      </w:r>
    </w:p>
  </w:endnote>
  <w:endnote w:id="15">
    <w:p w14:paraId="1D1C394D" w14:textId="77777777" w:rsidR="00CF68ED"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00B077C2" w:rsidRPr="00437C7B">
        <w:rPr>
          <w:rFonts w:ascii="Calibri" w:hAnsi="Calibri" w:cs="Calibri"/>
          <w:sz w:val="22"/>
          <w:szCs w:val="22"/>
        </w:rPr>
        <w:t xml:space="preserve"> </w:t>
      </w:r>
      <w:r w:rsidR="00F669AC" w:rsidRPr="00437C7B">
        <w:rPr>
          <w:rFonts w:ascii="Calibri" w:hAnsi="Calibri" w:cs="Calibri"/>
          <w:sz w:val="22"/>
          <w:szCs w:val="22"/>
        </w:rPr>
        <w:t>The 18th G20 Summit New Delhi</w:t>
      </w:r>
      <w:r w:rsidR="00D03284" w:rsidRPr="00437C7B">
        <w:rPr>
          <w:rFonts w:ascii="Calibri" w:hAnsi="Calibri" w:cs="Calibri"/>
          <w:sz w:val="22"/>
          <w:szCs w:val="22"/>
        </w:rPr>
        <w:t>,</w:t>
      </w:r>
      <w:r w:rsidRPr="00437C7B">
        <w:rPr>
          <w:rFonts w:ascii="Calibri" w:hAnsi="Calibri" w:cs="Calibri"/>
          <w:sz w:val="22"/>
          <w:szCs w:val="22"/>
        </w:rPr>
        <w:t xml:space="preserve"> </w:t>
      </w:r>
      <w:hyperlink r:id="rId7" w:history="1">
        <w:r w:rsidRPr="00437C7B">
          <w:rPr>
            <w:rStyle w:val="Hyperlink"/>
            <w:rFonts w:ascii="Calibri" w:hAnsi="Calibri" w:cs="Calibri"/>
            <w:sz w:val="22"/>
            <w:szCs w:val="22"/>
          </w:rPr>
          <w:t>G20 New Delhi Leaders’ Declaration</w:t>
        </w:r>
      </w:hyperlink>
      <w:r w:rsidR="00B077C2" w:rsidRPr="00437C7B">
        <w:rPr>
          <w:rFonts w:ascii="Calibri" w:hAnsi="Calibri" w:cs="Calibri"/>
          <w:sz w:val="22"/>
          <w:szCs w:val="22"/>
        </w:rPr>
        <w:t>, 9</w:t>
      </w:r>
      <w:r w:rsidR="0017181E" w:rsidRPr="00437C7B">
        <w:rPr>
          <w:rFonts w:ascii="Calibri" w:hAnsi="Calibri" w:cs="Calibri"/>
          <w:sz w:val="22"/>
          <w:szCs w:val="22"/>
        </w:rPr>
        <w:t>–</w:t>
      </w:r>
      <w:r w:rsidR="00B077C2" w:rsidRPr="00437C7B">
        <w:rPr>
          <w:rFonts w:ascii="Calibri" w:hAnsi="Calibri" w:cs="Calibri"/>
          <w:sz w:val="22"/>
          <w:szCs w:val="22"/>
        </w:rPr>
        <w:t>10 September 2023</w:t>
      </w:r>
      <w:r w:rsidRPr="00437C7B">
        <w:rPr>
          <w:rFonts w:ascii="Calibri" w:hAnsi="Calibri" w:cs="Calibri"/>
          <w:sz w:val="22"/>
          <w:szCs w:val="22"/>
        </w:rPr>
        <w:t xml:space="preserve">; and the G20 Environment and Climate Sustainability Working Group (ECSWG) meeting, Brasil October 2024, </w:t>
      </w:r>
      <w:hyperlink r:id="rId8" w:history="1">
        <w:r w:rsidRPr="00437C7B">
          <w:rPr>
            <w:rStyle w:val="Hyperlink"/>
            <w:rFonts w:ascii="Calibri" w:hAnsi="Calibri" w:cs="Calibri"/>
            <w:sz w:val="22"/>
            <w:szCs w:val="22"/>
          </w:rPr>
          <w:t>Ministerial Declaration</w:t>
        </w:r>
      </w:hyperlink>
      <w:r w:rsidRPr="00437C7B">
        <w:rPr>
          <w:rFonts w:ascii="Calibri" w:hAnsi="Calibri" w:cs="Calibri"/>
          <w:sz w:val="22"/>
          <w:szCs w:val="22"/>
        </w:rPr>
        <w:t>.</w:t>
      </w:r>
    </w:p>
  </w:endnote>
  <w:endnote w:id="16">
    <w:p w14:paraId="5ECEF5BE" w14:textId="07EC90EE"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Australian Bureau of Statistics (ABS), </w:t>
      </w:r>
      <w:hyperlink r:id="rId9" w:history="1">
        <w:r w:rsidR="0019305B" w:rsidRPr="00437C7B">
          <w:rPr>
            <w:rStyle w:val="Hyperlink"/>
            <w:rFonts w:ascii="Calibri" w:hAnsi="Calibri" w:cs="Calibri"/>
            <w:sz w:val="22"/>
            <w:szCs w:val="22"/>
          </w:rPr>
          <w:t>International Trade</w:t>
        </w:r>
      </w:hyperlink>
      <w:r w:rsidRPr="00437C7B">
        <w:rPr>
          <w:rFonts w:ascii="Calibri" w:hAnsi="Calibri" w:cs="Calibri"/>
          <w:sz w:val="22"/>
          <w:szCs w:val="22"/>
        </w:rPr>
        <w:t>, ABS website</w:t>
      </w:r>
      <w:r w:rsidR="00032448" w:rsidRPr="00437C7B">
        <w:rPr>
          <w:rFonts w:ascii="Calibri" w:hAnsi="Calibri" w:cs="Calibri"/>
          <w:sz w:val="22"/>
          <w:szCs w:val="22"/>
        </w:rPr>
        <w:t>,</w:t>
      </w:r>
      <w:r w:rsidR="005F7CC5" w:rsidRPr="00437C7B">
        <w:rPr>
          <w:rFonts w:ascii="Calibri" w:hAnsi="Calibri" w:cs="Calibri"/>
          <w:sz w:val="22"/>
          <w:szCs w:val="22"/>
        </w:rPr>
        <w:t xml:space="preserve"> 2024.</w:t>
      </w:r>
    </w:p>
  </w:endnote>
  <w:endnote w:id="17">
    <w:p w14:paraId="44B671C2" w14:textId="273692B6" w:rsidR="004C14B2"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bookmarkStart w:id="20" w:name="_Hlk160532488"/>
      <w:r w:rsidRPr="00437C7B">
        <w:rPr>
          <w:rFonts w:ascii="Calibri" w:hAnsi="Calibri" w:cs="Calibri"/>
          <w:sz w:val="22"/>
          <w:szCs w:val="22"/>
        </w:rPr>
        <w:t xml:space="preserve"> </w:t>
      </w:r>
      <w:bookmarkEnd w:id="20"/>
      <w:r w:rsidR="009C1121" w:rsidRPr="00437C7B">
        <w:rPr>
          <w:rFonts w:ascii="Calibri" w:hAnsi="Calibri" w:cs="Calibri"/>
          <w:sz w:val="22"/>
          <w:szCs w:val="22"/>
        </w:rPr>
        <w:t xml:space="preserve">ABS, </w:t>
      </w:r>
      <w:hyperlink r:id="rId10" w:anchor="data-downloads" w:tgtFrame="_blank" w:history="1">
        <w:r w:rsidR="009C1121" w:rsidRPr="00437C7B">
          <w:rPr>
            <w:rStyle w:val="Hyperlink"/>
            <w:rFonts w:ascii="Calibri" w:hAnsi="Calibri" w:cs="Calibri"/>
            <w:sz w:val="22"/>
            <w:szCs w:val="22"/>
          </w:rPr>
          <w:t>National Accounts</w:t>
        </w:r>
      </w:hyperlink>
      <w:r w:rsidR="009C1121" w:rsidRPr="00437C7B">
        <w:rPr>
          <w:rFonts w:ascii="Calibri" w:hAnsi="Calibri" w:cs="Calibri"/>
          <w:sz w:val="22"/>
          <w:szCs w:val="22"/>
        </w:rPr>
        <w:t>, ABS website</w:t>
      </w:r>
      <w:r w:rsidR="00032448" w:rsidRPr="00437C7B">
        <w:rPr>
          <w:rFonts w:ascii="Calibri" w:hAnsi="Calibri" w:cs="Calibri"/>
          <w:sz w:val="22"/>
          <w:szCs w:val="22"/>
        </w:rPr>
        <w:t>,</w:t>
      </w:r>
      <w:r w:rsidR="005F7CC5" w:rsidRPr="00437C7B">
        <w:rPr>
          <w:rFonts w:ascii="Calibri" w:hAnsi="Calibri" w:cs="Calibri"/>
          <w:sz w:val="22"/>
          <w:szCs w:val="22"/>
        </w:rPr>
        <w:t xml:space="preserve"> 2024.</w:t>
      </w:r>
    </w:p>
  </w:endnote>
  <w:endnote w:id="18">
    <w:p w14:paraId="2637035C" w14:textId="24110E6F" w:rsidR="00580980" w:rsidRPr="00437C7B" w:rsidRDefault="004F5354" w:rsidP="00580980">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AC09D8" w:rsidRPr="00437C7B">
        <w:rPr>
          <w:rFonts w:ascii="Calibri" w:hAnsi="Calibri" w:cs="Calibri"/>
          <w:sz w:val="22"/>
          <w:szCs w:val="22"/>
        </w:rPr>
        <w:t xml:space="preserve">Markets and Markets, </w:t>
      </w:r>
      <w:hyperlink r:id="rId11" w:history="1">
        <w:r w:rsidR="004E5C1F" w:rsidRPr="00437C7B">
          <w:rPr>
            <w:rStyle w:val="Hyperlink"/>
            <w:rFonts w:ascii="Calibri" w:hAnsi="Calibri" w:cs="Calibri"/>
            <w:sz w:val="22"/>
            <w:szCs w:val="22"/>
          </w:rPr>
          <w:t>Market Report: Green Technology &amp; Sustainability Market: Global Forecast to 2030</w:t>
        </w:r>
      </w:hyperlink>
      <w:r w:rsidR="00B077C2" w:rsidRPr="00437C7B">
        <w:rPr>
          <w:rStyle w:val="Hyperlink"/>
          <w:rFonts w:ascii="Calibri" w:hAnsi="Calibri" w:cs="Calibri"/>
          <w:sz w:val="22"/>
          <w:szCs w:val="22"/>
          <w:u w:val="none"/>
        </w:rPr>
        <w:t xml:space="preserve">, </w:t>
      </w:r>
      <w:r w:rsidR="00BC6F72" w:rsidRPr="00437C7B">
        <w:rPr>
          <w:rStyle w:val="Hyperlink"/>
          <w:rFonts w:ascii="Calibri" w:hAnsi="Calibri" w:cs="Calibri"/>
          <w:color w:val="auto"/>
          <w:sz w:val="22"/>
          <w:szCs w:val="22"/>
          <w:u w:val="none"/>
        </w:rPr>
        <w:t xml:space="preserve">Markets and Markets website, </w:t>
      </w:r>
      <w:r w:rsidR="00B077C2" w:rsidRPr="00437C7B">
        <w:rPr>
          <w:rStyle w:val="Hyperlink"/>
          <w:rFonts w:ascii="Calibri" w:hAnsi="Calibri" w:cs="Calibri"/>
          <w:color w:val="auto"/>
          <w:sz w:val="22"/>
          <w:szCs w:val="22"/>
          <w:u w:val="none"/>
        </w:rPr>
        <w:t>Feb</w:t>
      </w:r>
      <w:r w:rsidR="00F53DD6" w:rsidRPr="00437C7B">
        <w:rPr>
          <w:rStyle w:val="Hyperlink"/>
          <w:rFonts w:ascii="Calibri" w:hAnsi="Calibri" w:cs="Calibri"/>
          <w:color w:val="auto"/>
          <w:sz w:val="22"/>
          <w:szCs w:val="22"/>
          <w:u w:val="none"/>
        </w:rPr>
        <w:t>ruary</w:t>
      </w:r>
      <w:r w:rsidR="00B077C2" w:rsidRPr="00437C7B">
        <w:rPr>
          <w:rStyle w:val="Hyperlink"/>
          <w:rFonts w:ascii="Calibri" w:hAnsi="Calibri" w:cs="Calibri"/>
          <w:color w:val="auto"/>
          <w:sz w:val="22"/>
          <w:szCs w:val="22"/>
          <w:u w:val="none"/>
        </w:rPr>
        <w:t xml:space="preserve"> 2024.</w:t>
      </w:r>
    </w:p>
  </w:endnote>
  <w:endnote w:id="19">
    <w:p w14:paraId="278898C5"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972494" w:rsidRPr="00437C7B">
        <w:rPr>
          <w:rFonts w:ascii="Calibri" w:hAnsi="Calibri" w:cs="Calibri"/>
          <w:sz w:val="22"/>
          <w:szCs w:val="22"/>
        </w:rPr>
        <w:t>Department of Foreign Affairs and Trade (</w:t>
      </w:r>
      <w:r w:rsidRPr="00437C7B">
        <w:rPr>
          <w:rFonts w:ascii="Calibri" w:hAnsi="Calibri" w:cs="Calibri"/>
          <w:sz w:val="22"/>
          <w:szCs w:val="22"/>
        </w:rPr>
        <w:t>DFAT</w:t>
      </w:r>
      <w:r w:rsidR="00972494" w:rsidRPr="00437C7B">
        <w:rPr>
          <w:rFonts w:ascii="Calibri" w:hAnsi="Calibri" w:cs="Calibri"/>
          <w:sz w:val="22"/>
          <w:szCs w:val="22"/>
        </w:rPr>
        <w:t>)</w:t>
      </w:r>
      <w:r w:rsidRPr="00437C7B">
        <w:rPr>
          <w:rFonts w:ascii="Calibri" w:hAnsi="Calibri" w:cs="Calibri"/>
          <w:sz w:val="22"/>
          <w:szCs w:val="22"/>
        </w:rPr>
        <w:t xml:space="preserve">, </w:t>
      </w:r>
      <w:hyperlink r:id="rId12" w:history="1">
        <w:r w:rsidRPr="00437C7B">
          <w:rPr>
            <w:rStyle w:val="Hyperlink"/>
            <w:rFonts w:ascii="Calibri" w:hAnsi="Calibri" w:cs="Calibri"/>
            <w:sz w:val="22"/>
            <w:szCs w:val="22"/>
          </w:rPr>
          <w:t>Submission to the Inquiry into Australia's transition to a green energy superpower</w:t>
        </w:r>
      </w:hyperlink>
      <w:r w:rsidRPr="00437C7B">
        <w:rPr>
          <w:rFonts w:ascii="Calibri" w:hAnsi="Calibri" w:cs="Calibri"/>
          <w:sz w:val="22"/>
          <w:szCs w:val="22"/>
        </w:rPr>
        <w:t xml:space="preserve">, Joint standing Committee on Trade and Investment Growth, Parliament of Australia website, n.d., </w:t>
      </w:r>
    </w:p>
  </w:endnote>
  <w:endnote w:id="20">
    <w:p w14:paraId="3E5987D2" w14:textId="7FBEEF1B" w:rsidR="00A43FD6"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Style w:val="EndnoteReference"/>
          <w:rFonts w:ascii="Calibri" w:hAnsi="Calibri" w:cs="Calibri"/>
          <w:sz w:val="22"/>
          <w:szCs w:val="22"/>
        </w:rPr>
        <w:t xml:space="preserve"> </w:t>
      </w:r>
      <w:r w:rsidRPr="00437C7B">
        <w:rPr>
          <w:rFonts w:ascii="Calibri" w:hAnsi="Calibri" w:cs="Calibri"/>
          <w:sz w:val="22"/>
          <w:szCs w:val="22"/>
        </w:rPr>
        <w:t xml:space="preserve">DFAT, </w:t>
      </w:r>
      <w:hyperlink r:id="rId13" w:anchor="_edna" w:history="1">
        <w:r w:rsidR="00FC08E2" w:rsidRPr="00437C7B">
          <w:rPr>
            <w:rStyle w:val="Hyperlink"/>
            <w:rFonts w:ascii="Calibri" w:hAnsi="Calibri" w:cs="Calibri"/>
            <w:sz w:val="22"/>
            <w:szCs w:val="22"/>
          </w:rPr>
          <w:t>Statistics on who invests in Australia</w:t>
        </w:r>
      </w:hyperlink>
      <w:r w:rsidRPr="00437C7B">
        <w:rPr>
          <w:rFonts w:ascii="Calibri" w:hAnsi="Calibri" w:cs="Calibri"/>
          <w:sz w:val="22"/>
          <w:szCs w:val="22"/>
        </w:rPr>
        <w:t>, DFAT website</w:t>
      </w:r>
      <w:r w:rsidR="00ED5AF9" w:rsidRPr="00437C7B">
        <w:rPr>
          <w:rFonts w:ascii="Calibri" w:hAnsi="Calibri" w:cs="Calibri"/>
          <w:sz w:val="22"/>
          <w:szCs w:val="22"/>
        </w:rPr>
        <w:t xml:space="preserve">, </w:t>
      </w:r>
      <w:r w:rsidR="00B61D63" w:rsidRPr="00437C7B">
        <w:rPr>
          <w:rFonts w:ascii="Calibri" w:hAnsi="Calibri" w:cs="Calibri"/>
          <w:sz w:val="22"/>
          <w:szCs w:val="22"/>
        </w:rPr>
        <w:t>2023</w:t>
      </w:r>
      <w:r w:rsidR="00E022F0" w:rsidRPr="00437C7B">
        <w:rPr>
          <w:rFonts w:ascii="Calibri" w:hAnsi="Calibri" w:cs="Calibri"/>
          <w:sz w:val="22"/>
          <w:szCs w:val="22"/>
        </w:rPr>
        <w:t>.</w:t>
      </w:r>
    </w:p>
  </w:endnote>
  <w:endnote w:id="21">
    <w:p w14:paraId="0BBC5D5B" w14:textId="7B0C59E8" w:rsidR="00D73355" w:rsidRPr="00437C7B" w:rsidRDefault="004F5354" w:rsidP="00686EFB">
      <w:pPr>
        <w:pStyle w:val="FootnoteText"/>
        <w:rPr>
          <w:rFonts w:ascii="Calibri" w:hAnsi="Calibri" w:cs="Calibri"/>
          <w:sz w:val="22"/>
          <w:szCs w:val="22"/>
        </w:rPr>
      </w:pPr>
      <w:r w:rsidRPr="00437C7B">
        <w:rPr>
          <w:rStyle w:val="EndnoteReference"/>
          <w:rFonts w:ascii="Calibri" w:hAnsi="Calibri" w:cs="Calibri"/>
          <w:sz w:val="22"/>
          <w:szCs w:val="22"/>
        </w:rPr>
        <w:endnoteRef/>
      </w:r>
      <w:r w:rsidR="00412890" w:rsidRPr="00437C7B">
        <w:rPr>
          <w:rStyle w:val="Hyperlink"/>
          <w:rFonts w:ascii="Calibri" w:hAnsi="Calibri" w:cs="Calibri"/>
          <w:sz w:val="22"/>
          <w:szCs w:val="22"/>
          <w:u w:val="none"/>
        </w:rPr>
        <w:t xml:space="preserve"> </w:t>
      </w:r>
      <w:r w:rsidR="00412890" w:rsidRPr="00437C7B">
        <w:rPr>
          <w:rFonts w:ascii="Calibri" w:hAnsi="Calibri" w:cs="Calibri"/>
          <w:sz w:val="22"/>
          <w:szCs w:val="22"/>
        </w:rPr>
        <w:t>UNEP, UNDP and UNFCCC secretariat</w:t>
      </w:r>
      <w:r w:rsidR="003C4F39" w:rsidRPr="00437C7B">
        <w:rPr>
          <w:rFonts w:ascii="Calibri" w:hAnsi="Calibri" w:cs="Calibri"/>
          <w:color w:val="165788"/>
          <w:sz w:val="22"/>
          <w:szCs w:val="22"/>
          <w:u w:val="single"/>
        </w:rPr>
        <w:t xml:space="preserve">, </w:t>
      </w:r>
      <w:hyperlink r:id="rId14" w:history="1">
        <w:r w:rsidR="00412890" w:rsidRPr="00165B98">
          <w:rPr>
            <w:rStyle w:val="Hyperlink"/>
            <w:rFonts w:ascii="Calibri" w:hAnsi="Calibri" w:cs="Calibri"/>
            <w:sz w:val="22"/>
            <w:szCs w:val="22"/>
          </w:rPr>
          <w:t>Building Circularity into Nationally Determined Contributions (NDCs) - A Practical Toolbox User Guide</w:t>
        </w:r>
      </w:hyperlink>
      <w:r w:rsidR="003C4F39" w:rsidRPr="00437C7B">
        <w:rPr>
          <w:rFonts w:ascii="Calibri" w:hAnsi="Calibri" w:cs="Calibri"/>
          <w:sz w:val="22"/>
          <w:szCs w:val="22"/>
        </w:rPr>
        <w:t>,</w:t>
      </w:r>
      <w:r w:rsidR="00412890" w:rsidRPr="00437C7B">
        <w:rPr>
          <w:rFonts w:ascii="Calibri" w:hAnsi="Calibri" w:cs="Calibri"/>
          <w:sz w:val="22"/>
          <w:szCs w:val="22"/>
        </w:rPr>
        <w:t xml:space="preserve"> Nairobi</w:t>
      </w:r>
      <w:r w:rsidR="003C4F39" w:rsidRPr="00437C7B">
        <w:rPr>
          <w:rFonts w:ascii="Calibri" w:hAnsi="Calibri" w:cs="Calibri"/>
          <w:sz w:val="22"/>
          <w:szCs w:val="22"/>
        </w:rPr>
        <w:t xml:space="preserve"> (wri.org), 2023.</w:t>
      </w:r>
    </w:p>
  </w:endnote>
  <w:endnote w:id="22">
    <w:p w14:paraId="54562C45" w14:textId="77777777" w:rsidR="00EF42E6"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CSIRO</w:t>
      </w:r>
      <w:r w:rsidR="00C57E60" w:rsidRPr="00437C7B">
        <w:rPr>
          <w:rFonts w:ascii="Calibri" w:hAnsi="Calibri" w:cs="Calibri"/>
          <w:sz w:val="22"/>
          <w:szCs w:val="22"/>
        </w:rPr>
        <w:t>,</w:t>
      </w:r>
      <w:r w:rsidRPr="00437C7B">
        <w:rPr>
          <w:rFonts w:ascii="Calibri" w:hAnsi="Calibri" w:cs="Calibri"/>
          <w:sz w:val="22"/>
          <w:szCs w:val="22"/>
        </w:rPr>
        <w:t xml:space="preserve"> </w:t>
      </w:r>
      <w:r w:rsidR="00C57E60" w:rsidRPr="00437C7B">
        <w:rPr>
          <w:rFonts w:ascii="Calibri" w:hAnsi="Calibri" w:cs="Calibri"/>
          <w:i/>
          <w:iCs/>
          <w:sz w:val="22"/>
          <w:szCs w:val="22"/>
        </w:rPr>
        <w:t>M</w:t>
      </w:r>
      <w:r w:rsidR="00D44CA8" w:rsidRPr="00437C7B">
        <w:rPr>
          <w:rFonts w:ascii="Calibri" w:hAnsi="Calibri" w:cs="Calibri"/>
          <w:i/>
          <w:iCs/>
          <w:sz w:val="22"/>
          <w:szCs w:val="22"/>
        </w:rPr>
        <w:t xml:space="preserve">odelling </w:t>
      </w:r>
      <w:r w:rsidR="00FF7EE5" w:rsidRPr="00437C7B">
        <w:rPr>
          <w:rFonts w:ascii="Calibri" w:hAnsi="Calibri" w:cs="Calibri"/>
          <w:i/>
          <w:iCs/>
          <w:sz w:val="22"/>
          <w:szCs w:val="22"/>
        </w:rPr>
        <w:t xml:space="preserve">Circular Economy Transition </w:t>
      </w:r>
      <w:r w:rsidR="00A71B43" w:rsidRPr="00437C7B">
        <w:rPr>
          <w:rFonts w:ascii="Calibri" w:hAnsi="Calibri" w:cs="Calibri"/>
          <w:i/>
          <w:iCs/>
          <w:sz w:val="22"/>
          <w:szCs w:val="22"/>
        </w:rPr>
        <w:t>Targets</w:t>
      </w:r>
      <w:r w:rsidR="00D44CA8" w:rsidRPr="00437C7B">
        <w:rPr>
          <w:rFonts w:ascii="Calibri" w:hAnsi="Calibri" w:cs="Calibri"/>
          <w:sz w:val="22"/>
          <w:szCs w:val="22"/>
        </w:rPr>
        <w:t xml:space="preserve"> (unpublished).</w:t>
      </w:r>
    </w:p>
  </w:endnote>
  <w:endnote w:id="23">
    <w:p w14:paraId="08ED4676" w14:textId="77777777" w:rsidR="00EF42E6"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Bocconi University, Ellen MacArthur Foundation &amp; Intesa Sapaolo, </w:t>
      </w:r>
      <w:hyperlink r:id="rId15" w:history="1">
        <w:r w:rsidRPr="00437C7B">
          <w:rPr>
            <w:rStyle w:val="Hyperlink"/>
            <w:rFonts w:ascii="Calibri" w:hAnsi="Calibri" w:cs="Calibri"/>
            <w:sz w:val="22"/>
            <w:szCs w:val="22"/>
          </w:rPr>
          <w:t>The circular economy as a de-risking strategy and driver of superior risk-adjusted returns</w:t>
        </w:r>
      </w:hyperlink>
      <w:r w:rsidR="007E6674" w:rsidRPr="00437C7B">
        <w:rPr>
          <w:rFonts w:ascii="Calibri" w:hAnsi="Calibri" w:cs="Calibri"/>
          <w:sz w:val="22"/>
          <w:szCs w:val="22"/>
        </w:rPr>
        <w:t>, 2021.</w:t>
      </w:r>
    </w:p>
  </w:endnote>
  <w:endnote w:id="24">
    <w:p w14:paraId="11B4C5DB" w14:textId="6882BAF4"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World Intellectual Property Organization (WIPO), </w:t>
      </w:r>
      <w:hyperlink r:id="rId16" w:history="1">
        <w:r w:rsidRPr="00437C7B">
          <w:rPr>
            <w:rStyle w:val="Hyperlink"/>
            <w:rFonts w:ascii="Calibri" w:hAnsi="Calibri" w:cs="Calibri"/>
            <w:sz w:val="22"/>
            <w:szCs w:val="22"/>
          </w:rPr>
          <w:t>Global Innovation Index 2023: Innovation in the face of uncertainty</w:t>
        </w:r>
      </w:hyperlink>
      <w:r w:rsidRPr="00437C7B">
        <w:rPr>
          <w:rFonts w:ascii="Calibri" w:hAnsi="Calibri" w:cs="Calibri"/>
          <w:sz w:val="22"/>
          <w:szCs w:val="22"/>
        </w:rPr>
        <w:t>, WIPO website</w:t>
      </w:r>
      <w:r w:rsidR="009C63A8" w:rsidRPr="00437C7B">
        <w:rPr>
          <w:rFonts w:ascii="Calibri" w:hAnsi="Calibri" w:cs="Calibri"/>
          <w:sz w:val="22"/>
          <w:szCs w:val="22"/>
        </w:rPr>
        <w:t>, 2023</w:t>
      </w:r>
      <w:r w:rsidR="0086463E" w:rsidRPr="00437C7B">
        <w:rPr>
          <w:rFonts w:ascii="Calibri" w:hAnsi="Calibri" w:cs="Calibri"/>
          <w:sz w:val="22"/>
          <w:szCs w:val="22"/>
        </w:rPr>
        <w:t>.</w:t>
      </w:r>
    </w:p>
  </w:endnote>
  <w:endnote w:id="25">
    <w:p w14:paraId="5F1723BF" w14:textId="11685D92"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D</w:t>
      </w:r>
      <w:r w:rsidR="0086463E" w:rsidRPr="00437C7B">
        <w:rPr>
          <w:rFonts w:ascii="Calibri" w:hAnsi="Calibri" w:cs="Calibri"/>
          <w:sz w:val="22"/>
          <w:szCs w:val="22"/>
        </w:rPr>
        <w:t xml:space="preserve">epartment of </w:t>
      </w:r>
      <w:r w:rsidRPr="00437C7B">
        <w:rPr>
          <w:rFonts w:ascii="Calibri" w:hAnsi="Calibri" w:cs="Calibri"/>
          <w:sz w:val="22"/>
          <w:szCs w:val="22"/>
        </w:rPr>
        <w:t>I</w:t>
      </w:r>
      <w:r w:rsidR="0086463E" w:rsidRPr="00437C7B">
        <w:rPr>
          <w:rFonts w:ascii="Calibri" w:hAnsi="Calibri" w:cs="Calibri"/>
          <w:sz w:val="22"/>
          <w:szCs w:val="22"/>
        </w:rPr>
        <w:t xml:space="preserve">ndustry, </w:t>
      </w:r>
      <w:r w:rsidRPr="00437C7B">
        <w:rPr>
          <w:rFonts w:ascii="Calibri" w:hAnsi="Calibri" w:cs="Calibri"/>
          <w:sz w:val="22"/>
          <w:szCs w:val="22"/>
        </w:rPr>
        <w:t>S</w:t>
      </w:r>
      <w:r w:rsidR="0086463E" w:rsidRPr="00437C7B">
        <w:rPr>
          <w:rFonts w:ascii="Calibri" w:hAnsi="Calibri" w:cs="Calibri"/>
          <w:sz w:val="22"/>
          <w:szCs w:val="22"/>
        </w:rPr>
        <w:t xml:space="preserve">cience and </w:t>
      </w:r>
      <w:r w:rsidRPr="00437C7B">
        <w:rPr>
          <w:rFonts w:ascii="Calibri" w:hAnsi="Calibri" w:cs="Calibri"/>
          <w:sz w:val="22"/>
          <w:szCs w:val="22"/>
        </w:rPr>
        <w:t>R</w:t>
      </w:r>
      <w:r w:rsidR="0086463E" w:rsidRPr="00437C7B">
        <w:rPr>
          <w:rFonts w:ascii="Calibri" w:hAnsi="Calibri" w:cs="Calibri"/>
          <w:sz w:val="22"/>
          <w:szCs w:val="22"/>
        </w:rPr>
        <w:t>esources (DISR)</w:t>
      </w:r>
      <w:r w:rsidRPr="00437C7B">
        <w:rPr>
          <w:rFonts w:ascii="Calibri" w:hAnsi="Calibri" w:cs="Calibri"/>
          <w:sz w:val="22"/>
          <w:szCs w:val="22"/>
        </w:rPr>
        <w:t xml:space="preserve">, </w:t>
      </w:r>
      <w:hyperlink r:id="rId17" w:history="1">
        <w:r w:rsidR="00F81480" w:rsidRPr="00437C7B">
          <w:rPr>
            <w:rStyle w:val="Hyperlink"/>
            <w:rFonts w:ascii="Calibri" w:hAnsi="Calibri" w:cs="Calibri"/>
            <w:i/>
            <w:iCs/>
            <w:sz w:val="22"/>
            <w:szCs w:val="22"/>
          </w:rPr>
          <w:t>National Quantum Strategy</w:t>
        </w:r>
      </w:hyperlink>
      <w:r w:rsidRPr="00437C7B">
        <w:rPr>
          <w:rFonts w:ascii="Calibri" w:hAnsi="Calibri" w:cs="Calibri"/>
          <w:sz w:val="22"/>
          <w:szCs w:val="22"/>
        </w:rPr>
        <w:t xml:space="preserve">, </w:t>
      </w:r>
      <w:r w:rsidR="00D838C4" w:rsidRPr="00437C7B">
        <w:rPr>
          <w:rFonts w:ascii="Calibri" w:hAnsi="Calibri" w:cs="Calibri"/>
          <w:sz w:val="22"/>
          <w:szCs w:val="22"/>
        </w:rPr>
        <w:t xml:space="preserve">DSIR, </w:t>
      </w:r>
      <w:r w:rsidR="000C69DC" w:rsidRPr="00437C7B">
        <w:rPr>
          <w:rFonts w:ascii="Calibri" w:hAnsi="Calibri" w:cs="Calibri"/>
          <w:sz w:val="22"/>
          <w:szCs w:val="22"/>
        </w:rPr>
        <w:t>Australian Government</w:t>
      </w:r>
      <w:r w:rsidR="00242D74" w:rsidRPr="00437C7B">
        <w:rPr>
          <w:rFonts w:ascii="Calibri" w:hAnsi="Calibri" w:cs="Calibri"/>
          <w:sz w:val="22"/>
          <w:szCs w:val="22"/>
        </w:rPr>
        <w:t xml:space="preserve">, </w:t>
      </w:r>
      <w:r w:rsidR="00B44F69" w:rsidRPr="00437C7B">
        <w:rPr>
          <w:rFonts w:ascii="Calibri" w:hAnsi="Calibri" w:cs="Calibri"/>
          <w:sz w:val="22"/>
          <w:szCs w:val="22"/>
        </w:rPr>
        <w:t>2023</w:t>
      </w:r>
      <w:r w:rsidR="00242D74" w:rsidRPr="00437C7B">
        <w:rPr>
          <w:rFonts w:ascii="Calibri" w:hAnsi="Calibri" w:cs="Calibri"/>
          <w:sz w:val="22"/>
          <w:szCs w:val="22"/>
        </w:rPr>
        <w:t>.</w:t>
      </w:r>
    </w:p>
  </w:endnote>
  <w:endnote w:id="26">
    <w:p w14:paraId="15C33147"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Tech Council of Australia (Tech Council), </w:t>
      </w:r>
      <w:r w:rsidR="00501B32" w:rsidRPr="00437C7B">
        <w:rPr>
          <w:rFonts w:ascii="Calibri" w:hAnsi="Calibri" w:cs="Calibri"/>
          <w:sz w:val="22"/>
          <w:szCs w:val="22"/>
        </w:rPr>
        <w:t>‘</w:t>
      </w:r>
      <w:hyperlink r:id="rId18" w:history="1">
        <w:r w:rsidRPr="00437C7B">
          <w:rPr>
            <w:rStyle w:val="Hyperlink"/>
            <w:rFonts w:ascii="Calibri" w:hAnsi="Calibri" w:cs="Calibri"/>
            <w:sz w:val="22"/>
            <w:szCs w:val="22"/>
          </w:rPr>
          <w:t>Turning Australia into a Regional Tech Hub</w:t>
        </w:r>
      </w:hyperlink>
      <w:r w:rsidR="00501B32" w:rsidRPr="00437C7B">
        <w:rPr>
          <w:rStyle w:val="Hyperlink"/>
          <w:rFonts w:ascii="Calibri" w:hAnsi="Calibri" w:cs="Calibri"/>
          <w:sz w:val="22"/>
          <w:szCs w:val="22"/>
        </w:rPr>
        <w:t>’</w:t>
      </w:r>
      <w:r w:rsidRPr="00437C7B">
        <w:rPr>
          <w:rFonts w:ascii="Calibri" w:hAnsi="Calibri" w:cs="Calibri"/>
          <w:sz w:val="22"/>
          <w:szCs w:val="22"/>
        </w:rPr>
        <w:t>, Tech Council website, August 2022</w:t>
      </w:r>
      <w:r w:rsidR="009B1062" w:rsidRPr="00437C7B">
        <w:rPr>
          <w:rFonts w:ascii="Calibri" w:hAnsi="Calibri" w:cs="Calibri"/>
          <w:sz w:val="22"/>
          <w:szCs w:val="22"/>
        </w:rPr>
        <w:t>.</w:t>
      </w:r>
    </w:p>
  </w:endnote>
  <w:endnote w:id="27">
    <w:p w14:paraId="7C4630EE"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WIPO, </w:t>
      </w:r>
      <w:hyperlink r:id="rId19" w:history="1">
        <w:r w:rsidRPr="00437C7B">
          <w:rPr>
            <w:rStyle w:val="Hyperlink"/>
            <w:rFonts w:ascii="Calibri" w:hAnsi="Calibri" w:cs="Calibri"/>
            <w:sz w:val="22"/>
            <w:szCs w:val="22"/>
          </w:rPr>
          <w:t>Global Innovation Index 2023: Innovation in the face of uncertainty</w:t>
        </w:r>
      </w:hyperlink>
      <w:r w:rsidRPr="00437C7B">
        <w:rPr>
          <w:rFonts w:ascii="Calibri" w:hAnsi="Calibri" w:cs="Calibri"/>
          <w:sz w:val="22"/>
          <w:szCs w:val="22"/>
        </w:rPr>
        <w:t>, WIPO website</w:t>
      </w:r>
      <w:r w:rsidR="0078541C" w:rsidRPr="00437C7B">
        <w:rPr>
          <w:rFonts w:ascii="Calibri" w:hAnsi="Calibri" w:cs="Calibri"/>
          <w:sz w:val="22"/>
          <w:szCs w:val="22"/>
        </w:rPr>
        <w:t>, 2023</w:t>
      </w:r>
      <w:r w:rsidR="009B1062" w:rsidRPr="00437C7B">
        <w:rPr>
          <w:rFonts w:ascii="Calibri" w:hAnsi="Calibri" w:cs="Calibri"/>
          <w:sz w:val="22"/>
          <w:szCs w:val="22"/>
        </w:rPr>
        <w:t>.</w:t>
      </w:r>
    </w:p>
  </w:endnote>
  <w:endnote w:id="28">
    <w:p w14:paraId="2BD006E2"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The Heritage Foundation, </w:t>
      </w:r>
      <w:hyperlink r:id="rId20" w:history="1">
        <w:r w:rsidRPr="00437C7B">
          <w:rPr>
            <w:rStyle w:val="Hyperlink"/>
            <w:rFonts w:ascii="Calibri" w:hAnsi="Calibri" w:cs="Calibri"/>
            <w:iCs/>
            <w:sz w:val="22"/>
            <w:szCs w:val="22"/>
          </w:rPr>
          <w:t>Index of Economic Freedom</w:t>
        </w:r>
      </w:hyperlink>
      <w:r w:rsidRPr="00437C7B">
        <w:rPr>
          <w:rFonts w:ascii="Calibri" w:hAnsi="Calibri" w:cs="Calibri"/>
          <w:i/>
          <w:sz w:val="22"/>
          <w:szCs w:val="22"/>
        </w:rPr>
        <w:t>,</w:t>
      </w:r>
      <w:r w:rsidRPr="00437C7B">
        <w:rPr>
          <w:rFonts w:ascii="Calibri" w:hAnsi="Calibri" w:cs="Calibri"/>
          <w:sz w:val="22"/>
          <w:szCs w:val="22"/>
        </w:rPr>
        <w:t xml:space="preserve"> Heritage</w:t>
      </w:r>
      <w:r w:rsidR="009F0092" w:rsidRPr="00437C7B">
        <w:rPr>
          <w:rFonts w:ascii="Calibri" w:hAnsi="Calibri" w:cs="Calibri"/>
          <w:sz w:val="22"/>
          <w:szCs w:val="22"/>
        </w:rPr>
        <w:t>.org</w:t>
      </w:r>
      <w:r w:rsidR="00D91905" w:rsidRPr="00437C7B">
        <w:rPr>
          <w:rFonts w:ascii="Calibri" w:hAnsi="Calibri" w:cs="Calibri"/>
          <w:sz w:val="22"/>
          <w:szCs w:val="22"/>
        </w:rPr>
        <w:t xml:space="preserve"> website, </w:t>
      </w:r>
      <w:r w:rsidR="00333940" w:rsidRPr="00437C7B">
        <w:rPr>
          <w:rFonts w:ascii="Calibri" w:hAnsi="Calibri" w:cs="Calibri"/>
          <w:sz w:val="22"/>
          <w:szCs w:val="22"/>
        </w:rPr>
        <w:t>2023.</w:t>
      </w:r>
    </w:p>
  </w:endnote>
  <w:endnote w:id="29">
    <w:p w14:paraId="66A4DFA5"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972494" w:rsidRPr="00437C7B">
        <w:rPr>
          <w:rFonts w:ascii="Calibri" w:hAnsi="Calibri" w:cs="Calibri"/>
          <w:sz w:val="22"/>
          <w:szCs w:val="22"/>
        </w:rPr>
        <w:t>DFAT</w:t>
      </w:r>
      <w:r w:rsidRPr="00437C7B">
        <w:rPr>
          <w:rFonts w:ascii="Calibri" w:hAnsi="Calibri" w:cs="Calibri"/>
          <w:sz w:val="22"/>
          <w:szCs w:val="22"/>
        </w:rPr>
        <w:t xml:space="preserve">, </w:t>
      </w:r>
      <w:hyperlink r:id="rId21" w:history="1">
        <w:r w:rsidRPr="00437C7B">
          <w:rPr>
            <w:rStyle w:val="Hyperlink"/>
            <w:rFonts w:ascii="Calibri" w:hAnsi="Calibri" w:cs="Calibri"/>
            <w:i/>
            <w:iCs/>
            <w:sz w:val="22"/>
            <w:szCs w:val="22"/>
          </w:rPr>
          <w:t>Invested: Australia’s Southeast Asia Economic Strategy to 2040</w:t>
        </w:r>
      </w:hyperlink>
      <w:r w:rsidR="00333940" w:rsidRPr="00437C7B">
        <w:rPr>
          <w:rStyle w:val="Hyperlink"/>
          <w:rFonts w:ascii="Calibri" w:hAnsi="Calibri" w:cs="Calibri"/>
          <w:sz w:val="22"/>
          <w:szCs w:val="22"/>
          <w:u w:val="none"/>
        </w:rPr>
        <w:t xml:space="preserve">, </w:t>
      </w:r>
      <w:r w:rsidR="00333940" w:rsidRPr="00437C7B">
        <w:rPr>
          <w:rStyle w:val="Hyperlink"/>
          <w:rFonts w:ascii="Calibri" w:hAnsi="Calibri" w:cs="Calibri"/>
          <w:color w:val="auto"/>
          <w:sz w:val="22"/>
          <w:szCs w:val="22"/>
          <w:u w:val="none"/>
        </w:rPr>
        <w:t>DFAT website, 2023.</w:t>
      </w:r>
    </w:p>
  </w:endnote>
  <w:endnote w:id="30">
    <w:p w14:paraId="5E24AB16" w14:textId="77777777" w:rsidR="00B47945"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Australia’s two-way trade and investment </w:t>
      </w:r>
      <w:r w:rsidR="000D37B8" w:rsidRPr="00437C7B">
        <w:rPr>
          <w:rFonts w:ascii="Calibri" w:hAnsi="Calibri" w:cs="Calibri"/>
          <w:sz w:val="22"/>
          <w:szCs w:val="22"/>
        </w:rPr>
        <w:t>opportunities</w:t>
      </w:r>
      <w:r w:rsidRPr="00437C7B">
        <w:rPr>
          <w:rFonts w:ascii="Calibri" w:hAnsi="Calibri" w:cs="Calibri"/>
          <w:sz w:val="22"/>
          <w:szCs w:val="22"/>
        </w:rPr>
        <w:t xml:space="preserve"> with Southeast Asia are described in </w:t>
      </w:r>
      <w:hyperlink r:id="rId22" w:history="1">
        <w:r w:rsidR="000D37B8" w:rsidRPr="00437C7B">
          <w:rPr>
            <w:rStyle w:val="Hyperlink"/>
            <w:rFonts w:ascii="Calibri" w:hAnsi="Calibri" w:cs="Calibri"/>
            <w:i/>
            <w:iCs/>
            <w:sz w:val="22"/>
            <w:szCs w:val="22"/>
          </w:rPr>
          <w:t>Invested: Australia’s Southeast Asia Economic Strategy to 2040</w:t>
        </w:r>
      </w:hyperlink>
      <w:r w:rsidR="000D37B8" w:rsidRPr="00437C7B">
        <w:rPr>
          <w:rFonts w:ascii="Calibri" w:hAnsi="Calibri" w:cs="Calibri"/>
          <w:sz w:val="22"/>
          <w:szCs w:val="22"/>
        </w:rPr>
        <w:t>.</w:t>
      </w:r>
    </w:p>
  </w:endnote>
  <w:endnote w:id="31">
    <w:p w14:paraId="3FC44548"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The </w:t>
      </w:r>
      <w:hyperlink r:id="rId23" w:history="1">
        <w:r w:rsidRPr="00437C7B">
          <w:rPr>
            <w:rStyle w:val="Hyperlink"/>
            <w:rFonts w:ascii="Calibri" w:hAnsi="Calibri" w:cs="Calibri"/>
            <w:sz w:val="22"/>
            <w:szCs w:val="22"/>
          </w:rPr>
          <w:t>Clean Energy Finance Corporation</w:t>
        </w:r>
      </w:hyperlink>
      <w:r w:rsidRPr="00437C7B">
        <w:rPr>
          <w:rFonts w:ascii="Calibri" w:hAnsi="Calibri" w:cs="Calibri"/>
          <w:sz w:val="22"/>
          <w:szCs w:val="22"/>
        </w:rPr>
        <w:t xml:space="preserve"> (CEFC) is an Australian Government investment corporation set up to facilitate increased flows of finance into the clean energy sector and to facilitate the achievement of Australia’s greenhouse gas emissions reduction targets</w:t>
      </w:r>
      <w:r w:rsidR="004F4EFB" w:rsidRPr="00437C7B">
        <w:rPr>
          <w:rFonts w:ascii="Calibri" w:hAnsi="Calibri" w:cs="Calibri"/>
          <w:sz w:val="22"/>
          <w:szCs w:val="22"/>
        </w:rPr>
        <w:t>;</w:t>
      </w:r>
      <w:r w:rsidRPr="00437C7B">
        <w:rPr>
          <w:rFonts w:ascii="Calibri" w:hAnsi="Calibri" w:cs="Calibri"/>
          <w:sz w:val="22"/>
          <w:szCs w:val="22"/>
        </w:rPr>
        <w:t xml:space="preserve"> </w:t>
      </w:r>
      <w:hyperlink r:id="rId24" w:history="1">
        <w:r w:rsidRPr="00437C7B">
          <w:rPr>
            <w:rStyle w:val="Hyperlink"/>
            <w:rFonts w:ascii="Calibri" w:hAnsi="Calibri" w:cs="Calibri"/>
            <w:sz w:val="22"/>
            <w:szCs w:val="22"/>
          </w:rPr>
          <w:t>Where we invest</w:t>
        </w:r>
      </w:hyperlink>
      <w:r w:rsidRPr="00437C7B">
        <w:rPr>
          <w:rStyle w:val="Hyperlink"/>
          <w:rFonts w:ascii="Calibri" w:hAnsi="Calibri" w:cs="Calibri"/>
          <w:sz w:val="22"/>
          <w:szCs w:val="22"/>
        </w:rPr>
        <w:t xml:space="preserve">, </w:t>
      </w:r>
      <w:r w:rsidRPr="00437C7B">
        <w:rPr>
          <w:rStyle w:val="Hyperlink"/>
          <w:rFonts w:ascii="Calibri" w:hAnsi="Calibri" w:cs="Calibri"/>
          <w:color w:val="000000" w:themeColor="text1"/>
          <w:sz w:val="22"/>
          <w:szCs w:val="22"/>
          <w:u w:val="none"/>
        </w:rPr>
        <w:t>CEFC website</w:t>
      </w:r>
      <w:r w:rsidR="00333940" w:rsidRPr="00437C7B">
        <w:rPr>
          <w:rStyle w:val="Hyperlink"/>
          <w:rFonts w:ascii="Calibri" w:hAnsi="Calibri" w:cs="Calibri"/>
          <w:color w:val="000000" w:themeColor="text1"/>
          <w:sz w:val="22"/>
          <w:szCs w:val="22"/>
          <w:u w:val="none"/>
        </w:rPr>
        <w:t>.</w:t>
      </w:r>
    </w:p>
  </w:endnote>
  <w:endnote w:id="32">
    <w:p w14:paraId="67A2B046"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CommBank Consumer Insights</w:t>
      </w:r>
      <w:r w:rsidR="00333940" w:rsidRPr="00437C7B">
        <w:rPr>
          <w:rFonts w:ascii="Calibri" w:hAnsi="Calibri" w:cs="Calibri"/>
          <w:sz w:val="22"/>
          <w:szCs w:val="22"/>
        </w:rPr>
        <w:t>,</w:t>
      </w:r>
      <w:r w:rsidR="00A06A6C" w:rsidRPr="00437C7B">
        <w:rPr>
          <w:rFonts w:ascii="Calibri" w:hAnsi="Calibri" w:cs="Calibri"/>
          <w:sz w:val="22"/>
          <w:szCs w:val="22"/>
        </w:rPr>
        <w:t xml:space="preserve"> </w:t>
      </w:r>
      <w:hyperlink r:id="rId25" w:history="1">
        <w:r w:rsidRPr="00437C7B">
          <w:rPr>
            <w:rStyle w:val="Hyperlink"/>
            <w:rFonts w:ascii="Calibri" w:hAnsi="Calibri" w:cs="Calibri"/>
            <w:sz w:val="22"/>
            <w:szCs w:val="22"/>
          </w:rPr>
          <w:t>The impact of business-led actions on future consumers</w:t>
        </w:r>
      </w:hyperlink>
      <w:r w:rsidRPr="00437C7B">
        <w:rPr>
          <w:rFonts w:ascii="Calibri" w:hAnsi="Calibri" w:cs="Calibri"/>
          <w:sz w:val="22"/>
          <w:szCs w:val="22"/>
        </w:rPr>
        <w:t>, CommBank</w:t>
      </w:r>
      <w:r w:rsidR="00333940" w:rsidRPr="00437C7B">
        <w:rPr>
          <w:rFonts w:ascii="Calibri" w:hAnsi="Calibri" w:cs="Calibri"/>
          <w:sz w:val="22"/>
          <w:szCs w:val="22"/>
        </w:rPr>
        <w:t xml:space="preserve"> website,</w:t>
      </w:r>
      <w:r w:rsidRPr="00437C7B">
        <w:rPr>
          <w:rFonts w:ascii="Calibri" w:hAnsi="Calibri" w:cs="Calibri"/>
          <w:sz w:val="22"/>
          <w:szCs w:val="22"/>
        </w:rPr>
        <w:t xml:space="preserve"> </w:t>
      </w:r>
      <w:r w:rsidR="00333940" w:rsidRPr="00437C7B">
        <w:rPr>
          <w:rFonts w:ascii="Calibri" w:hAnsi="Calibri" w:cs="Calibri"/>
          <w:sz w:val="22"/>
          <w:szCs w:val="22"/>
        </w:rPr>
        <w:t>Oct 2022.</w:t>
      </w:r>
    </w:p>
  </w:endnote>
  <w:endnote w:id="33">
    <w:p w14:paraId="67515474" w14:textId="02B31EFA"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CommBank, </w:t>
      </w:r>
      <w:hyperlink r:id="rId26" w:history="1">
        <w:r w:rsidRPr="00437C7B">
          <w:rPr>
            <w:rStyle w:val="Hyperlink"/>
            <w:rFonts w:ascii="Calibri" w:hAnsi="Calibri" w:cs="Calibri"/>
            <w:sz w:val="22"/>
            <w:szCs w:val="22"/>
          </w:rPr>
          <w:t>The impact of business-led actions on future consumers</w:t>
        </w:r>
      </w:hyperlink>
      <w:r w:rsidR="00A06A6C" w:rsidRPr="00437C7B">
        <w:rPr>
          <w:rFonts w:ascii="Calibri" w:hAnsi="Calibri" w:cs="Calibri"/>
          <w:iCs/>
          <w:sz w:val="22"/>
          <w:szCs w:val="22"/>
        </w:rPr>
        <w:t>.</w:t>
      </w:r>
    </w:p>
  </w:endnote>
  <w:endnote w:id="34">
    <w:p w14:paraId="57F4B63B" w14:textId="42034A08" w:rsidR="00EF4CAC" w:rsidRPr="00437C7B" w:rsidRDefault="004F5354" w:rsidP="000D67CD">
      <w:pPr>
        <w:pStyle w:val="EndnoteText"/>
        <w:spacing w:after="0"/>
        <w:rPr>
          <w:rStyle w:val="Hyperlink"/>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Schandl, H., Walton, A., Okelo, W., Kong, T., Boxall, N.J., Terhorst, A. and Porter, N.B. </w:t>
      </w:r>
      <w:r w:rsidR="00EF4CAC" w:rsidRPr="00437C7B">
        <w:rPr>
          <w:rFonts w:ascii="Calibri" w:hAnsi="Calibri" w:cs="Calibri"/>
          <w:sz w:val="22"/>
          <w:szCs w:val="22"/>
        </w:rPr>
        <w:fldChar w:fldCharType="begin"/>
      </w:r>
      <w:r w:rsidR="00EF4CAC" w:rsidRPr="00437C7B">
        <w:rPr>
          <w:rFonts w:ascii="Calibri" w:hAnsi="Calibri" w:cs="Calibri"/>
          <w:sz w:val="22"/>
          <w:szCs w:val="22"/>
        </w:rPr>
        <w:instrText>HYPERLINK "https://www.chiefscientist.gov.au/news-and-media/australias-circular-economy-opportunity"</w:instrText>
      </w:r>
      <w:r w:rsidR="00EF4CAC" w:rsidRPr="00437C7B">
        <w:rPr>
          <w:rFonts w:ascii="Calibri" w:hAnsi="Calibri" w:cs="Calibri"/>
          <w:sz w:val="22"/>
          <w:szCs w:val="22"/>
        </w:rPr>
      </w:r>
      <w:r w:rsidR="00EF4CAC" w:rsidRPr="00437C7B">
        <w:rPr>
          <w:rFonts w:ascii="Calibri" w:hAnsi="Calibri" w:cs="Calibri"/>
          <w:sz w:val="22"/>
          <w:szCs w:val="22"/>
        </w:rPr>
        <w:fldChar w:fldCharType="separate"/>
      </w:r>
      <w:r w:rsidR="00EF4CAC" w:rsidRPr="00437C7B">
        <w:rPr>
          <w:rStyle w:val="Hyperlink"/>
          <w:rFonts w:ascii="Calibri" w:hAnsi="Calibri" w:cs="Calibri"/>
          <w:sz w:val="22"/>
          <w:szCs w:val="22"/>
        </w:rPr>
        <w:t xml:space="preserve">Australia’s comparative </w:t>
      </w:r>
    </w:p>
    <w:p w14:paraId="4C273FCE" w14:textId="5DCF64EA" w:rsidR="0043079D" w:rsidRPr="00437C7B" w:rsidRDefault="00EF4CAC" w:rsidP="000D67CD">
      <w:pPr>
        <w:pStyle w:val="EndnoteText"/>
        <w:spacing w:after="0"/>
        <w:rPr>
          <w:rFonts w:ascii="Calibri" w:hAnsi="Calibri" w:cs="Calibri"/>
          <w:sz w:val="22"/>
          <w:szCs w:val="22"/>
        </w:rPr>
      </w:pPr>
      <w:r w:rsidRPr="00437C7B">
        <w:rPr>
          <w:rStyle w:val="Hyperlink"/>
          <w:rFonts w:ascii="Calibri" w:hAnsi="Calibri" w:cs="Calibri"/>
          <w:sz w:val="22"/>
          <w:szCs w:val="22"/>
        </w:rPr>
        <w:t>and competitive advantages in transitioning to a circular economy</w:t>
      </w:r>
      <w:r w:rsidR="00EE0828" w:rsidRPr="00437C7B">
        <w:rPr>
          <w:rStyle w:val="Hyperlink"/>
          <w:rFonts w:ascii="Calibri" w:hAnsi="Calibri" w:cs="Calibri"/>
          <w:sz w:val="22"/>
          <w:szCs w:val="22"/>
        </w:rPr>
        <w:t xml:space="preserve">: </w:t>
      </w:r>
      <w:r w:rsidR="004F5354" w:rsidRPr="00437C7B">
        <w:rPr>
          <w:rStyle w:val="Hyperlink"/>
          <w:rFonts w:ascii="Calibri" w:hAnsi="Calibri" w:cs="Calibri"/>
          <w:sz w:val="22"/>
          <w:szCs w:val="22"/>
        </w:rPr>
        <w:t>A Report to the Office of the Chief Scientist</w:t>
      </w:r>
      <w:r w:rsidRPr="00437C7B">
        <w:rPr>
          <w:rFonts w:ascii="Calibri" w:hAnsi="Calibri" w:cs="Calibri"/>
          <w:sz w:val="22"/>
          <w:szCs w:val="22"/>
        </w:rPr>
        <w:fldChar w:fldCharType="end"/>
      </w:r>
      <w:r w:rsidR="00EE0828" w:rsidRPr="00437C7B">
        <w:rPr>
          <w:rFonts w:ascii="Calibri" w:hAnsi="Calibri" w:cs="Calibri"/>
          <w:sz w:val="22"/>
          <w:szCs w:val="22"/>
        </w:rPr>
        <w:t xml:space="preserve">, </w:t>
      </w:r>
      <w:r w:rsidR="004F5354" w:rsidRPr="00437C7B">
        <w:rPr>
          <w:rFonts w:ascii="Calibri" w:hAnsi="Calibri" w:cs="Calibri"/>
          <w:sz w:val="22"/>
          <w:szCs w:val="22"/>
        </w:rPr>
        <w:t xml:space="preserve"> </w:t>
      </w:r>
    </w:p>
    <w:p w14:paraId="18C7ABA3" w14:textId="6A2D0F37" w:rsidR="00AD524E" w:rsidRPr="00437C7B" w:rsidRDefault="004F5354" w:rsidP="000D67CD">
      <w:pPr>
        <w:pStyle w:val="EndnoteText"/>
        <w:spacing w:after="0"/>
        <w:rPr>
          <w:rFonts w:ascii="Calibri" w:hAnsi="Calibri" w:cs="Calibri"/>
          <w:sz w:val="22"/>
          <w:szCs w:val="22"/>
        </w:rPr>
      </w:pPr>
      <w:r w:rsidRPr="00437C7B">
        <w:rPr>
          <w:rFonts w:ascii="Calibri" w:hAnsi="Calibri" w:cs="Calibri"/>
          <w:sz w:val="22"/>
          <w:szCs w:val="22"/>
        </w:rPr>
        <w:t>CSIRO, Australia</w:t>
      </w:r>
      <w:r w:rsidR="00EF4CAC" w:rsidRPr="00437C7B">
        <w:rPr>
          <w:rFonts w:ascii="Calibri" w:hAnsi="Calibri" w:cs="Calibri"/>
          <w:sz w:val="22"/>
          <w:szCs w:val="22"/>
        </w:rPr>
        <w:t>n Government</w:t>
      </w:r>
      <w:r w:rsidR="00245470" w:rsidRPr="00437C7B">
        <w:rPr>
          <w:rFonts w:ascii="Calibri" w:hAnsi="Calibri" w:cs="Calibri"/>
          <w:sz w:val="22"/>
          <w:szCs w:val="22"/>
        </w:rPr>
        <w:t xml:space="preserve">, </w:t>
      </w:r>
      <w:r w:rsidR="0018252C" w:rsidRPr="00437C7B">
        <w:rPr>
          <w:rFonts w:ascii="Calibri" w:hAnsi="Calibri" w:cs="Calibri"/>
          <w:sz w:val="22"/>
          <w:szCs w:val="22"/>
        </w:rPr>
        <w:t>2024</w:t>
      </w:r>
      <w:r w:rsidR="00245470" w:rsidRPr="00437C7B">
        <w:rPr>
          <w:rFonts w:ascii="Calibri" w:hAnsi="Calibri" w:cs="Calibri"/>
          <w:sz w:val="22"/>
          <w:szCs w:val="22"/>
        </w:rPr>
        <w:t>.</w:t>
      </w:r>
    </w:p>
  </w:endnote>
  <w:endnote w:id="35">
    <w:p w14:paraId="3F1051F9" w14:textId="77777777" w:rsidR="00CE2AC2"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Healthy land and water, </w:t>
      </w:r>
      <w:hyperlink r:id="rId27" w:anchor="gsc.tab=0" w:history="1">
        <w:r w:rsidRPr="00437C7B">
          <w:rPr>
            <w:rStyle w:val="Hyperlink"/>
            <w:rFonts w:ascii="Calibri" w:hAnsi="Calibri" w:cs="Calibri"/>
            <w:sz w:val="22"/>
            <w:szCs w:val="22"/>
          </w:rPr>
          <w:t>Recycling: good for the environment and good for the economy</w:t>
        </w:r>
      </w:hyperlink>
      <w:r w:rsidRPr="00437C7B">
        <w:rPr>
          <w:rFonts w:ascii="Calibri" w:hAnsi="Calibri" w:cs="Calibri"/>
          <w:sz w:val="22"/>
          <w:szCs w:val="22"/>
        </w:rPr>
        <w:t>, 29 June 2023</w:t>
      </w:r>
      <w:r w:rsidR="00245470" w:rsidRPr="00437C7B">
        <w:rPr>
          <w:rFonts w:ascii="Calibri" w:hAnsi="Calibri" w:cs="Calibri"/>
          <w:sz w:val="22"/>
          <w:szCs w:val="22"/>
        </w:rPr>
        <w:t>.</w:t>
      </w:r>
    </w:p>
  </w:endnote>
  <w:endnote w:id="36">
    <w:p w14:paraId="70259B6A" w14:textId="77777777" w:rsidR="007E3731"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DCCEEW, </w:t>
      </w:r>
      <w:hyperlink r:id="rId28" w:history="1">
        <w:r w:rsidR="00C52E32" w:rsidRPr="00437C7B">
          <w:rPr>
            <w:rStyle w:val="Hyperlink"/>
            <w:rFonts w:ascii="Calibri" w:hAnsi="Calibri" w:cs="Calibri"/>
            <w:sz w:val="22"/>
            <w:szCs w:val="22"/>
          </w:rPr>
          <w:t>A circular economy for packaging in Australia</w:t>
        </w:r>
      </w:hyperlink>
      <w:r w:rsidRPr="00437C7B">
        <w:rPr>
          <w:rFonts w:ascii="Calibri" w:hAnsi="Calibri" w:cs="Calibri"/>
          <w:sz w:val="22"/>
          <w:szCs w:val="22"/>
        </w:rPr>
        <w:t>, August 2023</w:t>
      </w:r>
      <w:r w:rsidR="00245470" w:rsidRPr="00437C7B">
        <w:rPr>
          <w:rFonts w:ascii="Calibri" w:hAnsi="Calibri" w:cs="Calibri"/>
          <w:sz w:val="22"/>
          <w:szCs w:val="22"/>
        </w:rPr>
        <w:t>.</w:t>
      </w:r>
    </w:p>
  </w:endnote>
  <w:endnote w:id="37">
    <w:p w14:paraId="7B3D0436" w14:textId="055918E5" w:rsidR="007E5192" w:rsidRPr="00437C7B" w:rsidRDefault="007E5192">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650764" w:rsidRPr="00437C7B">
        <w:rPr>
          <w:rFonts w:ascii="Calibri" w:hAnsi="Calibri" w:cs="Calibri"/>
          <w:sz w:val="22"/>
          <w:szCs w:val="22"/>
        </w:rPr>
        <w:t>Schandl, H., Walton, A., Okelo, W., Kong, T., Boxall, N.J., Terhorst, A. and Porter, N.B</w:t>
      </w:r>
      <w:bookmarkStart w:id="39" w:name="_Hlk182920455"/>
      <w:r w:rsidR="00650764" w:rsidRPr="00437C7B">
        <w:rPr>
          <w:rFonts w:ascii="Calibri" w:hAnsi="Calibri" w:cs="Calibri"/>
          <w:sz w:val="22"/>
          <w:szCs w:val="22"/>
        </w:rPr>
        <w:t xml:space="preserve">. </w:t>
      </w:r>
      <w:hyperlink r:id="rId29" w:history="1">
        <w:bookmarkEnd w:id="39"/>
        <w:r w:rsidR="00AE34B1" w:rsidRPr="00437C7B">
          <w:rPr>
            <w:rStyle w:val="Hyperlink"/>
            <w:rFonts w:ascii="Calibri" w:hAnsi="Calibri" w:cs="Calibri"/>
            <w:i/>
            <w:iCs/>
            <w:sz w:val="22"/>
            <w:szCs w:val="22"/>
          </w:rPr>
          <w:t>Australia’s comparative and competitive advantages in transitioning to a circular economy: A Report to the Office of the Chief Scientist</w:t>
        </w:r>
      </w:hyperlink>
      <w:r w:rsidR="0088003D" w:rsidRPr="00437C7B">
        <w:rPr>
          <w:rFonts w:ascii="Calibri" w:hAnsi="Calibri" w:cs="Calibri"/>
          <w:sz w:val="22"/>
          <w:szCs w:val="22"/>
        </w:rPr>
        <w:t xml:space="preserve">, </w:t>
      </w:r>
      <w:r w:rsidR="00650764" w:rsidRPr="00437C7B">
        <w:rPr>
          <w:rFonts w:ascii="Calibri" w:hAnsi="Calibri" w:cs="Calibri"/>
          <w:sz w:val="22"/>
          <w:szCs w:val="22"/>
        </w:rPr>
        <w:t>CSIRO, Australia</w:t>
      </w:r>
      <w:r w:rsidR="0088003D" w:rsidRPr="00437C7B">
        <w:rPr>
          <w:rFonts w:ascii="Calibri" w:hAnsi="Calibri" w:cs="Calibri"/>
          <w:sz w:val="22"/>
          <w:szCs w:val="22"/>
        </w:rPr>
        <w:t>n Government</w:t>
      </w:r>
      <w:r w:rsidR="00A612A4" w:rsidRPr="00437C7B">
        <w:rPr>
          <w:rFonts w:ascii="Calibri" w:hAnsi="Calibri" w:cs="Calibri"/>
          <w:sz w:val="22"/>
          <w:szCs w:val="22"/>
        </w:rPr>
        <w:t>, 2023</w:t>
      </w:r>
      <w:r w:rsidR="00650764" w:rsidRPr="00437C7B">
        <w:rPr>
          <w:rFonts w:ascii="Calibri" w:hAnsi="Calibri" w:cs="Calibri"/>
          <w:sz w:val="22"/>
          <w:szCs w:val="22"/>
        </w:rPr>
        <w:t>.</w:t>
      </w:r>
    </w:p>
  </w:endnote>
  <w:endnote w:id="38">
    <w:p w14:paraId="069859BC" w14:textId="5FC5A1E0" w:rsidR="0044376A" w:rsidRPr="00437C7B" w:rsidRDefault="0044376A">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2503E6" w:rsidRPr="00437C7B">
        <w:rPr>
          <w:rFonts w:ascii="Calibri" w:hAnsi="Calibri" w:cs="Calibri"/>
          <w:sz w:val="22"/>
          <w:szCs w:val="22"/>
        </w:rPr>
        <w:t xml:space="preserve">ABS, </w:t>
      </w:r>
      <w:hyperlink r:id="rId30" w:history="1">
        <w:r w:rsidR="002503E6" w:rsidRPr="00437C7B">
          <w:rPr>
            <w:rStyle w:val="Hyperlink"/>
            <w:rFonts w:ascii="Calibri" w:hAnsi="Calibri" w:cs="Calibri"/>
            <w:sz w:val="22"/>
            <w:szCs w:val="22"/>
          </w:rPr>
          <w:t>International Trade in Goods</w:t>
        </w:r>
      </w:hyperlink>
      <w:r w:rsidR="002503E6" w:rsidRPr="00437C7B">
        <w:rPr>
          <w:rFonts w:ascii="Calibri" w:hAnsi="Calibri" w:cs="Calibri"/>
          <w:sz w:val="22"/>
          <w:szCs w:val="22"/>
        </w:rPr>
        <w:t xml:space="preserve">, ABS website, Jan 2024, accessed </w:t>
      </w:r>
      <w:r w:rsidR="00E25C51" w:rsidRPr="00437C7B">
        <w:rPr>
          <w:rFonts w:ascii="Calibri" w:hAnsi="Calibri" w:cs="Calibri"/>
          <w:sz w:val="22"/>
          <w:szCs w:val="22"/>
        </w:rPr>
        <w:t>April</w:t>
      </w:r>
      <w:r w:rsidR="002503E6" w:rsidRPr="00437C7B">
        <w:rPr>
          <w:rFonts w:ascii="Calibri" w:hAnsi="Calibri" w:cs="Calibri"/>
          <w:sz w:val="22"/>
          <w:szCs w:val="22"/>
        </w:rPr>
        <w:t xml:space="preserve"> 2024.</w:t>
      </w:r>
    </w:p>
  </w:endnote>
  <w:endnote w:id="39">
    <w:p w14:paraId="6DC8292A"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Ellen MacArthur Foundation</w:t>
      </w:r>
      <w:r w:rsidR="004D0C65" w:rsidRPr="00437C7B">
        <w:rPr>
          <w:rFonts w:ascii="Calibri" w:hAnsi="Calibri" w:cs="Calibri"/>
          <w:sz w:val="22"/>
          <w:szCs w:val="22"/>
        </w:rPr>
        <w:t>,</w:t>
      </w:r>
      <w:r w:rsidR="00245470" w:rsidRPr="00437C7B">
        <w:rPr>
          <w:rFonts w:ascii="Calibri" w:hAnsi="Calibri" w:cs="Calibri"/>
          <w:sz w:val="22"/>
          <w:szCs w:val="22"/>
        </w:rPr>
        <w:t xml:space="preserve"> </w:t>
      </w:r>
      <w:hyperlink r:id="rId31" w:anchor=":~:text=In%20fact%2C%2080%25%20of%20a,and%20materials%2C%20and%20regenerate%20nature." w:history="1">
        <w:r w:rsidRPr="00437C7B">
          <w:rPr>
            <w:rStyle w:val="Hyperlink"/>
            <w:rFonts w:ascii="Calibri" w:hAnsi="Calibri" w:cs="Calibri"/>
            <w:sz w:val="22"/>
            <w:szCs w:val="22"/>
          </w:rPr>
          <w:t>An introduction to circular design</w:t>
        </w:r>
      </w:hyperlink>
      <w:r w:rsidRPr="00437C7B">
        <w:rPr>
          <w:rStyle w:val="Hyperlink"/>
          <w:rFonts w:ascii="Calibri" w:hAnsi="Calibri" w:cs="Calibri"/>
          <w:sz w:val="22"/>
          <w:szCs w:val="22"/>
        </w:rPr>
        <w:t xml:space="preserve">, </w:t>
      </w:r>
      <w:r w:rsidRPr="00437C7B">
        <w:rPr>
          <w:rStyle w:val="Hyperlink"/>
          <w:rFonts w:ascii="Calibri" w:hAnsi="Calibri" w:cs="Calibri"/>
          <w:color w:val="auto"/>
          <w:sz w:val="22"/>
          <w:szCs w:val="22"/>
          <w:u w:val="none"/>
        </w:rPr>
        <w:t>Ellen MacArthur Foundation website, June 2022</w:t>
      </w:r>
    </w:p>
  </w:endnote>
  <w:endnote w:id="40">
    <w:p w14:paraId="3C4B6B01" w14:textId="77777777" w:rsidR="00D22332" w:rsidRPr="00437C7B" w:rsidRDefault="00D22332" w:rsidP="00D22332">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World Green Building Council (WGBC), </w:t>
      </w:r>
      <w:hyperlink r:id="rId32" w:history="1">
        <w:r w:rsidRPr="00437C7B">
          <w:rPr>
            <w:rStyle w:val="Hyperlink"/>
            <w:rFonts w:ascii="Calibri" w:hAnsi="Calibri" w:cs="Calibri"/>
            <w:sz w:val="22"/>
            <w:szCs w:val="22"/>
          </w:rPr>
          <w:t>Circular Economy in the built environment waste hierarchy: Why recycling is the last resort</w:t>
        </w:r>
      </w:hyperlink>
      <w:r w:rsidRPr="00437C7B">
        <w:rPr>
          <w:rFonts w:ascii="Calibri" w:hAnsi="Calibri" w:cs="Calibri"/>
          <w:i/>
          <w:sz w:val="22"/>
          <w:szCs w:val="22"/>
        </w:rPr>
        <w:t>,</w:t>
      </w:r>
      <w:r w:rsidRPr="00437C7B">
        <w:rPr>
          <w:rFonts w:ascii="Calibri" w:hAnsi="Calibri" w:cs="Calibri"/>
          <w:sz w:val="22"/>
          <w:szCs w:val="22"/>
        </w:rPr>
        <w:t xml:space="preserve"> WGBC website, n.d.</w:t>
      </w:r>
    </w:p>
  </w:endnote>
  <w:endnote w:id="41">
    <w:p w14:paraId="5E28AB2E" w14:textId="37F97BDA" w:rsidR="00A22F68"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CSIRO</w:t>
      </w:r>
      <w:r w:rsidR="00055BE5" w:rsidRPr="00437C7B">
        <w:rPr>
          <w:rFonts w:ascii="Calibri" w:hAnsi="Calibri" w:cs="Calibri"/>
          <w:sz w:val="22"/>
          <w:szCs w:val="22"/>
        </w:rPr>
        <w:t>,</w:t>
      </w:r>
      <w:r w:rsidR="00C54D63" w:rsidRPr="00437C7B">
        <w:rPr>
          <w:rFonts w:ascii="Calibri" w:hAnsi="Calibri" w:cs="Calibri"/>
          <w:sz w:val="22"/>
          <w:szCs w:val="22"/>
        </w:rPr>
        <w:t xml:space="preserve"> </w:t>
      </w:r>
      <w:r w:rsidR="001862DB" w:rsidRPr="00437C7B">
        <w:rPr>
          <w:rFonts w:ascii="Calibri" w:hAnsi="Calibri" w:cs="Calibri"/>
          <w:i/>
          <w:iCs/>
          <w:sz w:val="22"/>
          <w:szCs w:val="22"/>
        </w:rPr>
        <w:t>A comprehensive material flow analysis for the Australian economy</w:t>
      </w:r>
      <w:r w:rsidR="001862DB" w:rsidRPr="00437C7B">
        <w:rPr>
          <w:rFonts w:ascii="Calibri" w:hAnsi="Calibri" w:cs="Calibri"/>
          <w:sz w:val="22"/>
          <w:szCs w:val="22"/>
        </w:rPr>
        <w:t>.</w:t>
      </w:r>
    </w:p>
  </w:endnote>
  <w:endnote w:id="42">
    <w:p w14:paraId="593BF6CD" w14:textId="7B717DF7" w:rsidR="006E12CA"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B043CE" w:rsidRPr="00437C7B">
        <w:rPr>
          <w:rFonts w:ascii="Calibri" w:hAnsi="Calibri" w:cs="Calibri"/>
          <w:sz w:val="22"/>
          <w:szCs w:val="22"/>
        </w:rPr>
        <w:t xml:space="preserve">DCCEEW, </w:t>
      </w:r>
      <w:hyperlink r:id="rId33" w:history="1">
        <w:r w:rsidR="000B45B0" w:rsidRPr="00437C7B">
          <w:rPr>
            <w:rStyle w:val="Hyperlink"/>
            <w:rFonts w:ascii="Calibri" w:hAnsi="Calibri" w:cs="Calibri"/>
            <w:i/>
            <w:iCs/>
            <w:sz w:val="22"/>
            <w:szCs w:val="22"/>
          </w:rPr>
          <w:t>National Waste Report 2022</w:t>
        </w:r>
      </w:hyperlink>
      <w:r w:rsidRPr="00437C7B">
        <w:rPr>
          <w:rFonts w:ascii="Calibri" w:hAnsi="Calibri" w:cs="Calibri"/>
          <w:sz w:val="22"/>
          <w:szCs w:val="22"/>
        </w:rPr>
        <w:t>.</w:t>
      </w:r>
    </w:p>
  </w:endnote>
  <w:endnote w:id="43">
    <w:p w14:paraId="6C77F04F"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NSW Treasury, </w:t>
      </w:r>
      <w:hyperlink r:id="rId34" w:history="1">
        <w:r w:rsidRPr="00437C7B">
          <w:rPr>
            <w:rStyle w:val="Hyperlink"/>
            <w:rFonts w:ascii="Calibri" w:hAnsi="Calibri" w:cs="Calibri"/>
            <w:i/>
            <w:iCs/>
            <w:sz w:val="22"/>
            <w:szCs w:val="22"/>
          </w:rPr>
          <w:t>Circular design guidelines for the built environment</w:t>
        </w:r>
      </w:hyperlink>
      <w:r w:rsidRPr="00437C7B">
        <w:rPr>
          <w:rFonts w:ascii="Calibri" w:hAnsi="Calibri" w:cs="Calibri"/>
          <w:sz w:val="22"/>
          <w:szCs w:val="22"/>
        </w:rPr>
        <w:t>, Office of Energy and Climate Change, NSW Treasury, NSW Government, 2023.</w:t>
      </w:r>
    </w:p>
  </w:endnote>
  <w:endnote w:id="44">
    <w:p w14:paraId="504AFEBC" w14:textId="77777777" w:rsidR="000F4C2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Founded by Green Building Council of Australia in 2003, </w:t>
      </w:r>
      <w:hyperlink r:id="rId35" w:history="1">
        <w:r w:rsidRPr="00437C7B">
          <w:rPr>
            <w:rStyle w:val="Hyperlink"/>
            <w:rFonts w:ascii="Calibri" w:hAnsi="Calibri" w:cs="Calibri"/>
            <w:sz w:val="22"/>
            <w:szCs w:val="22"/>
          </w:rPr>
          <w:t>Green Star</w:t>
        </w:r>
      </w:hyperlink>
      <w:r w:rsidRPr="00437C7B">
        <w:rPr>
          <w:rFonts w:ascii="Calibri" w:hAnsi="Calibri" w:cs="Calibri"/>
          <w:sz w:val="22"/>
          <w:szCs w:val="22"/>
        </w:rPr>
        <w:t xml:space="preserve"> is an internationally recognised sustainability rating and certification system developed for the Australian environment. Green Star has certified thousands of sustainable fit-outs, buildings, homes and communities. </w:t>
      </w:r>
      <w:hyperlink r:id="rId36" w:history="1">
        <w:r w:rsidRPr="00437C7B">
          <w:rPr>
            <w:rStyle w:val="Hyperlink"/>
            <w:rFonts w:ascii="Calibri" w:hAnsi="Calibri" w:cs="Calibri"/>
            <w:sz w:val="22"/>
            <w:szCs w:val="22"/>
          </w:rPr>
          <w:t>NABERS</w:t>
        </w:r>
      </w:hyperlink>
      <w:r w:rsidRPr="00437C7B">
        <w:rPr>
          <w:rFonts w:ascii="Calibri" w:hAnsi="Calibri" w:cs="Calibri"/>
          <w:sz w:val="22"/>
          <w:szCs w:val="22"/>
        </w:rPr>
        <w:t xml:space="preserve"> (National Australian Built Environment Rating System) provides simple, reliable, and comparable sustainability measurement across building sectors like hotels, shopping centres, apartments, offices, data centres.</w:t>
      </w:r>
    </w:p>
  </w:endnote>
  <w:endnote w:id="45">
    <w:p w14:paraId="681B4BD6" w14:textId="77777777" w:rsidR="00286B6B"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CA189A" w:rsidRPr="00437C7B">
        <w:rPr>
          <w:rFonts w:ascii="Calibri" w:hAnsi="Calibri" w:cs="Calibri"/>
          <w:sz w:val="22"/>
          <w:szCs w:val="22"/>
        </w:rPr>
        <w:t xml:space="preserve">CEFC, </w:t>
      </w:r>
      <w:hyperlink r:id="rId37" w:history="1">
        <w:r w:rsidR="002B4DAB" w:rsidRPr="00437C7B">
          <w:rPr>
            <w:rStyle w:val="Hyperlink"/>
            <w:rFonts w:ascii="Calibri" w:hAnsi="Calibri" w:cs="Calibri"/>
            <w:sz w:val="22"/>
            <w:szCs w:val="22"/>
          </w:rPr>
          <w:t>Australian Buildings And Infrastructure Opportunities For Cutting Embodied Carbon</w:t>
        </w:r>
      </w:hyperlink>
      <w:r w:rsidR="002B4DAB" w:rsidRPr="00437C7B">
        <w:rPr>
          <w:rStyle w:val="Hyperlink"/>
          <w:rFonts w:ascii="Calibri" w:hAnsi="Calibri" w:cs="Calibri"/>
          <w:sz w:val="22"/>
          <w:szCs w:val="22"/>
          <w:u w:val="none"/>
        </w:rPr>
        <w:t xml:space="preserve">, </w:t>
      </w:r>
      <w:r w:rsidR="002B4DAB" w:rsidRPr="00437C7B">
        <w:rPr>
          <w:rStyle w:val="Hyperlink"/>
          <w:rFonts w:ascii="Calibri" w:hAnsi="Calibri" w:cs="Calibri"/>
          <w:color w:val="auto"/>
          <w:sz w:val="22"/>
          <w:szCs w:val="22"/>
          <w:u w:val="none"/>
        </w:rPr>
        <w:t>CEFC</w:t>
      </w:r>
      <w:r w:rsidR="00731422" w:rsidRPr="00437C7B">
        <w:rPr>
          <w:rStyle w:val="Hyperlink"/>
          <w:rFonts w:ascii="Calibri" w:hAnsi="Calibri" w:cs="Calibri"/>
          <w:color w:val="auto"/>
          <w:sz w:val="22"/>
          <w:szCs w:val="22"/>
          <w:u w:val="none"/>
        </w:rPr>
        <w:t>, 2021</w:t>
      </w:r>
      <w:r w:rsidR="002B4DAB" w:rsidRPr="00437C7B">
        <w:rPr>
          <w:rStyle w:val="Hyperlink"/>
          <w:rFonts w:ascii="Calibri" w:hAnsi="Calibri" w:cs="Calibri"/>
          <w:color w:val="auto"/>
          <w:sz w:val="22"/>
          <w:szCs w:val="22"/>
          <w:u w:val="none"/>
        </w:rPr>
        <w:t>.</w:t>
      </w:r>
    </w:p>
  </w:endnote>
  <w:endnote w:id="46">
    <w:p w14:paraId="7A392CE7" w14:textId="36B0FDC1" w:rsidR="000F0B4F"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4C21AB" w:rsidRPr="00437C7B">
        <w:rPr>
          <w:rFonts w:ascii="Calibri" w:hAnsi="Calibri" w:cs="Calibri"/>
          <w:sz w:val="22"/>
          <w:szCs w:val="22"/>
        </w:rPr>
        <w:t xml:space="preserve">Fortune Business Insights, </w:t>
      </w:r>
      <w:hyperlink r:id="rId38" w:history="1">
        <w:r w:rsidR="004229CC" w:rsidRPr="00437C7B">
          <w:rPr>
            <w:rStyle w:val="Hyperlink"/>
            <w:rFonts w:ascii="Calibri" w:hAnsi="Calibri" w:cs="Calibri"/>
            <w:i/>
            <w:iCs/>
            <w:sz w:val="22"/>
            <w:szCs w:val="22"/>
          </w:rPr>
          <w:t>Green Steel Market - Forecast Report [2024 to 2032]</w:t>
        </w:r>
      </w:hyperlink>
      <w:r w:rsidR="00825EE6" w:rsidRPr="00437C7B">
        <w:rPr>
          <w:rFonts w:ascii="Calibri" w:hAnsi="Calibri" w:cs="Calibri"/>
          <w:sz w:val="22"/>
          <w:szCs w:val="22"/>
        </w:rPr>
        <w:t xml:space="preserve">, Fortune Business Insights website, </w:t>
      </w:r>
      <w:r w:rsidR="004229CC" w:rsidRPr="00437C7B">
        <w:rPr>
          <w:rFonts w:ascii="Calibri" w:hAnsi="Calibri" w:cs="Calibri"/>
          <w:sz w:val="22"/>
          <w:szCs w:val="22"/>
        </w:rPr>
        <w:t>October 2024</w:t>
      </w:r>
      <w:r w:rsidR="00825EE6" w:rsidRPr="00437C7B">
        <w:rPr>
          <w:rFonts w:ascii="Calibri" w:hAnsi="Calibri" w:cs="Calibri"/>
          <w:sz w:val="22"/>
          <w:szCs w:val="22"/>
        </w:rPr>
        <w:t>.</w:t>
      </w:r>
    </w:p>
  </w:endnote>
  <w:endnote w:id="47">
    <w:p w14:paraId="7E7C83CA" w14:textId="77777777" w:rsidR="00BF0B40"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Department of Infrastructure, Transport, Regional Development, Communications and the Arts (DITRDCA), </w:t>
      </w:r>
      <w:hyperlink r:id="rId39" w:history="1">
        <w:r w:rsidRPr="00437C7B">
          <w:rPr>
            <w:rStyle w:val="Hyperlink"/>
            <w:rFonts w:ascii="Calibri" w:hAnsi="Calibri" w:cs="Calibri"/>
            <w:sz w:val="22"/>
            <w:szCs w:val="22"/>
          </w:rPr>
          <w:t>Publications</w:t>
        </w:r>
      </w:hyperlink>
      <w:r w:rsidRPr="00437C7B">
        <w:rPr>
          <w:rFonts w:ascii="Calibri" w:hAnsi="Calibri" w:cs="Calibri"/>
          <w:sz w:val="22"/>
          <w:szCs w:val="22"/>
        </w:rPr>
        <w:t>, DITRDCA website, n.d.</w:t>
      </w:r>
    </w:p>
  </w:endnote>
  <w:endnote w:id="48">
    <w:p w14:paraId="09D8CF8D" w14:textId="77777777" w:rsidR="00280C88"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Infrastructure Australia</w:t>
      </w:r>
      <w:r w:rsidR="00E161B6" w:rsidRPr="00437C7B">
        <w:rPr>
          <w:rFonts w:ascii="Calibri" w:hAnsi="Calibri" w:cs="Calibri"/>
          <w:sz w:val="22"/>
          <w:szCs w:val="22"/>
        </w:rPr>
        <w:t xml:space="preserve"> (IA)</w:t>
      </w:r>
      <w:r w:rsidRPr="00437C7B">
        <w:rPr>
          <w:rFonts w:ascii="Calibri" w:hAnsi="Calibri" w:cs="Calibri"/>
          <w:sz w:val="22"/>
          <w:szCs w:val="22"/>
        </w:rPr>
        <w:t xml:space="preserve">, </w:t>
      </w:r>
      <w:hyperlink r:id="rId40" w:history="1">
        <w:r w:rsidRPr="00437C7B">
          <w:rPr>
            <w:rStyle w:val="Hyperlink"/>
            <w:rFonts w:ascii="Calibri" w:hAnsi="Calibri" w:cs="Calibri"/>
            <w:sz w:val="22"/>
            <w:szCs w:val="22"/>
            <w:u w:val="none"/>
          </w:rPr>
          <w:t>I</w:t>
        </w:r>
        <w:r w:rsidRPr="00437C7B">
          <w:rPr>
            <w:rStyle w:val="Hyperlink"/>
            <w:rFonts w:ascii="Calibri" w:hAnsi="Calibri" w:cs="Calibri"/>
            <w:sz w:val="22"/>
            <w:szCs w:val="22"/>
          </w:rPr>
          <w:t>nfrastructure Market Capacity report</w:t>
        </w:r>
      </w:hyperlink>
      <w:r w:rsidRPr="00437C7B">
        <w:rPr>
          <w:rFonts w:ascii="Calibri" w:hAnsi="Calibri" w:cs="Calibri"/>
          <w:sz w:val="22"/>
          <w:szCs w:val="22"/>
        </w:rPr>
        <w:t>, IA website, December 2023</w:t>
      </w:r>
      <w:r w:rsidR="00E161B6" w:rsidRPr="00437C7B">
        <w:rPr>
          <w:rFonts w:ascii="Calibri" w:hAnsi="Calibri" w:cs="Calibri"/>
          <w:sz w:val="22"/>
          <w:szCs w:val="22"/>
        </w:rPr>
        <w:t>.</w:t>
      </w:r>
    </w:p>
  </w:endnote>
  <w:endnote w:id="49">
    <w:p w14:paraId="5D9F0EBD" w14:textId="3D637850" w:rsidR="00CA5E66"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CE6FE3" w:rsidRPr="00437C7B">
        <w:rPr>
          <w:rFonts w:ascii="Calibri" w:hAnsi="Calibri" w:cs="Calibri"/>
          <w:sz w:val="22"/>
          <w:szCs w:val="22"/>
        </w:rPr>
        <w:t xml:space="preserve">Australia’s </w:t>
      </w:r>
      <w:r w:rsidR="00CE6FE3" w:rsidRPr="00437C7B">
        <w:rPr>
          <w:rFonts w:ascii="Calibri" w:hAnsi="Calibri" w:cs="Calibri"/>
          <w:i/>
          <w:iCs/>
          <w:sz w:val="22"/>
          <w:szCs w:val="22"/>
        </w:rPr>
        <w:t>Federation Funding Agreement Schedule for Land Transport Infrastructure Projects</w:t>
      </w:r>
      <w:r w:rsidR="00CE6FE3" w:rsidRPr="00437C7B">
        <w:rPr>
          <w:rFonts w:ascii="Calibri" w:hAnsi="Calibri" w:cs="Calibri"/>
          <w:sz w:val="22"/>
          <w:szCs w:val="22"/>
        </w:rPr>
        <w:t xml:space="preserve"> includes a focus on optimising the use of recycled content in transport infrastructure procurements to support the circular economy transition.</w:t>
      </w:r>
    </w:p>
  </w:endnote>
  <w:endnote w:id="50">
    <w:p w14:paraId="3A05638B" w14:textId="77777777" w:rsidR="001439F5"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As described in the </w:t>
      </w:r>
      <w:r w:rsidRPr="00437C7B">
        <w:rPr>
          <w:rFonts w:ascii="Calibri" w:hAnsi="Calibri" w:cs="Calibri"/>
          <w:i/>
          <w:iCs/>
          <w:sz w:val="22"/>
          <w:szCs w:val="22"/>
        </w:rPr>
        <w:t xml:space="preserve">Climate Change Act 2022 </w:t>
      </w:r>
      <w:r w:rsidRPr="00437C7B">
        <w:rPr>
          <w:rFonts w:ascii="Calibri" w:hAnsi="Calibri" w:cs="Calibri"/>
          <w:sz w:val="22"/>
          <w:szCs w:val="22"/>
        </w:rPr>
        <w:t>(Cth)</w:t>
      </w:r>
      <w:r w:rsidR="00D12BA1" w:rsidRPr="00437C7B">
        <w:rPr>
          <w:rFonts w:ascii="Calibri" w:hAnsi="Calibri" w:cs="Calibri"/>
          <w:sz w:val="22"/>
          <w:szCs w:val="22"/>
        </w:rPr>
        <w:t>.</w:t>
      </w:r>
    </w:p>
  </w:endnote>
  <w:endnote w:id="51">
    <w:p w14:paraId="7BC8A123" w14:textId="77777777" w:rsidR="00EF008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NSW Treasury, </w:t>
      </w:r>
      <w:hyperlink r:id="rId41" w:history="1">
        <w:r w:rsidRPr="00437C7B">
          <w:rPr>
            <w:rStyle w:val="Hyperlink"/>
            <w:rFonts w:ascii="Calibri" w:hAnsi="Calibri" w:cs="Calibri"/>
            <w:sz w:val="22"/>
            <w:szCs w:val="22"/>
          </w:rPr>
          <w:t>Circular design guidelines for the built environment</w:t>
        </w:r>
      </w:hyperlink>
      <w:r w:rsidRPr="00437C7B">
        <w:rPr>
          <w:rFonts w:ascii="Calibri" w:hAnsi="Calibri" w:cs="Calibri"/>
          <w:sz w:val="22"/>
          <w:szCs w:val="22"/>
        </w:rPr>
        <w:t xml:space="preserve">, </w:t>
      </w:r>
      <w:r w:rsidRPr="00437C7B">
        <w:rPr>
          <w:rStyle w:val="Hyperlink"/>
          <w:rFonts w:ascii="Calibri" w:hAnsi="Calibri" w:cs="Calibri"/>
          <w:color w:val="auto"/>
          <w:sz w:val="22"/>
          <w:szCs w:val="22"/>
          <w:u w:val="none"/>
        </w:rPr>
        <w:t>NSW Government, 2023.</w:t>
      </w:r>
    </w:p>
  </w:endnote>
  <w:endnote w:id="52">
    <w:p w14:paraId="5ADAAD28" w14:textId="49F3FB3D" w:rsidR="008D6620"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4D497C" w:rsidRPr="00437C7B">
        <w:rPr>
          <w:rFonts w:ascii="Calibri" w:hAnsi="Calibri" w:cs="Calibri"/>
          <w:sz w:val="22"/>
          <w:szCs w:val="22"/>
        </w:rPr>
        <w:t>D</w:t>
      </w:r>
      <w:r w:rsidR="00A320A7" w:rsidRPr="00437C7B">
        <w:rPr>
          <w:rFonts w:ascii="Calibri" w:hAnsi="Calibri" w:cs="Calibri"/>
          <w:sz w:val="22"/>
          <w:szCs w:val="22"/>
        </w:rPr>
        <w:t>epa</w:t>
      </w:r>
      <w:r w:rsidR="00AD2E4D" w:rsidRPr="00437C7B">
        <w:rPr>
          <w:rFonts w:ascii="Calibri" w:hAnsi="Calibri" w:cs="Calibri"/>
          <w:sz w:val="22"/>
          <w:szCs w:val="22"/>
        </w:rPr>
        <w:t xml:space="preserve">rtment of </w:t>
      </w:r>
      <w:r w:rsidR="004D497C" w:rsidRPr="00437C7B">
        <w:rPr>
          <w:rFonts w:ascii="Calibri" w:hAnsi="Calibri" w:cs="Calibri"/>
          <w:sz w:val="22"/>
          <w:szCs w:val="22"/>
        </w:rPr>
        <w:t>A</w:t>
      </w:r>
      <w:r w:rsidR="00AD2E4D" w:rsidRPr="00437C7B">
        <w:rPr>
          <w:rFonts w:ascii="Calibri" w:hAnsi="Calibri" w:cs="Calibri"/>
          <w:sz w:val="22"/>
          <w:szCs w:val="22"/>
        </w:rPr>
        <w:t xml:space="preserve">griculture, </w:t>
      </w:r>
      <w:r w:rsidR="004D497C" w:rsidRPr="00437C7B">
        <w:rPr>
          <w:rFonts w:ascii="Calibri" w:hAnsi="Calibri" w:cs="Calibri"/>
          <w:sz w:val="22"/>
          <w:szCs w:val="22"/>
        </w:rPr>
        <w:t>F</w:t>
      </w:r>
      <w:r w:rsidR="00796CA9" w:rsidRPr="00437C7B">
        <w:rPr>
          <w:rFonts w:ascii="Calibri" w:hAnsi="Calibri" w:cs="Calibri"/>
          <w:sz w:val="22"/>
          <w:szCs w:val="22"/>
        </w:rPr>
        <w:t xml:space="preserve">isheries and </w:t>
      </w:r>
      <w:r w:rsidR="004D497C" w:rsidRPr="00437C7B">
        <w:rPr>
          <w:rFonts w:ascii="Calibri" w:hAnsi="Calibri" w:cs="Calibri"/>
          <w:sz w:val="22"/>
          <w:szCs w:val="22"/>
        </w:rPr>
        <w:t>F</w:t>
      </w:r>
      <w:r w:rsidR="00796CA9" w:rsidRPr="00437C7B">
        <w:rPr>
          <w:rFonts w:ascii="Calibri" w:hAnsi="Calibri" w:cs="Calibri"/>
          <w:sz w:val="22"/>
          <w:szCs w:val="22"/>
        </w:rPr>
        <w:t>orestry (DAFF)</w:t>
      </w:r>
      <w:r w:rsidR="004D497C" w:rsidRPr="00437C7B">
        <w:rPr>
          <w:rFonts w:ascii="Calibri" w:hAnsi="Calibri" w:cs="Calibri"/>
          <w:sz w:val="22"/>
          <w:szCs w:val="22"/>
        </w:rPr>
        <w:t xml:space="preserve">, </w:t>
      </w:r>
      <w:r w:rsidR="006200E7" w:rsidRPr="00437C7B">
        <w:rPr>
          <w:rFonts w:ascii="Calibri" w:hAnsi="Calibri" w:cs="Calibri"/>
          <w:sz w:val="22"/>
          <w:szCs w:val="22"/>
        </w:rPr>
        <w:t>‘</w:t>
      </w:r>
      <w:hyperlink r:id="rId42" w:history="1">
        <w:r w:rsidR="004D497C" w:rsidRPr="00437C7B">
          <w:rPr>
            <w:rStyle w:val="Hyperlink"/>
            <w:rFonts w:ascii="Calibri" w:hAnsi="Calibri" w:cs="Calibri"/>
            <w:sz w:val="22"/>
            <w:szCs w:val="22"/>
          </w:rPr>
          <w:t>Snapshot</w:t>
        </w:r>
        <w:r w:rsidR="00E80638" w:rsidRPr="00437C7B">
          <w:rPr>
            <w:rStyle w:val="Hyperlink"/>
            <w:rFonts w:ascii="Calibri" w:hAnsi="Calibri" w:cs="Calibri"/>
            <w:sz w:val="22"/>
            <w:szCs w:val="22"/>
          </w:rPr>
          <w:t xml:space="preserve"> of Australian Agriculture</w:t>
        </w:r>
      </w:hyperlink>
      <w:r w:rsidR="006200E7" w:rsidRPr="00437C7B">
        <w:rPr>
          <w:rStyle w:val="Hyperlink"/>
          <w:rFonts w:ascii="Calibri" w:hAnsi="Calibri" w:cs="Calibri"/>
          <w:sz w:val="22"/>
          <w:szCs w:val="22"/>
        </w:rPr>
        <w:t>’</w:t>
      </w:r>
      <w:r w:rsidR="00E80638" w:rsidRPr="00437C7B">
        <w:rPr>
          <w:rFonts w:ascii="Calibri" w:hAnsi="Calibri" w:cs="Calibri"/>
          <w:sz w:val="22"/>
          <w:szCs w:val="22"/>
        </w:rPr>
        <w:t xml:space="preserve">, </w:t>
      </w:r>
      <w:r w:rsidR="006052A8" w:rsidRPr="00437C7B">
        <w:rPr>
          <w:rFonts w:ascii="Calibri" w:hAnsi="Calibri" w:cs="Calibri"/>
          <w:i/>
          <w:iCs/>
          <w:sz w:val="22"/>
          <w:szCs w:val="22"/>
        </w:rPr>
        <w:t>ABARES Insights</w:t>
      </w:r>
      <w:r w:rsidR="006052A8" w:rsidRPr="00437C7B">
        <w:rPr>
          <w:rFonts w:ascii="Calibri" w:hAnsi="Calibri" w:cs="Calibri"/>
          <w:sz w:val="22"/>
          <w:szCs w:val="22"/>
        </w:rPr>
        <w:t xml:space="preserve">, </w:t>
      </w:r>
      <w:r w:rsidR="007B7DE0" w:rsidRPr="00437C7B">
        <w:rPr>
          <w:rFonts w:ascii="Calibri" w:hAnsi="Calibri" w:cs="Calibri"/>
          <w:sz w:val="22"/>
          <w:szCs w:val="22"/>
        </w:rPr>
        <w:t xml:space="preserve">DAFF website, </w:t>
      </w:r>
      <w:r w:rsidR="006200E7" w:rsidRPr="00437C7B">
        <w:rPr>
          <w:rFonts w:ascii="Calibri" w:hAnsi="Calibri" w:cs="Calibri"/>
          <w:sz w:val="22"/>
          <w:szCs w:val="22"/>
        </w:rPr>
        <w:t>2024</w:t>
      </w:r>
      <w:r w:rsidR="00BB4D02" w:rsidRPr="00437C7B">
        <w:rPr>
          <w:rFonts w:ascii="Calibri" w:hAnsi="Calibri" w:cs="Calibri"/>
          <w:sz w:val="22"/>
          <w:szCs w:val="22"/>
        </w:rPr>
        <w:t>.</w:t>
      </w:r>
    </w:p>
  </w:endnote>
  <w:endnote w:id="53">
    <w:p w14:paraId="1231B1AC" w14:textId="77777777" w:rsidR="006F2193"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9942AA" w:rsidRPr="00437C7B">
        <w:rPr>
          <w:rFonts w:ascii="Calibri" w:hAnsi="Calibri" w:cs="Calibri"/>
          <w:sz w:val="22"/>
          <w:szCs w:val="22"/>
        </w:rPr>
        <w:t xml:space="preserve">Foodbank, </w:t>
      </w:r>
      <w:hyperlink r:id="rId43" w:history="1">
        <w:r w:rsidR="009942AA" w:rsidRPr="00437C7B">
          <w:rPr>
            <w:rStyle w:val="Hyperlink"/>
            <w:rFonts w:ascii="Calibri" w:hAnsi="Calibri" w:cs="Calibri"/>
            <w:sz w:val="22"/>
            <w:szCs w:val="22"/>
          </w:rPr>
          <w:t>Food waste in Australia</w:t>
        </w:r>
      </w:hyperlink>
      <w:r w:rsidR="007F6C06" w:rsidRPr="00437C7B">
        <w:rPr>
          <w:rFonts w:ascii="Calibri" w:hAnsi="Calibri" w:cs="Calibri"/>
          <w:sz w:val="22"/>
          <w:szCs w:val="22"/>
        </w:rPr>
        <w:t>, Foodbank website, July 2023</w:t>
      </w:r>
      <w:r w:rsidR="00A8370F" w:rsidRPr="00437C7B">
        <w:rPr>
          <w:rFonts w:ascii="Calibri" w:hAnsi="Calibri" w:cs="Calibri"/>
          <w:sz w:val="22"/>
          <w:szCs w:val="22"/>
        </w:rPr>
        <w:t>.</w:t>
      </w:r>
    </w:p>
  </w:endnote>
  <w:endnote w:id="54">
    <w:p w14:paraId="1779DAAB" w14:textId="2C0B738C" w:rsidR="004D6FB1"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DAFF, </w:t>
      </w:r>
      <w:hyperlink r:id="rId44" w:history="1">
        <w:r w:rsidR="00FE705E" w:rsidRPr="00437C7B">
          <w:rPr>
            <w:rStyle w:val="Hyperlink"/>
            <w:rFonts w:ascii="Calibri" w:hAnsi="Calibri" w:cs="Calibri"/>
            <w:i/>
            <w:iCs/>
            <w:color w:val="auto"/>
            <w:sz w:val="22"/>
            <w:szCs w:val="22"/>
          </w:rPr>
          <w:t>Latest data on crop loss and waste reflects Australian resilience and innovation</w:t>
        </w:r>
      </w:hyperlink>
      <w:r w:rsidR="00FE705E" w:rsidRPr="00437C7B">
        <w:rPr>
          <w:rStyle w:val="Hyperlink"/>
          <w:rFonts w:ascii="Calibri" w:hAnsi="Calibri" w:cs="Calibri"/>
          <w:color w:val="auto"/>
          <w:sz w:val="22"/>
          <w:szCs w:val="22"/>
          <w:u w:val="none"/>
        </w:rPr>
        <w:t>,</w:t>
      </w:r>
      <w:r w:rsidR="00BC52D7" w:rsidRPr="00437C7B">
        <w:rPr>
          <w:rStyle w:val="Hyperlink"/>
          <w:rFonts w:ascii="Calibri" w:hAnsi="Calibri" w:cs="Calibri"/>
          <w:color w:val="auto"/>
          <w:sz w:val="22"/>
          <w:szCs w:val="22"/>
          <w:u w:val="none"/>
        </w:rPr>
        <w:t xml:space="preserve"> </w:t>
      </w:r>
      <w:r w:rsidR="008524A2" w:rsidRPr="00437C7B">
        <w:rPr>
          <w:rStyle w:val="Hyperlink"/>
          <w:rFonts w:ascii="Calibri" w:hAnsi="Calibri" w:cs="Calibri"/>
          <w:color w:val="auto"/>
          <w:sz w:val="22"/>
          <w:szCs w:val="22"/>
          <w:u w:val="none"/>
        </w:rPr>
        <w:t>[</w:t>
      </w:r>
      <w:r w:rsidR="008524A2" w:rsidRPr="00437C7B">
        <w:rPr>
          <w:rFonts w:ascii="Calibri" w:hAnsi="Calibri" w:cs="Calibri"/>
          <w:sz w:val="22"/>
          <w:szCs w:val="22"/>
        </w:rPr>
        <w:t>m</w:t>
      </w:r>
      <w:r w:rsidR="00BC2834" w:rsidRPr="00437C7B">
        <w:rPr>
          <w:rFonts w:ascii="Calibri" w:hAnsi="Calibri" w:cs="Calibri"/>
          <w:sz w:val="22"/>
          <w:szCs w:val="22"/>
        </w:rPr>
        <w:t>edia release</w:t>
      </w:r>
      <w:r w:rsidR="008524A2" w:rsidRPr="00437C7B">
        <w:rPr>
          <w:rFonts w:ascii="Calibri" w:hAnsi="Calibri" w:cs="Calibri"/>
          <w:sz w:val="22"/>
          <w:szCs w:val="22"/>
        </w:rPr>
        <w:t>]</w:t>
      </w:r>
      <w:r w:rsidR="00BC2834" w:rsidRPr="00437C7B">
        <w:rPr>
          <w:rFonts w:ascii="Calibri" w:hAnsi="Calibri" w:cs="Calibri"/>
          <w:sz w:val="22"/>
          <w:szCs w:val="22"/>
        </w:rPr>
        <w:t>, 25 June 2024</w:t>
      </w:r>
      <w:r w:rsidR="00A8370F" w:rsidRPr="00437C7B">
        <w:rPr>
          <w:rFonts w:ascii="Calibri" w:hAnsi="Calibri" w:cs="Calibri"/>
          <w:sz w:val="22"/>
          <w:szCs w:val="22"/>
        </w:rPr>
        <w:t>.</w:t>
      </w:r>
    </w:p>
  </w:endnote>
  <w:endnote w:id="55">
    <w:p w14:paraId="38C69B07" w14:textId="4A1333EE" w:rsidR="00766ACC"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2F4916" w:rsidRPr="00437C7B">
        <w:rPr>
          <w:rFonts w:ascii="Calibri" w:hAnsi="Calibri" w:cs="Calibri"/>
          <w:sz w:val="22"/>
          <w:szCs w:val="22"/>
        </w:rPr>
        <w:t xml:space="preserve">DCCEEW, </w:t>
      </w:r>
      <w:hyperlink r:id="rId45" w:history="1">
        <w:r w:rsidR="00096192" w:rsidRPr="00437C7B">
          <w:rPr>
            <w:rStyle w:val="Hyperlink"/>
            <w:rFonts w:ascii="Calibri" w:hAnsi="Calibri" w:cs="Calibri"/>
            <w:i/>
            <w:iCs/>
            <w:sz w:val="22"/>
            <w:szCs w:val="22"/>
          </w:rPr>
          <w:t>National Food Waste Strategy: Halving Australia’s food waste by 2030</w:t>
        </w:r>
      </w:hyperlink>
      <w:r w:rsidR="002F4916" w:rsidRPr="00437C7B">
        <w:rPr>
          <w:rStyle w:val="Hyperlink"/>
          <w:rFonts w:ascii="Calibri" w:hAnsi="Calibri" w:cs="Calibri"/>
          <w:sz w:val="22"/>
          <w:szCs w:val="22"/>
          <w:u w:val="none"/>
        </w:rPr>
        <w:t>,</w:t>
      </w:r>
      <w:r w:rsidR="004F477C" w:rsidRPr="00437C7B">
        <w:rPr>
          <w:rStyle w:val="Hyperlink"/>
          <w:rFonts w:ascii="Calibri" w:hAnsi="Calibri" w:cs="Calibri"/>
          <w:sz w:val="22"/>
          <w:szCs w:val="22"/>
          <w:u w:val="none"/>
        </w:rPr>
        <w:t xml:space="preserve"> </w:t>
      </w:r>
      <w:r w:rsidR="00C52571" w:rsidRPr="00437C7B">
        <w:rPr>
          <w:rStyle w:val="Hyperlink"/>
          <w:rFonts w:ascii="Calibri" w:hAnsi="Calibri" w:cs="Calibri"/>
          <w:color w:val="auto"/>
          <w:sz w:val="22"/>
          <w:szCs w:val="22"/>
          <w:u w:val="none"/>
        </w:rPr>
        <w:t>Australian Government</w:t>
      </w:r>
      <w:r w:rsidR="006545DA" w:rsidRPr="00437C7B">
        <w:rPr>
          <w:rStyle w:val="Hyperlink"/>
          <w:rFonts w:ascii="Calibri" w:hAnsi="Calibri" w:cs="Calibri"/>
          <w:color w:val="auto"/>
          <w:sz w:val="22"/>
          <w:szCs w:val="22"/>
          <w:u w:val="none"/>
        </w:rPr>
        <w:t>, 2017</w:t>
      </w:r>
      <w:r w:rsidR="002F4916" w:rsidRPr="00437C7B">
        <w:rPr>
          <w:rStyle w:val="Hyperlink"/>
          <w:rFonts w:ascii="Calibri" w:hAnsi="Calibri" w:cs="Calibri"/>
          <w:color w:val="auto"/>
          <w:sz w:val="22"/>
          <w:szCs w:val="22"/>
          <w:u w:val="none"/>
        </w:rPr>
        <w:t>.</w:t>
      </w:r>
    </w:p>
  </w:endnote>
  <w:endnote w:id="56">
    <w:p w14:paraId="36362B45" w14:textId="77777777" w:rsidR="00085F29"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0930AF" w:rsidRPr="00437C7B">
        <w:rPr>
          <w:rFonts w:ascii="Calibri" w:hAnsi="Calibri" w:cs="Calibri"/>
          <w:sz w:val="22"/>
          <w:szCs w:val="22"/>
        </w:rPr>
        <w:t>Karen Pham</w:t>
      </w:r>
      <w:r w:rsidR="00B26238" w:rsidRPr="00437C7B">
        <w:rPr>
          <w:rFonts w:ascii="Calibri" w:hAnsi="Calibri" w:cs="Calibri"/>
          <w:sz w:val="22"/>
          <w:szCs w:val="22"/>
        </w:rPr>
        <w:t xml:space="preserve">, </w:t>
      </w:r>
      <w:hyperlink r:id="rId46" w:history="1">
        <w:r w:rsidR="00A8370F" w:rsidRPr="00437C7B">
          <w:rPr>
            <w:rStyle w:val="Hyperlink"/>
            <w:rFonts w:ascii="Calibri" w:hAnsi="Calibri" w:cs="Calibri"/>
            <w:sz w:val="22"/>
            <w:szCs w:val="22"/>
          </w:rPr>
          <w:t>Offbeat Harvest leverages “imperfect” produce to solve food waste issue</w:t>
        </w:r>
      </w:hyperlink>
      <w:r w:rsidR="00B26238" w:rsidRPr="00437C7B">
        <w:rPr>
          <w:rFonts w:ascii="Calibri" w:hAnsi="Calibri" w:cs="Calibri"/>
          <w:sz w:val="22"/>
          <w:szCs w:val="22"/>
        </w:rPr>
        <w:t xml:space="preserve">, </w:t>
      </w:r>
      <w:r w:rsidR="000930AF" w:rsidRPr="00437C7B">
        <w:rPr>
          <w:rFonts w:ascii="Calibri" w:hAnsi="Calibri" w:cs="Calibri"/>
          <w:sz w:val="22"/>
          <w:szCs w:val="22"/>
        </w:rPr>
        <w:t>Inside Small Business</w:t>
      </w:r>
      <w:r w:rsidR="00A8370F" w:rsidRPr="00437C7B">
        <w:rPr>
          <w:rFonts w:ascii="Calibri" w:hAnsi="Calibri" w:cs="Calibri"/>
          <w:sz w:val="22"/>
          <w:szCs w:val="22"/>
        </w:rPr>
        <w:t xml:space="preserve"> website</w:t>
      </w:r>
      <w:r w:rsidR="00EC4280" w:rsidRPr="00437C7B">
        <w:rPr>
          <w:rFonts w:ascii="Calibri" w:hAnsi="Calibri" w:cs="Calibri"/>
          <w:sz w:val="22"/>
          <w:szCs w:val="22"/>
        </w:rPr>
        <w:t>, 19 January</w:t>
      </w:r>
      <w:r w:rsidR="00F379CF" w:rsidRPr="00437C7B">
        <w:rPr>
          <w:rFonts w:ascii="Calibri" w:hAnsi="Calibri" w:cs="Calibri"/>
          <w:sz w:val="22"/>
          <w:szCs w:val="22"/>
        </w:rPr>
        <w:t xml:space="preserve"> </w:t>
      </w:r>
      <w:r w:rsidR="00A65AB5" w:rsidRPr="00437C7B">
        <w:rPr>
          <w:rFonts w:ascii="Calibri" w:hAnsi="Calibri" w:cs="Calibri"/>
          <w:sz w:val="22"/>
          <w:szCs w:val="22"/>
        </w:rPr>
        <w:t>2024</w:t>
      </w:r>
      <w:r w:rsidR="00A8370F" w:rsidRPr="00437C7B">
        <w:rPr>
          <w:rFonts w:ascii="Calibri" w:hAnsi="Calibri" w:cs="Calibri"/>
          <w:sz w:val="22"/>
          <w:szCs w:val="22"/>
        </w:rPr>
        <w:t>.</w:t>
      </w:r>
    </w:p>
  </w:endnote>
  <w:endnote w:id="57">
    <w:p w14:paraId="5726B3BB" w14:textId="36F08A94" w:rsidR="00985C06"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6C3F75" w:rsidRPr="00437C7B">
        <w:rPr>
          <w:rFonts w:ascii="Calibri" w:hAnsi="Calibri" w:cs="Calibri"/>
          <w:sz w:val="22"/>
          <w:szCs w:val="22"/>
        </w:rPr>
        <w:t xml:space="preserve">The Australian Government </w:t>
      </w:r>
      <w:r w:rsidR="001E2552" w:rsidRPr="00437C7B">
        <w:rPr>
          <w:rFonts w:ascii="Calibri" w:hAnsi="Calibri" w:cs="Calibri"/>
          <w:sz w:val="22"/>
          <w:szCs w:val="22"/>
        </w:rPr>
        <w:t>the Treasury</w:t>
      </w:r>
      <w:r w:rsidR="00F74958" w:rsidRPr="00437C7B">
        <w:rPr>
          <w:rFonts w:ascii="Calibri" w:hAnsi="Calibri" w:cs="Calibri"/>
          <w:sz w:val="22"/>
          <w:szCs w:val="22"/>
        </w:rPr>
        <w:t xml:space="preserve">, </w:t>
      </w:r>
      <w:hyperlink r:id="rId47" w:history="1">
        <w:r w:rsidRPr="00437C7B">
          <w:rPr>
            <w:rStyle w:val="Hyperlink"/>
            <w:rFonts w:ascii="Calibri" w:hAnsi="Calibri" w:cs="Calibri"/>
            <w:sz w:val="22"/>
            <w:szCs w:val="22"/>
          </w:rPr>
          <w:t>Government response to the Independent Review of the Food and Grocery Code of Conduct</w:t>
        </w:r>
      </w:hyperlink>
      <w:r w:rsidR="00F74958" w:rsidRPr="00437C7B">
        <w:rPr>
          <w:rStyle w:val="Hyperlink"/>
          <w:rFonts w:ascii="Calibri" w:hAnsi="Calibri" w:cs="Calibri"/>
          <w:sz w:val="22"/>
          <w:szCs w:val="22"/>
        </w:rPr>
        <w:t xml:space="preserve">, </w:t>
      </w:r>
      <w:r w:rsidR="00CB18CA" w:rsidRPr="00437C7B">
        <w:rPr>
          <w:rStyle w:val="Hyperlink"/>
          <w:rFonts w:ascii="Calibri" w:hAnsi="Calibri" w:cs="Calibri"/>
          <w:color w:val="auto"/>
          <w:sz w:val="22"/>
          <w:szCs w:val="22"/>
          <w:u w:val="none"/>
        </w:rPr>
        <w:t xml:space="preserve">June </w:t>
      </w:r>
      <w:r w:rsidR="00086DAC" w:rsidRPr="00437C7B">
        <w:rPr>
          <w:rStyle w:val="Hyperlink"/>
          <w:rFonts w:ascii="Calibri" w:hAnsi="Calibri" w:cs="Calibri"/>
          <w:color w:val="auto"/>
          <w:sz w:val="22"/>
          <w:szCs w:val="22"/>
          <w:u w:val="none"/>
        </w:rPr>
        <w:t>2024.</w:t>
      </w:r>
    </w:p>
  </w:endnote>
  <w:endnote w:id="58">
    <w:p w14:paraId="02C9F995" w14:textId="66E453CB" w:rsidR="00CB2682" w:rsidRPr="00437C7B" w:rsidRDefault="004F53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8201A6" w:rsidRPr="00437C7B">
        <w:rPr>
          <w:rFonts w:ascii="Calibri" w:hAnsi="Calibri" w:cs="Calibri"/>
          <w:sz w:val="22"/>
          <w:szCs w:val="22"/>
        </w:rPr>
        <w:t>Research and Markets,</w:t>
      </w:r>
      <w:r w:rsidR="00500766" w:rsidRPr="00437C7B">
        <w:rPr>
          <w:rFonts w:ascii="Calibri" w:hAnsi="Calibri" w:cs="Calibri"/>
          <w:sz w:val="22"/>
          <w:szCs w:val="22"/>
        </w:rPr>
        <w:t xml:space="preserve"> </w:t>
      </w:r>
      <w:hyperlink r:id="rId48" w:anchor=":~:text=Global%20SAF%20production%20is%20expected,of%20the%20global%20production%20share." w:history="1">
        <w:r w:rsidR="00500766" w:rsidRPr="00437C7B">
          <w:rPr>
            <w:rStyle w:val="Hyperlink"/>
            <w:rFonts w:ascii="Calibri" w:hAnsi="Calibri" w:cs="Calibri"/>
            <w:sz w:val="22"/>
            <w:szCs w:val="22"/>
          </w:rPr>
          <w:t>Global Sustainable Aviation Fuel Outlook 2030</w:t>
        </w:r>
      </w:hyperlink>
      <w:r w:rsidR="00500766" w:rsidRPr="00437C7B">
        <w:rPr>
          <w:rFonts w:ascii="Calibri" w:hAnsi="Calibri" w:cs="Calibri"/>
          <w:color w:val="0000FF"/>
          <w:sz w:val="22"/>
          <w:szCs w:val="22"/>
          <w:u w:val="single"/>
        </w:rPr>
        <w:t>,</w:t>
      </w:r>
      <w:r w:rsidR="00500766" w:rsidRPr="00437C7B">
        <w:rPr>
          <w:rFonts w:ascii="Calibri" w:hAnsi="Calibri" w:cs="Calibri"/>
          <w:color w:val="0000FF"/>
          <w:sz w:val="22"/>
          <w:szCs w:val="22"/>
        </w:rPr>
        <w:t xml:space="preserve"> </w:t>
      </w:r>
      <w:r w:rsidR="00500766" w:rsidRPr="00437C7B">
        <w:rPr>
          <w:rFonts w:ascii="Calibri" w:hAnsi="Calibri" w:cs="Calibri"/>
          <w:sz w:val="22"/>
          <w:szCs w:val="22"/>
        </w:rPr>
        <w:t>Research and Markets</w:t>
      </w:r>
      <w:r w:rsidR="006D7DEF" w:rsidRPr="00437C7B">
        <w:rPr>
          <w:rFonts w:ascii="Calibri" w:hAnsi="Calibri" w:cs="Calibri"/>
          <w:sz w:val="22"/>
          <w:szCs w:val="22"/>
        </w:rPr>
        <w:t xml:space="preserve"> website</w:t>
      </w:r>
      <w:r w:rsidR="00500766" w:rsidRPr="00437C7B">
        <w:rPr>
          <w:rFonts w:ascii="Calibri" w:hAnsi="Calibri" w:cs="Calibri"/>
          <w:sz w:val="22"/>
          <w:szCs w:val="22"/>
        </w:rPr>
        <w:t>,</w:t>
      </w:r>
      <w:r w:rsidR="006D7DEF" w:rsidRPr="00437C7B">
        <w:rPr>
          <w:rFonts w:ascii="Calibri" w:hAnsi="Calibri" w:cs="Calibri"/>
          <w:sz w:val="22"/>
          <w:szCs w:val="22"/>
        </w:rPr>
        <w:t xml:space="preserve"> </w:t>
      </w:r>
      <w:r w:rsidR="00500766" w:rsidRPr="00437C7B">
        <w:rPr>
          <w:rFonts w:ascii="Calibri" w:hAnsi="Calibri" w:cs="Calibri"/>
          <w:sz w:val="22"/>
          <w:szCs w:val="22"/>
        </w:rPr>
        <w:t>202</w:t>
      </w:r>
      <w:r w:rsidR="005E7909" w:rsidRPr="00437C7B">
        <w:rPr>
          <w:rFonts w:ascii="Calibri" w:hAnsi="Calibri" w:cs="Calibri"/>
          <w:sz w:val="22"/>
          <w:szCs w:val="22"/>
        </w:rPr>
        <w:t>3</w:t>
      </w:r>
      <w:r w:rsidR="00500766" w:rsidRPr="00437C7B">
        <w:rPr>
          <w:rFonts w:ascii="Calibri" w:hAnsi="Calibri" w:cs="Calibri"/>
          <w:sz w:val="22"/>
          <w:szCs w:val="22"/>
        </w:rPr>
        <w:t>.</w:t>
      </w:r>
    </w:p>
  </w:endnote>
  <w:endnote w:id="59">
    <w:p w14:paraId="672B70AF" w14:textId="3247C7C1" w:rsidR="00975592" w:rsidRPr="00437C7B" w:rsidRDefault="00975592">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94457A" w:rsidRPr="00437C7B">
        <w:rPr>
          <w:rFonts w:ascii="Calibri" w:hAnsi="Calibri" w:cs="Calibri"/>
          <w:sz w:val="22"/>
          <w:szCs w:val="22"/>
        </w:rPr>
        <w:t>Boston Consulting Group and Blue Horizon Corporation</w:t>
      </w:r>
      <w:r w:rsidRPr="00437C7B">
        <w:rPr>
          <w:rFonts w:ascii="Calibri" w:hAnsi="Calibri" w:cs="Calibri"/>
          <w:sz w:val="22"/>
          <w:szCs w:val="22"/>
        </w:rPr>
        <w:t xml:space="preserve">, </w:t>
      </w:r>
      <w:hyperlink r:id="rId49" w:history="1">
        <w:r w:rsidRPr="00437C7B">
          <w:rPr>
            <w:rStyle w:val="Hyperlink"/>
            <w:rFonts w:ascii="Calibri" w:hAnsi="Calibri" w:cs="Calibri"/>
            <w:i/>
            <w:iCs/>
            <w:sz w:val="22"/>
            <w:szCs w:val="22"/>
          </w:rPr>
          <w:t>Food for Thought: The Protein Transformation</w:t>
        </w:r>
      </w:hyperlink>
      <w:r w:rsidRPr="00437C7B">
        <w:rPr>
          <w:rFonts w:ascii="Calibri" w:hAnsi="Calibri" w:cs="Calibri"/>
          <w:sz w:val="22"/>
          <w:szCs w:val="22"/>
        </w:rPr>
        <w:t>, 2021</w:t>
      </w:r>
      <w:r w:rsidR="001833FE" w:rsidRPr="00437C7B">
        <w:rPr>
          <w:rFonts w:ascii="Calibri" w:hAnsi="Calibri" w:cs="Calibri"/>
          <w:sz w:val="22"/>
          <w:szCs w:val="22"/>
        </w:rPr>
        <w:t>.</w:t>
      </w:r>
    </w:p>
  </w:endnote>
  <w:endnote w:id="60">
    <w:p w14:paraId="19788B25" w14:textId="469863D7" w:rsidR="00550254" w:rsidRPr="00437C7B" w:rsidRDefault="004F5354" w:rsidP="00550254">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Australian Small Business and Family Enterprise Ombudsman (ASBFEO), </w:t>
      </w:r>
      <w:hyperlink r:id="rId50" w:history="1">
        <w:r w:rsidRPr="00437C7B">
          <w:rPr>
            <w:rStyle w:val="Hyperlink"/>
            <w:rFonts w:ascii="Calibri" w:hAnsi="Calibri" w:cs="Calibri"/>
            <w:sz w:val="22"/>
            <w:szCs w:val="22"/>
          </w:rPr>
          <w:t>Small Business Matters June 2023</w:t>
        </w:r>
      </w:hyperlink>
      <w:r w:rsidRPr="00437C7B">
        <w:rPr>
          <w:rStyle w:val="Hyperlink"/>
          <w:rFonts w:ascii="Calibri" w:hAnsi="Calibri" w:cs="Calibri"/>
          <w:sz w:val="22"/>
          <w:szCs w:val="22"/>
          <w:u w:val="none"/>
        </w:rPr>
        <w:t xml:space="preserve">, </w:t>
      </w:r>
      <w:r w:rsidRPr="00437C7B">
        <w:rPr>
          <w:rStyle w:val="Hyperlink"/>
          <w:rFonts w:ascii="Calibri" w:hAnsi="Calibri" w:cs="Calibri"/>
          <w:color w:val="auto"/>
          <w:sz w:val="22"/>
          <w:szCs w:val="22"/>
          <w:u w:val="none"/>
        </w:rPr>
        <w:t>ASBFEO website</w:t>
      </w:r>
      <w:r w:rsidR="005058B1" w:rsidRPr="00437C7B">
        <w:rPr>
          <w:rStyle w:val="Hyperlink"/>
          <w:rFonts w:ascii="Calibri" w:hAnsi="Calibri" w:cs="Calibri"/>
          <w:color w:val="auto"/>
          <w:sz w:val="22"/>
          <w:szCs w:val="22"/>
          <w:u w:val="none"/>
        </w:rPr>
        <w:t>,</w:t>
      </w:r>
      <w:r w:rsidRPr="00437C7B">
        <w:rPr>
          <w:rStyle w:val="Hyperlink"/>
          <w:rFonts w:ascii="Calibri" w:hAnsi="Calibri" w:cs="Calibri"/>
          <w:color w:val="auto"/>
          <w:sz w:val="22"/>
          <w:szCs w:val="22"/>
          <w:u w:val="none"/>
        </w:rPr>
        <w:t xml:space="preserve"> 2024.</w:t>
      </w:r>
    </w:p>
  </w:endnote>
  <w:endnote w:id="61">
    <w:p w14:paraId="407EBEE5" w14:textId="23EFCEEB" w:rsidR="0043282F"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Municipal solid waste is defined as waste produced by households or collected by, or on behalf of, a municipal council</w:t>
      </w:r>
      <w:r w:rsidR="00796CA9" w:rsidRPr="00437C7B">
        <w:rPr>
          <w:rFonts w:ascii="Calibri" w:hAnsi="Calibri" w:cs="Calibri"/>
          <w:sz w:val="22"/>
          <w:szCs w:val="22"/>
        </w:rPr>
        <w:t>:</w:t>
      </w:r>
      <w:r w:rsidR="00B834AD" w:rsidRPr="00437C7B">
        <w:rPr>
          <w:rFonts w:ascii="Calibri" w:hAnsi="Calibri" w:cs="Calibri"/>
          <w:sz w:val="22"/>
          <w:szCs w:val="22"/>
        </w:rPr>
        <w:t xml:space="preserve"> </w:t>
      </w:r>
      <w:r w:rsidR="00CE39A0" w:rsidRPr="00437C7B">
        <w:rPr>
          <w:rFonts w:ascii="Calibri" w:hAnsi="Calibri" w:cs="Calibri"/>
          <w:sz w:val="22"/>
          <w:szCs w:val="22"/>
        </w:rPr>
        <w:t xml:space="preserve">DCCEEW, </w:t>
      </w:r>
      <w:hyperlink r:id="rId51" w:history="1">
        <w:r w:rsidR="006640DC" w:rsidRPr="00437C7B">
          <w:rPr>
            <w:rStyle w:val="Hyperlink"/>
            <w:rFonts w:ascii="Calibri" w:hAnsi="Calibri" w:cs="Calibri"/>
            <w:i/>
            <w:iCs/>
            <w:sz w:val="22"/>
            <w:szCs w:val="22"/>
          </w:rPr>
          <w:t>National Waste Report 2022</w:t>
        </w:r>
      </w:hyperlink>
      <w:r w:rsidR="00796CA9" w:rsidRPr="00437C7B">
        <w:rPr>
          <w:rFonts w:ascii="Calibri" w:hAnsi="Calibri" w:cs="Calibri"/>
          <w:sz w:val="22"/>
          <w:szCs w:val="22"/>
        </w:rPr>
        <w:t>.</w:t>
      </w:r>
    </w:p>
  </w:endnote>
  <w:endnote w:id="62">
    <w:p w14:paraId="596E275D" w14:textId="721B4547" w:rsidR="0043282F"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w:t>
      </w:r>
      <w:r w:rsidR="0008722B" w:rsidRPr="00437C7B">
        <w:rPr>
          <w:rFonts w:ascii="Calibri" w:hAnsi="Calibri" w:cs="Calibri"/>
          <w:sz w:val="22"/>
          <w:szCs w:val="22"/>
        </w:rPr>
        <w:t xml:space="preserve">WA Government </w:t>
      </w:r>
      <w:r w:rsidRPr="00437C7B">
        <w:rPr>
          <w:rFonts w:ascii="Calibri" w:hAnsi="Calibri" w:cs="Calibri"/>
          <w:sz w:val="22"/>
          <w:szCs w:val="22"/>
        </w:rPr>
        <w:t>Minerals Research Institute of WA</w:t>
      </w:r>
      <w:r w:rsidR="0008722B" w:rsidRPr="00437C7B">
        <w:rPr>
          <w:rFonts w:ascii="Calibri" w:hAnsi="Calibri" w:cs="Calibri"/>
          <w:sz w:val="22"/>
          <w:szCs w:val="22"/>
        </w:rPr>
        <w:t xml:space="preserve"> (MRIWA)</w:t>
      </w:r>
      <w:r w:rsidRPr="00437C7B">
        <w:rPr>
          <w:rFonts w:ascii="Calibri" w:hAnsi="Calibri" w:cs="Calibri"/>
          <w:sz w:val="22"/>
          <w:szCs w:val="22"/>
        </w:rPr>
        <w:t xml:space="preserve">, </w:t>
      </w:r>
      <w:hyperlink r:id="rId52" w:anchor=":~:text=The%20residual%20mineral%20fraction%20in,carbon%20capture%20(mineral%20carbonation)." w:history="1">
        <w:r w:rsidRPr="00437C7B">
          <w:rPr>
            <w:rStyle w:val="Hyperlink"/>
            <w:rFonts w:ascii="Calibri" w:hAnsi="Calibri" w:cs="Calibri"/>
            <w:sz w:val="22"/>
            <w:szCs w:val="22"/>
          </w:rPr>
          <w:t>Alternative Use of Tailings and Waste</w:t>
        </w:r>
      </w:hyperlink>
      <w:r w:rsidRPr="00437C7B">
        <w:rPr>
          <w:rFonts w:ascii="Calibri" w:hAnsi="Calibri" w:cs="Calibri"/>
          <w:sz w:val="22"/>
          <w:szCs w:val="22"/>
        </w:rPr>
        <w:t xml:space="preserve">, </w:t>
      </w:r>
      <w:r w:rsidR="00C368A8" w:rsidRPr="00437C7B">
        <w:rPr>
          <w:rFonts w:ascii="Calibri" w:hAnsi="Calibri" w:cs="Calibri"/>
          <w:sz w:val="22"/>
          <w:szCs w:val="22"/>
        </w:rPr>
        <w:t>MRI</w:t>
      </w:r>
      <w:r w:rsidR="0008722B" w:rsidRPr="00437C7B">
        <w:rPr>
          <w:rFonts w:ascii="Calibri" w:hAnsi="Calibri" w:cs="Calibri"/>
          <w:sz w:val="22"/>
          <w:szCs w:val="22"/>
        </w:rPr>
        <w:t xml:space="preserve">WA website, </w:t>
      </w:r>
      <w:r w:rsidRPr="00437C7B">
        <w:rPr>
          <w:rFonts w:ascii="Calibri" w:hAnsi="Calibri" w:cs="Calibri"/>
          <w:sz w:val="22"/>
          <w:szCs w:val="22"/>
        </w:rPr>
        <w:t>June 2024</w:t>
      </w:r>
      <w:r w:rsidR="006640DC" w:rsidRPr="00437C7B">
        <w:rPr>
          <w:rFonts w:ascii="Calibri" w:hAnsi="Calibri" w:cs="Calibri"/>
          <w:sz w:val="22"/>
          <w:szCs w:val="22"/>
        </w:rPr>
        <w:t>.</w:t>
      </w:r>
    </w:p>
  </w:endnote>
  <w:endnote w:id="63">
    <w:p w14:paraId="17ADE537" w14:textId="26DF2552" w:rsidR="00F4114F" w:rsidRPr="00437C7B" w:rsidRDefault="00F4114F">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CSIRO, </w:t>
      </w:r>
      <w:r w:rsidRPr="00437C7B">
        <w:rPr>
          <w:rFonts w:ascii="Calibri" w:hAnsi="Calibri" w:cs="Calibri"/>
          <w:i/>
          <w:iCs/>
          <w:sz w:val="22"/>
          <w:szCs w:val="22"/>
        </w:rPr>
        <w:t>Australia’s comparative and competitive advantages in transitioning to a circular economy.</w:t>
      </w:r>
    </w:p>
  </w:endnote>
  <w:endnote w:id="64">
    <w:p w14:paraId="71E90242" w14:textId="13B03333" w:rsidR="00CB023F"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Reuse/repurposing of batteries is known as ‘second life’ – for example, EV batteries can be repurposed for use in battery energy storage systems.</w:t>
      </w:r>
    </w:p>
  </w:endnote>
  <w:endnote w:id="65">
    <w:p w14:paraId="684FE3C4" w14:textId="77777777" w:rsidR="00F230BB" w:rsidRPr="00437C7B" w:rsidRDefault="00F230BB" w:rsidP="00F230BB">
      <w:pPr>
        <w:pStyle w:val="EndnoteText"/>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GeoScience Australia, </w:t>
      </w:r>
      <w:hyperlink r:id="rId53" w:history="1">
        <w:r w:rsidRPr="00437C7B">
          <w:rPr>
            <w:rStyle w:val="Hyperlink"/>
            <w:rFonts w:ascii="Calibri" w:hAnsi="Calibri" w:cs="Calibri"/>
            <w:sz w:val="22"/>
            <w:szCs w:val="22"/>
          </w:rPr>
          <w:t>A</w:t>
        </w:r>
        <w:r w:rsidRPr="00437C7B">
          <w:rPr>
            <w:rStyle w:val="Hyperlink"/>
            <w:rFonts w:ascii="Calibri" w:hAnsi="Calibri" w:cs="Calibri"/>
            <w:i/>
            <w:iCs/>
            <w:sz w:val="22"/>
            <w:szCs w:val="22"/>
          </w:rPr>
          <w:t>ustralian Mines Atlas</w:t>
        </w:r>
      </w:hyperlink>
      <w:r w:rsidRPr="00437C7B">
        <w:rPr>
          <w:rFonts w:ascii="Calibri" w:hAnsi="Calibri" w:cs="Calibri"/>
          <w:sz w:val="22"/>
          <w:szCs w:val="22"/>
        </w:rPr>
        <w:t>, GeoScience Australia website, 2024.</w:t>
      </w:r>
    </w:p>
  </w:endnote>
  <w:endnote w:id="66">
    <w:p w14:paraId="4BC60699" w14:textId="16518071" w:rsidR="00C1186F"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CEFC, </w:t>
      </w:r>
      <w:hyperlink r:id="rId54" w:history="1">
        <w:r w:rsidRPr="00437C7B">
          <w:rPr>
            <w:rStyle w:val="Hyperlink"/>
            <w:rFonts w:ascii="Calibri" w:hAnsi="Calibri" w:cs="Calibri"/>
            <w:i/>
            <w:iCs/>
            <w:sz w:val="22"/>
            <w:szCs w:val="22"/>
          </w:rPr>
          <w:t>Billion dollar recycling and resource recovery to turn trash into treasure</w:t>
        </w:r>
      </w:hyperlink>
      <w:r w:rsidRPr="00437C7B">
        <w:rPr>
          <w:rFonts w:ascii="Calibri" w:hAnsi="Calibri" w:cs="Calibri"/>
          <w:i/>
          <w:iCs/>
          <w:sz w:val="22"/>
          <w:szCs w:val="22"/>
        </w:rPr>
        <w:t>,</w:t>
      </w:r>
      <w:r w:rsidRPr="00437C7B">
        <w:rPr>
          <w:rFonts w:ascii="Calibri" w:hAnsi="Calibri" w:cs="Calibri"/>
          <w:sz w:val="22"/>
          <w:szCs w:val="22"/>
        </w:rPr>
        <w:t xml:space="preserve"> </w:t>
      </w:r>
      <w:r w:rsidR="004C3397" w:rsidRPr="00437C7B">
        <w:rPr>
          <w:rFonts w:ascii="Calibri" w:hAnsi="Calibri" w:cs="Calibri"/>
          <w:sz w:val="22"/>
          <w:szCs w:val="22"/>
        </w:rPr>
        <w:t>[m</w:t>
      </w:r>
      <w:r w:rsidR="00E6330B" w:rsidRPr="00437C7B">
        <w:rPr>
          <w:rFonts w:ascii="Calibri" w:hAnsi="Calibri" w:cs="Calibri"/>
          <w:sz w:val="22"/>
          <w:szCs w:val="22"/>
        </w:rPr>
        <w:t>edia release</w:t>
      </w:r>
      <w:r w:rsidR="00FE5B77" w:rsidRPr="00437C7B">
        <w:rPr>
          <w:rFonts w:ascii="Calibri" w:hAnsi="Calibri" w:cs="Calibri"/>
          <w:sz w:val="22"/>
          <w:szCs w:val="22"/>
        </w:rPr>
        <w:t>],</w:t>
      </w:r>
      <w:r w:rsidR="00E6330B" w:rsidRPr="00437C7B">
        <w:rPr>
          <w:rFonts w:ascii="Calibri" w:hAnsi="Calibri" w:cs="Calibri"/>
          <w:sz w:val="22"/>
          <w:szCs w:val="22"/>
        </w:rPr>
        <w:t xml:space="preserve"> </w:t>
      </w:r>
      <w:r w:rsidRPr="00437C7B">
        <w:rPr>
          <w:rFonts w:ascii="Calibri" w:hAnsi="Calibri" w:cs="Calibri"/>
          <w:sz w:val="22"/>
          <w:szCs w:val="22"/>
        </w:rPr>
        <w:t>12 May 2021</w:t>
      </w:r>
      <w:r w:rsidR="00E6330B" w:rsidRPr="00437C7B">
        <w:rPr>
          <w:rFonts w:ascii="Calibri" w:hAnsi="Calibri" w:cs="Calibri"/>
          <w:sz w:val="22"/>
          <w:szCs w:val="22"/>
        </w:rPr>
        <w:t>.</w:t>
      </w:r>
    </w:p>
  </w:endnote>
  <w:endnote w:id="67">
    <w:p w14:paraId="06F807A2" w14:textId="1BB231C7" w:rsidR="00C1186F" w:rsidRPr="00437C7B" w:rsidRDefault="004F5354" w:rsidP="000D67CD">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Encycle, </w:t>
      </w:r>
      <w:r w:rsidR="00D53D01" w:rsidRPr="00437C7B">
        <w:rPr>
          <w:rFonts w:ascii="Calibri" w:hAnsi="Calibri" w:cs="Calibri"/>
          <w:i/>
          <w:iCs/>
          <w:sz w:val="22"/>
          <w:szCs w:val="22"/>
        </w:rPr>
        <w:t>A study into commercial &amp; industrial (C&amp;I) waste and recycling in Australia by industry division</w:t>
      </w:r>
      <w:r w:rsidR="00D53D01" w:rsidRPr="00437C7B">
        <w:rPr>
          <w:rFonts w:ascii="Calibri" w:hAnsi="Calibri" w:cs="Calibri"/>
          <w:sz w:val="22"/>
          <w:szCs w:val="22"/>
        </w:rPr>
        <w:t>.</w:t>
      </w:r>
    </w:p>
  </w:endnote>
  <w:endnote w:id="68">
    <w:p w14:paraId="0B0CCB7C" w14:textId="77777777" w:rsidR="009D47C1" w:rsidRPr="00437C7B" w:rsidRDefault="009D47C1" w:rsidP="009D47C1">
      <w:pPr>
        <w:pStyle w:val="EndnoteText"/>
        <w:spacing w:after="0"/>
        <w:rPr>
          <w:rFonts w:ascii="Calibri" w:hAnsi="Calibri" w:cs="Calibri"/>
          <w:sz w:val="22"/>
          <w:szCs w:val="22"/>
        </w:rPr>
      </w:pPr>
      <w:r w:rsidRPr="00437C7B">
        <w:rPr>
          <w:rStyle w:val="EndnoteReference"/>
          <w:rFonts w:ascii="Calibri" w:hAnsi="Calibri" w:cs="Calibri"/>
          <w:sz w:val="22"/>
          <w:szCs w:val="22"/>
        </w:rPr>
        <w:endnoteRef/>
      </w:r>
      <w:r w:rsidRPr="00437C7B">
        <w:rPr>
          <w:rFonts w:ascii="Calibri" w:hAnsi="Calibri" w:cs="Calibri"/>
          <w:sz w:val="22"/>
          <w:szCs w:val="22"/>
        </w:rPr>
        <w:t xml:space="preserve"> European Commission (EC), </w:t>
      </w:r>
      <w:hyperlink r:id="rId55" w:history="1">
        <w:r w:rsidRPr="00437C7B">
          <w:rPr>
            <w:rStyle w:val="Hyperlink"/>
            <w:rFonts w:ascii="Calibri" w:hAnsi="Calibri" w:cs="Calibri"/>
            <w:sz w:val="22"/>
            <w:szCs w:val="22"/>
          </w:rPr>
          <w:t>City governments and their role in enabling a circular economy transition: An overview of urban policy levers</w:t>
        </w:r>
      </w:hyperlink>
      <w:r w:rsidRPr="00437C7B">
        <w:rPr>
          <w:rFonts w:ascii="Calibri" w:hAnsi="Calibri" w:cs="Calibri"/>
          <w:sz w:val="22"/>
          <w:szCs w:val="22"/>
        </w:rPr>
        <w:t>, EC website, 2023.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pid C1 Ligh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DBF4E" w14:textId="77777777" w:rsidR="00A03328" w:rsidRDefault="004F5354">
    <w:pPr>
      <w:pStyle w:val="Footer"/>
    </w:pPr>
    <w:r>
      <w:rPr>
        <w:noProof/>
      </w:rPr>
      <mc:AlternateContent>
        <mc:Choice Requires="wps">
          <w:drawing>
            <wp:anchor distT="0" distB="0" distL="0" distR="0" simplePos="0" relativeHeight="251658240" behindDoc="0" locked="0" layoutInCell="1" allowOverlap="1" wp14:anchorId="44406361" wp14:editId="75315DE5">
              <wp:simplePos x="0" y="0"/>
              <wp:positionH relativeFrom="page">
                <wp:align>center</wp:align>
              </wp:positionH>
              <wp:positionV relativeFrom="page">
                <wp:align>bottom</wp:align>
              </wp:positionV>
              <wp:extent cx="1331595" cy="376555"/>
              <wp:effectExtent l="0" t="0" r="1905" b="0"/>
              <wp:wrapNone/>
              <wp:docPr id="16783580" name="Text Box 11" descr="PROTECTED/CABINE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7CD6B81E"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406361" id="_x0000_t202" coordsize="21600,21600" o:spt="202" path="m,l,21600r21600,l21600,xe">
              <v:stroke joinstyle="miter"/>
              <v:path gradientshapeok="t" o:connecttype="rect"/>
            </v:shapetype>
            <v:shape id="Text Box 11" o:spid="_x0000_s1027" type="#_x0000_t202" alt="PROTECTED/CABINET" style="position:absolute;left:0;text-align:left;margin-left:0;margin-top:0;width:104.85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" filled="f" stroked="f">
              <v:textbox style="mso-fit-shape-to-text:t" inset="0,0,0,15pt">
                <w:txbxContent>
                  <w:p w14:paraId="7CD6B81E"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89DB5" w14:textId="30012473" w:rsidR="003E0475" w:rsidRPr="002D6A14" w:rsidRDefault="005D272F" w:rsidP="00074764">
    <w:pPr>
      <w:pStyle w:val="Footer"/>
      <w:rPr>
        <w:lang w:val="en-US"/>
      </w:rPr>
    </w:pPr>
    <w:r>
      <w:rPr>
        <w:lang w:val="en-US"/>
      </w:rPr>
      <w:t xml:space="preserve">Department of </w:t>
    </w:r>
    <w:r w:rsidR="008F5FBD">
      <w:rPr>
        <w:lang w:val="en-US"/>
      </w:rPr>
      <w:t>Climate Change, Energy, the Environment and Water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871F8" w14:textId="77777777" w:rsidR="00A03328" w:rsidRDefault="00A03328">
    <w:pPr>
      <w:pStyle w:val="Footer"/>
    </w:pPr>
  </w:p>
  <w:p w14:paraId="01E92086" w14:textId="77777777" w:rsidR="00A03328" w:rsidRDefault="004F5354">
    <w:pPr>
      <w:pStyle w:val="Footer"/>
      <w:spacing w:after="0" w:line="276" w:lineRule="auto"/>
      <w:rPr>
        <w:rFonts w:ascii="Arial" w:eastAsia="Arial" w:hAnsi="Arial" w:cs="Arial"/>
        <w:color w:val="000000"/>
        <w:sz w:val="18"/>
      </w:rPr>
    </w:pPr>
    <w:r>
      <w:rPr>
        <w:noProof/>
      </w:rPr>
      <mc:AlternateContent>
        <mc:Choice Requires="wps">
          <w:drawing>
            <wp:anchor distT="0" distB="0" distL="0" distR="0" simplePos="0" relativeHeight="251654144" behindDoc="0" locked="0" layoutInCell="1" allowOverlap="1" wp14:anchorId="05367835" wp14:editId="15AE4DBE">
              <wp:simplePos x="0" y="0"/>
              <wp:positionH relativeFrom="page">
                <wp:align>center</wp:align>
              </wp:positionH>
              <wp:positionV relativeFrom="page">
                <wp:align>bottom</wp:align>
              </wp:positionV>
              <wp:extent cx="1331595" cy="376555"/>
              <wp:effectExtent l="0" t="0" r="1905" b="0"/>
              <wp:wrapNone/>
              <wp:docPr id="1990980870" name="Text Box 10" descr="PROTECTED/CABINE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620003B0"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367835" id="_x0000_t202" coordsize="21600,21600" o:spt="202" path="m,l,21600r21600,l21600,xe">
              <v:stroke joinstyle="miter"/>
              <v:path gradientshapeok="t" o:connecttype="rect"/>
            </v:shapetype>
            <v:shape id="Text Box 10" o:spid="_x0000_s1029" type="#_x0000_t202" alt="PROTECTED/CABINET" style="position:absolute;left:0;text-align:left;margin-left:0;margin-top:0;width:104.85pt;height:29.65pt;z-index:2516541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" filled="f" stroked="f">
              <v:textbox style="mso-fit-shape-to-text:t" inset="0,0,0,15pt">
                <w:txbxContent>
                  <w:p w14:paraId="620003B0"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r w:rsidR="00A03328">
      <w:rPr>
        <w:rFonts w:ascii="Arial" w:eastAsia="Arial" w:hAnsi="Arial" w:cs="Arial"/>
        <w:color w:val="000000"/>
        <w:sz w:val="18"/>
      </w:rPr>
      <w:fldChar w:fldCharType="begin"/>
    </w:r>
    <w:r w:rsidR="00A03328">
      <w:rPr>
        <w:rFonts w:ascii="Arial" w:eastAsia="Arial" w:hAnsi="Arial" w:cs="Arial"/>
        <w:color w:val="000000"/>
        <w:sz w:val="18"/>
      </w:rPr>
      <w:instrText>DOCPROPERTY CABNET_PRINT_LINE</w:instrText>
    </w:r>
    <w:r w:rsidR="00A03328">
      <w:rPr>
        <w:rFonts w:ascii="Arial" w:eastAsia="Arial" w:hAnsi="Arial" w:cs="Arial"/>
        <w:color w:val="000000"/>
        <w:sz w:val="18"/>
      </w:rPr>
      <w:fldChar w:fldCharType="separate"/>
    </w:r>
    <w:r w:rsidR="00A03328">
      <w:rPr>
        <w:rFonts w:ascii="Arial" w:eastAsia="Arial" w:hAnsi="Arial" w:cs="Arial"/>
        <w:color w:val="000000"/>
        <w:sz w:val="18"/>
      </w:rPr>
      <w:t>&lt;ITEM NUMBER&gt; &lt;CABNET_USER&gt; &lt;PRINT_DATE_TIME&gt; &lt;PRINT_NUMBER&gt;</w:t>
    </w:r>
    <w:r w:rsidR="00A03328">
      <w:rPr>
        <w:rFonts w:ascii="Arial" w:eastAsia="Arial" w:hAnsi="Arial" w:cs="Arial"/>
        <w:color w:val="000000"/>
        <w:sz w:val="18"/>
      </w:rPr>
      <w:fldChar w:fldCharType="end"/>
    </w:r>
  </w:p>
  <w:p w14:paraId="67915798" w14:textId="77777777" w:rsidR="00A03328" w:rsidRDefault="004F5354">
    <w:pPr>
      <w:pStyle w:val="Footer"/>
      <w:spacing w:after="40" w:line="0" w:lineRule="atLeast"/>
      <w:rPr>
        <w:rFonts w:ascii="Arial" w:eastAsia="Arial" w:hAnsi="Arial" w:cs="Arial"/>
        <w:b/>
        <w:color w:val="FF0000"/>
        <w:sz w:val="30"/>
      </w:rPr>
    </w:pPr>
    <w:r>
      <w:rPr>
        <w:rFonts w:ascii="Arial" w:eastAsia="Arial" w:hAnsi="Arial" w:cs="Arial"/>
        <w:b/>
        <w:color w:val="FF0000"/>
        <w:sz w:val="30"/>
      </w:rPr>
      <w:fldChar w:fldCharType="begin"/>
    </w:r>
    <w:r>
      <w:rPr>
        <w:rFonts w:ascii="Arial" w:eastAsia="Arial" w:hAnsi="Arial" w:cs="Arial"/>
        <w:b/>
        <w:color w:val="FF0000"/>
        <w:sz w:val="30"/>
      </w:rPr>
      <w:instrText>DOCPROPERTY CABNET_SECURITY_CLASSIFICATION</w:instrText>
    </w:r>
    <w:r>
      <w:rPr>
        <w:rFonts w:ascii="Arial" w:eastAsia="Arial" w:hAnsi="Arial" w:cs="Arial"/>
        <w:b/>
        <w:color w:val="FF0000"/>
        <w:sz w:val="30"/>
      </w:rPr>
      <w:fldChar w:fldCharType="separate"/>
    </w:r>
    <w:r>
      <w:rPr>
        <w:rFonts w:ascii="Arial" w:eastAsia="Arial" w:hAnsi="Arial" w:cs="Arial"/>
        <w:b/>
        <w:color w:val="FF0000"/>
        <w:sz w:val="30"/>
      </w:rPr>
      <w:t>PROTECTED CABINET</w:t>
    </w:r>
    <w:r>
      <w:rPr>
        <w:rFonts w:ascii="Arial" w:eastAsia="Arial" w:hAnsi="Arial" w:cs="Arial"/>
        <w:b/>
        <w:color w:val="FF0000"/>
        <w:sz w:val="3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7184D" w14:textId="77777777" w:rsidR="00A03328" w:rsidRDefault="004F5354">
    <w:pPr>
      <w:pStyle w:val="Footer"/>
    </w:pPr>
    <w:r>
      <w:rPr>
        <w:noProof/>
      </w:rPr>
      <mc:AlternateContent>
        <mc:Choice Requires="wps">
          <w:drawing>
            <wp:anchor distT="0" distB="0" distL="0" distR="0" simplePos="0" relativeHeight="251657216" behindDoc="0" locked="0" layoutInCell="1" allowOverlap="1" wp14:anchorId="590AD5E3" wp14:editId="0FBC4993">
              <wp:simplePos x="0" y="0"/>
              <wp:positionH relativeFrom="page">
                <wp:align>center</wp:align>
              </wp:positionH>
              <wp:positionV relativeFrom="page">
                <wp:align>bottom</wp:align>
              </wp:positionV>
              <wp:extent cx="1331595" cy="376555"/>
              <wp:effectExtent l="0" t="0" r="1905" b="0"/>
              <wp:wrapNone/>
              <wp:docPr id="1752322795" name="Text Box 14" descr="PROTECTED/CABINE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2A86E77E"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0AD5E3" id="_x0000_t202" coordsize="21600,21600" o:spt="202" path="m,l,21600r21600,l21600,xe">
              <v:stroke joinstyle="miter"/>
              <v:path gradientshapeok="t" o:connecttype="rect"/>
            </v:shapetype>
            <v:shape id="Text Box 14" o:spid="_x0000_s1031" type="#_x0000_t202" alt="PROTECTED/CABINET" style="position:absolute;left:0;text-align:left;margin-left:0;margin-top:0;width:104.85pt;height:29.6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" filled="f" stroked="f">
              <v:textbox style="mso-fit-shape-to-text:t" inset="0,0,0,15pt">
                <w:txbxContent>
                  <w:p w14:paraId="2A86E77E"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9F38C" w14:textId="77777777" w:rsidR="00B861B4" w:rsidRPr="00FE1C63" w:rsidRDefault="00B861B4" w:rsidP="00A118DE">
    <w:pPr>
      <w:pStyle w:val="Footer"/>
      <w:rPr>
        <w:sz w:val="14"/>
        <w:szCs w:val="14"/>
      </w:rPr>
    </w:pPr>
  </w:p>
  <w:p w14:paraId="3F981704" w14:textId="77777777" w:rsidR="00CA6CC8" w:rsidRPr="002D6A14" w:rsidRDefault="00CA6CC8" w:rsidP="00CA6CC8">
    <w:pPr>
      <w:pStyle w:val="Footer"/>
      <w:rPr>
        <w:lang w:val="en-US"/>
      </w:rPr>
    </w:pPr>
    <w:r>
      <w:rPr>
        <w:lang w:val="en-US"/>
      </w:rPr>
      <w:t>Department of Climate Change, Energy, the Environment and Water</w:t>
    </w:r>
  </w:p>
  <w:p w14:paraId="30450906" w14:textId="4EC390D5" w:rsidR="003E0475" w:rsidRPr="004032F3" w:rsidRDefault="003E0475" w:rsidP="00B63C56">
    <w:pPr>
      <w:pStyle w:val="Footer"/>
      <w:spacing w:after="0" w:line="276" w:lineRule="auto"/>
      <w:rPr>
        <w:rFonts w:ascii="Arial" w:eastAsia="Arial" w:hAnsi="Arial" w:cs="Arial"/>
        <w:bCs/>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64CD8" w14:textId="77777777" w:rsidR="00A03328" w:rsidRDefault="00A03328">
    <w:pPr>
      <w:pStyle w:val="Footer"/>
    </w:pPr>
  </w:p>
  <w:p w14:paraId="1E2EDFB3" w14:textId="77777777" w:rsidR="00A03328" w:rsidRDefault="004F5354">
    <w:pPr>
      <w:pStyle w:val="Footer"/>
      <w:spacing w:after="0" w:line="276" w:lineRule="auto"/>
      <w:rPr>
        <w:rFonts w:ascii="Arial" w:eastAsia="Arial" w:hAnsi="Arial" w:cs="Arial"/>
        <w:color w:val="000000"/>
        <w:sz w:val="18"/>
      </w:rPr>
    </w:pPr>
    <w:r>
      <w:rPr>
        <w:noProof/>
      </w:rPr>
      <mc:AlternateContent>
        <mc:Choice Requires="wps">
          <w:drawing>
            <wp:anchor distT="0" distB="0" distL="0" distR="0" simplePos="0" relativeHeight="251655168" behindDoc="0" locked="0" layoutInCell="1" allowOverlap="1" wp14:anchorId="4F7053E7" wp14:editId="234FA102">
              <wp:simplePos x="0" y="0"/>
              <wp:positionH relativeFrom="page">
                <wp:align>center</wp:align>
              </wp:positionH>
              <wp:positionV relativeFrom="page">
                <wp:align>bottom</wp:align>
              </wp:positionV>
              <wp:extent cx="1331595" cy="376555"/>
              <wp:effectExtent l="0" t="0" r="1905" b="0"/>
              <wp:wrapNone/>
              <wp:docPr id="1325887974" name="Text Box 13" descr="PROTECTED/CABINET">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33908869"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7053E7" id="_x0000_t202" coordsize="21600,21600" o:spt="202" path="m,l,21600r21600,l21600,xe">
              <v:stroke joinstyle="miter"/>
              <v:path gradientshapeok="t" o:connecttype="rect"/>
            </v:shapetype>
            <v:shape id="Text Box 13" o:spid="_x0000_s1033" type="#_x0000_t202" alt="PROTECTED/CABINET" style="position:absolute;left:0;text-align:left;margin-left:0;margin-top:0;width:104.85pt;height:29.65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" filled="f" stroked="f">
              <v:textbox style="mso-fit-shape-to-text:t" inset="0,0,0,15pt">
                <w:txbxContent>
                  <w:p w14:paraId="33908869"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r w:rsidR="00A03328">
      <w:rPr>
        <w:rFonts w:ascii="Arial" w:eastAsia="Arial" w:hAnsi="Arial" w:cs="Arial"/>
        <w:color w:val="000000"/>
        <w:sz w:val="18"/>
      </w:rPr>
      <w:fldChar w:fldCharType="begin"/>
    </w:r>
    <w:r w:rsidR="00A03328">
      <w:rPr>
        <w:rFonts w:ascii="Arial" w:eastAsia="Arial" w:hAnsi="Arial" w:cs="Arial"/>
        <w:color w:val="000000"/>
        <w:sz w:val="18"/>
      </w:rPr>
      <w:instrText>DOCPROPERTY CABNET_PRINT_LINE</w:instrText>
    </w:r>
    <w:r w:rsidR="00A03328">
      <w:rPr>
        <w:rFonts w:ascii="Arial" w:eastAsia="Arial" w:hAnsi="Arial" w:cs="Arial"/>
        <w:color w:val="000000"/>
        <w:sz w:val="18"/>
      </w:rPr>
      <w:fldChar w:fldCharType="separate"/>
    </w:r>
    <w:r w:rsidR="00A03328">
      <w:rPr>
        <w:rFonts w:ascii="Arial" w:eastAsia="Arial" w:hAnsi="Arial" w:cs="Arial"/>
        <w:color w:val="000000"/>
        <w:sz w:val="18"/>
      </w:rPr>
      <w:t>&lt;ITEM NUMBER&gt; &lt;CABNET_USER&gt; &lt;PRINT_DATE_TIME&gt; &lt;PRINT_NUMBER&gt;</w:t>
    </w:r>
    <w:r w:rsidR="00A03328">
      <w:rPr>
        <w:rFonts w:ascii="Arial" w:eastAsia="Arial" w:hAnsi="Arial" w:cs="Arial"/>
        <w:color w:val="000000"/>
        <w:sz w:val="18"/>
      </w:rPr>
      <w:fldChar w:fldCharType="end"/>
    </w:r>
  </w:p>
  <w:p w14:paraId="074898B8" w14:textId="77777777" w:rsidR="00A03328" w:rsidRDefault="004F5354">
    <w:pPr>
      <w:pStyle w:val="Footer"/>
      <w:spacing w:after="40" w:line="0" w:lineRule="atLeast"/>
      <w:rPr>
        <w:rFonts w:ascii="Arial" w:eastAsia="Arial" w:hAnsi="Arial" w:cs="Arial"/>
        <w:b/>
        <w:color w:val="FF0000"/>
        <w:sz w:val="30"/>
      </w:rPr>
    </w:pPr>
    <w:r>
      <w:rPr>
        <w:rFonts w:ascii="Arial" w:eastAsia="Arial" w:hAnsi="Arial" w:cs="Arial"/>
        <w:b/>
        <w:color w:val="FF0000"/>
        <w:sz w:val="30"/>
      </w:rPr>
      <w:fldChar w:fldCharType="begin"/>
    </w:r>
    <w:r>
      <w:rPr>
        <w:rFonts w:ascii="Arial" w:eastAsia="Arial" w:hAnsi="Arial" w:cs="Arial"/>
        <w:b/>
        <w:color w:val="FF0000"/>
        <w:sz w:val="30"/>
      </w:rPr>
      <w:instrText>DOCPROPERTY CABNET_SECURITY_CLASSIFICATION</w:instrText>
    </w:r>
    <w:r>
      <w:rPr>
        <w:rFonts w:ascii="Arial" w:eastAsia="Arial" w:hAnsi="Arial" w:cs="Arial"/>
        <w:b/>
        <w:color w:val="FF0000"/>
        <w:sz w:val="30"/>
      </w:rPr>
      <w:fldChar w:fldCharType="separate"/>
    </w:r>
    <w:r>
      <w:rPr>
        <w:rFonts w:ascii="Arial" w:eastAsia="Arial" w:hAnsi="Arial" w:cs="Arial"/>
        <w:b/>
        <w:color w:val="FF0000"/>
        <w:sz w:val="30"/>
      </w:rPr>
      <w:t>PROTECTED CABINET</w:t>
    </w:r>
    <w:r>
      <w:rPr>
        <w:rFonts w:ascii="Arial" w:eastAsia="Arial" w:hAnsi="Arial" w:cs="Arial"/>
        <w:b/>
        <w:color w:val="FF0000"/>
        <w:sz w:val="3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F94C0" w14:textId="77777777" w:rsidR="00782C0B" w:rsidRDefault="00782C0B">
      <w:r>
        <w:separator/>
      </w:r>
    </w:p>
  </w:footnote>
  <w:footnote w:type="continuationSeparator" w:id="0">
    <w:p w14:paraId="66996775" w14:textId="77777777" w:rsidR="00782C0B" w:rsidRDefault="00782C0B">
      <w:r>
        <w:continuationSeparator/>
      </w:r>
    </w:p>
    <w:p w14:paraId="2622D7AF" w14:textId="77777777" w:rsidR="00782C0B" w:rsidRDefault="00782C0B"/>
    <w:p w14:paraId="21B928CC" w14:textId="77777777" w:rsidR="00782C0B" w:rsidRDefault="00782C0B"/>
  </w:footnote>
  <w:footnote w:type="continuationNotice" w:id="1">
    <w:p w14:paraId="6BF33A4C" w14:textId="77777777" w:rsidR="00782C0B" w:rsidRDefault="00782C0B">
      <w:pPr>
        <w:pStyle w:val="Footer"/>
      </w:pPr>
    </w:p>
    <w:p w14:paraId="6D107476" w14:textId="77777777" w:rsidR="00782C0B" w:rsidRDefault="00782C0B"/>
    <w:p w14:paraId="2B50C0A4" w14:textId="77777777" w:rsidR="00782C0B" w:rsidRDefault="00782C0B"/>
  </w:footnote>
  <w:footnote w:id="2">
    <w:p w14:paraId="40E08645" w14:textId="77777777" w:rsidR="00703C48" w:rsidRPr="00CF3CAC" w:rsidRDefault="004F5354">
      <w:pPr>
        <w:pStyle w:val="FootnoteText"/>
        <w:rPr>
          <w:sz w:val="16"/>
          <w:szCs w:val="16"/>
        </w:rPr>
      </w:pPr>
      <w:r w:rsidRPr="00703C48">
        <w:rPr>
          <w:rStyle w:val="FootnoteReference"/>
          <w:sz w:val="16"/>
          <w:szCs w:val="16"/>
        </w:rPr>
        <w:footnoteRef/>
      </w:r>
      <w:r w:rsidRPr="00703C48">
        <w:rPr>
          <w:sz w:val="16"/>
          <w:szCs w:val="16"/>
        </w:rPr>
        <w:t xml:space="preserve"> Versus </w:t>
      </w:r>
      <w:r w:rsidR="00E42CE7" w:rsidRPr="00703C48">
        <w:rPr>
          <w:sz w:val="16"/>
          <w:szCs w:val="16"/>
        </w:rPr>
        <w:t>202</w:t>
      </w:r>
      <w:r w:rsidR="00E42CE7">
        <w:rPr>
          <w:sz w:val="16"/>
          <w:szCs w:val="16"/>
        </w:rPr>
        <w:t>4</w:t>
      </w:r>
      <w:r w:rsidR="00E42CE7" w:rsidRPr="00703C48">
        <w:rPr>
          <w:sz w:val="16"/>
          <w:szCs w:val="16"/>
        </w:rPr>
        <w:t xml:space="preserve"> </w:t>
      </w:r>
      <w:r w:rsidRPr="00703C48">
        <w:rPr>
          <w:sz w:val="16"/>
          <w:szCs w:val="16"/>
        </w:rPr>
        <w:t>levels</w:t>
      </w:r>
      <w:r>
        <w:rPr>
          <w:sz w:val="16"/>
          <w:szCs w:val="16"/>
        </w:rPr>
        <w:t xml:space="preserve"> and on a </w:t>
      </w:r>
      <w:r w:rsidRPr="00703C48">
        <w:rPr>
          <w:sz w:val="16"/>
          <w:szCs w:val="16"/>
        </w:rPr>
        <w:t>per capita</w:t>
      </w:r>
      <w:r>
        <w:rPr>
          <w:sz w:val="16"/>
          <w:szCs w:val="16"/>
        </w:rPr>
        <w:t xml:space="preserve"> basis</w:t>
      </w:r>
      <w:r w:rsidR="00F94C37">
        <w:rPr>
          <w:sz w:val="16"/>
          <w:szCs w:val="16"/>
        </w:rPr>
        <w:t>.</w:t>
      </w:r>
    </w:p>
  </w:footnote>
  <w:footnote w:id="3">
    <w:p w14:paraId="008BD5EB" w14:textId="77777777" w:rsidR="00703C48" w:rsidRPr="00CF3CAC" w:rsidRDefault="004F5354">
      <w:pPr>
        <w:pStyle w:val="FootnoteText"/>
        <w:rPr>
          <w:sz w:val="16"/>
          <w:szCs w:val="16"/>
        </w:rPr>
      </w:pPr>
      <w:r w:rsidRPr="00417ED8">
        <w:rPr>
          <w:rStyle w:val="FootnoteReference"/>
          <w:sz w:val="16"/>
          <w:szCs w:val="16"/>
        </w:rPr>
        <w:footnoteRef/>
      </w:r>
      <w:r w:rsidRPr="00417ED8">
        <w:rPr>
          <w:sz w:val="16"/>
          <w:szCs w:val="16"/>
        </w:rPr>
        <w:t xml:space="preserve"> </w:t>
      </w:r>
      <w:r w:rsidR="00F03EAD" w:rsidRPr="00417ED8">
        <w:rPr>
          <w:sz w:val="16"/>
          <w:szCs w:val="16"/>
        </w:rPr>
        <w:t>Versus 202</w:t>
      </w:r>
      <w:r w:rsidR="00417ED8" w:rsidRPr="00417ED8">
        <w:rPr>
          <w:sz w:val="16"/>
          <w:szCs w:val="16"/>
        </w:rPr>
        <w:t>4</w:t>
      </w:r>
      <w:r w:rsidR="00F03EAD" w:rsidRPr="00417ED8">
        <w:rPr>
          <w:sz w:val="16"/>
          <w:szCs w:val="16"/>
        </w:rPr>
        <w:t xml:space="preserve"> levels and on a per capita basis</w:t>
      </w:r>
      <w:r w:rsidR="00F94C37" w:rsidRPr="00417ED8">
        <w:rPr>
          <w:sz w:val="16"/>
          <w:szCs w:val="16"/>
        </w:rPr>
        <w:t>.</w:t>
      </w:r>
    </w:p>
  </w:footnote>
  <w:footnote w:id="4">
    <w:p w14:paraId="0F9A4B7A" w14:textId="2A91D89C" w:rsidR="00417ED8" w:rsidRDefault="004F5354">
      <w:pPr>
        <w:pStyle w:val="FootnoteText"/>
      </w:pPr>
      <w:r w:rsidRPr="00CF3CAC">
        <w:rPr>
          <w:rStyle w:val="FootnoteReference"/>
          <w:sz w:val="16"/>
          <w:szCs w:val="16"/>
        </w:rPr>
        <w:footnoteRef/>
      </w:r>
      <w:r w:rsidRPr="00CF3CAC">
        <w:rPr>
          <w:sz w:val="16"/>
          <w:szCs w:val="16"/>
        </w:rPr>
        <w:t xml:space="preserve"> By 2030</w:t>
      </w:r>
      <w:r w:rsidR="00030B01">
        <w:rPr>
          <w:sz w:val="16"/>
          <w:szCs w:val="16"/>
        </w:rPr>
        <w:t xml:space="preserve"> </w:t>
      </w:r>
      <w:r w:rsidR="00FA2C16">
        <w:rPr>
          <w:sz w:val="16"/>
          <w:szCs w:val="16"/>
        </w:rPr>
        <w:t>–</w:t>
      </w:r>
      <w:r w:rsidRPr="00CF3CAC">
        <w:rPr>
          <w:sz w:val="16"/>
          <w:szCs w:val="16"/>
        </w:rPr>
        <w:t xml:space="preserve"> reflecting the target set in the National Waste Policy Action Plan</w:t>
      </w:r>
      <w:r w:rsidR="002307F0">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690957" w14:textId="77777777" w:rsidR="00D03F16" w:rsidRDefault="004F5354">
    <w:pPr>
      <w:pStyle w:val="Header"/>
    </w:pPr>
    <w:r>
      <w:rPr>
        <w:noProof/>
        <w:color w:val="2B579A"/>
      </w:rPr>
      <mc:AlternateContent>
        <mc:Choice Requires="wps">
          <w:drawing>
            <wp:anchor distT="0" distB="0" distL="0" distR="0" simplePos="0" relativeHeight="251661312" behindDoc="0" locked="0" layoutInCell="1" allowOverlap="1" wp14:anchorId="24DB4C49" wp14:editId="0C0A3FED">
              <wp:simplePos x="0" y="0"/>
              <wp:positionH relativeFrom="page">
                <wp:align>center</wp:align>
              </wp:positionH>
              <wp:positionV relativeFrom="page">
                <wp:align>top</wp:align>
              </wp:positionV>
              <wp:extent cx="1331595" cy="376555"/>
              <wp:effectExtent l="0" t="0" r="1905" b="4445"/>
              <wp:wrapNone/>
              <wp:docPr id="86909744" name="Text Box 5" descr="PROTECTED/CABINE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7887599D"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DB4C49" id="_x0000_t202" coordsize="21600,21600" o:spt="202" path="m,l,21600r21600,l21600,xe">
              <v:stroke joinstyle="miter"/>
              <v:path gradientshapeok="t" o:connecttype="rect"/>
            </v:shapetype>
            <v:shape id="Text Box 5" o:spid="_x0000_s1026" type="#_x0000_t202" alt="PROTECTED/CABINET" style="position:absolute;left:0;text-align:left;margin-left:0;margin-top:0;width:104.8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" filled="f" stroked="f">
              <v:textbox style="mso-fit-shape-to-text:t" inset="0,15pt,0,0">
                <w:txbxContent>
                  <w:p w14:paraId="7887599D"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8D066" w14:textId="1D9CC4E3" w:rsidR="00485A66" w:rsidRDefault="002D6A14">
    <w:pPr>
      <w:pStyle w:val="Header"/>
    </w:pPr>
    <w:r>
      <w:t>Australia’s Circular Economy Framework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BE414" w14:textId="77777777" w:rsidR="00D03F16" w:rsidRDefault="004F5354">
    <w:pPr>
      <w:pStyle w:val="Header"/>
    </w:pPr>
    <w:r>
      <w:rPr>
        <w:noProof/>
        <w:color w:val="2B579A"/>
      </w:rPr>
      <mc:AlternateContent>
        <mc:Choice Requires="wps">
          <w:drawing>
            <wp:anchor distT="0" distB="0" distL="0" distR="0" simplePos="0" relativeHeight="251653120" behindDoc="0" locked="0" layoutInCell="1" allowOverlap="1" wp14:anchorId="01EC1C59" wp14:editId="5A082313">
              <wp:simplePos x="0" y="0"/>
              <wp:positionH relativeFrom="page">
                <wp:align>center</wp:align>
              </wp:positionH>
              <wp:positionV relativeFrom="page">
                <wp:align>top</wp:align>
              </wp:positionV>
              <wp:extent cx="1331595" cy="376555"/>
              <wp:effectExtent l="0" t="0" r="1905" b="4445"/>
              <wp:wrapNone/>
              <wp:docPr id="1065810202" name="Text Box 4" descr="PROTECTED/CABINE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59A369FD"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EC1C59" id="_x0000_t202" coordsize="21600,21600" o:spt="202" path="m,l,21600r21600,l21600,xe">
              <v:stroke joinstyle="miter"/>
              <v:path gradientshapeok="t" o:connecttype="rect"/>
            </v:shapetype>
            <v:shape id="Text Box 4" o:spid="_x0000_s1028" type="#_x0000_t202" alt="PROTECTED/CABINET" style="position:absolute;left:0;text-align:left;margin-left:0;margin-top:0;width:104.85pt;height:29.65pt;z-index:251653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" filled="f" stroked="f">
              <v:textbox style="mso-fit-shape-to-text:t" inset="0,15pt,0,0">
                <w:txbxContent>
                  <w:p w14:paraId="59A369FD"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F38972" w14:textId="77777777" w:rsidR="00737112" w:rsidRDefault="004F5354">
    <w:pPr>
      <w:pStyle w:val="Header"/>
    </w:pPr>
    <w:r>
      <w:rPr>
        <w:noProof/>
        <w:color w:val="2B579A"/>
      </w:rPr>
      <mc:AlternateContent>
        <mc:Choice Requires="wps">
          <w:drawing>
            <wp:anchor distT="0" distB="0" distL="0" distR="0" simplePos="0" relativeHeight="251659264" behindDoc="0" locked="0" layoutInCell="1" allowOverlap="1" wp14:anchorId="5AE9263F" wp14:editId="3D6D2FE1">
              <wp:simplePos x="0" y="0"/>
              <wp:positionH relativeFrom="page">
                <wp:align>center</wp:align>
              </wp:positionH>
              <wp:positionV relativeFrom="page">
                <wp:align>top</wp:align>
              </wp:positionV>
              <wp:extent cx="1331595" cy="376555"/>
              <wp:effectExtent l="0" t="0" r="1905" b="4445"/>
              <wp:wrapNone/>
              <wp:docPr id="1658161161" name="Text Box 8" descr="PROTECTED/CABINE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7F2D5087"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E9263F" id="_x0000_t202" coordsize="21600,21600" o:spt="202" path="m,l,21600r21600,l21600,xe">
              <v:stroke joinstyle="miter"/>
              <v:path gradientshapeok="t" o:connecttype="rect"/>
            </v:shapetype>
            <v:shape id="Text Box 8" o:spid="_x0000_s1030" type="#_x0000_t202" alt="PROTECTED/CABINET" style="position:absolute;left:0;text-align:left;margin-left:0;margin-top:0;width:104.8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" filled="f" stroked="f">
              <v:textbox style="mso-fit-shape-to-text:t" inset="0,15pt,0,0">
                <w:txbxContent>
                  <w:p w14:paraId="7F2D5087"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4E7CB" w14:textId="77777777" w:rsidR="00CA6CC8" w:rsidRDefault="00CA6CC8">
    <w:pPr>
      <w:pStyle w:val="Header"/>
    </w:pPr>
  </w:p>
  <w:p w14:paraId="22F49E6C" w14:textId="1D6E6928" w:rsidR="00CA6CC8" w:rsidRDefault="00CA6CC8">
    <w:pPr>
      <w:pStyle w:val="Header"/>
      <w:rPr>
        <w:noProof/>
        <w:color w:val="2B579A"/>
      </w:rPr>
    </w:pPr>
    <w:r>
      <w:t>Australia’s Circular Economy Framework</w:t>
    </w:r>
    <w:r>
      <w:rPr>
        <w:noProof/>
        <w:color w:val="2B579A"/>
      </w:rPr>
      <w:t xml:space="preserve"> </w:t>
    </w:r>
  </w:p>
  <w:p w14:paraId="0D897F3E" w14:textId="288D61E8" w:rsidR="00B861B4" w:rsidRDefault="00B861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F0103" w14:textId="77777777" w:rsidR="00B861B4" w:rsidRDefault="004F5354" w:rsidP="00823DED">
    <w:pPr>
      <w:pStyle w:val="Header"/>
    </w:pPr>
    <w:r>
      <w:rPr>
        <w:noProof/>
        <w:color w:val="2B579A"/>
      </w:rPr>
      <mc:AlternateContent>
        <mc:Choice Requires="wps">
          <w:drawing>
            <wp:anchor distT="0" distB="0" distL="0" distR="0" simplePos="0" relativeHeight="251656192" behindDoc="0" locked="0" layoutInCell="1" allowOverlap="1" wp14:anchorId="455F334A" wp14:editId="703F8222">
              <wp:simplePos x="0" y="0"/>
              <wp:positionH relativeFrom="page">
                <wp:align>center</wp:align>
              </wp:positionH>
              <wp:positionV relativeFrom="page">
                <wp:align>top</wp:align>
              </wp:positionV>
              <wp:extent cx="1331595" cy="376555"/>
              <wp:effectExtent l="0" t="0" r="1905" b="4445"/>
              <wp:wrapNone/>
              <wp:docPr id="681510471" name="Text Box 7" descr="PROTECTED/CABINE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31595" cy="376555"/>
                      </a:xfrm>
                      <a:prstGeom prst="rect">
                        <a:avLst/>
                      </a:prstGeom>
                      <a:noFill/>
                      <a:ln>
                        <a:noFill/>
                      </a:ln>
                    </wps:spPr>
                    <wps:txbx>
                      <w:txbxContent>
                        <w:p w14:paraId="7E6E2307"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5F334A" id="_x0000_t202" coordsize="21600,21600" o:spt="202" path="m,l,21600r21600,l21600,xe">
              <v:stroke joinstyle="miter"/>
              <v:path gradientshapeok="t" o:connecttype="rect"/>
            </v:shapetype>
            <v:shape id="Text Box 7" o:spid="_x0000_s1032" type="#_x0000_t202" alt="PROTECTED/CABINET" style="position:absolute;left:0;text-align:left;margin-left:0;margin-top:0;width:104.85pt;height:29.6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" filled="f" stroked="f">
              <v:textbox style="mso-fit-shape-to-text:t" inset="0,15pt,0,0">
                <w:txbxContent>
                  <w:p w14:paraId="7E6E2307" w14:textId="77777777" w:rsidR="005259FE" w:rsidRPr="005259FE" w:rsidRDefault="004F5354" w:rsidP="005259FE">
                    <w:pPr>
                      <w:spacing w:after="0"/>
                      <w:rPr>
                        <w:rFonts w:ascii="Calibri" w:eastAsia="Calibri" w:hAnsi="Calibri" w:cs="Calibri"/>
                        <w:noProof/>
                        <w:color w:val="FF0000"/>
                        <w:sz w:val="24"/>
                        <w:szCs w:val="24"/>
                      </w:rPr>
                    </w:pPr>
                    <w:r w:rsidRPr="005259FE">
                      <w:rPr>
                        <w:rFonts w:ascii="Calibri" w:eastAsia="Calibri" w:hAnsi="Calibri" w:cs="Calibri"/>
                        <w:noProof/>
                        <w:color w:val="FF0000"/>
                        <w:sz w:val="24"/>
                        <w:szCs w:val="24"/>
                      </w:rPr>
                      <w:t>PROTECTED/CABINET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507C1E1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A28B3A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2056DAA"/>
    <w:multiLevelType w:val="hybridMultilevel"/>
    <w:tmpl w:val="C5CCCECC"/>
    <w:lvl w:ilvl="0" w:tplc="2FC0571A">
      <w:start w:val="1"/>
      <w:numFmt w:val="bullet"/>
      <w:pStyle w:val="TableBullet2"/>
      <w:lvlText w:val=""/>
      <w:lvlJc w:val="left"/>
      <w:pPr>
        <w:ind w:left="1004" w:hanging="360"/>
      </w:pPr>
      <w:rPr>
        <w:rFonts w:ascii="Symbol" w:hAnsi="Symbol" w:hint="default"/>
      </w:rPr>
    </w:lvl>
    <w:lvl w:ilvl="1" w:tplc="0A46A04C" w:tentative="1">
      <w:start w:val="1"/>
      <w:numFmt w:val="bullet"/>
      <w:lvlText w:val="o"/>
      <w:lvlJc w:val="left"/>
      <w:pPr>
        <w:ind w:left="1724" w:hanging="360"/>
      </w:pPr>
      <w:rPr>
        <w:rFonts w:ascii="Courier New" w:hAnsi="Courier New" w:cs="Courier New" w:hint="default"/>
      </w:rPr>
    </w:lvl>
    <w:lvl w:ilvl="2" w:tplc="1E865C7E" w:tentative="1">
      <w:start w:val="1"/>
      <w:numFmt w:val="bullet"/>
      <w:lvlText w:val=""/>
      <w:lvlJc w:val="left"/>
      <w:pPr>
        <w:ind w:left="2444" w:hanging="360"/>
      </w:pPr>
      <w:rPr>
        <w:rFonts w:ascii="Wingdings" w:hAnsi="Wingdings" w:hint="default"/>
      </w:rPr>
    </w:lvl>
    <w:lvl w:ilvl="3" w:tplc="D16CD2CC" w:tentative="1">
      <w:start w:val="1"/>
      <w:numFmt w:val="bullet"/>
      <w:lvlText w:val=""/>
      <w:lvlJc w:val="left"/>
      <w:pPr>
        <w:ind w:left="3164" w:hanging="360"/>
      </w:pPr>
      <w:rPr>
        <w:rFonts w:ascii="Symbol" w:hAnsi="Symbol" w:hint="default"/>
      </w:rPr>
    </w:lvl>
    <w:lvl w:ilvl="4" w:tplc="54D61E2A" w:tentative="1">
      <w:start w:val="1"/>
      <w:numFmt w:val="bullet"/>
      <w:lvlText w:val="o"/>
      <w:lvlJc w:val="left"/>
      <w:pPr>
        <w:ind w:left="3884" w:hanging="360"/>
      </w:pPr>
      <w:rPr>
        <w:rFonts w:ascii="Courier New" w:hAnsi="Courier New" w:cs="Courier New" w:hint="default"/>
      </w:rPr>
    </w:lvl>
    <w:lvl w:ilvl="5" w:tplc="953A564C" w:tentative="1">
      <w:start w:val="1"/>
      <w:numFmt w:val="bullet"/>
      <w:lvlText w:val=""/>
      <w:lvlJc w:val="left"/>
      <w:pPr>
        <w:ind w:left="4604" w:hanging="360"/>
      </w:pPr>
      <w:rPr>
        <w:rFonts w:ascii="Wingdings" w:hAnsi="Wingdings" w:hint="default"/>
      </w:rPr>
    </w:lvl>
    <w:lvl w:ilvl="6" w:tplc="F74CEA3A" w:tentative="1">
      <w:start w:val="1"/>
      <w:numFmt w:val="bullet"/>
      <w:lvlText w:val=""/>
      <w:lvlJc w:val="left"/>
      <w:pPr>
        <w:ind w:left="5324" w:hanging="360"/>
      </w:pPr>
      <w:rPr>
        <w:rFonts w:ascii="Symbol" w:hAnsi="Symbol" w:hint="default"/>
      </w:rPr>
    </w:lvl>
    <w:lvl w:ilvl="7" w:tplc="69B0246C" w:tentative="1">
      <w:start w:val="1"/>
      <w:numFmt w:val="bullet"/>
      <w:lvlText w:val="o"/>
      <w:lvlJc w:val="left"/>
      <w:pPr>
        <w:ind w:left="6044" w:hanging="360"/>
      </w:pPr>
      <w:rPr>
        <w:rFonts w:ascii="Courier New" w:hAnsi="Courier New" w:cs="Courier New" w:hint="default"/>
      </w:rPr>
    </w:lvl>
    <w:lvl w:ilvl="8" w:tplc="BC0A47A8" w:tentative="1">
      <w:start w:val="1"/>
      <w:numFmt w:val="bullet"/>
      <w:lvlText w:val=""/>
      <w:lvlJc w:val="left"/>
      <w:pPr>
        <w:ind w:left="6764" w:hanging="360"/>
      </w:pPr>
      <w:rPr>
        <w:rFonts w:ascii="Wingdings" w:hAnsi="Wingdings" w:hint="default"/>
      </w:rPr>
    </w:lvl>
  </w:abstractNum>
  <w:abstractNum w:abstractNumId="3" w15:restartNumberingAfterBreak="0">
    <w:nsid w:val="196B606F"/>
    <w:multiLevelType w:val="hybridMultilevel"/>
    <w:tmpl w:val="E0560262"/>
    <w:lvl w:ilvl="0" w:tplc="B91E428E">
      <w:start w:val="1"/>
      <w:numFmt w:val="bullet"/>
      <w:pStyle w:val="TableBullet1"/>
      <w:lvlText w:val=""/>
      <w:lvlJc w:val="left"/>
      <w:pPr>
        <w:ind w:left="720" w:hanging="360"/>
      </w:pPr>
      <w:rPr>
        <w:rFonts w:ascii="Symbol" w:hAnsi="Symbol" w:hint="default"/>
      </w:rPr>
    </w:lvl>
    <w:lvl w:ilvl="1" w:tplc="A6628C58" w:tentative="1">
      <w:start w:val="1"/>
      <w:numFmt w:val="bullet"/>
      <w:lvlText w:val="o"/>
      <w:lvlJc w:val="left"/>
      <w:pPr>
        <w:ind w:left="1440" w:hanging="360"/>
      </w:pPr>
      <w:rPr>
        <w:rFonts w:ascii="Courier New" w:hAnsi="Courier New" w:cs="Courier New" w:hint="default"/>
      </w:rPr>
    </w:lvl>
    <w:lvl w:ilvl="2" w:tplc="794A79D0" w:tentative="1">
      <w:start w:val="1"/>
      <w:numFmt w:val="bullet"/>
      <w:lvlText w:val=""/>
      <w:lvlJc w:val="left"/>
      <w:pPr>
        <w:ind w:left="2160" w:hanging="360"/>
      </w:pPr>
      <w:rPr>
        <w:rFonts w:ascii="Wingdings" w:hAnsi="Wingdings" w:hint="default"/>
      </w:rPr>
    </w:lvl>
    <w:lvl w:ilvl="3" w:tplc="AEA8DFC6" w:tentative="1">
      <w:start w:val="1"/>
      <w:numFmt w:val="bullet"/>
      <w:lvlText w:val=""/>
      <w:lvlJc w:val="left"/>
      <w:pPr>
        <w:ind w:left="2880" w:hanging="360"/>
      </w:pPr>
      <w:rPr>
        <w:rFonts w:ascii="Symbol" w:hAnsi="Symbol" w:hint="default"/>
      </w:rPr>
    </w:lvl>
    <w:lvl w:ilvl="4" w:tplc="32C87886" w:tentative="1">
      <w:start w:val="1"/>
      <w:numFmt w:val="bullet"/>
      <w:lvlText w:val="o"/>
      <w:lvlJc w:val="left"/>
      <w:pPr>
        <w:ind w:left="3600" w:hanging="360"/>
      </w:pPr>
      <w:rPr>
        <w:rFonts w:ascii="Courier New" w:hAnsi="Courier New" w:cs="Courier New" w:hint="default"/>
      </w:rPr>
    </w:lvl>
    <w:lvl w:ilvl="5" w:tplc="4F98EB3C" w:tentative="1">
      <w:start w:val="1"/>
      <w:numFmt w:val="bullet"/>
      <w:lvlText w:val=""/>
      <w:lvlJc w:val="left"/>
      <w:pPr>
        <w:ind w:left="4320" w:hanging="360"/>
      </w:pPr>
      <w:rPr>
        <w:rFonts w:ascii="Wingdings" w:hAnsi="Wingdings" w:hint="default"/>
      </w:rPr>
    </w:lvl>
    <w:lvl w:ilvl="6" w:tplc="19226C14" w:tentative="1">
      <w:start w:val="1"/>
      <w:numFmt w:val="bullet"/>
      <w:lvlText w:val=""/>
      <w:lvlJc w:val="left"/>
      <w:pPr>
        <w:ind w:left="5040" w:hanging="360"/>
      </w:pPr>
      <w:rPr>
        <w:rFonts w:ascii="Symbol" w:hAnsi="Symbol" w:hint="default"/>
      </w:rPr>
    </w:lvl>
    <w:lvl w:ilvl="7" w:tplc="D0AA8A4A" w:tentative="1">
      <w:start w:val="1"/>
      <w:numFmt w:val="bullet"/>
      <w:lvlText w:val="o"/>
      <w:lvlJc w:val="left"/>
      <w:pPr>
        <w:ind w:left="5760" w:hanging="360"/>
      </w:pPr>
      <w:rPr>
        <w:rFonts w:ascii="Courier New" w:hAnsi="Courier New" w:cs="Courier New" w:hint="default"/>
      </w:rPr>
    </w:lvl>
    <w:lvl w:ilvl="8" w:tplc="B1EC448A" w:tentative="1">
      <w:start w:val="1"/>
      <w:numFmt w:val="bullet"/>
      <w:lvlText w:val=""/>
      <w:lvlJc w:val="left"/>
      <w:pPr>
        <w:ind w:left="6480" w:hanging="360"/>
      </w:pPr>
      <w:rPr>
        <w:rFonts w:ascii="Wingdings" w:hAnsi="Wingdings" w:hint="default"/>
      </w:rPr>
    </w:lvl>
  </w:abstractNum>
  <w:abstractNum w:abstractNumId="4" w15:restartNumberingAfterBreak="0">
    <w:nsid w:val="1DBA2F7F"/>
    <w:multiLevelType w:val="hybridMultilevel"/>
    <w:tmpl w:val="B72453AC"/>
    <w:lvl w:ilvl="0" w:tplc="B5AAADF2">
      <w:start w:val="1"/>
      <w:numFmt w:val="bullet"/>
      <w:lvlText w:val=""/>
      <w:lvlJc w:val="left"/>
      <w:pPr>
        <w:ind w:left="720" w:hanging="360"/>
      </w:pPr>
      <w:rPr>
        <w:rFonts w:ascii="Symbol" w:hAnsi="Symbol" w:hint="default"/>
      </w:rPr>
    </w:lvl>
    <w:lvl w:ilvl="1" w:tplc="8B6E93BE" w:tentative="1">
      <w:start w:val="1"/>
      <w:numFmt w:val="bullet"/>
      <w:lvlText w:val="o"/>
      <w:lvlJc w:val="left"/>
      <w:pPr>
        <w:ind w:left="1440" w:hanging="360"/>
      </w:pPr>
      <w:rPr>
        <w:rFonts w:ascii="Courier New" w:hAnsi="Courier New" w:cs="Courier New" w:hint="default"/>
      </w:rPr>
    </w:lvl>
    <w:lvl w:ilvl="2" w:tplc="6AF48E60" w:tentative="1">
      <w:start w:val="1"/>
      <w:numFmt w:val="bullet"/>
      <w:lvlText w:val=""/>
      <w:lvlJc w:val="left"/>
      <w:pPr>
        <w:ind w:left="2160" w:hanging="360"/>
      </w:pPr>
      <w:rPr>
        <w:rFonts w:ascii="Wingdings" w:hAnsi="Wingdings" w:hint="default"/>
      </w:rPr>
    </w:lvl>
    <w:lvl w:ilvl="3" w:tplc="809EAEAE" w:tentative="1">
      <w:start w:val="1"/>
      <w:numFmt w:val="bullet"/>
      <w:lvlText w:val=""/>
      <w:lvlJc w:val="left"/>
      <w:pPr>
        <w:ind w:left="2880" w:hanging="360"/>
      </w:pPr>
      <w:rPr>
        <w:rFonts w:ascii="Symbol" w:hAnsi="Symbol" w:hint="default"/>
      </w:rPr>
    </w:lvl>
    <w:lvl w:ilvl="4" w:tplc="C4022EDA" w:tentative="1">
      <w:start w:val="1"/>
      <w:numFmt w:val="bullet"/>
      <w:lvlText w:val="o"/>
      <w:lvlJc w:val="left"/>
      <w:pPr>
        <w:ind w:left="3600" w:hanging="360"/>
      </w:pPr>
      <w:rPr>
        <w:rFonts w:ascii="Courier New" w:hAnsi="Courier New" w:cs="Courier New" w:hint="default"/>
      </w:rPr>
    </w:lvl>
    <w:lvl w:ilvl="5" w:tplc="C62AE984" w:tentative="1">
      <w:start w:val="1"/>
      <w:numFmt w:val="bullet"/>
      <w:lvlText w:val=""/>
      <w:lvlJc w:val="left"/>
      <w:pPr>
        <w:ind w:left="4320" w:hanging="360"/>
      </w:pPr>
      <w:rPr>
        <w:rFonts w:ascii="Wingdings" w:hAnsi="Wingdings" w:hint="default"/>
      </w:rPr>
    </w:lvl>
    <w:lvl w:ilvl="6" w:tplc="28D82B2E" w:tentative="1">
      <w:start w:val="1"/>
      <w:numFmt w:val="bullet"/>
      <w:lvlText w:val=""/>
      <w:lvlJc w:val="left"/>
      <w:pPr>
        <w:ind w:left="5040" w:hanging="360"/>
      </w:pPr>
      <w:rPr>
        <w:rFonts w:ascii="Symbol" w:hAnsi="Symbol" w:hint="default"/>
      </w:rPr>
    </w:lvl>
    <w:lvl w:ilvl="7" w:tplc="DF5A0E90" w:tentative="1">
      <w:start w:val="1"/>
      <w:numFmt w:val="bullet"/>
      <w:lvlText w:val="o"/>
      <w:lvlJc w:val="left"/>
      <w:pPr>
        <w:ind w:left="5760" w:hanging="360"/>
      </w:pPr>
      <w:rPr>
        <w:rFonts w:ascii="Courier New" w:hAnsi="Courier New" w:cs="Courier New" w:hint="default"/>
      </w:rPr>
    </w:lvl>
    <w:lvl w:ilvl="8" w:tplc="205CAC3E" w:tentative="1">
      <w:start w:val="1"/>
      <w:numFmt w:val="bullet"/>
      <w:lvlText w:val=""/>
      <w:lvlJc w:val="left"/>
      <w:pPr>
        <w:ind w:left="6480" w:hanging="360"/>
      </w:pPr>
      <w:rPr>
        <w:rFonts w:ascii="Wingdings" w:hAnsi="Wingdings" w:hint="default"/>
      </w:rPr>
    </w:lvl>
  </w:abstractNum>
  <w:abstractNum w:abstractNumId="5" w15:restartNumberingAfterBreak="0">
    <w:nsid w:val="21A328D5"/>
    <w:multiLevelType w:val="multilevel"/>
    <w:tmpl w:val="BE78A4F8"/>
    <w:numStyleLink w:val="Numberlist"/>
  </w:abstractNum>
  <w:abstractNum w:abstractNumId="6" w15:restartNumberingAfterBreak="0">
    <w:nsid w:val="21AE3606"/>
    <w:multiLevelType w:val="hybridMultilevel"/>
    <w:tmpl w:val="A11AD422"/>
    <w:lvl w:ilvl="0" w:tplc="1E5C2188">
      <w:start w:val="1"/>
      <w:numFmt w:val="decimal"/>
      <w:lvlText w:val="%1."/>
      <w:lvlJc w:val="left"/>
      <w:pPr>
        <w:ind w:left="720" w:hanging="360"/>
      </w:pPr>
    </w:lvl>
    <w:lvl w:ilvl="1" w:tplc="AF8C1168" w:tentative="1">
      <w:start w:val="1"/>
      <w:numFmt w:val="lowerLetter"/>
      <w:lvlText w:val="%2."/>
      <w:lvlJc w:val="left"/>
      <w:pPr>
        <w:ind w:left="1440" w:hanging="360"/>
      </w:pPr>
    </w:lvl>
    <w:lvl w:ilvl="2" w:tplc="2EA604EE" w:tentative="1">
      <w:start w:val="1"/>
      <w:numFmt w:val="lowerRoman"/>
      <w:lvlText w:val="%3."/>
      <w:lvlJc w:val="right"/>
      <w:pPr>
        <w:ind w:left="2160" w:hanging="180"/>
      </w:pPr>
    </w:lvl>
    <w:lvl w:ilvl="3" w:tplc="6AEC81E6" w:tentative="1">
      <w:start w:val="1"/>
      <w:numFmt w:val="decimal"/>
      <w:lvlText w:val="%4."/>
      <w:lvlJc w:val="left"/>
      <w:pPr>
        <w:ind w:left="2880" w:hanging="360"/>
      </w:pPr>
    </w:lvl>
    <w:lvl w:ilvl="4" w:tplc="F4C6D0B2" w:tentative="1">
      <w:start w:val="1"/>
      <w:numFmt w:val="lowerLetter"/>
      <w:lvlText w:val="%5."/>
      <w:lvlJc w:val="left"/>
      <w:pPr>
        <w:ind w:left="3600" w:hanging="360"/>
      </w:pPr>
    </w:lvl>
    <w:lvl w:ilvl="5" w:tplc="C8363736" w:tentative="1">
      <w:start w:val="1"/>
      <w:numFmt w:val="lowerRoman"/>
      <w:lvlText w:val="%6."/>
      <w:lvlJc w:val="right"/>
      <w:pPr>
        <w:ind w:left="4320" w:hanging="180"/>
      </w:pPr>
    </w:lvl>
    <w:lvl w:ilvl="6" w:tplc="8FF88278" w:tentative="1">
      <w:start w:val="1"/>
      <w:numFmt w:val="decimal"/>
      <w:lvlText w:val="%7."/>
      <w:lvlJc w:val="left"/>
      <w:pPr>
        <w:ind w:left="5040" w:hanging="360"/>
      </w:pPr>
    </w:lvl>
    <w:lvl w:ilvl="7" w:tplc="C972941E" w:tentative="1">
      <w:start w:val="1"/>
      <w:numFmt w:val="lowerLetter"/>
      <w:lvlText w:val="%8."/>
      <w:lvlJc w:val="left"/>
      <w:pPr>
        <w:ind w:left="5760" w:hanging="360"/>
      </w:pPr>
    </w:lvl>
    <w:lvl w:ilvl="8" w:tplc="AABA5102" w:tentative="1">
      <w:start w:val="1"/>
      <w:numFmt w:val="lowerRoman"/>
      <w:lvlText w:val="%9."/>
      <w:lvlJc w:val="right"/>
      <w:pPr>
        <w:ind w:left="6480" w:hanging="180"/>
      </w:pPr>
    </w:lvl>
  </w:abstractNum>
  <w:abstractNum w:abstractNumId="7"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38B31AC"/>
    <w:multiLevelType w:val="hybridMultilevel"/>
    <w:tmpl w:val="B88C6C54"/>
    <w:lvl w:ilvl="0" w:tplc="AECAEF72">
      <w:start w:val="1"/>
      <w:numFmt w:val="bullet"/>
      <w:lvlText w:val=""/>
      <w:lvlJc w:val="left"/>
      <w:pPr>
        <w:ind w:left="720" w:hanging="360"/>
      </w:pPr>
      <w:rPr>
        <w:rFonts w:ascii="Symbol" w:hAnsi="Symbol" w:hint="default"/>
      </w:rPr>
    </w:lvl>
    <w:lvl w:ilvl="1" w:tplc="8A10FD2C" w:tentative="1">
      <w:start w:val="1"/>
      <w:numFmt w:val="bullet"/>
      <w:lvlText w:val="o"/>
      <w:lvlJc w:val="left"/>
      <w:pPr>
        <w:ind w:left="1440" w:hanging="360"/>
      </w:pPr>
      <w:rPr>
        <w:rFonts w:ascii="Courier New" w:hAnsi="Courier New" w:cs="Courier New" w:hint="default"/>
      </w:rPr>
    </w:lvl>
    <w:lvl w:ilvl="2" w:tplc="180ABE1C" w:tentative="1">
      <w:start w:val="1"/>
      <w:numFmt w:val="bullet"/>
      <w:lvlText w:val=""/>
      <w:lvlJc w:val="left"/>
      <w:pPr>
        <w:ind w:left="2160" w:hanging="360"/>
      </w:pPr>
      <w:rPr>
        <w:rFonts w:ascii="Wingdings" w:hAnsi="Wingdings" w:hint="default"/>
      </w:rPr>
    </w:lvl>
    <w:lvl w:ilvl="3" w:tplc="ADD20578" w:tentative="1">
      <w:start w:val="1"/>
      <w:numFmt w:val="bullet"/>
      <w:lvlText w:val=""/>
      <w:lvlJc w:val="left"/>
      <w:pPr>
        <w:ind w:left="2880" w:hanging="360"/>
      </w:pPr>
      <w:rPr>
        <w:rFonts w:ascii="Symbol" w:hAnsi="Symbol" w:hint="default"/>
      </w:rPr>
    </w:lvl>
    <w:lvl w:ilvl="4" w:tplc="3500A692" w:tentative="1">
      <w:start w:val="1"/>
      <w:numFmt w:val="bullet"/>
      <w:lvlText w:val="o"/>
      <w:lvlJc w:val="left"/>
      <w:pPr>
        <w:ind w:left="3600" w:hanging="360"/>
      </w:pPr>
      <w:rPr>
        <w:rFonts w:ascii="Courier New" w:hAnsi="Courier New" w:cs="Courier New" w:hint="default"/>
      </w:rPr>
    </w:lvl>
    <w:lvl w:ilvl="5" w:tplc="9D9C0258" w:tentative="1">
      <w:start w:val="1"/>
      <w:numFmt w:val="bullet"/>
      <w:lvlText w:val=""/>
      <w:lvlJc w:val="left"/>
      <w:pPr>
        <w:ind w:left="4320" w:hanging="360"/>
      </w:pPr>
      <w:rPr>
        <w:rFonts w:ascii="Wingdings" w:hAnsi="Wingdings" w:hint="default"/>
      </w:rPr>
    </w:lvl>
    <w:lvl w:ilvl="6" w:tplc="2BAE02B0" w:tentative="1">
      <w:start w:val="1"/>
      <w:numFmt w:val="bullet"/>
      <w:lvlText w:val=""/>
      <w:lvlJc w:val="left"/>
      <w:pPr>
        <w:ind w:left="5040" w:hanging="360"/>
      </w:pPr>
      <w:rPr>
        <w:rFonts w:ascii="Symbol" w:hAnsi="Symbol" w:hint="default"/>
      </w:rPr>
    </w:lvl>
    <w:lvl w:ilvl="7" w:tplc="5EA688A6" w:tentative="1">
      <w:start w:val="1"/>
      <w:numFmt w:val="bullet"/>
      <w:lvlText w:val="o"/>
      <w:lvlJc w:val="left"/>
      <w:pPr>
        <w:ind w:left="5760" w:hanging="360"/>
      </w:pPr>
      <w:rPr>
        <w:rFonts w:ascii="Courier New" w:hAnsi="Courier New" w:cs="Courier New" w:hint="default"/>
      </w:rPr>
    </w:lvl>
    <w:lvl w:ilvl="8" w:tplc="E5E2CDB0" w:tentative="1">
      <w:start w:val="1"/>
      <w:numFmt w:val="bullet"/>
      <w:lvlText w:val=""/>
      <w:lvlJc w:val="left"/>
      <w:pPr>
        <w:ind w:left="6480" w:hanging="360"/>
      </w:pPr>
      <w:rPr>
        <w:rFonts w:ascii="Wingdings" w:hAnsi="Wingdings" w:hint="default"/>
      </w:rPr>
    </w:lvl>
  </w:abstractNum>
  <w:abstractNum w:abstractNumId="9" w15:restartNumberingAfterBreak="0">
    <w:nsid w:val="380D02A8"/>
    <w:multiLevelType w:val="hybridMultilevel"/>
    <w:tmpl w:val="5CFEEE7E"/>
    <w:lvl w:ilvl="0" w:tplc="4E5CB86E">
      <w:start w:val="1"/>
      <w:numFmt w:val="decimal"/>
      <w:lvlText w:val="2.%1"/>
      <w:lvlJc w:val="left"/>
      <w:pPr>
        <w:ind w:left="360" w:hanging="360"/>
      </w:pPr>
      <w:rPr>
        <w:rFonts w:hint="default"/>
      </w:rPr>
    </w:lvl>
    <w:lvl w:ilvl="1" w:tplc="FD8EC992">
      <w:start w:val="1"/>
      <w:numFmt w:val="lowerLetter"/>
      <w:lvlText w:val="%2."/>
      <w:lvlJc w:val="left"/>
      <w:pPr>
        <w:ind w:left="1080" w:hanging="360"/>
      </w:pPr>
    </w:lvl>
    <w:lvl w:ilvl="2" w:tplc="8F2E6C00" w:tentative="1">
      <w:start w:val="1"/>
      <w:numFmt w:val="lowerRoman"/>
      <w:lvlText w:val="%3."/>
      <w:lvlJc w:val="right"/>
      <w:pPr>
        <w:ind w:left="1800" w:hanging="180"/>
      </w:pPr>
    </w:lvl>
    <w:lvl w:ilvl="3" w:tplc="CF269170" w:tentative="1">
      <w:start w:val="1"/>
      <w:numFmt w:val="decimal"/>
      <w:lvlText w:val="%4."/>
      <w:lvlJc w:val="left"/>
      <w:pPr>
        <w:ind w:left="2520" w:hanging="360"/>
      </w:pPr>
    </w:lvl>
    <w:lvl w:ilvl="4" w:tplc="FF921E0A" w:tentative="1">
      <w:start w:val="1"/>
      <w:numFmt w:val="lowerLetter"/>
      <w:lvlText w:val="%5."/>
      <w:lvlJc w:val="left"/>
      <w:pPr>
        <w:ind w:left="3240" w:hanging="360"/>
      </w:pPr>
    </w:lvl>
    <w:lvl w:ilvl="5" w:tplc="B21EA68E" w:tentative="1">
      <w:start w:val="1"/>
      <w:numFmt w:val="lowerRoman"/>
      <w:lvlText w:val="%6."/>
      <w:lvlJc w:val="right"/>
      <w:pPr>
        <w:ind w:left="3960" w:hanging="180"/>
      </w:pPr>
    </w:lvl>
    <w:lvl w:ilvl="6" w:tplc="1A70C344" w:tentative="1">
      <w:start w:val="1"/>
      <w:numFmt w:val="decimal"/>
      <w:lvlText w:val="%7."/>
      <w:lvlJc w:val="left"/>
      <w:pPr>
        <w:ind w:left="4680" w:hanging="360"/>
      </w:pPr>
    </w:lvl>
    <w:lvl w:ilvl="7" w:tplc="AEEE6BC0" w:tentative="1">
      <w:start w:val="1"/>
      <w:numFmt w:val="lowerLetter"/>
      <w:lvlText w:val="%8."/>
      <w:lvlJc w:val="left"/>
      <w:pPr>
        <w:ind w:left="5400" w:hanging="360"/>
      </w:pPr>
    </w:lvl>
    <w:lvl w:ilvl="8" w:tplc="1706815A" w:tentative="1">
      <w:start w:val="1"/>
      <w:numFmt w:val="lowerRoman"/>
      <w:lvlText w:val="%9."/>
      <w:lvlJc w:val="right"/>
      <w:pPr>
        <w:ind w:left="6120" w:hanging="180"/>
      </w:pPr>
    </w:lvl>
  </w:abstractNum>
  <w:abstractNum w:abstractNumId="10" w15:restartNumberingAfterBreak="0">
    <w:nsid w:val="394A15FE"/>
    <w:multiLevelType w:val="multilevel"/>
    <w:tmpl w:val="F36C17E8"/>
    <w:numStyleLink w:val="Headinglist"/>
  </w:abstractNum>
  <w:abstractNum w:abstractNumId="11" w15:restartNumberingAfterBreak="0">
    <w:nsid w:val="48DE2E4A"/>
    <w:multiLevelType w:val="hybridMultilevel"/>
    <w:tmpl w:val="B7086130"/>
    <w:lvl w:ilvl="0" w:tplc="830AABB8">
      <w:start w:val="1"/>
      <w:numFmt w:val="bullet"/>
      <w:pStyle w:val="BoxTextBullet"/>
      <w:lvlText w:val=""/>
      <w:lvlJc w:val="left"/>
      <w:pPr>
        <w:ind w:left="720" w:hanging="360"/>
      </w:pPr>
      <w:rPr>
        <w:rFonts w:ascii="Symbol" w:hAnsi="Symbol" w:hint="default"/>
      </w:rPr>
    </w:lvl>
    <w:lvl w:ilvl="1" w:tplc="3F8AE354" w:tentative="1">
      <w:start w:val="1"/>
      <w:numFmt w:val="bullet"/>
      <w:lvlText w:val="o"/>
      <w:lvlJc w:val="left"/>
      <w:pPr>
        <w:ind w:left="1440" w:hanging="360"/>
      </w:pPr>
      <w:rPr>
        <w:rFonts w:ascii="Courier New" w:hAnsi="Courier New" w:cs="Courier New" w:hint="default"/>
      </w:rPr>
    </w:lvl>
    <w:lvl w:ilvl="2" w:tplc="BFFE0A18" w:tentative="1">
      <w:start w:val="1"/>
      <w:numFmt w:val="bullet"/>
      <w:lvlText w:val=""/>
      <w:lvlJc w:val="left"/>
      <w:pPr>
        <w:ind w:left="2160" w:hanging="360"/>
      </w:pPr>
      <w:rPr>
        <w:rFonts w:ascii="Wingdings" w:hAnsi="Wingdings" w:hint="default"/>
      </w:rPr>
    </w:lvl>
    <w:lvl w:ilvl="3" w:tplc="B1686C56" w:tentative="1">
      <w:start w:val="1"/>
      <w:numFmt w:val="bullet"/>
      <w:lvlText w:val=""/>
      <w:lvlJc w:val="left"/>
      <w:pPr>
        <w:ind w:left="2880" w:hanging="360"/>
      </w:pPr>
      <w:rPr>
        <w:rFonts w:ascii="Symbol" w:hAnsi="Symbol" w:hint="default"/>
      </w:rPr>
    </w:lvl>
    <w:lvl w:ilvl="4" w:tplc="B9A0A0AC" w:tentative="1">
      <w:start w:val="1"/>
      <w:numFmt w:val="bullet"/>
      <w:lvlText w:val="o"/>
      <w:lvlJc w:val="left"/>
      <w:pPr>
        <w:ind w:left="3600" w:hanging="360"/>
      </w:pPr>
      <w:rPr>
        <w:rFonts w:ascii="Courier New" w:hAnsi="Courier New" w:cs="Courier New" w:hint="default"/>
      </w:rPr>
    </w:lvl>
    <w:lvl w:ilvl="5" w:tplc="918C34E8" w:tentative="1">
      <w:start w:val="1"/>
      <w:numFmt w:val="bullet"/>
      <w:lvlText w:val=""/>
      <w:lvlJc w:val="left"/>
      <w:pPr>
        <w:ind w:left="4320" w:hanging="360"/>
      </w:pPr>
      <w:rPr>
        <w:rFonts w:ascii="Wingdings" w:hAnsi="Wingdings" w:hint="default"/>
      </w:rPr>
    </w:lvl>
    <w:lvl w:ilvl="6" w:tplc="10B68FA2" w:tentative="1">
      <w:start w:val="1"/>
      <w:numFmt w:val="bullet"/>
      <w:lvlText w:val=""/>
      <w:lvlJc w:val="left"/>
      <w:pPr>
        <w:ind w:left="5040" w:hanging="360"/>
      </w:pPr>
      <w:rPr>
        <w:rFonts w:ascii="Symbol" w:hAnsi="Symbol" w:hint="default"/>
      </w:rPr>
    </w:lvl>
    <w:lvl w:ilvl="7" w:tplc="B1E2C254" w:tentative="1">
      <w:start w:val="1"/>
      <w:numFmt w:val="bullet"/>
      <w:lvlText w:val="o"/>
      <w:lvlJc w:val="left"/>
      <w:pPr>
        <w:ind w:left="5760" w:hanging="360"/>
      </w:pPr>
      <w:rPr>
        <w:rFonts w:ascii="Courier New" w:hAnsi="Courier New" w:cs="Courier New" w:hint="default"/>
      </w:rPr>
    </w:lvl>
    <w:lvl w:ilvl="8" w:tplc="9D2E9DEC" w:tentative="1">
      <w:start w:val="1"/>
      <w:numFmt w:val="bullet"/>
      <w:lvlText w:val=""/>
      <w:lvlJc w:val="left"/>
      <w:pPr>
        <w:ind w:left="6480" w:hanging="360"/>
      </w:pPr>
      <w:rPr>
        <w:rFonts w:ascii="Wingdings" w:hAnsi="Wingdings" w:hint="default"/>
      </w:rPr>
    </w:lvl>
  </w:abstractNum>
  <w:abstractNum w:abstractNumId="12" w15:restartNumberingAfterBreak="0">
    <w:nsid w:val="4A1D7323"/>
    <w:multiLevelType w:val="hybridMultilevel"/>
    <w:tmpl w:val="3120E886"/>
    <w:lvl w:ilvl="0" w:tplc="EEFCE648">
      <w:start w:val="1"/>
      <w:numFmt w:val="bullet"/>
      <w:lvlText w:val="o"/>
      <w:lvlJc w:val="left"/>
      <w:pPr>
        <w:ind w:left="720" w:hanging="360"/>
      </w:pPr>
      <w:rPr>
        <w:rFonts w:ascii="Courier New" w:hAnsi="Courier New" w:cs="Courier New" w:hint="default"/>
      </w:rPr>
    </w:lvl>
    <w:lvl w:ilvl="1" w:tplc="15B4DFFC" w:tentative="1">
      <w:start w:val="1"/>
      <w:numFmt w:val="bullet"/>
      <w:lvlText w:val="o"/>
      <w:lvlJc w:val="left"/>
      <w:pPr>
        <w:ind w:left="1440" w:hanging="360"/>
      </w:pPr>
      <w:rPr>
        <w:rFonts w:ascii="Courier New" w:hAnsi="Courier New" w:cs="Courier New" w:hint="default"/>
      </w:rPr>
    </w:lvl>
    <w:lvl w:ilvl="2" w:tplc="7DD24238" w:tentative="1">
      <w:start w:val="1"/>
      <w:numFmt w:val="bullet"/>
      <w:lvlText w:val=""/>
      <w:lvlJc w:val="left"/>
      <w:pPr>
        <w:ind w:left="2160" w:hanging="360"/>
      </w:pPr>
      <w:rPr>
        <w:rFonts w:ascii="Wingdings" w:hAnsi="Wingdings" w:hint="default"/>
      </w:rPr>
    </w:lvl>
    <w:lvl w:ilvl="3" w:tplc="EE12E04E" w:tentative="1">
      <w:start w:val="1"/>
      <w:numFmt w:val="bullet"/>
      <w:lvlText w:val=""/>
      <w:lvlJc w:val="left"/>
      <w:pPr>
        <w:ind w:left="2880" w:hanging="360"/>
      </w:pPr>
      <w:rPr>
        <w:rFonts w:ascii="Symbol" w:hAnsi="Symbol" w:hint="default"/>
      </w:rPr>
    </w:lvl>
    <w:lvl w:ilvl="4" w:tplc="C90EA714" w:tentative="1">
      <w:start w:val="1"/>
      <w:numFmt w:val="bullet"/>
      <w:lvlText w:val="o"/>
      <w:lvlJc w:val="left"/>
      <w:pPr>
        <w:ind w:left="3600" w:hanging="360"/>
      </w:pPr>
      <w:rPr>
        <w:rFonts w:ascii="Courier New" w:hAnsi="Courier New" w:cs="Courier New" w:hint="default"/>
      </w:rPr>
    </w:lvl>
    <w:lvl w:ilvl="5" w:tplc="336E6D88" w:tentative="1">
      <w:start w:val="1"/>
      <w:numFmt w:val="bullet"/>
      <w:lvlText w:val=""/>
      <w:lvlJc w:val="left"/>
      <w:pPr>
        <w:ind w:left="4320" w:hanging="360"/>
      </w:pPr>
      <w:rPr>
        <w:rFonts w:ascii="Wingdings" w:hAnsi="Wingdings" w:hint="default"/>
      </w:rPr>
    </w:lvl>
    <w:lvl w:ilvl="6" w:tplc="7F2ACF3A" w:tentative="1">
      <w:start w:val="1"/>
      <w:numFmt w:val="bullet"/>
      <w:lvlText w:val=""/>
      <w:lvlJc w:val="left"/>
      <w:pPr>
        <w:ind w:left="5040" w:hanging="360"/>
      </w:pPr>
      <w:rPr>
        <w:rFonts w:ascii="Symbol" w:hAnsi="Symbol" w:hint="default"/>
      </w:rPr>
    </w:lvl>
    <w:lvl w:ilvl="7" w:tplc="899C9AA6" w:tentative="1">
      <w:start w:val="1"/>
      <w:numFmt w:val="bullet"/>
      <w:lvlText w:val="o"/>
      <w:lvlJc w:val="left"/>
      <w:pPr>
        <w:ind w:left="5760" w:hanging="360"/>
      </w:pPr>
      <w:rPr>
        <w:rFonts w:ascii="Courier New" w:hAnsi="Courier New" w:cs="Courier New" w:hint="default"/>
      </w:rPr>
    </w:lvl>
    <w:lvl w:ilvl="8" w:tplc="79A66BB0" w:tentative="1">
      <w:start w:val="1"/>
      <w:numFmt w:val="bullet"/>
      <w:lvlText w:val=""/>
      <w:lvlJc w:val="left"/>
      <w:pPr>
        <w:ind w:left="6480" w:hanging="360"/>
      </w:pPr>
      <w:rPr>
        <w:rFonts w:ascii="Wingdings" w:hAnsi="Wingdings" w:hint="default"/>
      </w:rPr>
    </w:lvl>
  </w:abstractNum>
  <w:abstractNum w:abstractNumId="1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FC869B4"/>
    <w:multiLevelType w:val="hybridMultilevel"/>
    <w:tmpl w:val="51B4EEBC"/>
    <w:lvl w:ilvl="0" w:tplc="2208166A">
      <w:start w:val="1"/>
      <w:numFmt w:val="decimal"/>
      <w:lvlText w:val="%1."/>
      <w:lvlJc w:val="left"/>
      <w:pPr>
        <w:ind w:left="720" w:hanging="360"/>
      </w:pPr>
    </w:lvl>
    <w:lvl w:ilvl="1" w:tplc="5D9E05D6">
      <w:numFmt w:val="bullet"/>
      <w:lvlText w:val="•"/>
      <w:lvlJc w:val="left"/>
      <w:pPr>
        <w:ind w:left="1440" w:hanging="360"/>
      </w:pPr>
      <w:rPr>
        <w:rFonts w:ascii="Calibri" w:eastAsiaTheme="minorHAnsi" w:hAnsi="Calibri" w:cs="Calibri" w:hint="default"/>
      </w:rPr>
    </w:lvl>
    <w:lvl w:ilvl="2" w:tplc="1B48EFFA" w:tentative="1">
      <w:start w:val="1"/>
      <w:numFmt w:val="lowerRoman"/>
      <w:lvlText w:val="%3."/>
      <w:lvlJc w:val="right"/>
      <w:pPr>
        <w:ind w:left="2160" w:hanging="180"/>
      </w:pPr>
    </w:lvl>
    <w:lvl w:ilvl="3" w:tplc="D58C1314" w:tentative="1">
      <w:start w:val="1"/>
      <w:numFmt w:val="decimal"/>
      <w:lvlText w:val="%4."/>
      <w:lvlJc w:val="left"/>
      <w:pPr>
        <w:ind w:left="2880" w:hanging="360"/>
      </w:pPr>
    </w:lvl>
    <w:lvl w:ilvl="4" w:tplc="635882CE" w:tentative="1">
      <w:start w:val="1"/>
      <w:numFmt w:val="lowerLetter"/>
      <w:lvlText w:val="%5."/>
      <w:lvlJc w:val="left"/>
      <w:pPr>
        <w:ind w:left="3600" w:hanging="360"/>
      </w:pPr>
    </w:lvl>
    <w:lvl w:ilvl="5" w:tplc="7CB24712" w:tentative="1">
      <w:start w:val="1"/>
      <w:numFmt w:val="lowerRoman"/>
      <w:lvlText w:val="%6."/>
      <w:lvlJc w:val="right"/>
      <w:pPr>
        <w:ind w:left="4320" w:hanging="180"/>
      </w:pPr>
    </w:lvl>
    <w:lvl w:ilvl="6" w:tplc="EB0246E0" w:tentative="1">
      <w:start w:val="1"/>
      <w:numFmt w:val="decimal"/>
      <w:lvlText w:val="%7."/>
      <w:lvlJc w:val="left"/>
      <w:pPr>
        <w:ind w:left="5040" w:hanging="360"/>
      </w:pPr>
    </w:lvl>
    <w:lvl w:ilvl="7" w:tplc="925EAC94" w:tentative="1">
      <w:start w:val="1"/>
      <w:numFmt w:val="lowerLetter"/>
      <w:lvlText w:val="%8."/>
      <w:lvlJc w:val="left"/>
      <w:pPr>
        <w:ind w:left="5760" w:hanging="360"/>
      </w:pPr>
    </w:lvl>
    <w:lvl w:ilvl="8" w:tplc="33385096" w:tentative="1">
      <w:start w:val="1"/>
      <w:numFmt w:val="lowerRoman"/>
      <w:lvlText w:val="%9."/>
      <w:lvlJc w:val="right"/>
      <w:pPr>
        <w:ind w:left="6480" w:hanging="180"/>
      </w:pPr>
    </w:lvl>
  </w:abstractNum>
  <w:abstractNum w:abstractNumId="15"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6" w15:restartNumberingAfterBreak="0">
    <w:nsid w:val="5AA12966"/>
    <w:multiLevelType w:val="multilevel"/>
    <w:tmpl w:val="A0241B28"/>
    <w:styleLink w:val="List1"/>
    <w:lvl w:ilvl="0">
      <w:start w:val="1"/>
      <w:numFmt w:val="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7" w15:restartNumberingAfterBreak="0">
    <w:nsid w:val="5B2B453E"/>
    <w:multiLevelType w:val="multilevel"/>
    <w:tmpl w:val="5EE2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5C166F7E"/>
    <w:multiLevelType w:val="hybridMultilevel"/>
    <w:tmpl w:val="38F6A15A"/>
    <w:lvl w:ilvl="0" w:tplc="B0E6EAB2">
      <w:start w:val="1"/>
      <w:numFmt w:val="bullet"/>
      <w:lvlText w:val=""/>
      <w:lvlJc w:val="left"/>
      <w:pPr>
        <w:ind w:left="360" w:hanging="360"/>
      </w:pPr>
      <w:rPr>
        <w:rFonts w:ascii="Symbol" w:hAnsi="Symbol" w:hint="default"/>
      </w:rPr>
    </w:lvl>
    <w:lvl w:ilvl="1" w:tplc="61D6C8B2" w:tentative="1">
      <w:start w:val="1"/>
      <w:numFmt w:val="bullet"/>
      <w:lvlText w:val="o"/>
      <w:lvlJc w:val="left"/>
      <w:pPr>
        <w:ind w:left="1080" w:hanging="360"/>
      </w:pPr>
      <w:rPr>
        <w:rFonts w:ascii="Courier New" w:hAnsi="Courier New" w:cs="Courier New" w:hint="default"/>
      </w:rPr>
    </w:lvl>
    <w:lvl w:ilvl="2" w:tplc="CE181DF2" w:tentative="1">
      <w:start w:val="1"/>
      <w:numFmt w:val="bullet"/>
      <w:lvlText w:val=""/>
      <w:lvlJc w:val="left"/>
      <w:pPr>
        <w:ind w:left="1800" w:hanging="360"/>
      </w:pPr>
      <w:rPr>
        <w:rFonts w:ascii="Wingdings" w:hAnsi="Wingdings" w:hint="default"/>
      </w:rPr>
    </w:lvl>
    <w:lvl w:ilvl="3" w:tplc="33C22A7C" w:tentative="1">
      <w:start w:val="1"/>
      <w:numFmt w:val="bullet"/>
      <w:lvlText w:val=""/>
      <w:lvlJc w:val="left"/>
      <w:pPr>
        <w:ind w:left="2520" w:hanging="360"/>
      </w:pPr>
      <w:rPr>
        <w:rFonts w:ascii="Symbol" w:hAnsi="Symbol" w:hint="default"/>
      </w:rPr>
    </w:lvl>
    <w:lvl w:ilvl="4" w:tplc="1D1C305A" w:tentative="1">
      <w:start w:val="1"/>
      <w:numFmt w:val="bullet"/>
      <w:lvlText w:val="o"/>
      <w:lvlJc w:val="left"/>
      <w:pPr>
        <w:ind w:left="3240" w:hanging="360"/>
      </w:pPr>
      <w:rPr>
        <w:rFonts w:ascii="Courier New" w:hAnsi="Courier New" w:cs="Courier New" w:hint="default"/>
      </w:rPr>
    </w:lvl>
    <w:lvl w:ilvl="5" w:tplc="64CE8AD2" w:tentative="1">
      <w:start w:val="1"/>
      <w:numFmt w:val="bullet"/>
      <w:lvlText w:val=""/>
      <w:lvlJc w:val="left"/>
      <w:pPr>
        <w:ind w:left="3960" w:hanging="360"/>
      </w:pPr>
      <w:rPr>
        <w:rFonts w:ascii="Wingdings" w:hAnsi="Wingdings" w:hint="default"/>
      </w:rPr>
    </w:lvl>
    <w:lvl w:ilvl="6" w:tplc="469EA2F0" w:tentative="1">
      <w:start w:val="1"/>
      <w:numFmt w:val="bullet"/>
      <w:lvlText w:val=""/>
      <w:lvlJc w:val="left"/>
      <w:pPr>
        <w:ind w:left="4680" w:hanging="360"/>
      </w:pPr>
      <w:rPr>
        <w:rFonts w:ascii="Symbol" w:hAnsi="Symbol" w:hint="default"/>
      </w:rPr>
    </w:lvl>
    <w:lvl w:ilvl="7" w:tplc="3A961D66" w:tentative="1">
      <w:start w:val="1"/>
      <w:numFmt w:val="bullet"/>
      <w:lvlText w:val="o"/>
      <w:lvlJc w:val="left"/>
      <w:pPr>
        <w:ind w:left="5400" w:hanging="360"/>
      </w:pPr>
      <w:rPr>
        <w:rFonts w:ascii="Courier New" w:hAnsi="Courier New" w:cs="Courier New" w:hint="default"/>
      </w:rPr>
    </w:lvl>
    <w:lvl w:ilvl="8" w:tplc="4648CBFA" w:tentative="1">
      <w:start w:val="1"/>
      <w:numFmt w:val="bullet"/>
      <w:lvlText w:val=""/>
      <w:lvlJc w:val="left"/>
      <w:pPr>
        <w:ind w:left="6120" w:hanging="360"/>
      </w:pPr>
      <w:rPr>
        <w:rFonts w:ascii="Wingdings" w:hAnsi="Wingdings" w:hint="default"/>
      </w:rPr>
    </w:lvl>
  </w:abstractNum>
  <w:abstractNum w:abstractNumId="20" w15:restartNumberingAfterBreak="0">
    <w:nsid w:val="7ADD3E6E"/>
    <w:multiLevelType w:val="hybridMultilevel"/>
    <w:tmpl w:val="A36E46E6"/>
    <w:lvl w:ilvl="0" w:tplc="D250BFE8">
      <w:start w:val="1"/>
      <w:numFmt w:val="bullet"/>
      <w:lvlText w:val=""/>
      <w:lvlJc w:val="left"/>
      <w:pPr>
        <w:ind w:left="720" w:hanging="360"/>
      </w:pPr>
      <w:rPr>
        <w:rFonts w:ascii="Symbol" w:hAnsi="Symbol" w:hint="default"/>
      </w:rPr>
    </w:lvl>
    <w:lvl w:ilvl="1" w:tplc="C5364638" w:tentative="1">
      <w:start w:val="1"/>
      <w:numFmt w:val="bullet"/>
      <w:lvlText w:val="o"/>
      <w:lvlJc w:val="left"/>
      <w:pPr>
        <w:ind w:left="1440" w:hanging="360"/>
      </w:pPr>
      <w:rPr>
        <w:rFonts w:ascii="Courier New" w:hAnsi="Courier New" w:cs="Courier New" w:hint="default"/>
      </w:rPr>
    </w:lvl>
    <w:lvl w:ilvl="2" w:tplc="3CC0EA64" w:tentative="1">
      <w:start w:val="1"/>
      <w:numFmt w:val="bullet"/>
      <w:lvlText w:val=""/>
      <w:lvlJc w:val="left"/>
      <w:pPr>
        <w:ind w:left="2160" w:hanging="360"/>
      </w:pPr>
      <w:rPr>
        <w:rFonts w:ascii="Wingdings" w:hAnsi="Wingdings" w:hint="default"/>
      </w:rPr>
    </w:lvl>
    <w:lvl w:ilvl="3" w:tplc="7B2CD502" w:tentative="1">
      <w:start w:val="1"/>
      <w:numFmt w:val="bullet"/>
      <w:lvlText w:val=""/>
      <w:lvlJc w:val="left"/>
      <w:pPr>
        <w:ind w:left="2880" w:hanging="360"/>
      </w:pPr>
      <w:rPr>
        <w:rFonts w:ascii="Symbol" w:hAnsi="Symbol" w:hint="default"/>
      </w:rPr>
    </w:lvl>
    <w:lvl w:ilvl="4" w:tplc="39EED4D2" w:tentative="1">
      <w:start w:val="1"/>
      <w:numFmt w:val="bullet"/>
      <w:lvlText w:val="o"/>
      <w:lvlJc w:val="left"/>
      <w:pPr>
        <w:ind w:left="3600" w:hanging="360"/>
      </w:pPr>
      <w:rPr>
        <w:rFonts w:ascii="Courier New" w:hAnsi="Courier New" w:cs="Courier New" w:hint="default"/>
      </w:rPr>
    </w:lvl>
    <w:lvl w:ilvl="5" w:tplc="085877E4" w:tentative="1">
      <w:start w:val="1"/>
      <w:numFmt w:val="bullet"/>
      <w:lvlText w:val=""/>
      <w:lvlJc w:val="left"/>
      <w:pPr>
        <w:ind w:left="4320" w:hanging="360"/>
      </w:pPr>
      <w:rPr>
        <w:rFonts w:ascii="Wingdings" w:hAnsi="Wingdings" w:hint="default"/>
      </w:rPr>
    </w:lvl>
    <w:lvl w:ilvl="6" w:tplc="F3E2C52A" w:tentative="1">
      <w:start w:val="1"/>
      <w:numFmt w:val="bullet"/>
      <w:lvlText w:val=""/>
      <w:lvlJc w:val="left"/>
      <w:pPr>
        <w:ind w:left="5040" w:hanging="360"/>
      </w:pPr>
      <w:rPr>
        <w:rFonts w:ascii="Symbol" w:hAnsi="Symbol" w:hint="default"/>
      </w:rPr>
    </w:lvl>
    <w:lvl w:ilvl="7" w:tplc="8D044FDA" w:tentative="1">
      <w:start w:val="1"/>
      <w:numFmt w:val="bullet"/>
      <w:lvlText w:val="o"/>
      <w:lvlJc w:val="left"/>
      <w:pPr>
        <w:ind w:left="5760" w:hanging="360"/>
      </w:pPr>
      <w:rPr>
        <w:rFonts w:ascii="Courier New" w:hAnsi="Courier New" w:cs="Courier New" w:hint="default"/>
      </w:rPr>
    </w:lvl>
    <w:lvl w:ilvl="8" w:tplc="EB2C817E" w:tentative="1">
      <w:start w:val="1"/>
      <w:numFmt w:val="bullet"/>
      <w:lvlText w:val=""/>
      <w:lvlJc w:val="left"/>
      <w:pPr>
        <w:ind w:left="6480" w:hanging="360"/>
      </w:pPr>
      <w:rPr>
        <w:rFonts w:ascii="Wingdings" w:hAnsi="Wingdings" w:hint="default"/>
      </w:rPr>
    </w:lvl>
  </w:abstractNum>
  <w:num w:numId="1" w16cid:durableId="1404451164">
    <w:abstractNumId w:val="11"/>
  </w:num>
  <w:num w:numId="2" w16cid:durableId="1666787524">
    <w:abstractNumId w:val="3"/>
  </w:num>
  <w:num w:numId="3" w16cid:durableId="381057155">
    <w:abstractNumId w:val="16"/>
  </w:num>
  <w:num w:numId="4" w16cid:durableId="1639215797">
    <w:abstractNumId w:val="18"/>
  </w:num>
  <w:num w:numId="5" w16cid:durableId="1643265712">
    <w:abstractNumId w:val="7"/>
  </w:num>
  <w:num w:numId="6" w16cid:durableId="793717093">
    <w:abstractNumId w:val="10"/>
    <w:lvlOverride w:ilvl="0">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start w:val="1"/>
        <w:numFmt w:val="decimal"/>
        <w:lvlText w:val="%1.%2"/>
        <w:lvlJc w:val="left"/>
        <w:pPr>
          <w:ind w:left="964" w:hanging="964"/>
        </w:pPr>
        <w:rPr>
          <w:rFonts w:hint="default"/>
        </w:rPr>
      </w:lvl>
    </w:lvlOverride>
    <w:lvlOverride w:ilvl="2">
      <w:lvl w:ilvl="2">
        <w:start w:val="1"/>
        <w:numFmt w:val="decimal"/>
        <w:lvlText w:val="%1.%2.%3"/>
        <w:lvlJc w:val="left"/>
        <w:pPr>
          <w:ind w:left="964" w:hanging="964"/>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1314063411">
    <w:abstractNumId w:val="15"/>
  </w:num>
  <w:num w:numId="8" w16cid:durableId="9570234">
    <w:abstractNumId w:val="5"/>
  </w:num>
  <w:num w:numId="9" w16cid:durableId="626202022">
    <w:abstractNumId w:val="13"/>
  </w:num>
  <w:num w:numId="10" w16cid:durableId="866915021">
    <w:abstractNumId w:val="2"/>
  </w:num>
  <w:num w:numId="11" w16cid:durableId="469250913">
    <w:abstractNumId w:val="14"/>
  </w:num>
  <w:num w:numId="12" w16cid:durableId="1656379234">
    <w:abstractNumId w:val="12"/>
  </w:num>
  <w:num w:numId="13" w16cid:durableId="1669291311">
    <w:abstractNumId w:val="0"/>
  </w:num>
  <w:num w:numId="14" w16cid:durableId="895774094">
    <w:abstractNumId w:val="6"/>
  </w:num>
  <w:num w:numId="15" w16cid:durableId="840047307">
    <w:abstractNumId w:val="1"/>
  </w:num>
  <w:num w:numId="16" w16cid:durableId="124006942">
    <w:abstractNumId w:val="19"/>
  </w:num>
  <w:num w:numId="17" w16cid:durableId="616760953">
    <w:abstractNumId w:val="20"/>
  </w:num>
  <w:num w:numId="18" w16cid:durableId="958222553">
    <w:abstractNumId w:val="17"/>
  </w:num>
  <w:num w:numId="19" w16cid:durableId="1024138352">
    <w:abstractNumId w:val="4"/>
  </w:num>
  <w:num w:numId="20" w16cid:durableId="2089377011">
    <w:abstractNumId w:val="8"/>
  </w:num>
  <w:num w:numId="21" w16cid:durableId="2124298874">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7D4"/>
    <w:rsid w:val="0000019E"/>
    <w:rsid w:val="00000A45"/>
    <w:rsid w:val="00000AD2"/>
    <w:rsid w:val="00000CBB"/>
    <w:rsid w:val="00000DA8"/>
    <w:rsid w:val="00001182"/>
    <w:rsid w:val="00001209"/>
    <w:rsid w:val="00001428"/>
    <w:rsid w:val="0000172F"/>
    <w:rsid w:val="000017CC"/>
    <w:rsid w:val="00001B11"/>
    <w:rsid w:val="00001BD7"/>
    <w:rsid w:val="00001FAF"/>
    <w:rsid w:val="000021B3"/>
    <w:rsid w:val="0000254F"/>
    <w:rsid w:val="0000268E"/>
    <w:rsid w:val="000027E3"/>
    <w:rsid w:val="00002954"/>
    <w:rsid w:val="00002C2D"/>
    <w:rsid w:val="0000317A"/>
    <w:rsid w:val="00003248"/>
    <w:rsid w:val="00003556"/>
    <w:rsid w:val="00003B78"/>
    <w:rsid w:val="00003D5E"/>
    <w:rsid w:val="00003E95"/>
    <w:rsid w:val="00004418"/>
    <w:rsid w:val="0000442E"/>
    <w:rsid w:val="00004698"/>
    <w:rsid w:val="000046AE"/>
    <w:rsid w:val="00004775"/>
    <w:rsid w:val="00004A01"/>
    <w:rsid w:val="00004CEF"/>
    <w:rsid w:val="00004D9E"/>
    <w:rsid w:val="000057F8"/>
    <w:rsid w:val="00005983"/>
    <w:rsid w:val="00005AAE"/>
    <w:rsid w:val="00005F32"/>
    <w:rsid w:val="000062B3"/>
    <w:rsid w:val="0000631D"/>
    <w:rsid w:val="00006556"/>
    <w:rsid w:val="00006689"/>
    <w:rsid w:val="0000676A"/>
    <w:rsid w:val="00006913"/>
    <w:rsid w:val="00006C72"/>
    <w:rsid w:val="00007163"/>
    <w:rsid w:val="00007369"/>
    <w:rsid w:val="0000763B"/>
    <w:rsid w:val="000079B6"/>
    <w:rsid w:val="00007AF8"/>
    <w:rsid w:val="00007C67"/>
    <w:rsid w:val="00007DFD"/>
    <w:rsid w:val="00007FE4"/>
    <w:rsid w:val="00010450"/>
    <w:rsid w:val="0001065D"/>
    <w:rsid w:val="0001075E"/>
    <w:rsid w:val="0001088A"/>
    <w:rsid w:val="00010C0B"/>
    <w:rsid w:val="000117C0"/>
    <w:rsid w:val="00011B6E"/>
    <w:rsid w:val="00011B77"/>
    <w:rsid w:val="00011DA8"/>
    <w:rsid w:val="00011F2F"/>
    <w:rsid w:val="0001200D"/>
    <w:rsid w:val="000123FA"/>
    <w:rsid w:val="00012409"/>
    <w:rsid w:val="00012649"/>
    <w:rsid w:val="0001293B"/>
    <w:rsid w:val="00012ABC"/>
    <w:rsid w:val="00013072"/>
    <w:rsid w:val="000135BB"/>
    <w:rsid w:val="00013EDB"/>
    <w:rsid w:val="00013F50"/>
    <w:rsid w:val="00014011"/>
    <w:rsid w:val="00014367"/>
    <w:rsid w:val="00014657"/>
    <w:rsid w:val="0001469F"/>
    <w:rsid w:val="0001483C"/>
    <w:rsid w:val="00014FF8"/>
    <w:rsid w:val="0001500E"/>
    <w:rsid w:val="000153B4"/>
    <w:rsid w:val="000153CB"/>
    <w:rsid w:val="000154EE"/>
    <w:rsid w:val="00015527"/>
    <w:rsid w:val="000156FB"/>
    <w:rsid w:val="000158FD"/>
    <w:rsid w:val="00015952"/>
    <w:rsid w:val="00015E35"/>
    <w:rsid w:val="00015F87"/>
    <w:rsid w:val="00015FB9"/>
    <w:rsid w:val="0001624C"/>
    <w:rsid w:val="00016299"/>
    <w:rsid w:val="000162A3"/>
    <w:rsid w:val="000166F0"/>
    <w:rsid w:val="0001670D"/>
    <w:rsid w:val="000168F5"/>
    <w:rsid w:val="00016985"/>
    <w:rsid w:val="00016B13"/>
    <w:rsid w:val="00016C74"/>
    <w:rsid w:val="00016D2F"/>
    <w:rsid w:val="00016F67"/>
    <w:rsid w:val="00017758"/>
    <w:rsid w:val="0001780F"/>
    <w:rsid w:val="00017993"/>
    <w:rsid w:val="00017D21"/>
    <w:rsid w:val="00020361"/>
    <w:rsid w:val="000203AF"/>
    <w:rsid w:val="000205C8"/>
    <w:rsid w:val="000206B2"/>
    <w:rsid w:val="00020D83"/>
    <w:rsid w:val="00021052"/>
    <w:rsid w:val="000215FE"/>
    <w:rsid w:val="00021611"/>
    <w:rsid w:val="00021781"/>
    <w:rsid w:val="00021812"/>
    <w:rsid w:val="00021AC9"/>
    <w:rsid w:val="00021C14"/>
    <w:rsid w:val="00022015"/>
    <w:rsid w:val="0002205A"/>
    <w:rsid w:val="00022229"/>
    <w:rsid w:val="00022385"/>
    <w:rsid w:val="000223B2"/>
    <w:rsid w:val="000225DD"/>
    <w:rsid w:val="00022711"/>
    <w:rsid w:val="00022A86"/>
    <w:rsid w:val="00022B59"/>
    <w:rsid w:val="00022F31"/>
    <w:rsid w:val="0002323F"/>
    <w:rsid w:val="0002324A"/>
    <w:rsid w:val="00023448"/>
    <w:rsid w:val="00023A08"/>
    <w:rsid w:val="00023C39"/>
    <w:rsid w:val="00024183"/>
    <w:rsid w:val="00024BEC"/>
    <w:rsid w:val="000251D9"/>
    <w:rsid w:val="000252A1"/>
    <w:rsid w:val="00025342"/>
    <w:rsid w:val="0002544D"/>
    <w:rsid w:val="000256FD"/>
    <w:rsid w:val="0002578D"/>
    <w:rsid w:val="00025CC0"/>
    <w:rsid w:val="00025D23"/>
    <w:rsid w:val="00025DE0"/>
    <w:rsid w:val="00025EA8"/>
    <w:rsid w:val="000260AD"/>
    <w:rsid w:val="0002670A"/>
    <w:rsid w:val="00026AC5"/>
    <w:rsid w:val="00026C7C"/>
    <w:rsid w:val="00026EDD"/>
    <w:rsid w:val="000278FE"/>
    <w:rsid w:val="00027912"/>
    <w:rsid w:val="00027C96"/>
    <w:rsid w:val="00027E54"/>
    <w:rsid w:val="0003014B"/>
    <w:rsid w:val="00030A82"/>
    <w:rsid w:val="00030B01"/>
    <w:rsid w:val="00030BB2"/>
    <w:rsid w:val="00031482"/>
    <w:rsid w:val="00031721"/>
    <w:rsid w:val="00031A7F"/>
    <w:rsid w:val="00031CC9"/>
    <w:rsid w:val="00031E4D"/>
    <w:rsid w:val="00031E8C"/>
    <w:rsid w:val="00031EAB"/>
    <w:rsid w:val="00032026"/>
    <w:rsid w:val="000321D3"/>
    <w:rsid w:val="00032248"/>
    <w:rsid w:val="00032448"/>
    <w:rsid w:val="00032843"/>
    <w:rsid w:val="00032970"/>
    <w:rsid w:val="00032C46"/>
    <w:rsid w:val="00032C70"/>
    <w:rsid w:val="00032E9D"/>
    <w:rsid w:val="00033274"/>
    <w:rsid w:val="00033672"/>
    <w:rsid w:val="00033A24"/>
    <w:rsid w:val="00033CCC"/>
    <w:rsid w:val="00033ECF"/>
    <w:rsid w:val="00033EE9"/>
    <w:rsid w:val="00034410"/>
    <w:rsid w:val="000345AE"/>
    <w:rsid w:val="0003471F"/>
    <w:rsid w:val="00034722"/>
    <w:rsid w:val="0003477F"/>
    <w:rsid w:val="00034AA1"/>
    <w:rsid w:val="00034B69"/>
    <w:rsid w:val="00034D7E"/>
    <w:rsid w:val="0003502A"/>
    <w:rsid w:val="000351F9"/>
    <w:rsid w:val="000353F0"/>
    <w:rsid w:val="0003575B"/>
    <w:rsid w:val="000357B1"/>
    <w:rsid w:val="000357BC"/>
    <w:rsid w:val="000358B6"/>
    <w:rsid w:val="00035933"/>
    <w:rsid w:val="0003593B"/>
    <w:rsid w:val="000359D2"/>
    <w:rsid w:val="00035EA6"/>
    <w:rsid w:val="00036077"/>
    <w:rsid w:val="00036356"/>
    <w:rsid w:val="000365D2"/>
    <w:rsid w:val="00036AB3"/>
    <w:rsid w:val="00036AE9"/>
    <w:rsid w:val="00036B41"/>
    <w:rsid w:val="000371AF"/>
    <w:rsid w:val="00037304"/>
    <w:rsid w:val="00037361"/>
    <w:rsid w:val="000374BF"/>
    <w:rsid w:val="000376B3"/>
    <w:rsid w:val="0003789A"/>
    <w:rsid w:val="00037972"/>
    <w:rsid w:val="00037B48"/>
    <w:rsid w:val="00037D83"/>
    <w:rsid w:val="00037F37"/>
    <w:rsid w:val="000401AE"/>
    <w:rsid w:val="0004059F"/>
    <w:rsid w:val="00040682"/>
    <w:rsid w:val="000409D2"/>
    <w:rsid w:val="00040ADB"/>
    <w:rsid w:val="00040B93"/>
    <w:rsid w:val="00040F8C"/>
    <w:rsid w:val="0004102B"/>
    <w:rsid w:val="0004108E"/>
    <w:rsid w:val="000413C0"/>
    <w:rsid w:val="000416E0"/>
    <w:rsid w:val="00041A98"/>
    <w:rsid w:val="00041BE8"/>
    <w:rsid w:val="00041EC9"/>
    <w:rsid w:val="00041F88"/>
    <w:rsid w:val="00042032"/>
    <w:rsid w:val="00042152"/>
    <w:rsid w:val="00042315"/>
    <w:rsid w:val="0004233B"/>
    <w:rsid w:val="000425ED"/>
    <w:rsid w:val="00042AF9"/>
    <w:rsid w:val="00042DC6"/>
    <w:rsid w:val="0004315E"/>
    <w:rsid w:val="00043343"/>
    <w:rsid w:val="0004338E"/>
    <w:rsid w:val="00044251"/>
    <w:rsid w:val="00044E1F"/>
    <w:rsid w:val="00044FC2"/>
    <w:rsid w:val="000457C5"/>
    <w:rsid w:val="00045A13"/>
    <w:rsid w:val="00045BF0"/>
    <w:rsid w:val="000460DD"/>
    <w:rsid w:val="000461C0"/>
    <w:rsid w:val="00046489"/>
    <w:rsid w:val="0004649E"/>
    <w:rsid w:val="0004692E"/>
    <w:rsid w:val="00046CAC"/>
    <w:rsid w:val="00047042"/>
    <w:rsid w:val="000470B2"/>
    <w:rsid w:val="000471FE"/>
    <w:rsid w:val="000472DB"/>
    <w:rsid w:val="000473E7"/>
    <w:rsid w:val="000476CE"/>
    <w:rsid w:val="0004788E"/>
    <w:rsid w:val="000478C9"/>
    <w:rsid w:val="00047936"/>
    <w:rsid w:val="000479CC"/>
    <w:rsid w:val="000504FE"/>
    <w:rsid w:val="00050654"/>
    <w:rsid w:val="00050C11"/>
    <w:rsid w:val="00050C58"/>
    <w:rsid w:val="00050FD8"/>
    <w:rsid w:val="0005111F"/>
    <w:rsid w:val="00051475"/>
    <w:rsid w:val="0005188F"/>
    <w:rsid w:val="00051A9D"/>
    <w:rsid w:val="00051B39"/>
    <w:rsid w:val="0005230F"/>
    <w:rsid w:val="00052367"/>
    <w:rsid w:val="000525C4"/>
    <w:rsid w:val="000527A4"/>
    <w:rsid w:val="00052842"/>
    <w:rsid w:val="00052967"/>
    <w:rsid w:val="000529AF"/>
    <w:rsid w:val="00052AAD"/>
    <w:rsid w:val="00052B55"/>
    <w:rsid w:val="00052BA1"/>
    <w:rsid w:val="00052BFB"/>
    <w:rsid w:val="00052FB3"/>
    <w:rsid w:val="0005341F"/>
    <w:rsid w:val="0005363E"/>
    <w:rsid w:val="000536E7"/>
    <w:rsid w:val="00053D03"/>
    <w:rsid w:val="00053E9F"/>
    <w:rsid w:val="00053FB9"/>
    <w:rsid w:val="000547FB"/>
    <w:rsid w:val="00054BBD"/>
    <w:rsid w:val="00054CBF"/>
    <w:rsid w:val="00054E30"/>
    <w:rsid w:val="00054FDB"/>
    <w:rsid w:val="00055503"/>
    <w:rsid w:val="0005590F"/>
    <w:rsid w:val="00055972"/>
    <w:rsid w:val="00055BE5"/>
    <w:rsid w:val="000562CE"/>
    <w:rsid w:val="00056DF8"/>
    <w:rsid w:val="00057418"/>
    <w:rsid w:val="0005747E"/>
    <w:rsid w:val="00057582"/>
    <w:rsid w:val="000578B7"/>
    <w:rsid w:val="00057D71"/>
    <w:rsid w:val="00057D9F"/>
    <w:rsid w:val="000600AB"/>
    <w:rsid w:val="00060462"/>
    <w:rsid w:val="000605FB"/>
    <w:rsid w:val="00060924"/>
    <w:rsid w:val="000610C3"/>
    <w:rsid w:val="000612AF"/>
    <w:rsid w:val="000613FA"/>
    <w:rsid w:val="000614B5"/>
    <w:rsid w:val="000618C3"/>
    <w:rsid w:val="00061FF2"/>
    <w:rsid w:val="0006237B"/>
    <w:rsid w:val="00062C36"/>
    <w:rsid w:val="00062FC3"/>
    <w:rsid w:val="000631C5"/>
    <w:rsid w:val="000633B2"/>
    <w:rsid w:val="00063634"/>
    <w:rsid w:val="000637D1"/>
    <w:rsid w:val="00063914"/>
    <w:rsid w:val="00063AEB"/>
    <w:rsid w:val="00063F22"/>
    <w:rsid w:val="00063F30"/>
    <w:rsid w:val="0006419A"/>
    <w:rsid w:val="000641EC"/>
    <w:rsid w:val="00064974"/>
    <w:rsid w:val="000649BD"/>
    <w:rsid w:val="00064B43"/>
    <w:rsid w:val="00064B84"/>
    <w:rsid w:val="00065333"/>
    <w:rsid w:val="000653F4"/>
    <w:rsid w:val="0006544B"/>
    <w:rsid w:val="000655A4"/>
    <w:rsid w:val="000655AE"/>
    <w:rsid w:val="000656B4"/>
    <w:rsid w:val="00065795"/>
    <w:rsid w:val="000657DC"/>
    <w:rsid w:val="00065892"/>
    <w:rsid w:val="00065C80"/>
    <w:rsid w:val="00065CC8"/>
    <w:rsid w:val="00065CD2"/>
    <w:rsid w:val="000660DF"/>
    <w:rsid w:val="000662A5"/>
    <w:rsid w:val="000662DF"/>
    <w:rsid w:val="00066423"/>
    <w:rsid w:val="00066579"/>
    <w:rsid w:val="00066A1B"/>
    <w:rsid w:val="00066BDB"/>
    <w:rsid w:val="00067093"/>
    <w:rsid w:val="000671C8"/>
    <w:rsid w:val="0006759B"/>
    <w:rsid w:val="00067607"/>
    <w:rsid w:val="00070139"/>
    <w:rsid w:val="00070250"/>
    <w:rsid w:val="000703D7"/>
    <w:rsid w:val="00070495"/>
    <w:rsid w:val="00070496"/>
    <w:rsid w:val="000704EF"/>
    <w:rsid w:val="000705DB"/>
    <w:rsid w:val="00070A47"/>
    <w:rsid w:val="00070D8A"/>
    <w:rsid w:val="00070DD0"/>
    <w:rsid w:val="0007164E"/>
    <w:rsid w:val="0007169E"/>
    <w:rsid w:val="00071A0F"/>
    <w:rsid w:val="00071A7D"/>
    <w:rsid w:val="00071B18"/>
    <w:rsid w:val="00071C22"/>
    <w:rsid w:val="00072020"/>
    <w:rsid w:val="000720A4"/>
    <w:rsid w:val="000727EC"/>
    <w:rsid w:val="00072908"/>
    <w:rsid w:val="00072A87"/>
    <w:rsid w:val="00072B95"/>
    <w:rsid w:val="00072E8E"/>
    <w:rsid w:val="000730A5"/>
    <w:rsid w:val="000731C2"/>
    <w:rsid w:val="000737B0"/>
    <w:rsid w:val="00073BC3"/>
    <w:rsid w:val="00073D06"/>
    <w:rsid w:val="00073DC5"/>
    <w:rsid w:val="00073DEE"/>
    <w:rsid w:val="0007451F"/>
    <w:rsid w:val="00074764"/>
    <w:rsid w:val="00074ABF"/>
    <w:rsid w:val="00074C89"/>
    <w:rsid w:val="00074C9A"/>
    <w:rsid w:val="00074D21"/>
    <w:rsid w:val="0007507A"/>
    <w:rsid w:val="00075110"/>
    <w:rsid w:val="00075154"/>
    <w:rsid w:val="000751DC"/>
    <w:rsid w:val="000753B7"/>
    <w:rsid w:val="000754C3"/>
    <w:rsid w:val="00075519"/>
    <w:rsid w:val="0007563B"/>
    <w:rsid w:val="00075649"/>
    <w:rsid w:val="00075B42"/>
    <w:rsid w:val="00076181"/>
    <w:rsid w:val="00076201"/>
    <w:rsid w:val="00076A63"/>
    <w:rsid w:val="00076AF8"/>
    <w:rsid w:val="0007728E"/>
    <w:rsid w:val="00077497"/>
    <w:rsid w:val="00077650"/>
    <w:rsid w:val="000777B0"/>
    <w:rsid w:val="000778BD"/>
    <w:rsid w:val="00077B15"/>
    <w:rsid w:val="00077C2E"/>
    <w:rsid w:val="00077D23"/>
    <w:rsid w:val="000803DD"/>
    <w:rsid w:val="000804D4"/>
    <w:rsid w:val="000805F3"/>
    <w:rsid w:val="0008093C"/>
    <w:rsid w:val="00080C84"/>
    <w:rsid w:val="00080EC1"/>
    <w:rsid w:val="00081151"/>
    <w:rsid w:val="00081191"/>
    <w:rsid w:val="0008121C"/>
    <w:rsid w:val="000813B1"/>
    <w:rsid w:val="00081511"/>
    <w:rsid w:val="00081620"/>
    <w:rsid w:val="000817D6"/>
    <w:rsid w:val="000817EE"/>
    <w:rsid w:val="00081823"/>
    <w:rsid w:val="000819B8"/>
    <w:rsid w:val="000819D2"/>
    <w:rsid w:val="00081E6C"/>
    <w:rsid w:val="00081ED4"/>
    <w:rsid w:val="000825AE"/>
    <w:rsid w:val="00082757"/>
    <w:rsid w:val="00082BC2"/>
    <w:rsid w:val="00082DD0"/>
    <w:rsid w:val="00082E66"/>
    <w:rsid w:val="00082F16"/>
    <w:rsid w:val="0008316B"/>
    <w:rsid w:val="000834AC"/>
    <w:rsid w:val="00083744"/>
    <w:rsid w:val="0008396D"/>
    <w:rsid w:val="00083B3B"/>
    <w:rsid w:val="00083C23"/>
    <w:rsid w:val="00083C61"/>
    <w:rsid w:val="00083F0F"/>
    <w:rsid w:val="00083FCD"/>
    <w:rsid w:val="00084543"/>
    <w:rsid w:val="00084B70"/>
    <w:rsid w:val="00084BDC"/>
    <w:rsid w:val="00084D37"/>
    <w:rsid w:val="00084D78"/>
    <w:rsid w:val="00084DA4"/>
    <w:rsid w:val="00085122"/>
    <w:rsid w:val="0008533F"/>
    <w:rsid w:val="0008557D"/>
    <w:rsid w:val="0008579F"/>
    <w:rsid w:val="000857F1"/>
    <w:rsid w:val="00085833"/>
    <w:rsid w:val="0008599F"/>
    <w:rsid w:val="00085AC7"/>
    <w:rsid w:val="00085AC8"/>
    <w:rsid w:val="00085C00"/>
    <w:rsid w:val="00085CE9"/>
    <w:rsid w:val="00085EEB"/>
    <w:rsid w:val="00085F29"/>
    <w:rsid w:val="00085FCA"/>
    <w:rsid w:val="00086086"/>
    <w:rsid w:val="00086167"/>
    <w:rsid w:val="000861D5"/>
    <w:rsid w:val="00086594"/>
    <w:rsid w:val="000868A6"/>
    <w:rsid w:val="000869AB"/>
    <w:rsid w:val="00086B5A"/>
    <w:rsid w:val="00086DAC"/>
    <w:rsid w:val="00086ECC"/>
    <w:rsid w:val="00086F0F"/>
    <w:rsid w:val="000870D6"/>
    <w:rsid w:val="0008722B"/>
    <w:rsid w:val="000874E5"/>
    <w:rsid w:val="00087599"/>
    <w:rsid w:val="00087B6D"/>
    <w:rsid w:val="00087C1E"/>
    <w:rsid w:val="00087DBB"/>
    <w:rsid w:val="00087FE9"/>
    <w:rsid w:val="000904C6"/>
    <w:rsid w:val="000905C0"/>
    <w:rsid w:val="00090680"/>
    <w:rsid w:val="0009082F"/>
    <w:rsid w:val="0009083C"/>
    <w:rsid w:val="00090B40"/>
    <w:rsid w:val="00090C02"/>
    <w:rsid w:val="00090CA2"/>
    <w:rsid w:val="00090CA6"/>
    <w:rsid w:val="00090EDE"/>
    <w:rsid w:val="0009119D"/>
    <w:rsid w:val="000911CF"/>
    <w:rsid w:val="00091632"/>
    <w:rsid w:val="00091868"/>
    <w:rsid w:val="00091FDE"/>
    <w:rsid w:val="00092472"/>
    <w:rsid w:val="00092524"/>
    <w:rsid w:val="0009267A"/>
    <w:rsid w:val="00092730"/>
    <w:rsid w:val="0009275A"/>
    <w:rsid w:val="00092903"/>
    <w:rsid w:val="00092B60"/>
    <w:rsid w:val="00092C17"/>
    <w:rsid w:val="00092EAE"/>
    <w:rsid w:val="000930AF"/>
    <w:rsid w:val="0009320D"/>
    <w:rsid w:val="000933A3"/>
    <w:rsid w:val="00093B70"/>
    <w:rsid w:val="00093D17"/>
    <w:rsid w:val="0009417E"/>
    <w:rsid w:val="000941F9"/>
    <w:rsid w:val="00094A05"/>
    <w:rsid w:val="00094D73"/>
    <w:rsid w:val="0009529A"/>
    <w:rsid w:val="00095344"/>
    <w:rsid w:val="00095348"/>
    <w:rsid w:val="000954C8"/>
    <w:rsid w:val="000956F6"/>
    <w:rsid w:val="00095A60"/>
    <w:rsid w:val="00095B94"/>
    <w:rsid w:val="00095EE4"/>
    <w:rsid w:val="00096192"/>
    <w:rsid w:val="00096385"/>
    <w:rsid w:val="0009651C"/>
    <w:rsid w:val="00096665"/>
    <w:rsid w:val="00097039"/>
    <w:rsid w:val="000974A5"/>
    <w:rsid w:val="00097563"/>
    <w:rsid w:val="00097FA8"/>
    <w:rsid w:val="00097FC0"/>
    <w:rsid w:val="000A0167"/>
    <w:rsid w:val="000A0169"/>
    <w:rsid w:val="000A019A"/>
    <w:rsid w:val="000A025A"/>
    <w:rsid w:val="000A028F"/>
    <w:rsid w:val="000A08FA"/>
    <w:rsid w:val="000A0992"/>
    <w:rsid w:val="000A1134"/>
    <w:rsid w:val="000A14E9"/>
    <w:rsid w:val="000A1967"/>
    <w:rsid w:val="000A19FD"/>
    <w:rsid w:val="000A1C7D"/>
    <w:rsid w:val="000A1D5D"/>
    <w:rsid w:val="000A1FD1"/>
    <w:rsid w:val="000A20C4"/>
    <w:rsid w:val="000A2294"/>
    <w:rsid w:val="000A2776"/>
    <w:rsid w:val="000A279C"/>
    <w:rsid w:val="000A287B"/>
    <w:rsid w:val="000A298C"/>
    <w:rsid w:val="000A2C27"/>
    <w:rsid w:val="000A2C87"/>
    <w:rsid w:val="000A2FBF"/>
    <w:rsid w:val="000A31CE"/>
    <w:rsid w:val="000A321D"/>
    <w:rsid w:val="000A354C"/>
    <w:rsid w:val="000A36FD"/>
    <w:rsid w:val="000A3D1C"/>
    <w:rsid w:val="000A3EA2"/>
    <w:rsid w:val="000A3EE4"/>
    <w:rsid w:val="000A408E"/>
    <w:rsid w:val="000A4839"/>
    <w:rsid w:val="000A49CC"/>
    <w:rsid w:val="000A4C3B"/>
    <w:rsid w:val="000A5209"/>
    <w:rsid w:val="000A5663"/>
    <w:rsid w:val="000A5825"/>
    <w:rsid w:val="000A5E72"/>
    <w:rsid w:val="000A603B"/>
    <w:rsid w:val="000A6053"/>
    <w:rsid w:val="000A637F"/>
    <w:rsid w:val="000A68B5"/>
    <w:rsid w:val="000A6942"/>
    <w:rsid w:val="000A6C47"/>
    <w:rsid w:val="000A6D0C"/>
    <w:rsid w:val="000A6E62"/>
    <w:rsid w:val="000A71D0"/>
    <w:rsid w:val="000A757A"/>
    <w:rsid w:val="000A7AAF"/>
    <w:rsid w:val="000A7C48"/>
    <w:rsid w:val="000B02BB"/>
    <w:rsid w:val="000B0391"/>
    <w:rsid w:val="000B053B"/>
    <w:rsid w:val="000B072B"/>
    <w:rsid w:val="000B0A1B"/>
    <w:rsid w:val="000B0EB7"/>
    <w:rsid w:val="000B10FD"/>
    <w:rsid w:val="000B13BF"/>
    <w:rsid w:val="000B1461"/>
    <w:rsid w:val="000B16E3"/>
    <w:rsid w:val="000B19A1"/>
    <w:rsid w:val="000B1D02"/>
    <w:rsid w:val="000B1FF0"/>
    <w:rsid w:val="000B2110"/>
    <w:rsid w:val="000B2154"/>
    <w:rsid w:val="000B2312"/>
    <w:rsid w:val="000B237E"/>
    <w:rsid w:val="000B267E"/>
    <w:rsid w:val="000B2773"/>
    <w:rsid w:val="000B2D0D"/>
    <w:rsid w:val="000B338D"/>
    <w:rsid w:val="000B33A6"/>
    <w:rsid w:val="000B3506"/>
    <w:rsid w:val="000B3536"/>
    <w:rsid w:val="000B365D"/>
    <w:rsid w:val="000B3663"/>
    <w:rsid w:val="000B3F7A"/>
    <w:rsid w:val="000B41AA"/>
    <w:rsid w:val="000B422F"/>
    <w:rsid w:val="000B4517"/>
    <w:rsid w:val="000B4522"/>
    <w:rsid w:val="000B45B0"/>
    <w:rsid w:val="000B45E7"/>
    <w:rsid w:val="000B4C11"/>
    <w:rsid w:val="000B4C23"/>
    <w:rsid w:val="000B4F1E"/>
    <w:rsid w:val="000B4F67"/>
    <w:rsid w:val="000B52B0"/>
    <w:rsid w:val="000B54CB"/>
    <w:rsid w:val="000B54CE"/>
    <w:rsid w:val="000B5E59"/>
    <w:rsid w:val="000B5F65"/>
    <w:rsid w:val="000B6044"/>
    <w:rsid w:val="000B6144"/>
    <w:rsid w:val="000B63E4"/>
    <w:rsid w:val="000B6448"/>
    <w:rsid w:val="000B68D0"/>
    <w:rsid w:val="000B6AE5"/>
    <w:rsid w:val="000B6BF8"/>
    <w:rsid w:val="000B6EA9"/>
    <w:rsid w:val="000B6EB3"/>
    <w:rsid w:val="000B7320"/>
    <w:rsid w:val="000B7574"/>
    <w:rsid w:val="000B7B21"/>
    <w:rsid w:val="000B7CE0"/>
    <w:rsid w:val="000B7E50"/>
    <w:rsid w:val="000C008A"/>
    <w:rsid w:val="000C08BA"/>
    <w:rsid w:val="000C098D"/>
    <w:rsid w:val="000C0BCE"/>
    <w:rsid w:val="000C0C35"/>
    <w:rsid w:val="000C0C3D"/>
    <w:rsid w:val="000C0DAD"/>
    <w:rsid w:val="000C125D"/>
    <w:rsid w:val="000C1345"/>
    <w:rsid w:val="000C146F"/>
    <w:rsid w:val="000C162E"/>
    <w:rsid w:val="000C16B9"/>
    <w:rsid w:val="000C1A57"/>
    <w:rsid w:val="000C2178"/>
    <w:rsid w:val="000C2284"/>
    <w:rsid w:val="000C24E2"/>
    <w:rsid w:val="000C2717"/>
    <w:rsid w:val="000C2782"/>
    <w:rsid w:val="000C29ED"/>
    <w:rsid w:val="000C2A5E"/>
    <w:rsid w:val="000C2F85"/>
    <w:rsid w:val="000C3298"/>
    <w:rsid w:val="000C3366"/>
    <w:rsid w:val="000C35B4"/>
    <w:rsid w:val="000C3914"/>
    <w:rsid w:val="000C3BA3"/>
    <w:rsid w:val="000C3E38"/>
    <w:rsid w:val="000C4081"/>
    <w:rsid w:val="000C408C"/>
    <w:rsid w:val="000C40A5"/>
    <w:rsid w:val="000C41AC"/>
    <w:rsid w:val="000C49D0"/>
    <w:rsid w:val="000C49D8"/>
    <w:rsid w:val="000C4D25"/>
    <w:rsid w:val="000C5170"/>
    <w:rsid w:val="000C51A6"/>
    <w:rsid w:val="000C5349"/>
    <w:rsid w:val="000C5B18"/>
    <w:rsid w:val="000C5D8D"/>
    <w:rsid w:val="000C5DA4"/>
    <w:rsid w:val="000C66A5"/>
    <w:rsid w:val="000C69DC"/>
    <w:rsid w:val="000C6B03"/>
    <w:rsid w:val="000C6C86"/>
    <w:rsid w:val="000C6FBA"/>
    <w:rsid w:val="000C735D"/>
    <w:rsid w:val="000C7427"/>
    <w:rsid w:val="000C7686"/>
    <w:rsid w:val="000C791A"/>
    <w:rsid w:val="000D0030"/>
    <w:rsid w:val="000D00D7"/>
    <w:rsid w:val="000D010E"/>
    <w:rsid w:val="000D0207"/>
    <w:rsid w:val="000D02AD"/>
    <w:rsid w:val="000D078E"/>
    <w:rsid w:val="000D0CAD"/>
    <w:rsid w:val="000D0CE5"/>
    <w:rsid w:val="000D0CF2"/>
    <w:rsid w:val="000D11BF"/>
    <w:rsid w:val="000D19A4"/>
    <w:rsid w:val="000D1CB6"/>
    <w:rsid w:val="000D24BF"/>
    <w:rsid w:val="000D2641"/>
    <w:rsid w:val="000D2961"/>
    <w:rsid w:val="000D308F"/>
    <w:rsid w:val="000D30C1"/>
    <w:rsid w:val="000D3444"/>
    <w:rsid w:val="000D3648"/>
    <w:rsid w:val="000D37B8"/>
    <w:rsid w:val="000D3D51"/>
    <w:rsid w:val="000D3EC5"/>
    <w:rsid w:val="000D4378"/>
    <w:rsid w:val="000D44D9"/>
    <w:rsid w:val="000D4598"/>
    <w:rsid w:val="000D49E6"/>
    <w:rsid w:val="000D4B0B"/>
    <w:rsid w:val="000D4C93"/>
    <w:rsid w:val="000D51E8"/>
    <w:rsid w:val="000D54E2"/>
    <w:rsid w:val="000D5588"/>
    <w:rsid w:val="000D56E0"/>
    <w:rsid w:val="000D5B0A"/>
    <w:rsid w:val="000D5F50"/>
    <w:rsid w:val="000D6170"/>
    <w:rsid w:val="000D6219"/>
    <w:rsid w:val="000D62E5"/>
    <w:rsid w:val="000D67CD"/>
    <w:rsid w:val="000D68B5"/>
    <w:rsid w:val="000D690D"/>
    <w:rsid w:val="000D6C86"/>
    <w:rsid w:val="000D6F29"/>
    <w:rsid w:val="000D7011"/>
    <w:rsid w:val="000D7289"/>
    <w:rsid w:val="000D72B9"/>
    <w:rsid w:val="000D74F0"/>
    <w:rsid w:val="000D7669"/>
    <w:rsid w:val="000D76F8"/>
    <w:rsid w:val="000D77B9"/>
    <w:rsid w:val="000D7CF2"/>
    <w:rsid w:val="000D7E5A"/>
    <w:rsid w:val="000E0096"/>
    <w:rsid w:val="000E00E7"/>
    <w:rsid w:val="000E034B"/>
    <w:rsid w:val="000E0556"/>
    <w:rsid w:val="000E094C"/>
    <w:rsid w:val="000E0A00"/>
    <w:rsid w:val="000E0A17"/>
    <w:rsid w:val="000E0B5B"/>
    <w:rsid w:val="000E12D3"/>
    <w:rsid w:val="000E159A"/>
    <w:rsid w:val="000E1F5D"/>
    <w:rsid w:val="000E20FC"/>
    <w:rsid w:val="000E2432"/>
    <w:rsid w:val="000E29E4"/>
    <w:rsid w:val="000E29E9"/>
    <w:rsid w:val="000E2B42"/>
    <w:rsid w:val="000E2D43"/>
    <w:rsid w:val="000E2EA0"/>
    <w:rsid w:val="000E34BB"/>
    <w:rsid w:val="000E35D8"/>
    <w:rsid w:val="000E3B76"/>
    <w:rsid w:val="000E43A2"/>
    <w:rsid w:val="000E4450"/>
    <w:rsid w:val="000E4533"/>
    <w:rsid w:val="000E4592"/>
    <w:rsid w:val="000E476F"/>
    <w:rsid w:val="000E4AB7"/>
    <w:rsid w:val="000E4CB8"/>
    <w:rsid w:val="000E4E03"/>
    <w:rsid w:val="000E4EB8"/>
    <w:rsid w:val="000E4FB7"/>
    <w:rsid w:val="000E513A"/>
    <w:rsid w:val="000E52F1"/>
    <w:rsid w:val="000E5773"/>
    <w:rsid w:val="000E5C91"/>
    <w:rsid w:val="000E5F28"/>
    <w:rsid w:val="000E6081"/>
    <w:rsid w:val="000E60E1"/>
    <w:rsid w:val="000E636C"/>
    <w:rsid w:val="000E671B"/>
    <w:rsid w:val="000E693D"/>
    <w:rsid w:val="000E6A76"/>
    <w:rsid w:val="000E6A7E"/>
    <w:rsid w:val="000E6AAE"/>
    <w:rsid w:val="000E6ED2"/>
    <w:rsid w:val="000E6FA9"/>
    <w:rsid w:val="000E6FD2"/>
    <w:rsid w:val="000E71CF"/>
    <w:rsid w:val="000E750D"/>
    <w:rsid w:val="000E7614"/>
    <w:rsid w:val="000E78BA"/>
    <w:rsid w:val="000E7A4B"/>
    <w:rsid w:val="000E7CD9"/>
    <w:rsid w:val="000E7DA4"/>
    <w:rsid w:val="000E7E4F"/>
    <w:rsid w:val="000E7FB6"/>
    <w:rsid w:val="000F02AA"/>
    <w:rsid w:val="000F054C"/>
    <w:rsid w:val="000F090C"/>
    <w:rsid w:val="000F0928"/>
    <w:rsid w:val="000F0B4F"/>
    <w:rsid w:val="000F0CBD"/>
    <w:rsid w:val="000F12A8"/>
    <w:rsid w:val="000F12D0"/>
    <w:rsid w:val="000F1630"/>
    <w:rsid w:val="000F1900"/>
    <w:rsid w:val="000F1AC8"/>
    <w:rsid w:val="000F1EA8"/>
    <w:rsid w:val="000F20BB"/>
    <w:rsid w:val="000F2194"/>
    <w:rsid w:val="000F23BD"/>
    <w:rsid w:val="000F2416"/>
    <w:rsid w:val="000F26B5"/>
    <w:rsid w:val="000F2A5F"/>
    <w:rsid w:val="000F2ACD"/>
    <w:rsid w:val="000F2BB2"/>
    <w:rsid w:val="000F2F52"/>
    <w:rsid w:val="000F327A"/>
    <w:rsid w:val="000F335A"/>
    <w:rsid w:val="000F3C33"/>
    <w:rsid w:val="000F4330"/>
    <w:rsid w:val="000F4380"/>
    <w:rsid w:val="000F4399"/>
    <w:rsid w:val="000F44EA"/>
    <w:rsid w:val="000F4C23"/>
    <w:rsid w:val="000F4F1B"/>
    <w:rsid w:val="000F5082"/>
    <w:rsid w:val="000F53BF"/>
    <w:rsid w:val="000F5538"/>
    <w:rsid w:val="000F5A68"/>
    <w:rsid w:val="000F5AF5"/>
    <w:rsid w:val="000F5BE8"/>
    <w:rsid w:val="000F5CD0"/>
    <w:rsid w:val="000F63EB"/>
    <w:rsid w:val="000F660E"/>
    <w:rsid w:val="000F6C1A"/>
    <w:rsid w:val="000F7215"/>
    <w:rsid w:val="000F7316"/>
    <w:rsid w:val="000F7E6B"/>
    <w:rsid w:val="000F7FC5"/>
    <w:rsid w:val="00100A04"/>
    <w:rsid w:val="00100AA5"/>
    <w:rsid w:val="00100BF6"/>
    <w:rsid w:val="00100DF2"/>
    <w:rsid w:val="00100E2A"/>
    <w:rsid w:val="00100F00"/>
    <w:rsid w:val="00101026"/>
    <w:rsid w:val="001010A8"/>
    <w:rsid w:val="001014C5"/>
    <w:rsid w:val="00101614"/>
    <w:rsid w:val="0010162B"/>
    <w:rsid w:val="0010168A"/>
    <w:rsid w:val="00101713"/>
    <w:rsid w:val="00101798"/>
    <w:rsid w:val="00101B7B"/>
    <w:rsid w:val="00101D35"/>
    <w:rsid w:val="00101D39"/>
    <w:rsid w:val="00101EB9"/>
    <w:rsid w:val="0010221A"/>
    <w:rsid w:val="00102245"/>
    <w:rsid w:val="001022C2"/>
    <w:rsid w:val="0010267C"/>
    <w:rsid w:val="00102A2F"/>
    <w:rsid w:val="00102CDE"/>
    <w:rsid w:val="00103119"/>
    <w:rsid w:val="00103128"/>
    <w:rsid w:val="001033A2"/>
    <w:rsid w:val="00103511"/>
    <w:rsid w:val="0010362A"/>
    <w:rsid w:val="00103655"/>
    <w:rsid w:val="00103774"/>
    <w:rsid w:val="00103803"/>
    <w:rsid w:val="00103D14"/>
    <w:rsid w:val="00103D87"/>
    <w:rsid w:val="00103E0D"/>
    <w:rsid w:val="001040A8"/>
    <w:rsid w:val="001043A9"/>
    <w:rsid w:val="001046EE"/>
    <w:rsid w:val="00104D32"/>
    <w:rsid w:val="00104EFE"/>
    <w:rsid w:val="00104F26"/>
    <w:rsid w:val="0010522F"/>
    <w:rsid w:val="0010535C"/>
    <w:rsid w:val="0010536F"/>
    <w:rsid w:val="0010549F"/>
    <w:rsid w:val="001056B4"/>
    <w:rsid w:val="001059EF"/>
    <w:rsid w:val="00105E39"/>
    <w:rsid w:val="00106024"/>
    <w:rsid w:val="00106093"/>
    <w:rsid w:val="0010612D"/>
    <w:rsid w:val="00106194"/>
    <w:rsid w:val="0010634B"/>
    <w:rsid w:val="0010653E"/>
    <w:rsid w:val="001067DB"/>
    <w:rsid w:val="00106A5A"/>
    <w:rsid w:val="00106C5C"/>
    <w:rsid w:val="00107213"/>
    <w:rsid w:val="00107306"/>
    <w:rsid w:val="00107425"/>
    <w:rsid w:val="0010743E"/>
    <w:rsid w:val="00107522"/>
    <w:rsid w:val="00107805"/>
    <w:rsid w:val="0010785C"/>
    <w:rsid w:val="001078E7"/>
    <w:rsid w:val="0010795F"/>
    <w:rsid w:val="00107D66"/>
    <w:rsid w:val="0011002C"/>
    <w:rsid w:val="0011009E"/>
    <w:rsid w:val="00110262"/>
    <w:rsid w:val="001102BA"/>
    <w:rsid w:val="00110544"/>
    <w:rsid w:val="00110594"/>
    <w:rsid w:val="001106A6"/>
    <w:rsid w:val="00110751"/>
    <w:rsid w:val="00110838"/>
    <w:rsid w:val="00110E0B"/>
    <w:rsid w:val="00110EC7"/>
    <w:rsid w:val="00110F04"/>
    <w:rsid w:val="001110B6"/>
    <w:rsid w:val="0011135D"/>
    <w:rsid w:val="00111827"/>
    <w:rsid w:val="001118A2"/>
    <w:rsid w:val="00111C4D"/>
    <w:rsid w:val="00111C80"/>
    <w:rsid w:val="00112091"/>
    <w:rsid w:val="0011225D"/>
    <w:rsid w:val="00112264"/>
    <w:rsid w:val="00112A41"/>
    <w:rsid w:val="00112B28"/>
    <w:rsid w:val="00112C0B"/>
    <w:rsid w:val="00112EC7"/>
    <w:rsid w:val="00113045"/>
    <w:rsid w:val="001131B7"/>
    <w:rsid w:val="0011334C"/>
    <w:rsid w:val="001136DF"/>
    <w:rsid w:val="001138A6"/>
    <w:rsid w:val="00113909"/>
    <w:rsid w:val="00113B13"/>
    <w:rsid w:val="00113F0F"/>
    <w:rsid w:val="00113FB3"/>
    <w:rsid w:val="00114002"/>
    <w:rsid w:val="00114064"/>
    <w:rsid w:val="001140DD"/>
    <w:rsid w:val="0011414E"/>
    <w:rsid w:val="00114170"/>
    <w:rsid w:val="0011436F"/>
    <w:rsid w:val="00114DAE"/>
    <w:rsid w:val="00115217"/>
    <w:rsid w:val="00115500"/>
    <w:rsid w:val="001156B0"/>
    <w:rsid w:val="001158EC"/>
    <w:rsid w:val="00115912"/>
    <w:rsid w:val="001160B0"/>
    <w:rsid w:val="00116415"/>
    <w:rsid w:val="001164FA"/>
    <w:rsid w:val="00116937"/>
    <w:rsid w:val="00116A94"/>
    <w:rsid w:val="00116E99"/>
    <w:rsid w:val="0011712D"/>
    <w:rsid w:val="00117FFD"/>
    <w:rsid w:val="00120372"/>
    <w:rsid w:val="001203D8"/>
    <w:rsid w:val="0012061A"/>
    <w:rsid w:val="0012081A"/>
    <w:rsid w:val="001209B7"/>
    <w:rsid w:val="00120B16"/>
    <w:rsid w:val="0012120A"/>
    <w:rsid w:val="0012188E"/>
    <w:rsid w:val="00121C4F"/>
    <w:rsid w:val="00121CF4"/>
    <w:rsid w:val="00121DF4"/>
    <w:rsid w:val="00121E05"/>
    <w:rsid w:val="00121F81"/>
    <w:rsid w:val="00122108"/>
    <w:rsid w:val="00122777"/>
    <w:rsid w:val="00122C73"/>
    <w:rsid w:val="00123033"/>
    <w:rsid w:val="001232F6"/>
    <w:rsid w:val="00123699"/>
    <w:rsid w:val="00123B5D"/>
    <w:rsid w:val="0012488E"/>
    <w:rsid w:val="00124962"/>
    <w:rsid w:val="00124C87"/>
    <w:rsid w:val="00124DD4"/>
    <w:rsid w:val="00124E68"/>
    <w:rsid w:val="00125006"/>
    <w:rsid w:val="00125208"/>
    <w:rsid w:val="0012522E"/>
    <w:rsid w:val="0012541B"/>
    <w:rsid w:val="001256A5"/>
    <w:rsid w:val="001256AC"/>
    <w:rsid w:val="00125852"/>
    <w:rsid w:val="001259ED"/>
    <w:rsid w:val="00125EA6"/>
    <w:rsid w:val="00126005"/>
    <w:rsid w:val="00126739"/>
    <w:rsid w:val="0012694D"/>
    <w:rsid w:val="00126CCD"/>
    <w:rsid w:val="00126E86"/>
    <w:rsid w:val="00126F42"/>
    <w:rsid w:val="0012700D"/>
    <w:rsid w:val="001271CC"/>
    <w:rsid w:val="00127D87"/>
    <w:rsid w:val="00127F7C"/>
    <w:rsid w:val="00127F81"/>
    <w:rsid w:val="00130126"/>
    <w:rsid w:val="001303A8"/>
    <w:rsid w:val="00130BA7"/>
    <w:rsid w:val="00130C68"/>
    <w:rsid w:val="00130D11"/>
    <w:rsid w:val="00130DAA"/>
    <w:rsid w:val="00130DB0"/>
    <w:rsid w:val="001310E6"/>
    <w:rsid w:val="001311E9"/>
    <w:rsid w:val="0013140B"/>
    <w:rsid w:val="00131599"/>
    <w:rsid w:val="001316F9"/>
    <w:rsid w:val="001318EE"/>
    <w:rsid w:val="0013196A"/>
    <w:rsid w:val="00131AD4"/>
    <w:rsid w:val="00131AE1"/>
    <w:rsid w:val="00131B1E"/>
    <w:rsid w:val="00131B5B"/>
    <w:rsid w:val="00131BBF"/>
    <w:rsid w:val="00131CA7"/>
    <w:rsid w:val="00131E26"/>
    <w:rsid w:val="0013291A"/>
    <w:rsid w:val="001329F1"/>
    <w:rsid w:val="00132B77"/>
    <w:rsid w:val="00132CDE"/>
    <w:rsid w:val="00133103"/>
    <w:rsid w:val="00133333"/>
    <w:rsid w:val="00133383"/>
    <w:rsid w:val="001333E9"/>
    <w:rsid w:val="0013357F"/>
    <w:rsid w:val="00133B46"/>
    <w:rsid w:val="00133C6C"/>
    <w:rsid w:val="00133D91"/>
    <w:rsid w:val="00133E86"/>
    <w:rsid w:val="00133F44"/>
    <w:rsid w:val="00133F79"/>
    <w:rsid w:val="0013427D"/>
    <w:rsid w:val="001343D7"/>
    <w:rsid w:val="0013462A"/>
    <w:rsid w:val="001346CB"/>
    <w:rsid w:val="0013470C"/>
    <w:rsid w:val="00134767"/>
    <w:rsid w:val="00134791"/>
    <w:rsid w:val="00134A13"/>
    <w:rsid w:val="00135313"/>
    <w:rsid w:val="001354DB"/>
    <w:rsid w:val="00135B10"/>
    <w:rsid w:val="00135EE4"/>
    <w:rsid w:val="0013634D"/>
    <w:rsid w:val="0013636B"/>
    <w:rsid w:val="0013685F"/>
    <w:rsid w:val="0013706A"/>
    <w:rsid w:val="00137111"/>
    <w:rsid w:val="00137D9A"/>
    <w:rsid w:val="00137F01"/>
    <w:rsid w:val="00137F07"/>
    <w:rsid w:val="00140414"/>
    <w:rsid w:val="00140ECE"/>
    <w:rsid w:val="001413B2"/>
    <w:rsid w:val="001413EB"/>
    <w:rsid w:val="0014150B"/>
    <w:rsid w:val="0014198A"/>
    <w:rsid w:val="00141A18"/>
    <w:rsid w:val="00141EC0"/>
    <w:rsid w:val="00141F6D"/>
    <w:rsid w:val="00141FA6"/>
    <w:rsid w:val="001421EA"/>
    <w:rsid w:val="001427DC"/>
    <w:rsid w:val="00142A07"/>
    <w:rsid w:val="00142C4B"/>
    <w:rsid w:val="00142E91"/>
    <w:rsid w:val="00142EF8"/>
    <w:rsid w:val="00142F8E"/>
    <w:rsid w:val="00142FC2"/>
    <w:rsid w:val="0014314F"/>
    <w:rsid w:val="00143170"/>
    <w:rsid w:val="00143328"/>
    <w:rsid w:val="001433BA"/>
    <w:rsid w:val="00143625"/>
    <w:rsid w:val="001436BE"/>
    <w:rsid w:val="00143790"/>
    <w:rsid w:val="001439F5"/>
    <w:rsid w:val="00143A0C"/>
    <w:rsid w:val="00143F63"/>
    <w:rsid w:val="001443E7"/>
    <w:rsid w:val="001444D4"/>
    <w:rsid w:val="00144E72"/>
    <w:rsid w:val="00144FA3"/>
    <w:rsid w:val="00144FDA"/>
    <w:rsid w:val="0014531D"/>
    <w:rsid w:val="001453DF"/>
    <w:rsid w:val="00145556"/>
    <w:rsid w:val="0014567B"/>
    <w:rsid w:val="0014576F"/>
    <w:rsid w:val="001459AD"/>
    <w:rsid w:val="00145C21"/>
    <w:rsid w:val="0014640E"/>
    <w:rsid w:val="00146428"/>
    <w:rsid w:val="00146788"/>
    <w:rsid w:val="00146C30"/>
    <w:rsid w:val="00146D8C"/>
    <w:rsid w:val="00146DA8"/>
    <w:rsid w:val="00146FF3"/>
    <w:rsid w:val="001470B5"/>
    <w:rsid w:val="00147352"/>
    <w:rsid w:val="001473A4"/>
    <w:rsid w:val="00147752"/>
    <w:rsid w:val="00147B07"/>
    <w:rsid w:val="00147B2E"/>
    <w:rsid w:val="00147B79"/>
    <w:rsid w:val="00147EAC"/>
    <w:rsid w:val="0015009B"/>
    <w:rsid w:val="00150220"/>
    <w:rsid w:val="00150788"/>
    <w:rsid w:val="001508AB"/>
    <w:rsid w:val="00150B48"/>
    <w:rsid w:val="00150E16"/>
    <w:rsid w:val="00150E21"/>
    <w:rsid w:val="00150F75"/>
    <w:rsid w:val="00151098"/>
    <w:rsid w:val="00151294"/>
    <w:rsid w:val="00151574"/>
    <w:rsid w:val="001516C0"/>
    <w:rsid w:val="00151F40"/>
    <w:rsid w:val="00151F9B"/>
    <w:rsid w:val="00152120"/>
    <w:rsid w:val="00152550"/>
    <w:rsid w:val="00152704"/>
    <w:rsid w:val="001528BB"/>
    <w:rsid w:val="00152AA7"/>
    <w:rsid w:val="00152AE8"/>
    <w:rsid w:val="00152C29"/>
    <w:rsid w:val="00152DFC"/>
    <w:rsid w:val="00152E9F"/>
    <w:rsid w:val="001533C8"/>
    <w:rsid w:val="00153405"/>
    <w:rsid w:val="001537FE"/>
    <w:rsid w:val="00153C79"/>
    <w:rsid w:val="00154177"/>
    <w:rsid w:val="0015450A"/>
    <w:rsid w:val="001546B7"/>
    <w:rsid w:val="00154A8F"/>
    <w:rsid w:val="00154AB6"/>
    <w:rsid w:val="0015530A"/>
    <w:rsid w:val="00155389"/>
    <w:rsid w:val="00155588"/>
    <w:rsid w:val="001561A5"/>
    <w:rsid w:val="0015638A"/>
    <w:rsid w:val="00156780"/>
    <w:rsid w:val="001569C7"/>
    <w:rsid w:val="00156AD0"/>
    <w:rsid w:val="00156E4C"/>
    <w:rsid w:val="00156FBC"/>
    <w:rsid w:val="0015706F"/>
    <w:rsid w:val="00157380"/>
    <w:rsid w:val="00157460"/>
    <w:rsid w:val="001575FF"/>
    <w:rsid w:val="00157877"/>
    <w:rsid w:val="00157CDF"/>
    <w:rsid w:val="00157EE5"/>
    <w:rsid w:val="00157F24"/>
    <w:rsid w:val="00160230"/>
    <w:rsid w:val="00160587"/>
    <w:rsid w:val="00160CB4"/>
    <w:rsid w:val="00160DAE"/>
    <w:rsid w:val="00160EE4"/>
    <w:rsid w:val="00160FF3"/>
    <w:rsid w:val="001610AE"/>
    <w:rsid w:val="001610B9"/>
    <w:rsid w:val="00161683"/>
    <w:rsid w:val="00161AEB"/>
    <w:rsid w:val="00161C72"/>
    <w:rsid w:val="00161E39"/>
    <w:rsid w:val="00162260"/>
    <w:rsid w:val="001626F3"/>
    <w:rsid w:val="00162ADE"/>
    <w:rsid w:val="00162D09"/>
    <w:rsid w:val="00162FE5"/>
    <w:rsid w:val="001631D2"/>
    <w:rsid w:val="001631F2"/>
    <w:rsid w:val="00163254"/>
    <w:rsid w:val="001634BA"/>
    <w:rsid w:val="0016363E"/>
    <w:rsid w:val="001638A5"/>
    <w:rsid w:val="001642C7"/>
    <w:rsid w:val="00164714"/>
    <w:rsid w:val="001647F0"/>
    <w:rsid w:val="00164DC0"/>
    <w:rsid w:val="00164F4A"/>
    <w:rsid w:val="00164F4D"/>
    <w:rsid w:val="00165100"/>
    <w:rsid w:val="001656AB"/>
    <w:rsid w:val="001659DF"/>
    <w:rsid w:val="00165AB2"/>
    <w:rsid w:val="00165B98"/>
    <w:rsid w:val="00165F65"/>
    <w:rsid w:val="00166065"/>
    <w:rsid w:val="001664C4"/>
    <w:rsid w:val="001664F1"/>
    <w:rsid w:val="00166578"/>
    <w:rsid w:val="0016657C"/>
    <w:rsid w:val="001665D9"/>
    <w:rsid w:val="001665EF"/>
    <w:rsid w:val="00166868"/>
    <w:rsid w:val="00166B35"/>
    <w:rsid w:val="00167132"/>
    <w:rsid w:val="00167147"/>
    <w:rsid w:val="00167192"/>
    <w:rsid w:val="001675C1"/>
    <w:rsid w:val="00167605"/>
    <w:rsid w:val="00167607"/>
    <w:rsid w:val="001677E8"/>
    <w:rsid w:val="00167918"/>
    <w:rsid w:val="00167A20"/>
    <w:rsid w:val="00167B39"/>
    <w:rsid w:val="00167CC9"/>
    <w:rsid w:val="00167D58"/>
    <w:rsid w:val="00170AA7"/>
    <w:rsid w:val="00170C81"/>
    <w:rsid w:val="001713A1"/>
    <w:rsid w:val="0017181E"/>
    <w:rsid w:val="0017196F"/>
    <w:rsid w:val="00171986"/>
    <w:rsid w:val="00171BCC"/>
    <w:rsid w:val="00172100"/>
    <w:rsid w:val="00172672"/>
    <w:rsid w:val="001726BD"/>
    <w:rsid w:val="00172FF8"/>
    <w:rsid w:val="0017336B"/>
    <w:rsid w:val="001734DC"/>
    <w:rsid w:val="001734EA"/>
    <w:rsid w:val="00173A70"/>
    <w:rsid w:val="00173B72"/>
    <w:rsid w:val="00173C80"/>
    <w:rsid w:val="00173DE8"/>
    <w:rsid w:val="00173FF1"/>
    <w:rsid w:val="0017419B"/>
    <w:rsid w:val="001744D9"/>
    <w:rsid w:val="00174549"/>
    <w:rsid w:val="00174654"/>
    <w:rsid w:val="0017465C"/>
    <w:rsid w:val="00174713"/>
    <w:rsid w:val="0017474F"/>
    <w:rsid w:val="00174B6F"/>
    <w:rsid w:val="00174CA4"/>
    <w:rsid w:val="00174D39"/>
    <w:rsid w:val="00174E63"/>
    <w:rsid w:val="00175099"/>
    <w:rsid w:val="001750FD"/>
    <w:rsid w:val="00175137"/>
    <w:rsid w:val="0017518E"/>
    <w:rsid w:val="00175193"/>
    <w:rsid w:val="00175A0F"/>
    <w:rsid w:val="00175A3D"/>
    <w:rsid w:val="00175B05"/>
    <w:rsid w:val="00175BA5"/>
    <w:rsid w:val="00175E3F"/>
    <w:rsid w:val="0017617A"/>
    <w:rsid w:val="001761C8"/>
    <w:rsid w:val="001761C9"/>
    <w:rsid w:val="00176313"/>
    <w:rsid w:val="001764AD"/>
    <w:rsid w:val="00176594"/>
    <w:rsid w:val="0017690B"/>
    <w:rsid w:val="00176971"/>
    <w:rsid w:val="0017699C"/>
    <w:rsid w:val="00176A6A"/>
    <w:rsid w:val="001773DC"/>
    <w:rsid w:val="001774E0"/>
    <w:rsid w:val="00177546"/>
    <w:rsid w:val="001779DD"/>
    <w:rsid w:val="00177E62"/>
    <w:rsid w:val="00180085"/>
    <w:rsid w:val="00180343"/>
    <w:rsid w:val="0018034B"/>
    <w:rsid w:val="001804DE"/>
    <w:rsid w:val="00180985"/>
    <w:rsid w:val="00180CF5"/>
    <w:rsid w:val="00180DFF"/>
    <w:rsid w:val="0018122E"/>
    <w:rsid w:val="00181415"/>
    <w:rsid w:val="00181C34"/>
    <w:rsid w:val="00181D61"/>
    <w:rsid w:val="00182049"/>
    <w:rsid w:val="0018252C"/>
    <w:rsid w:val="00182839"/>
    <w:rsid w:val="00182A81"/>
    <w:rsid w:val="00182B6E"/>
    <w:rsid w:val="001831C0"/>
    <w:rsid w:val="001833FE"/>
    <w:rsid w:val="001834FA"/>
    <w:rsid w:val="00183917"/>
    <w:rsid w:val="00183C1A"/>
    <w:rsid w:val="00183D63"/>
    <w:rsid w:val="00183ECA"/>
    <w:rsid w:val="00184247"/>
    <w:rsid w:val="0018467A"/>
    <w:rsid w:val="0018485F"/>
    <w:rsid w:val="00184AC8"/>
    <w:rsid w:val="00184D35"/>
    <w:rsid w:val="00184D55"/>
    <w:rsid w:val="00184FB5"/>
    <w:rsid w:val="00184FE7"/>
    <w:rsid w:val="0018509E"/>
    <w:rsid w:val="001850EB"/>
    <w:rsid w:val="00185BC8"/>
    <w:rsid w:val="00185C4D"/>
    <w:rsid w:val="00185CDA"/>
    <w:rsid w:val="00185E0A"/>
    <w:rsid w:val="00186008"/>
    <w:rsid w:val="00186160"/>
    <w:rsid w:val="00186221"/>
    <w:rsid w:val="001862DB"/>
    <w:rsid w:val="00186445"/>
    <w:rsid w:val="001864A9"/>
    <w:rsid w:val="00186604"/>
    <w:rsid w:val="0018685F"/>
    <w:rsid w:val="00186A92"/>
    <w:rsid w:val="00186ACC"/>
    <w:rsid w:val="0018735A"/>
    <w:rsid w:val="0018749B"/>
    <w:rsid w:val="001877D6"/>
    <w:rsid w:val="00187F3F"/>
    <w:rsid w:val="001909DC"/>
    <w:rsid w:val="00190A68"/>
    <w:rsid w:val="00190D57"/>
    <w:rsid w:val="00190F11"/>
    <w:rsid w:val="0019125E"/>
    <w:rsid w:val="00191466"/>
    <w:rsid w:val="001915C2"/>
    <w:rsid w:val="0019171F"/>
    <w:rsid w:val="001917EB"/>
    <w:rsid w:val="0019182C"/>
    <w:rsid w:val="00191950"/>
    <w:rsid w:val="00191B7B"/>
    <w:rsid w:val="00191BD1"/>
    <w:rsid w:val="00191BEB"/>
    <w:rsid w:val="00191D1F"/>
    <w:rsid w:val="00191EBF"/>
    <w:rsid w:val="001921E9"/>
    <w:rsid w:val="00192250"/>
    <w:rsid w:val="0019244C"/>
    <w:rsid w:val="001929AB"/>
    <w:rsid w:val="001929F9"/>
    <w:rsid w:val="00192FF7"/>
    <w:rsid w:val="0019305B"/>
    <w:rsid w:val="001933F1"/>
    <w:rsid w:val="001937AE"/>
    <w:rsid w:val="0019394E"/>
    <w:rsid w:val="00193BFD"/>
    <w:rsid w:val="00193E8F"/>
    <w:rsid w:val="00193F6E"/>
    <w:rsid w:val="00194176"/>
    <w:rsid w:val="00194655"/>
    <w:rsid w:val="001948EE"/>
    <w:rsid w:val="00194C2D"/>
    <w:rsid w:val="00194DEF"/>
    <w:rsid w:val="00195022"/>
    <w:rsid w:val="00195688"/>
    <w:rsid w:val="001956A2"/>
    <w:rsid w:val="001957FF"/>
    <w:rsid w:val="00195901"/>
    <w:rsid w:val="00195EDB"/>
    <w:rsid w:val="00195F76"/>
    <w:rsid w:val="00195F7E"/>
    <w:rsid w:val="00196454"/>
    <w:rsid w:val="00196A7A"/>
    <w:rsid w:val="00196C4A"/>
    <w:rsid w:val="001972B7"/>
    <w:rsid w:val="001973FC"/>
    <w:rsid w:val="001976D1"/>
    <w:rsid w:val="001978E0"/>
    <w:rsid w:val="00197A12"/>
    <w:rsid w:val="00197B0A"/>
    <w:rsid w:val="00197D45"/>
    <w:rsid w:val="001A00A6"/>
    <w:rsid w:val="001A02FF"/>
    <w:rsid w:val="001A0307"/>
    <w:rsid w:val="001A0A48"/>
    <w:rsid w:val="001A0A4B"/>
    <w:rsid w:val="001A0BB8"/>
    <w:rsid w:val="001A0BCC"/>
    <w:rsid w:val="001A0C41"/>
    <w:rsid w:val="001A0F2A"/>
    <w:rsid w:val="001A104A"/>
    <w:rsid w:val="001A104E"/>
    <w:rsid w:val="001A1187"/>
    <w:rsid w:val="001A123F"/>
    <w:rsid w:val="001A12F1"/>
    <w:rsid w:val="001A1C88"/>
    <w:rsid w:val="001A1EBE"/>
    <w:rsid w:val="001A2242"/>
    <w:rsid w:val="001A26F3"/>
    <w:rsid w:val="001A2DB7"/>
    <w:rsid w:val="001A3070"/>
    <w:rsid w:val="001A30A0"/>
    <w:rsid w:val="001A3164"/>
    <w:rsid w:val="001A3277"/>
    <w:rsid w:val="001A361D"/>
    <w:rsid w:val="001A3AB3"/>
    <w:rsid w:val="001A3B83"/>
    <w:rsid w:val="001A41B6"/>
    <w:rsid w:val="001A4204"/>
    <w:rsid w:val="001A4467"/>
    <w:rsid w:val="001A46D7"/>
    <w:rsid w:val="001A49A8"/>
    <w:rsid w:val="001A510E"/>
    <w:rsid w:val="001A557E"/>
    <w:rsid w:val="001A5617"/>
    <w:rsid w:val="001A5919"/>
    <w:rsid w:val="001A5AA7"/>
    <w:rsid w:val="001A5BD3"/>
    <w:rsid w:val="001A5D1B"/>
    <w:rsid w:val="001A5D65"/>
    <w:rsid w:val="001A67FF"/>
    <w:rsid w:val="001A6B51"/>
    <w:rsid w:val="001A6F28"/>
    <w:rsid w:val="001A6F85"/>
    <w:rsid w:val="001A7129"/>
    <w:rsid w:val="001A763F"/>
    <w:rsid w:val="001A76A6"/>
    <w:rsid w:val="001A771A"/>
    <w:rsid w:val="001A7817"/>
    <w:rsid w:val="001A78A5"/>
    <w:rsid w:val="001A7B22"/>
    <w:rsid w:val="001A7D5F"/>
    <w:rsid w:val="001A7EA1"/>
    <w:rsid w:val="001B048B"/>
    <w:rsid w:val="001B0A87"/>
    <w:rsid w:val="001B0A90"/>
    <w:rsid w:val="001B1382"/>
    <w:rsid w:val="001B155F"/>
    <w:rsid w:val="001B15EF"/>
    <w:rsid w:val="001B15F7"/>
    <w:rsid w:val="001B1809"/>
    <w:rsid w:val="001B1B48"/>
    <w:rsid w:val="001B2185"/>
    <w:rsid w:val="001B2186"/>
    <w:rsid w:val="001B249E"/>
    <w:rsid w:val="001B28BE"/>
    <w:rsid w:val="001B2B24"/>
    <w:rsid w:val="001B2C72"/>
    <w:rsid w:val="001B2FB0"/>
    <w:rsid w:val="001B335A"/>
    <w:rsid w:val="001B34FE"/>
    <w:rsid w:val="001B357C"/>
    <w:rsid w:val="001B379E"/>
    <w:rsid w:val="001B38B0"/>
    <w:rsid w:val="001B3935"/>
    <w:rsid w:val="001B39D3"/>
    <w:rsid w:val="001B39DA"/>
    <w:rsid w:val="001B3A0E"/>
    <w:rsid w:val="001B3C0C"/>
    <w:rsid w:val="001B3FA0"/>
    <w:rsid w:val="001B40E3"/>
    <w:rsid w:val="001B424A"/>
    <w:rsid w:val="001B4551"/>
    <w:rsid w:val="001B47DE"/>
    <w:rsid w:val="001B4E45"/>
    <w:rsid w:val="001B4EA5"/>
    <w:rsid w:val="001B51D5"/>
    <w:rsid w:val="001B5625"/>
    <w:rsid w:val="001B5746"/>
    <w:rsid w:val="001B575D"/>
    <w:rsid w:val="001B585B"/>
    <w:rsid w:val="001B59CF"/>
    <w:rsid w:val="001B5A46"/>
    <w:rsid w:val="001B5E25"/>
    <w:rsid w:val="001B5E8C"/>
    <w:rsid w:val="001B5FE4"/>
    <w:rsid w:val="001B61A7"/>
    <w:rsid w:val="001B6363"/>
    <w:rsid w:val="001B64CC"/>
    <w:rsid w:val="001B665F"/>
    <w:rsid w:val="001B6C3D"/>
    <w:rsid w:val="001B6DB6"/>
    <w:rsid w:val="001B711B"/>
    <w:rsid w:val="001B712C"/>
    <w:rsid w:val="001B718C"/>
    <w:rsid w:val="001B7258"/>
    <w:rsid w:val="001B737C"/>
    <w:rsid w:val="001B7399"/>
    <w:rsid w:val="001B73DC"/>
    <w:rsid w:val="001B7692"/>
    <w:rsid w:val="001B78B0"/>
    <w:rsid w:val="001B7AB5"/>
    <w:rsid w:val="001B7AE2"/>
    <w:rsid w:val="001B7C1A"/>
    <w:rsid w:val="001B7E01"/>
    <w:rsid w:val="001C000F"/>
    <w:rsid w:val="001C0778"/>
    <w:rsid w:val="001C07E0"/>
    <w:rsid w:val="001C1253"/>
    <w:rsid w:val="001C140E"/>
    <w:rsid w:val="001C1FC1"/>
    <w:rsid w:val="001C231F"/>
    <w:rsid w:val="001C26D9"/>
    <w:rsid w:val="001C2A93"/>
    <w:rsid w:val="001C2AB1"/>
    <w:rsid w:val="001C2ABD"/>
    <w:rsid w:val="001C30BD"/>
    <w:rsid w:val="001C3182"/>
    <w:rsid w:val="001C33C1"/>
    <w:rsid w:val="001C34FA"/>
    <w:rsid w:val="001C3534"/>
    <w:rsid w:val="001C3601"/>
    <w:rsid w:val="001C36A7"/>
    <w:rsid w:val="001C374C"/>
    <w:rsid w:val="001C3C12"/>
    <w:rsid w:val="001C4085"/>
    <w:rsid w:val="001C4340"/>
    <w:rsid w:val="001C44B8"/>
    <w:rsid w:val="001C453A"/>
    <w:rsid w:val="001C4B7B"/>
    <w:rsid w:val="001C4C44"/>
    <w:rsid w:val="001C4D17"/>
    <w:rsid w:val="001C530A"/>
    <w:rsid w:val="001C5353"/>
    <w:rsid w:val="001C56AA"/>
    <w:rsid w:val="001C581B"/>
    <w:rsid w:val="001C5A74"/>
    <w:rsid w:val="001C5BA1"/>
    <w:rsid w:val="001C5BD1"/>
    <w:rsid w:val="001C5DA3"/>
    <w:rsid w:val="001C5FC0"/>
    <w:rsid w:val="001C6235"/>
    <w:rsid w:val="001C624B"/>
    <w:rsid w:val="001C6389"/>
    <w:rsid w:val="001C6738"/>
    <w:rsid w:val="001C69C3"/>
    <w:rsid w:val="001C69CE"/>
    <w:rsid w:val="001C6B4C"/>
    <w:rsid w:val="001C6C07"/>
    <w:rsid w:val="001C6CA9"/>
    <w:rsid w:val="001C6E68"/>
    <w:rsid w:val="001C6EEE"/>
    <w:rsid w:val="001C70A4"/>
    <w:rsid w:val="001C733A"/>
    <w:rsid w:val="001C76C3"/>
    <w:rsid w:val="001C77B0"/>
    <w:rsid w:val="001C7A80"/>
    <w:rsid w:val="001C7EAC"/>
    <w:rsid w:val="001C7EEB"/>
    <w:rsid w:val="001C7F6E"/>
    <w:rsid w:val="001D03CE"/>
    <w:rsid w:val="001D0740"/>
    <w:rsid w:val="001D0AC1"/>
    <w:rsid w:val="001D0D4F"/>
    <w:rsid w:val="001D0E81"/>
    <w:rsid w:val="001D122E"/>
    <w:rsid w:val="001D13EC"/>
    <w:rsid w:val="001D143C"/>
    <w:rsid w:val="001D1B18"/>
    <w:rsid w:val="001D21E8"/>
    <w:rsid w:val="001D2529"/>
    <w:rsid w:val="001D2793"/>
    <w:rsid w:val="001D2E26"/>
    <w:rsid w:val="001D3149"/>
    <w:rsid w:val="001D334B"/>
    <w:rsid w:val="001D3A6F"/>
    <w:rsid w:val="001D3B07"/>
    <w:rsid w:val="001D3FE5"/>
    <w:rsid w:val="001D4201"/>
    <w:rsid w:val="001D4400"/>
    <w:rsid w:val="001D447F"/>
    <w:rsid w:val="001D4509"/>
    <w:rsid w:val="001D475C"/>
    <w:rsid w:val="001D4B47"/>
    <w:rsid w:val="001D4BF7"/>
    <w:rsid w:val="001D5A3F"/>
    <w:rsid w:val="001D5D64"/>
    <w:rsid w:val="001D60FE"/>
    <w:rsid w:val="001D66BC"/>
    <w:rsid w:val="001D6BDD"/>
    <w:rsid w:val="001D6C8D"/>
    <w:rsid w:val="001D6DC8"/>
    <w:rsid w:val="001D6E3A"/>
    <w:rsid w:val="001D6F54"/>
    <w:rsid w:val="001D70ED"/>
    <w:rsid w:val="001D755A"/>
    <w:rsid w:val="001D7799"/>
    <w:rsid w:val="001D77D8"/>
    <w:rsid w:val="001D7813"/>
    <w:rsid w:val="001D7851"/>
    <w:rsid w:val="001D787F"/>
    <w:rsid w:val="001D78B2"/>
    <w:rsid w:val="001D7AB7"/>
    <w:rsid w:val="001D7C81"/>
    <w:rsid w:val="001D7DF9"/>
    <w:rsid w:val="001E0436"/>
    <w:rsid w:val="001E0516"/>
    <w:rsid w:val="001E0BA9"/>
    <w:rsid w:val="001E0BE9"/>
    <w:rsid w:val="001E0EEA"/>
    <w:rsid w:val="001E0F2D"/>
    <w:rsid w:val="001E1018"/>
    <w:rsid w:val="001E1164"/>
    <w:rsid w:val="001E1271"/>
    <w:rsid w:val="001E155E"/>
    <w:rsid w:val="001E156D"/>
    <w:rsid w:val="001E1715"/>
    <w:rsid w:val="001E187C"/>
    <w:rsid w:val="001E19D0"/>
    <w:rsid w:val="001E1C62"/>
    <w:rsid w:val="001E2043"/>
    <w:rsid w:val="001E232B"/>
    <w:rsid w:val="001E2552"/>
    <w:rsid w:val="001E286C"/>
    <w:rsid w:val="001E28F0"/>
    <w:rsid w:val="001E2AD3"/>
    <w:rsid w:val="001E2D90"/>
    <w:rsid w:val="001E3220"/>
    <w:rsid w:val="001E3239"/>
    <w:rsid w:val="001E3767"/>
    <w:rsid w:val="001E4105"/>
    <w:rsid w:val="001E41C7"/>
    <w:rsid w:val="001E41E9"/>
    <w:rsid w:val="001E4326"/>
    <w:rsid w:val="001E433E"/>
    <w:rsid w:val="001E43B1"/>
    <w:rsid w:val="001E4735"/>
    <w:rsid w:val="001E4CA1"/>
    <w:rsid w:val="001E51A3"/>
    <w:rsid w:val="001E5405"/>
    <w:rsid w:val="001E58B1"/>
    <w:rsid w:val="001E5D25"/>
    <w:rsid w:val="001E5F46"/>
    <w:rsid w:val="001E6198"/>
    <w:rsid w:val="001E61C1"/>
    <w:rsid w:val="001E62DA"/>
    <w:rsid w:val="001E6532"/>
    <w:rsid w:val="001E65FE"/>
    <w:rsid w:val="001E66F7"/>
    <w:rsid w:val="001E6872"/>
    <w:rsid w:val="001E698C"/>
    <w:rsid w:val="001E6A20"/>
    <w:rsid w:val="001E6B0D"/>
    <w:rsid w:val="001E6B7B"/>
    <w:rsid w:val="001E6F2B"/>
    <w:rsid w:val="001E6F6B"/>
    <w:rsid w:val="001E71CF"/>
    <w:rsid w:val="001E72C8"/>
    <w:rsid w:val="001E73E0"/>
    <w:rsid w:val="001E7467"/>
    <w:rsid w:val="001E768E"/>
    <w:rsid w:val="001E7990"/>
    <w:rsid w:val="001E7A58"/>
    <w:rsid w:val="001F0296"/>
    <w:rsid w:val="001F035C"/>
    <w:rsid w:val="001F05A4"/>
    <w:rsid w:val="001F07E2"/>
    <w:rsid w:val="001F08E8"/>
    <w:rsid w:val="001F0C99"/>
    <w:rsid w:val="001F157B"/>
    <w:rsid w:val="001F15F6"/>
    <w:rsid w:val="001F1A32"/>
    <w:rsid w:val="001F1BFD"/>
    <w:rsid w:val="001F1C35"/>
    <w:rsid w:val="001F1D25"/>
    <w:rsid w:val="001F1F72"/>
    <w:rsid w:val="001F250A"/>
    <w:rsid w:val="001F288A"/>
    <w:rsid w:val="001F293C"/>
    <w:rsid w:val="001F298D"/>
    <w:rsid w:val="001F29E8"/>
    <w:rsid w:val="001F2E1D"/>
    <w:rsid w:val="001F2E38"/>
    <w:rsid w:val="001F30C1"/>
    <w:rsid w:val="001F3771"/>
    <w:rsid w:val="001F3820"/>
    <w:rsid w:val="001F3C8E"/>
    <w:rsid w:val="001F3F42"/>
    <w:rsid w:val="001F42E5"/>
    <w:rsid w:val="001F4300"/>
    <w:rsid w:val="001F449A"/>
    <w:rsid w:val="001F45F0"/>
    <w:rsid w:val="001F47C7"/>
    <w:rsid w:val="001F48C9"/>
    <w:rsid w:val="001F4B7A"/>
    <w:rsid w:val="001F4EAB"/>
    <w:rsid w:val="001F52AB"/>
    <w:rsid w:val="001F5455"/>
    <w:rsid w:val="001F5576"/>
    <w:rsid w:val="001F576E"/>
    <w:rsid w:val="001F5A11"/>
    <w:rsid w:val="001F5BBF"/>
    <w:rsid w:val="001F5C46"/>
    <w:rsid w:val="001F5E68"/>
    <w:rsid w:val="001F5F51"/>
    <w:rsid w:val="001F6314"/>
    <w:rsid w:val="001F6408"/>
    <w:rsid w:val="001F65E4"/>
    <w:rsid w:val="001F662C"/>
    <w:rsid w:val="001F6635"/>
    <w:rsid w:val="001F664E"/>
    <w:rsid w:val="001F6750"/>
    <w:rsid w:val="001F683E"/>
    <w:rsid w:val="001F6CE3"/>
    <w:rsid w:val="001F6E7A"/>
    <w:rsid w:val="001F72C4"/>
    <w:rsid w:val="001F75F7"/>
    <w:rsid w:val="001F7897"/>
    <w:rsid w:val="001F798F"/>
    <w:rsid w:val="001F7A80"/>
    <w:rsid w:val="001F7C63"/>
    <w:rsid w:val="0020047A"/>
    <w:rsid w:val="00200647"/>
    <w:rsid w:val="0020097E"/>
    <w:rsid w:val="00201189"/>
    <w:rsid w:val="0020181A"/>
    <w:rsid w:val="00201D7D"/>
    <w:rsid w:val="00201F0B"/>
    <w:rsid w:val="00201F73"/>
    <w:rsid w:val="00201F75"/>
    <w:rsid w:val="00202415"/>
    <w:rsid w:val="00202526"/>
    <w:rsid w:val="00202E0F"/>
    <w:rsid w:val="00202E62"/>
    <w:rsid w:val="00202F2A"/>
    <w:rsid w:val="00202F73"/>
    <w:rsid w:val="0020304A"/>
    <w:rsid w:val="00203322"/>
    <w:rsid w:val="002036FA"/>
    <w:rsid w:val="0020399F"/>
    <w:rsid w:val="00203CAA"/>
    <w:rsid w:val="00203D13"/>
    <w:rsid w:val="00203D72"/>
    <w:rsid w:val="00203F73"/>
    <w:rsid w:val="00204284"/>
    <w:rsid w:val="0020433B"/>
    <w:rsid w:val="00204743"/>
    <w:rsid w:val="00204963"/>
    <w:rsid w:val="00204992"/>
    <w:rsid w:val="00204B09"/>
    <w:rsid w:val="00204B7A"/>
    <w:rsid w:val="00204C01"/>
    <w:rsid w:val="00204D92"/>
    <w:rsid w:val="00205526"/>
    <w:rsid w:val="00205680"/>
    <w:rsid w:val="002057BA"/>
    <w:rsid w:val="00205817"/>
    <w:rsid w:val="00205D35"/>
    <w:rsid w:val="00206167"/>
    <w:rsid w:val="00206197"/>
    <w:rsid w:val="002061F4"/>
    <w:rsid w:val="00206513"/>
    <w:rsid w:val="00206792"/>
    <w:rsid w:val="002067B6"/>
    <w:rsid w:val="00206A96"/>
    <w:rsid w:val="00206CDF"/>
    <w:rsid w:val="002070CB"/>
    <w:rsid w:val="00207267"/>
    <w:rsid w:val="00207435"/>
    <w:rsid w:val="002077E1"/>
    <w:rsid w:val="00207951"/>
    <w:rsid w:val="00207B7E"/>
    <w:rsid w:val="00207CB5"/>
    <w:rsid w:val="00207D77"/>
    <w:rsid w:val="002103A6"/>
    <w:rsid w:val="002108CF"/>
    <w:rsid w:val="00210946"/>
    <w:rsid w:val="00210FF4"/>
    <w:rsid w:val="00211654"/>
    <w:rsid w:val="0021178B"/>
    <w:rsid w:val="00211993"/>
    <w:rsid w:val="00211C3A"/>
    <w:rsid w:val="00211E10"/>
    <w:rsid w:val="00211E3F"/>
    <w:rsid w:val="00211F32"/>
    <w:rsid w:val="00211FD2"/>
    <w:rsid w:val="00212431"/>
    <w:rsid w:val="00212488"/>
    <w:rsid w:val="00212686"/>
    <w:rsid w:val="00213544"/>
    <w:rsid w:val="0021364A"/>
    <w:rsid w:val="002138B4"/>
    <w:rsid w:val="002139ED"/>
    <w:rsid w:val="00213A86"/>
    <w:rsid w:val="00213A9C"/>
    <w:rsid w:val="00213E9B"/>
    <w:rsid w:val="00213EC8"/>
    <w:rsid w:val="002149C8"/>
    <w:rsid w:val="00214A32"/>
    <w:rsid w:val="00215195"/>
    <w:rsid w:val="00215217"/>
    <w:rsid w:val="0021521A"/>
    <w:rsid w:val="002152AB"/>
    <w:rsid w:val="0021546C"/>
    <w:rsid w:val="002156D6"/>
    <w:rsid w:val="00215E0B"/>
    <w:rsid w:val="0021607B"/>
    <w:rsid w:val="00216219"/>
    <w:rsid w:val="0021623E"/>
    <w:rsid w:val="00216277"/>
    <w:rsid w:val="0021632D"/>
    <w:rsid w:val="0021638A"/>
    <w:rsid w:val="00216639"/>
    <w:rsid w:val="002167D2"/>
    <w:rsid w:val="0021680B"/>
    <w:rsid w:val="0021703A"/>
    <w:rsid w:val="0021717B"/>
    <w:rsid w:val="00217454"/>
    <w:rsid w:val="002177DD"/>
    <w:rsid w:val="00217F46"/>
    <w:rsid w:val="002201C0"/>
    <w:rsid w:val="002203B9"/>
    <w:rsid w:val="00220478"/>
    <w:rsid w:val="00220827"/>
    <w:rsid w:val="00220D0B"/>
    <w:rsid w:val="00221AF1"/>
    <w:rsid w:val="00221CD2"/>
    <w:rsid w:val="00221F66"/>
    <w:rsid w:val="00222137"/>
    <w:rsid w:val="00222210"/>
    <w:rsid w:val="00222212"/>
    <w:rsid w:val="0022240B"/>
    <w:rsid w:val="0022271B"/>
    <w:rsid w:val="00223066"/>
    <w:rsid w:val="002230AB"/>
    <w:rsid w:val="002232EB"/>
    <w:rsid w:val="00223458"/>
    <w:rsid w:val="002237CD"/>
    <w:rsid w:val="0022388D"/>
    <w:rsid w:val="00223CBB"/>
    <w:rsid w:val="00223DC4"/>
    <w:rsid w:val="002241E8"/>
    <w:rsid w:val="002242FD"/>
    <w:rsid w:val="00224406"/>
    <w:rsid w:val="00224619"/>
    <w:rsid w:val="002246A1"/>
    <w:rsid w:val="00224BCC"/>
    <w:rsid w:val="00224D7C"/>
    <w:rsid w:val="002250E3"/>
    <w:rsid w:val="00225225"/>
    <w:rsid w:val="00225775"/>
    <w:rsid w:val="0022581A"/>
    <w:rsid w:val="002259CE"/>
    <w:rsid w:val="00225D20"/>
    <w:rsid w:val="00225D32"/>
    <w:rsid w:val="00225D6D"/>
    <w:rsid w:val="00225DB0"/>
    <w:rsid w:val="00225DB5"/>
    <w:rsid w:val="002260C3"/>
    <w:rsid w:val="00226433"/>
    <w:rsid w:val="002267C6"/>
    <w:rsid w:val="00226A3F"/>
    <w:rsid w:val="00226E37"/>
    <w:rsid w:val="00226EAC"/>
    <w:rsid w:val="00227044"/>
    <w:rsid w:val="002274A3"/>
    <w:rsid w:val="00227842"/>
    <w:rsid w:val="00227AA6"/>
    <w:rsid w:val="00227D11"/>
    <w:rsid w:val="00230473"/>
    <w:rsid w:val="002307F0"/>
    <w:rsid w:val="0023096E"/>
    <w:rsid w:val="00230DA0"/>
    <w:rsid w:val="0023189D"/>
    <w:rsid w:val="00231AEC"/>
    <w:rsid w:val="00231BA2"/>
    <w:rsid w:val="00231C72"/>
    <w:rsid w:val="00231F8C"/>
    <w:rsid w:val="00232468"/>
    <w:rsid w:val="002324E6"/>
    <w:rsid w:val="00232599"/>
    <w:rsid w:val="00232815"/>
    <w:rsid w:val="00232839"/>
    <w:rsid w:val="00232ACB"/>
    <w:rsid w:val="00232EEA"/>
    <w:rsid w:val="0023355D"/>
    <w:rsid w:val="00233576"/>
    <w:rsid w:val="0023368A"/>
    <w:rsid w:val="00233774"/>
    <w:rsid w:val="002337BE"/>
    <w:rsid w:val="00233EFC"/>
    <w:rsid w:val="00233FAB"/>
    <w:rsid w:val="00233FCD"/>
    <w:rsid w:val="0023431A"/>
    <w:rsid w:val="00234A7D"/>
    <w:rsid w:val="00234A99"/>
    <w:rsid w:val="00234B29"/>
    <w:rsid w:val="00234DA8"/>
    <w:rsid w:val="002350DE"/>
    <w:rsid w:val="002352C7"/>
    <w:rsid w:val="0023562C"/>
    <w:rsid w:val="00235835"/>
    <w:rsid w:val="00235A07"/>
    <w:rsid w:val="00235A6B"/>
    <w:rsid w:val="00235CDB"/>
    <w:rsid w:val="002366AA"/>
    <w:rsid w:val="00236CF6"/>
    <w:rsid w:val="00236D6B"/>
    <w:rsid w:val="00236D89"/>
    <w:rsid w:val="00237021"/>
    <w:rsid w:val="002378DB"/>
    <w:rsid w:val="00237DCB"/>
    <w:rsid w:val="002401A4"/>
    <w:rsid w:val="002403BA"/>
    <w:rsid w:val="0024045C"/>
    <w:rsid w:val="00240705"/>
    <w:rsid w:val="002409A5"/>
    <w:rsid w:val="00240A32"/>
    <w:rsid w:val="00240A64"/>
    <w:rsid w:val="00240B24"/>
    <w:rsid w:val="00240C0D"/>
    <w:rsid w:val="00240E85"/>
    <w:rsid w:val="002412EC"/>
    <w:rsid w:val="00241384"/>
    <w:rsid w:val="002414A3"/>
    <w:rsid w:val="0024188B"/>
    <w:rsid w:val="0024199A"/>
    <w:rsid w:val="002419CA"/>
    <w:rsid w:val="00241B04"/>
    <w:rsid w:val="0024216A"/>
    <w:rsid w:val="002421B9"/>
    <w:rsid w:val="00242978"/>
    <w:rsid w:val="00242C89"/>
    <w:rsid w:val="00242D74"/>
    <w:rsid w:val="00242FD7"/>
    <w:rsid w:val="00243030"/>
    <w:rsid w:val="00243328"/>
    <w:rsid w:val="00243618"/>
    <w:rsid w:val="00243EB5"/>
    <w:rsid w:val="00243EC4"/>
    <w:rsid w:val="00243F4A"/>
    <w:rsid w:val="00243F4C"/>
    <w:rsid w:val="00243F7D"/>
    <w:rsid w:val="00243F87"/>
    <w:rsid w:val="002440A2"/>
    <w:rsid w:val="002445EB"/>
    <w:rsid w:val="0024468A"/>
    <w:rsid w:val="00244957"/>
    <w:rsid w:val="00244E82"/>
    <w:rsid w:val="00245229"/>
    <w:rsid w:val="00245415"/>
    <w:rsid w:val="00245470"/>
    <w:rsid w:val="0024585C"/>
    <w:rsid w:val="00245AFB"/>
    <w:rsid w:val="00245B1E"/>
    <w:rsid w:val="00245FB9"/>
    <w:rsid w:val="0024605B"/>
    <w:rsid w:val="00246376"/>
    <w:rsid w:val="00246540"/>
    <w:rsid w:val="002465E0"/>
    <w:rsid w:val="002466D1"/>
    <w:rsid w:val="002466FE"/>
    <w:rsid w:val="00246958"/>
    <w:rsid w:val="002469D8"/>
    <w:rsid w:val="00246E6A"/>
    <w:rsid w:val="00247005"/>
    <w:rsid w:val="00247157"/>
    <w:rsid w:val="00247355"/>
    <w:rsid w:val="0024754D"/>
    <w:rsid w:val="002476F5"/>
    <w:rsid w:val="0024796E"/>
    <w:rsid w:val="00247B11"/>
    <w:rsid w:val="0025005E"/>
    <w:rsid w:val="002503E6"/>
    <w:rsid w:val="002504B8"/>
    <w:rsid w:val="00250897"/>
    <w:rsid w:val="002509BC"/>
    <w:rsid w:val="00251262"/>
    <w:rsid w:val="00251398"/>
    <w:rsid w:val="00251433"/>
    <w:rsid w:val="002514E1"/>
    <w:rsid w:val="002518D2"/>
    <w:rsid w:val="00251C1A"/>
    <w:rsid w:val="00251E73"/>
    <w:rsid w:val="0025247A"/>
    <w:rsid w:val="002527A7"/>
    <w:rsid w:val="002527D5"/>
    <w:rsid w:val="0025291B"/>
    <w:rsid w:val="00252A10"/>
    <w:rsid w:val="00253054"/>
    <w:rsid w:val="002532A6"/>
    <w:rsid w:val="0025336E"/>
    <w:rsid w:val="00253577"/>
    <w:rsid w:val="00253F34"/>
    <w:rsid w:val="00253FA0"/>
    <w:rsid w:val="00254339"/>
    <w:rsid w:val="0025445E"/>
    <w:rsid w:val="0025468E"/>
    <w:rsid w:val="0025474D"/>
    <w:rsid w:val="0025492C"/>
    <w:rsid w:val="00254BDA"/>
    <w:rsid w:val="00254BE9"/>
    <w:rsid w:val="00254F54"/>
    <w:rsid w:val="00255451"/>
    <w:rsid w:val="00255547"/>
    <w:rsid w:val="00255893"/>
    <w:rsid w:val="00255915"/>
    <w:rsid w:val="00255D44"/>
    <w:rsid w:val="00255D7D"/>
    <w:rsid w:val="00255F41"/>
    <w:rsid w:val="002560A4"/>
    <w:rsid w:val="002560FB"/>
    <w:rsid w:val="00256455"/>
    <w:rsid w:val="002564C9"/>
    <w:rsid w:val="00256642"/>
    <w:rsid w:val="0025682A"/>
    <w:rsid w:val="00256AC2"/>
    <w:rsid w:val="00256CE2"/>
    <w:rsid w:val="00256FFD"/>
    <w:rsid w:val="0025727A"/>
    <w:rsid w:val="0025732D"/>
    <w:rsid w:val="0025750E"/>
    <w:rsid w:val="00257D50"/>
    <w:rsid w:val="00257D68"/>
    <w:rsid w:val="0026011E"/>
    <w:rsid w:val="002601A7"/>
    <w:rsid w:val="0026063D"/>
    <w:rsid w:val="00261696"/>
    <w:rsid w:val="00261855"/>
    <w:rsid w:val="00261882"/>
    <w:rsid w:val="0026188C"/>
    <w:rsid w:val="0026191C"/>
    <w:rsid w:val="0026194A"/>
    <w:rsid w:val="00261F73"/>
    <w:rsid w:val="002621EA"/>
    <w:rsid w:val="002622C5"/>
    <w:rsid w:val="00262743"/>
    <w:rsid w:val="00262CDA"/>
    <w:rsid w:val="00262E28"/>
    <w:rsid w:val="00262EE9"/>
    <w:rsid w:val="00262F72"/>
    <w:rsid w:val="0026342F"/>
    <w:rsid w:val="00263517"/>
    <w:rsid w:val="00263665"/>
    <w:rsid w:val="002636B1"/>
    <w:rsid w:val="0026377F"/>
    <w:rsid w:val="0026394B"/>
    <w:rsid w:val="002639D5"/>
    <w:rsid w:val="00263A16"/>
    <w:rsid w:val="00263C7B"/>
    <w:rsid w:val="00263CCD"/>
    <w:rsid w:val="00263DEB"/>
    <w:rsid w:val="00264316"/>
    <w:rsid w:val="00264946"/>
    <w:rsid w:val="00264C12"/>
    <w:rsid w:val="00264C9D"/>
    <w:rsid w:val="0026510E"/>
    <w:rsid w:val="0026521E"/>
    <w:rsid w:val="002653D9"/>
    <w:rsid w:val="002656ED"/>
    <w:rsid w:val="00265AD3"/>
    <w:rsid w:val="00265C22"/>
    <w:rsid w:val="002663B7"/>
    <w:rsid w:val="002668B2"/>
    <w:rsid w:val="00266969"/>
    <w:rsid w:val="00266E70"/>
    <w:rsid w:val="00266F02"/>
    <w:rsid w:val="00266F51"/>
    <w:rsid w:val="002673E6"/>
    <w:rsid w:val="002674DF"/>
    <w:rsid w:val="002675DC"/>
    <w:rsid w:val="002679F8"/>
    <w:rsid w:val="00267AD2"/>
    <w:rsid w:val="00267B24"/>
    <w:rsid w:val="00267CB8"/>
    <w:rsid w:val="00267EC1"/>
    <w:rsid w:val="00267F8B"/>
    <w:rsid w:val="00270068"/>
    <w:rsid w:val="002701B7"/>
    <w:rsid w:val="002702C2"/>
    <w:rsid w:val="00270C3E"/>
    <w:rsid w:val="00270D0A"/>
    <w:rsid w:val="002710A7"/>
    <w:rsid w:val="002716A1"/>
    <w:rsid w:val="00271820"/>
    <w:rsid w:val="00271825"/>
    <w:rsid w:val="00271D90"/>
    <w:rsid w:val="002723B6"/>
    <w:rsid w:val="00272811"/>
    <w:rsid w:val="0027287D"/>
    <w:rsid w:val="00272912"/>
    <w:rsid w:val="002729C4"/>
    <w:rsid w:val="00272BC3"/>
    <w:rsid w:val="0027347E"/>
    <w:rsid w:val="0027358A"/>
    <w:rsid w:val="002737E7"/>
    <w:rsid w:val="002737F1"/>
    <w:rsid w:val="00273DFF"/>
    <w:rsid w:val="0027430F"/>
    <w:rsid w:val="00274448"/>
    <w:rsid w:val="00274456"/>
    <w:rsid w:val="0027446A"/>
    <w:rsid w:val="00274479"/>
    <w:rsid w:val="00274480"/>
    <w:rsid w:val="002747B2"/>
    <w:rsid w:val="00274818"/>
    <w:rsid w:val="00274C08"/>
    <w:rsid w:val="00274D29"/>
    <w:rsid w:val="00274E64"/>
    <w:rsid w:val="00274FE2"/>
    <w:rsid w:val="0027523F"/>
    <w:rsid w:val="00275304"/>
    <w:rsid w:val="00275BBB"/>
    <w:rsid w:val="00275F04"/>
    <w:rsid w:val="0027622E"/>
    <w:rsid w:val="0027657C"/>
    <w:rsid w:val="002765D9"/>
    <w:rsid w:val="00276615"/>
    <w:rsid w:val="00276644"/>
    <w:rsid w:val="00276D69"/>
    <w:rsid w:val="00277020"/>
    <w:rsid w:val="00277371"/>
    <w:rsid w:val="002774CA"/>
    <w:rsid w:val="002778F6"/>
    <w:rsid w:val="00277CC9"/>
    <w:rsid w:val="00277F3E"/>
    <w:rsid w:val="00280477"/>
    <w:rsid w:val="002806A6"/>
    <w:rsid w:val="00280937"/>
    <w:rsid w:val="00280C88"/>
    <w:rsid w:val="00280E3A"/>
    <w:rsid w:val="00280E3D"/>
    <w:rsid w:val="00280F9C"/>
    <w:rsid w:val="00281210"/>
    <w:rsid w:val="002812FE"/>
    <w:rsid w:val="00281302"/>
    <w:rsid w:val="002814B7"/>
    <w:rsid w:val="00281529"/>
    <w:rsid w:val="002815D8"/>
    <w:rsid w:val="00281814"/>
    <w:rsid w:val="00281AA5"/>
    <w:rsid w:val="00281AD3"/>
    <w:rsid w:val="00281BB6"/>
    <w:rsid w:val="00281C02"/>
    <w:rsid w:val="00281C82"/>
    <w:rsid w:val="00281D35"/>
    <w:rsid w:val="002820A5"/>
    <w:rsid w:val="0028217A"/>
    <w:rsid w:val="00282258"/>
    <w:rsid w:val="002822CF"/>
    <w:rsid w:val="00282303"/>
    <w:rsid w:val="00282536"/>
    <w:rsid w:val="00282860"/>
    <w:rsid w:val="002828D7"/>
    <w:rsid w:val="00282918"/>
    <w:rsid w:val="00282B6F"/>
    <w:rsid w:val="00282D29"/>
    <w:rsid w:val="00283015"/>
    <w:rsid w:val="0028328C"/>
    <w:rsid w:val="002833D1"/>
    <w:rsid w:val="0028441B"/>
    <w:rsid w:val="00284567"/>
    <w:rsid w:val="00284961"/>
    <w:rsid w:val="00284B2E"/>
    <w:rsid w:val="00284C5A"/>
    <w:rsid w:val="00284CBC"/>
    <w:rsid w:val="00284D14"/>
    <w:rsid w:val="00285199"/>
    <w:rsid w:val="00285743"/>
    <w:rsid w:val="00285A65"/>
    <w:rsid w:val="002861C8"/>
    <w:rsid w:val="00286307"/>
    <w:rsid w:val="00286420"/>
    <w:rsid w:val="002868B3"/>
    <w:rsid w:val="002869DC"/>
    <w:rsid w:val="00286B6B"/>
    <w:rsid w:val="00286DE6"/>
    <w:rsid w:val="00286E72"/>
    <w:rsid w:val="00287105"/>
    <w:rsid w:val="002874B7"/>
    <w:rsid w:val="00287583"/>
    <w:rsid w:val="00287A51"/>
    <w:rsid w:val="00290079"/>
    <w:rsid w:val="00290114"/>
    <w:rsid w:val="00290301"/>
    <w:rsid w:val="00290363"/>
    <w:rsid w:val="002903BA"/>
    <w:rsid w:val="002909D7"/>
    <w:rsid w:val="00290D20"/>
    <w:rsid w:val="00290EE6"/>
    <w:rsid w:val="00291155"/>
    <w:rsid w:val="002912E7"/>
    <w:rsid w:val="002917AF"/>
    <w:rsid w:val="00291FDE"/>
    <w:rsid w:val="00292162"/>
    <w:rsid w:val="0029220E"/>
    <w:rsid w:val="0029388E"/>
    <w:rsid w:val="00294178"/>
    <w:rsid w:val="0029453A"/>
    <w:rsid w:val="00294EF8"/>
    <w:rsid w:val="00295463"/>
    <w:rsid w:val="002954AF"/>
    <w:rsid w:val="0029550F"/>
    <w:rsid w:val="0029621D"/>
    <w:rsid w:val="00296369"/>
    <w:rsid w:val="0029650C"/>
    <w:rsid w:val="002966DC"/>
    <w:rsid w:val="00296751"/>
    <w:rsid w:val="002969B4"/>
    <w:rsid w:val="00296A96"/>
    <w:rsid w:val="00296E5A"/>
    <w:rsid w:val="00296EB5"/>
    <w:rsid w:val="00296EDA"/>
    <w:rsid w:val="002974E2"/>
    <w:rsid w:val="002975B4"/>
    <w:rsid w:val="0029779D"/>
    <w:rsid w:val="002978A1"/>
    <w:rsid w:val="0029795C"/>
    <w:rsid w:val="00297978"/>
    <w:rsid w:val="00297B2C"/>
    <w:rsid w:val="00297F2B"/>
    <w:rsid w:val="00297FD3"/>
    <w:rsid w:val="002A0101"/>
    <w:rsid w:val="002A034D"/>
    <w:rsid w:val="002A0567"/>
    <w:rsid w:val="002A061C"/>
    <w:rsid w:val="002A086D"/>
    <w:rsid w:val="002A160F"/>
    <w:rsid w:val="002A189A"/>
    <w:rsid w:val="002A195C"/>
    <w:rsid w:val="002A1B71"/>
    <w:rsid w:val="002A1BD5"/>
    <w:rsid w:val="002A1CD1"/>
    <w:rsid w:val="002A1CED"/>
    <w:rsid w:val="002A1EC2"/>
    <w:rsid w:val="002A2014"/>
    <w:rsid w:val="002A2111"/>
    <w:rsid w:val="002A22EC"/>
    <w:rsid w:val="002A2438"/>
    <w:rsid w:val="002A2654"/>
    <w:rsid w:val="002A2E87"/>
    <w:rsid w:val="002A34B5"/>
    <w:rsid w:val="002A3611"/>
    <w:rsid w:val="002A431F"/>
    <w:rsid w:val="002A4368"/>
    <w:rsid w:val="002A498A"/>
    <w:rsid w:val="002A499E"/>
    <w:rsid w:val="002A4EBB"/>
    <w:rsid w:val="002A4ED5"/>
    <w:rsid w:val="002A514C"/>
    <w:rsid w:val="002A535E"/>
    <w:rsid w:val="002A56E9"/>
    <w:rsid w:val="002A612F"/>
    <w:rsid w:val="002A6327"/>
    <w:rsid w:val="002A69F3"/>
    <w:rsid w:val="002A6E87"/>
    <w:rsid w:val="002A6EF5"/>
    <w:rsid w:val="002A76FD"/>
    <w:rsid w:val="002A7851"/>
    <w:rsid w:val="002A7A4E"/>
    <w:rsid w:val="002B047B"/>
    <w:rsid w:val="002B0701"/>
    <w:rsid w:val="002B09FE"/>
    <w:rsid w:val="002B0EE4"/>
    <w:rsid w:val="002B102E"/>
    <w:rsid w:val="002B1496"/>
    <w:rsid w:val="002B17D9"/>
    <w:rsid w:val="002B194F"/>
    <w:rsid w:val="002B1C2A"/>
    <w:rsid w:val="002B1D5B"/>
    <w:rsid w:val="002B1DDF"/>
    <w:rsid w:val="002B20AE"/>
    <w:rsid w:val="002B20B5"/>
    <w:rsid w:val="002B210E"/>
    <w:rsid w:val="002B2429"/>
    <w:rsid w:val="002B248E"/>
    <w:rsid w:val="002B2539"/>
    <w:rsid w:val="002B259C"/>
    <w:rsid w:val="002B28C7"/>
    <w:rsid w:val="002B28D0"/>
    <w:rsid w:val="002B29B7"/>
    <w:rsid w:val="002B2CD1"/>
    <w:rsid w:val="002B2D79"/>
    <w:rsid w:val="002B2F11"/>
    <w:rsid w:val="002B31FE"/>
    <w:rsid w:val="002B3338"/>
    <w:rsid w:val="002B338C"/>
    <w:rsid w:val="002B34D9"/>
    <w:rsid w:val="002B376D"/>
    <w:rsid w:val="002B39A1"/>
    <w:rsid w:val="002B3A16"/>
    <w:rsid w:val="002B3B5F"/>
    <w:rsid w:val="002B3C87"/>
    <w:rsid w:val="002B40C3"/>
    <w:rsid w:val="002B44CC"/>
    <w:rsid w:val="002B4526"/>
    <w:rsid w:val="002B468A"/>
    <w:rsid w:val="002B4735"/>
    <w:rsid w:val="002B4759"/>
    <w:rsid w:val="002B4AD5"/>
    <w:rsid w:val="002B4B93"/>
    <w:rsid w:val="002B4CBA"/>
    <w:rsid w:val="002B4CDD"/>
    <w:rsid w:val="002B4DAB"/>
    <w:rsid w:val="002B4EA1"/>
    <w:rsid w:val="002B4EDA"/>
    <w:rsid w:val="002B5057"/>
    <w:rsid w:val="002B515F"/>
    <w:rsid w:val="002B5596"/>
    <w:rsid w:val="002B5B11"/>
    <w:rsid w:val="002B6079"/>
    <w:rsid w:val="002B6184"/>
    <w:rsid w:val="002B6262"/>
    <w:rsid w:val="002B6270"/>
    <w:rsid w:val="002B62CB"/>
    <w:rsid w:val="002B675B"/>
    <w:rsid w:val="002B6AE1"/>
    <w:rsid w:val="002B6B45"/>
    <w:rsid w:val="002B6B9A"/>
    <w:rsid w:val="002B6C04"/>
    <w:rsid w:val="002B70FB"/>
    <w:rsid w:val="002B7162"/>
    <w:rsid w:val="002B71B6"/>
    <w:rsid w:val="002B7401"/>
    <w:rsid w:val="002B77F3"/>
    <w:rsid w:val="002B789A"/>
    <w:rsid w:val="002B7DA1"/>
    <w:rsid w:val="002B7EB8"/>
    <w:rsid w:val="002C013A"/>
    <w:rsid w:val="002C034E"/>
    <w:rsid w:val="002C05F5"/>
    <w:rsid w:val="002C09A0"/>
    <w:rsid w:val="002C0AEF"/>
    <w:rsid w:val="002C0E78"/>
    <w:rsid w:val="002C0E7B"/>
    <w:rsid w:val="002C0F60"/>
    <w:rsid w:val="002C1548"/>
    <w:rsid w:val="002C18B7"/>
    <w:rsid w:val="002C1A46"/>
    <w:rsid w:val="002C1AE5"/>
    <w:rsid w:val="002C1D08"/>
    <w:rsid w:val="002C20A9"/>
    <w:rsid w:val="002C2292"/>
    <w:rsid w:val="002C26F3"/>
    <w:rsid w:val="002C28FF"/>
    <w:rsid w:val="002C29E8"/>
    <w:rsid w:val="002C2ACA"/>
    <w:rsid w:val="002C2ACF"/>
    <w:rsid w:val="002C3720"/>
    <w:rsid w:val="002C3CAC"/>
    <w:rsid w:val="002C3F68"/>
    <w:rsid w:val="002C3F9E"/>
    <w:rsid w:val="002C4767"/>
    <w:rsid w:val="002C4B24"/>
    <w:rsid w:val="002C4B7D"/>
    <w:rsid w:val="002C4B96"/>
    <w:rsid w:val="002C4BA2"/>
    <w:rsid w:val="002C4BD7"/>
    <w:rsid w:val="002C4FA5"/>
    <w:rsid w:val="002C50C0"/>
    <w:rsid w:val="002C576B"/>
    <w:rsid w:val="002C5BCB"/>
    <w:rsid w:val="002C5D25"/>
    <w:rsid w:val="002C5DC4"/>
    <w:rsid w:val="002C63FB"/>
    <w:rsid w:val="002C64E8"/>
    <w:rsid w:val="002C6719"/>
    <w:rsid w:val="002C6783"/>
    <w:rsid w:val="002C6874"/>
    <w:rsid w:val="002C6904"/>
    <w:rsid w:val="002C7253"/>
    <w:rsid w:val="002C730F"/>
    <w:rsid w:val="002C74F9"/>
    <w:rsid w:val="002C7609"/>
    <w:rsid w:val="002C76C6"/>
    <w:rsid w:val="002C7774"/>
    <w:rsid w:val="002C7AE2"/>
    <w:rsid w:val="002C7BBF"/>
    <w:rsid w:val="002C7CDA"/>
    <w:rsid w:val="002D01AF"/>
    <w:rsid w:val="002D027B"/>
    <w:rsid w:val="002D02B8"/>
    <w:rsid w:val="002D0428"/>
    <w:rsid w:val="002D0B30"/>
    <w:rsid w:val="002D0B3F"/>
    <w:rsid w:val="002D0DC4"/>
    <w:rsid w:val="002D123F"/>
    <w:rsid w:val="002D1407"/>
    <w:rsid w:val="002D146A"/>
    <w:rsid w:val="002D1517"/>
    <w:rsid w:val="002D17F8"/>
    <w:rsid w:val="002D186E"/>
    <w:rsid w:val="002D1A82"/>
    <w:rsid w:val="002D1AC9"/>
    <w:rsid w:val="002D1CF4"/>
    <w:rsid w:val="002D1D29"/>
    <w:rsid w:val="002D1FBC"/>
    <w:rsid w:val="002D2068"/>
    <w:rsid w:val="002D21E2"/>
    <w:rsid w:val="002D2553"/>
    <w:rsid w:val="002D26E0"/>
    <w:rsid w:val="002D29D1"/>
    <w:rsid w:val="002D2A47"/>
    <w:rsid w:val="002D2A62"/>
    <w:rsid w:val="002D2BF1"/>
    <w:rsid w:val="002D2E7B"/>
    <w:rsid w:val="002D322C"/>
    <w:rsid w:val="002D323E"/>
    <w:rsid w:val="002D3B54"/>
    <w:rsid w:val="002D3CC0"/>
    <w:rsid w:val="002D3CF1"/>
    <w:rsid w:val="002D3CF6"/>
    <w:rsid w:val="002D3E8F"/>
    <w:rsid w:val="002D3EEF"/>
    <w:rsid w:val="002D413A"/>
    <w:rsid w:val="002D423B"/>
    <w:rsid w:val="002D4409"/>
    <w:rsid w:val="002D44BA"/>
    <w:rsid w:val="002D4813"/>
    <w:rsid w:val="002D49F2"/>
    <w:rsid w:val="002D4A4D"/>
    <w:rsid w:val="002D5073"/>
    <w:rsid w:val="002D5120"/>
    <w:rsid w:val="002D5559"/>
    <w:rsid w:val="002D5A4C"/>
    <w:rsid w:val="002D5AAB"/>
    <w:rsid w:val="002D5B0A"/>
    <w:rsid w:val="002D5BBE"/>
    <w:rsid w:val="002D5CA7"/>
    <w:rsid w:val="002D5F9A"/>
    <w:rsid w:val="002D601D"/>
    <w:rsid w:val="002D6460"/>
    <w:rsid w:val="002D67F1"/>
    <w:rsid w:val="002D6A14"/>
    <w:rsid w:val="002D6B07"/>
    <w:rsid w:val="002D6CCE"/>
    <w:rsid w:val="002D6D4A"/>
    <w:rsid w:val="002D6FFA"/>
    <w:rsid w:val="002D7261"/>
    <w:rsid w:val="002D77C4"/>
    <w:rsid w:val="002D7852"/>
    <w:rsid w:val="002D7BF7"/>
    <w:rsid w:val="002D7CB0"/>
    <w:rsid w:val="002D7CBB"/>
    <w:rsid w:val="002E001F"/>
    <w:rsid w:val="002E0120"/>
    <w:rsid w:val="002E01FA"/>
    <w:rsid w:val="002E0479"/>
    <w:rsid w:val="002E0788"/>
    <w:rsid w:val="002E0964"/>
    <w:rsid w:val="002E0E64"/>
    <w:rsid w:val="002E1108"/>
    <w:rsid w:val="002E1B90"/>
    <w:rsid w:val="002E1D24"/>
    <w:rsid w:val="002E1E0D"/>
    <w:rsid w:val="002E1E69"/>
    <w:rsid w:val="002E210C"/>
    <w:rsid w:val="002E27A7"/>
    <w:rsid w:val="002E2B0E"/>
    <w:rsid w:val="002E34E6"/>
    <w:rsid w:val="002E3B78"/>
    <w:rsid w:val="002E3C00"/>
    <w:rsid w:val="002E3C82"/>
    <w:rsid w:val="002E3FA1"/>
    <w:rsid w:val="002E401E"/>
    <w:rsid w:val="002E4117"/>
    <w:rsid w:val="002E4373"/>
    <w:rsid w:val="002E4A1E"/>
    <w:rsid w:val="002E4AD6"/>
    <w:rsid w:val="002E5426"/>
    <w:rsid w:val="002E546F"/>
    <w:rsid w:val="002E58B6"/>
    <w:rsid w:val="002E59CE"/>
    <w:rsid w:val="002E5BD2"/>
    <w:rsid w:val="002E5BD7"/>
    <w:rsid w:val="002E5F58"/>
    <w:rsid w:val="002E5FFA"/>
    <w:rsid w:val="002E604A"/>
    <w:rsid w:val="002E6BC0"/>
    <w:rsid w:val="002E7118"/>
    <w:rsid w:val="002E76AB"/>
    <w:rsid w:val="002E7A07"/>
    <w:rsid w:val="002E7D16"/>
    <w:rsid w:val="002F0448"/>
    <w:rsid w:val="002F06EE"/>
    <w:rsid w:val="002F0821"/>
    <w:rsid w:val="002F08F3"/>
    <w:rsid w:val="002F0A18"/>
    <w:rsid w:val="002F0FDA"/>
    <w:rsid w:val="002F10A9"/>
    <w:rsid w:val="002F187A"/>
    <w:rsid w:val="002F1D2F"/>
    <w:rsid w:val="002F25D3"/>
    <w:rsid w:val="002F273C"/>
    <w:rsid w:val="002F2835"/>
    <w:rsid w:val="002F318E"/>
    <w:rsid w:val="002F31FC"/>
    <w:rsid w:val="002F3444"/>
    <w:rsid w:val="002F3471"/>
    <w:rsid w:val="002F3736"/>
    <w:rsid w:val="002F3A1A"/>
    <w:rsid w:val="002F3A60"/>
    <w:rsid w:val="002F3ACF"/>
    <w:rsid w:val="002F3DEC"/>
    <w:rsid w:val="002F3EF3"/>
    <w:rsid w:val="002F452C"/>
    <w:rsid w:val="002F48DF"/>
    <w:rsid w:val="002F48F2"/>
    <w:rsid w:val="002F4916"/>
    <w:rsid w:val="002F49B8"/>
    <w:rsid w:val="002F4CC0"/>
    <w:rsid w:val="002F4F35"/>
    <w:rsid w:val="002F5195"/>
    <w:rsid w:val="002F5224"/>
    <w:rsid w:val="002F55A3"/>
    <w:rsid w:val="002F5A45"/>
    <w:rsid w:val="002F5E4C"/>
    <w:rsid w:val="002F64C3"/>
    <w:rsid w:val="002F6512"/>
    <w:rsid w:val="002F6658"/>
    <w:rsid w:val="002F6679"/>
    <w:rsid w:val="002F6744"/>
    <w:rsid w:val="002F6975"/>
    <w:rsid w:val="002F6D6E"/>
    <w:rsid w:val="002F732E"/>
    <w:rsid w:val="002F7549"/>
    <w:rsid w:val="002F757D"/>
    <w:rsid w:val="002F7589"/>
    <w:rsid w:val="002F7748"/>
    <w:rsid w:val="002F7891"/>
    <w:rsid w:val="002F79C7"/>
    <w:rsid w:val="002F7A01"/>
    <w:rsid w:val="002F7AE3"/>
    <w:rsid w:val="002F7FC0"/>
    <w:rsid w:val="003000EC"/>
    <w:rsid w:val="00300222"/>
    <w:rsid w:val="003003BB"/>
    <w:rsid w:val="00300893"/>
    <w:rsid w:val="00300F44"/>
    <w:rsid w:val="003010E0"/>
    <w:rsid w:val="0030158F"/>
    <w:rsid w:val="0030169D"/>
    <w:rsid w:val="00301739"/>
    <w:rsid w:val="00301FA3"/>
    <w:rsid w:val="003024BD"/>
    <w:rsid w:val="003024D9"/>
    <w:rsid w:val="00302615"/>
    <w:rsid w:val="00302C3B"/>
    <w:rsid w:val="003033D7"/>
    <w:rsid w:val="003037CE"/>
    <w:rsid w:val="00303E5E"/>
    <w:rsid w:val="00304747"/>
    <w:rsid w:val="0030495C"/>
    <w:rsid w:val="00304F42"/>
    <w:rsid w:val="003050AF"/>
    <w:rsid w:val="00305298"/>
    <w:rsid w:val="003052B4"/>
    <w:rsid w:val="00305451"/>
    <w:rsid w:val="003055F8"/>
    <w:rsid w:val="003057C3"/>
    <w:rsid w:val="00305893"/>
    <w:rsid w:val="00305A4D"/>
    <w:rsid w:val="00305B33"/>
    <w:rsid w:val="00305FB9"/>
    <w:rsid w:val="003060CA"/>
    <w:rsid w:val="00306168"/>
    <w:rsid w:val="00306BDC"/>
    <w:rsid w:val="003072F5"/>
    <w:rsid w:val="003073E2"/>
    <w:rsid w:val="00307522"/>
    <w:rsid w:val="00307529"/>
    <w:rsid w:val="00307662"/>
    <w:rsid w:val="00307891"/>
    <w:rsid w:val="003102D9"/>
    <w:rsid w:val="003107C1"/>
    <w:rsid w:val="00310C9E"/>
    <w:rsid w:val="00310D06"/>
    <w:rsid w:val="00310D5C"/>
    <w:rsid w:val="00310FBB"/>
    <w:rsid w:val="0031102F"/>
    <w:rsid w:val="003110DE"/>
    <w:rsid w:val="003112A2"/>
    <w:rsid w:val="003113AF"/>
    <w:rsid w:val="00311538"/>
    <w:rsid w:val="00311723"/>
    <w:rsid w:val="0031187D"/>
    <w:rsid w:val="00311FFA"/>
    <w:rsid w:val="003125F7"/>
    <w:rsid w:val="00312633"/>
    <w:rsid w:val="00312716"/>
    <w:rsid w:val="00312989"/>
    <w:rsid w:val="00312CA0"/>
    <w:rsid w:val="0031368C"/>
    <w:rsid w:val="003138D2"/>
    <w:rsid w:val="00313904"/>
    <w:rsid w:val="003139BE"/>
    <w:rsid w:val="003140A4"/>
    <w:rsid w:val="00314182"/>
    <w:rsid w:val="003143F7"/>
    <w:rsid w:val="003147F3"/>
    <w:rsid w:val="003149F4"/>
    <w:rsid w:val="00314DFC"/>
    <w:rsid w:val="00314F53"/>
    <w:rsid w:val="00314FE1"/>
    <w:rsid w:val="00315472"/>
    <w:rsid w:val="003158EB"/>
    <w:rsid w:val="00315962"/>
    <w:rsid w:val="00315C41"/>
    <w:rsid w:val="00315D19"/>
    <w:rsid w:val="00315E45"/>
    <w:rsid w:val="00315F40"/>
    <w:rsid w:val="00316033"/>
    <w:rsid w:val="003162F8"/>
    <w:rsid w:val="003166B4"/>
    <w:rsid w:val="003168A3"/>
    <w:rsid w:val="00316AFA"/>
    <w:rsid w:val="00316C31"/>
    <w:rsid w:val="00316FD5"/>
    <w:rsid w:val="003173D9"/>
    <w:rsid w:val="00317A07"/>
    <w:rsid w:val="00317B9F"/>
    <w:rsid w:val="00317F90"/>
    <w:rsid w:val="003202C8"/>
    <w:rsid w:val="003205B6"/>
    <w:rsid w:val="00320C19"/>
    <w:rsid w:val="00320C95"/>
    <w:rsid w:val="00320DAD"/>
    <w:rsid w:val="00320EA7"/>
    <w:rsid w:val="00321013"/>
    <w:rsid w:val="00321357"/>
    <w:rsid w:val="003214B3"/>
    <w:rsid w:val="003214C9"/>
    <w:rsid w:val="00321556"/>
    <w:rsid w:val="00321612"/>
    <w:rsid w:val="00321983"/>
    <w:rsid w:val="00321BC7"/>
    <w:rsid w:val="00321DB1"/>
    <w:rsid w:val="00321E10"/>
    <w:rsid w:val="00322283"/>
    <w:rsid w:val="00322365"/>
    <w:rsid w:val="00322380"/>
    <w:rsid w:val="00322626"/>
    <w:rsid w:val="0032271A"/>
    <w:rsid w:val="00322765"/>
    <w:rsid w:val="003227FE"/>
    <w:rsid w:val="003229B3"/>
    <w:rsid w:val="00322A2A"/>
    <w:rsid w:val="00322A5E"/>
    <w:rsid w:val="00322A62"/>
    <w:rsid w:val="00322BB2"/>
    <w:rsid w:val="00322C24"/>
    <w:rsid w:val="00322C85"/>
    <w:rsid w:val="00322CAA"/>
    <w:rsid w:val="00322EB1"/>
    <w:rsid w:val="00322EC5"/>
    <w:rsid w:val="00322EE7"/>
    <w:rsid w:val="0032338F"/>
    <w:rsid w:val="003234EE"/>
    <w:rsid w:val="0032369E"/>
    <w:rsid w:val="00323765"/>
    <w:rsid w:val="00323B80"/>
    <w:rsid w:val="00323C15"/>
    <w:rsid w:val="00323DFB"/>
    <w:rsid w:val="00323E38"/>
    <w:rsid w:val="00323F75"/>
    <w:rsid w:val="003241F6"/>
    <w:rsid w:val="003242A4"/>
    <w:rsid w:val="00324AFD"/>
    <w:rsid w:val="00324BD0"/>
    <w:rsid w:val="00325291"/>
    <w:rsid w:val="003252A7"/>
    <w:rsid w:val="00325747"/>
    <w:rsid w:val="003258A1"/>
    <w:rsid w:val="00325A74"/>
    <w:rsid w:val="00325D88"/>
    <w:rsid w:val="00325E2F"/>
    <w:rsid w:val="00326069"/>
    <w:rsid w:val="003261E4"/>
    <w:rsid w:val="00326394"/>
    <w:rsid w:val="0032650A"/>
    <w:rsid w:val="00326775"/>
    <w:rsid w:val="003268E3"/>
    <w:rsid w:val="00326EA7"/>
    <w:rsid w:val="00326F73"/>
    <w:rsid w:val="00327268"/>
    <w:rsid w:val="003274DD"/>
    <w:rsid w:val="0032789E"/>
    <w:rsid w:val="0032792C"/>
    <w:rsid w:val="003279C4"/>
    <w:rsid w:val="00327B87"/>
    <w:rsid w:val="00327BD8"/>
    <w:rsid w:val="003300B6"/>
    <w:rsid w:val="0033027B"/>
    <w:rsid w:val="0033061C"/>
    <w:rsid w:val="003306C8"/>
    <w:rsid w:val="00330799"/>
    <w:rsid w:val="00331014"/>
    <w:rsid w:val="003311E7"/>
    <w:rsid w:val="0033122F"/>
    <w:rsid w:val="0033220F"/>
    <w:rsid w:val="00332550"/>
    <w:rsid w:val="00332950"/>
    <w:rsid w:val="00332A52"/>
    <w:rsid w:val="00332B1F"/>
    <w:rsid w:val="00332D50"/>
    <w:rsid w:val="00332E9C"/>
    <w:rsid w:val="00333249"/>
    <w:rsid w:val="0033367C"/>
    <w:rsid w:val="00333940"/>
    <w:rsid w:val="0033396A"/>
    <w:rsid w:val="00333BD7"/>
    <w:rsid w:val="00334052"/>
    <w:rsid w:val="00334256"/>
    <w:rsid w:val="003344EE"/>
    <w:rsid w:val="00334505"/>
    <w:rsid w:val="00334632"/>
    <w:rsid w:val="00334A45"/>
    <w:rsid w:val="00334A6E"/>
    <w:rsid w:val="00334AC9"/>
    <w:rsid w:val="00334AEA"/>
    <w:rsid w:val="00334B48"/>
    <w:rsid w:val="00334BC3"/>
    <w:rsid w:val="0033522D"/>
    <w:rsid w:val="0033539C"/>
    <w:rsid w:val="0033586C"/>
    <w:rsid w:val="00335902"/>
    <w:rsid w:val="003362A6"/>
    <w:rsid w:val="00336896"/>
    <w:rsid w:val="00336907"/>
    <w:rsid w:val="00336C12"/>
    <w:rsid w:val="00336D26"/>
    <w:rsid w:val="00336FAD"/>
    <w:rsid w:val="00337201"/>
    <w:rsid w:val="00337387"/>
    <w:rsid w:val="003374F7"/>
    <w:rsid w:val="0033750C"/>
    <w:rsid w:val="00337660"/>
    <w:rsid w:val="0033798E"/>
    <w:rsid w:val="00337C39"/>
    <w:rsid w:val="00337E80"/>
    <w:rsid w:val="00340186"/>
    <w:rsid w:val="003401D8"/>
    <w:rsid w:val="00340375"/>
    <w:rsid w:val="00340408"/>
    <w:rsid w:val="0034081F"/>
    <w:rsid w:val="00340D14"/>
    <w:rsid w:val="0034100A"/>
    <w:rsid w:val="00341111"/>
    <w:rsid w:val="00341190"/>
    <w:rsid w:val="003411C8"/>
    <w:rsid w:val="003414E1"/>
    <w:rsid w:val="00341559"/>
    <w:rsid w:val="003415E6"/>
    <w:rsid w:val="003415F3"/>
    <w:rsid w:val="00341690"/>
    <w:rsid w:val="00341C71"/>
    <w:rsid w:val="003420DE"/>
    <w:rsid w:val="00342174"/>
    <w:rsid w:val="003421CF"/>
    <w:rsid w:val="00342214"/>
    <w:rsid w:val="003424DD"/>
    <w:rsid w:val="00342609"/>
    <w:rsid w:val="00342773"/>
    <w:rsid w:val="003428D4"/>
    <w:rsid w:val="00342A06"/>
    <w:rsid w:val="00342C13"/>
    <w:rsid w:val="00342F95"/>
    <w:rsid w:val="00342FD6"/>
    <w:rsid w:val="00343D31"/>
    <w:rsid w:val="00343D44"/>
    <w:rsid w:val="00344B45"/>
    <w:rsid w:val="00344DD3"/>
    <w:rsid w:val="00344F7B"/>
    <w:rsid w:val="003451EA"/>
    <w:rsid w:val="00345832"/>
    <w:rsid w:val="00345BBD"/>
    <w:rsid w:val="00345E3B"/>
    <w:rsid w:val="00345FA4"/>
    <w:rsid w:val="00346068"/>
    <w:rsid w:val="003467A8"/>
    <w:rsid w:val="00346C0A"/>
    <w:rsid w:val="00346C50"/>
    <w:rsid w:val="00346DB5"/>
    <w:rsid w:val="0034732F"/>
    <w:rsid w:val="00347609"/>
    <w:rsid w:val="00347635"/>
    <w:rsid w:val="00347718"/>
    <w:rsid w:val="00347A36"/>
    <w:rsid w:val="00347B7C"/>
    <w:rsid w:val="00347BF0"/>
    <w:rsid w:val="00347D63"/>
    <w:rsid w:val="00347ED2"/>
    <w:rsid w:val="0035009F"/>
    <w:rsid w:val="003505FC"/>
    <w:rsid w:val="003506CF"/>
    <w:rsid w:val="003508E9"/>
    <w:rsid w:val="00350E21"/>
    <w:rsid w:val="00350F79"/>
    <w:rsid w:val="003510E3"/>
    <w:rsid w:val="0035116C"/>
    <w:rsid w:val="00351258"/>
    <w:rsid w:val="0035125C"/>
    <w:rsid w:val="0035139A"/>
    <w:rsid w:val="003514F1"/>
    <w:rsid w:val="00351526"/>
    <w:rsid w:val="00351749"/>
    <w:rsid w:val="00351835"/>
    <w:rsid w:val="00351A24"/>
    <w:rsid w:val="00351EA1"/>
    <w:rsid w:val="00351F0E"/>
    <w:rsid w:val="00352119"/>
    <w:rsid w:val="00352453"/>
    <w:rsid w:val="00352456"/>
    <w:rsid w:val="003525EB"/>
    <w:rsid w:val="0035269F"/>
    <w:rsid w:val="003526F0"/>
    <w:rsid w:val="0035295F"/>
    <w:rsid w:val="00352A82"/>
    <w:rsid w:val="00352EC3"/>
    <w:rsid w:val="00353267"/>
    <w:rsid w:val="003534AB"/>
    <w:rsid w:val="003534EF"/>
    <w:rsid w:val="003535F0"/>
    <w:rsid w:val="00353700"/>
    <w:rsid w:val="00353778"/>
    <w:rsid w:val="0035379E"/>
    <w:rsid w:val="003537AD"/>
    <w:rsid w:val="00353B86"/>
    <w:rsid w:val="00353FF4"/>
    <w:rsid w:val="00354215"/>
    <w:rsid w:val="00354321"/>
    <w:rsid w:val="003544D2"/>
    <w:rsid w:val="003545B0"/>
    <w:rsid w:val="003545B7"/>
    <w:rsid w:val="00354BFC"/>
    <w:rsid w:val="00354E0C"/>
    <w:rsid w:val="00354E54"/>
    <w:rsid w:val="00355036"/>
    <w:rsid w:val="00355181"/>
    <w:rsid w:val="003553FD"/>
    <w:rsid w:val="003557A6"/>
    <w:rsid w:val="003557E9"/>
    <w:rsid w:val="00355FC2"/>
    <w:rsid w:val="003561FB"/>
    <w:rsid w:val="0035624F"/>
    <w:rsid w:val="0035633E"/>
    <w:rsid w:val="00356602"/>
    <w:rsid w:val="00356628"/>
    <w:rsid w:val="00356698"/>
    <w:rsid w:val="003569C6"/>
    <w:rsid w:val="00356A4C"/>
    <w:rsid w:val="00356BBF"/>
    <w:rsid w:val="00356E06"/>
    <w:rsid w:val="00356FDD"/>
    <w:rsid w:val="003574D9"/>
    <w:rsid w:val="003577B1"/>
    <w:rsid w:val="00357846"/>
    <w:rsid w:val="003578C8"/>
    <w:rsid w:val="00357F9C"/>
    <w:rsid w:val="0036047F"/>
    <w:rsid w:val="003604F4"/>
    <w:rsid w:val="003607FC"/>
    <w:rsid w:val="00360877"/>
    <w:rsid w:val="00360B3B"/>
    <w:rsid w:val="00360BFD"/>
    <w:rsid w:val="00361044"/>
    <w:rsid w:val="003611B6"/>
    <w:rsid w:val="0036141E"/>
    <w:rsid w:val="003615A2"/>
    <w:rsid w:val="00361947"/>
    <w:rsid w:val="0036195B"/>
    <w:rsid w:val="003619F7"/>
    <w:rsid w:val="00361A2F"/>
    <w:rsid w:val="00361BC6"/>
    <w:rsid w:val="00361D55"/>
    <w:rsid w:val="00361E02"/>
    <w:rsid w:val="003620E6"/>
    <w:rsid w:val="00362135"/>
    <w:rsid w:val="0036265C"/>
    <w:rsid w:val="00362895"/>
    <w:rsid w:val="00362C4D"/>
    <w:rsid w:val="00362CEE"/>
    <w:rsid w:val="00362E00"/>
    <w:rsid w:val="0036346B"/>
    <w:rsid w:val="00363506"/>
    <w:rsid w:val="00363533"/>
    <w:rsid w:val="003636A3"/>
    <w:rsid w:val="00363835"/>
    <w:rsid w:val="00363999"/>
    <w:rsid w:val="00363C9D"/>
    <w:rsid w:val="00364326"/>
    <w:rsid w:val="003644DC"/>
    <w:rsid w:val="0036462B"/>
    <w:rsid w:val="00364A4A"/>
    <w:rsid w:val="00364D41"/>
    <w:rsid w:val="003650B6"/>
    <w:rsid w:val="00365394"/>
    <w:rsid w:val="00365CA3"/>
    <w:rsid w:val="003661CC"/>
    <w:rsid w:val="003666BF"/>
    <w:rsid w:val="00366704"/>
    <w:rsid w:val="003667EC"/>
    <w:rsid w:val="00366C02"/>
    <w:rsid w:val="00366DC2"/>
    <w:rsid w:val="00366DCB"/>
    <w:rsid w:val="00366E21"/>
    <w:rsid w:val="0036767B"/>
    <w:rsid w:val="00367734"/>
    <w:rsid w:val="00367A1F"/>
    <w:rsid w:val="00367ABA"/>
    <w:rsid w:val="00367BB5"/>
    <w:rsid w:val="00370A74"/>
    <w:rsid w:val="00370B97"/>
    <w:rsid w:val="00370BFD"/>
    <w:rsid w:val="00370E29"/>
    <w:rsid w:val="00370E32"/>
    <w:rsid w:val="00370EF0"/>
    <w:rsid w:val="0037166A"/>
    <w:rsid w:val="003716F2"/>
    <w:rsid w:val="003716F3"/>
    <w:rsid w:val="0037175E"/>
    <w:rsid w:val="003720D3"/>
    <w:rsid w:val="003722E7"/>
    <w:rsid w:val="00372A7B"/>
    <w:rsid w:val="00372CD4"/>
    <w:rsid w:val="00372D2C"/>
    <w:rsid w:val="00372E90"/>
    <w:rsid w:val="00372EA7"/>
    <w:rsid w:val="0037304E"/>
    <w:rsid w:val="003731E8"/>
    <w:rsid w:val="0037381F"/>
    <w:rsid w:val="003738B2"/>
    <w:rsid w:val="00373A99"/>
    <w:rsid w:val="00373AAC"/>
    <w:rsid w:val="00373B5A"/>
    <w:rsid w:val="00373B92"/>
    <w:rsid w:val="00373BEA"/>
    <w:rsid w:val="00373D52"/>
    <w:rsid w:val="00373EBA"/>
    <w:rsid w:val="00374320"/>
    <w:rsid w:val="00374446"/>
    <w:rsid w:val="00374D61"/>
    <w:rsid w:val="00374DD0"/>
    <w:rsid w:val="00374E47"/>
    <w:rsid w:val="003750D4"/>
    <w:rsid w:val="0037546B"/>
    <w:rsid w:val="00375527"/>
    <w:rsid w:val="00375B9F"/>
    <w:rsid w:val="00375DA6"/>
    <w:rsid w:val="00375EB4"/>
    <w:rsid w:val="00376988"/>
    <w:rsid w:val="00376BA0"/>
    <w:rsid w:val="00376BF1"/>
    <w:rsid w:val="00376CF6"/>
    <w:rsid w:val="00376D87"/>
    <w:rsid w:val="00377018"/>
    <w:rsid w:val="00377555"/>
    <w:rsid w:val="0037755F"/>
    <w:rsid w:val="0037777E"/>
    <w:rsid w:val="00377B4F"/>
    <w:rsid w:val="00377D5C"/>
    <w:rsid w:val="0038055C"/>
    <w:rsid w:val="00380660"/>
    <w:rsid w:val="003806AC"/>
    <w:rsid w:val="003807E1"/>
    <w:rsid w:val="00380851"/>
    <w:rsid w:val="0038086A"/>
    <w:rsid w:val="003808CE"/>
    <w:rsid w:val="00380921"/>
    <w:rsid w:val="0038093A"/>
    <w:rsid w:val="00380BBB"/>
    <w:rsid w:val="00380F35"/>
    <w:rsid w:val="00381106"/>
    <w:rsid w:val="00381279"/>
    <w:rsid w:val="00381916"/>
    <w:rsid w:val="00381D67"/>
    <w:rsid w:val="00381EFC"/>
    <w:rsid w:val="0038209D"/>
    <w:rsid w:val="00382115"/>
    <w:rsid w:val="003821B3"/>
    <w:rsid w:val="003823D5"/>
    <w:rsid w:val="003824DD"/>
    <w:rsid w:val="00382995"/>
    <w:rsid w:val="00382AEA"/>
    <w:rsid w:val="0038329B"/>
    <w:rsid w:val="003833CE"/>
    <w:rsid w:val="00383436"/>
    <w:rsid w:val="0038350B"/>
    <w:rsid w:val="003836FC"/>
    <w:rsid w:val="0038371A"/>
    <w:rsid w:val="0038383B"/>
    <w:rsid w:val="003839D2"/>
    <w:rsid w:val="00383D4D"/>
    <w:rsid w:val="00383FF5"/>
    <w:rsid w:val="0038403A"/>
    <w:rsid w:val="003840CA"/>
    <w:rsid w:val="00384224"/>
    <w:rsid w:val="00384467"/>
    <w:rsid w:val="00384A85"/>
    <w:rsid w:val="00384BB2"/>
    <w:rsid w:val="00384BBC"/>
    <w:rsid w:val="00384C18"/>
    <w:rsid w:val="00384DD6"/>
    <w:rsid w:val="00385094"/>
    <w:rsid w:val="00385226"/>
    <w:rsid w:val="00385269"/>
    <w:rsid w:val="003853AB"/>
    <w:rsid w:val="003855E5"/>
    <w:rsid w:val="003855FA"/>
    <w:rsid w:val="003858B8"/>
    <w:rsid w:val="003863BE"/>
    <w:rsid w:val="003868A5"/>
    <w:rsid w:val="00386BD5"/>
    <w:rsid w:val="00386D39"/>
    <w:rsid w:val="0038703C"/>
    <w:rsid w:val="00387310"/>
    <w:rsid w:val="003875A8"/>
    <w:rsid w:val="003876E9"/>
    <w:rsid w:val="0038797D"/>
    <w:rsid w:val="00387A4A"/>
    <w:rsid w:val="00387B84"/>
    <w:rsid w:val="00387CB2"/>
    <w:rsid w:val="00387FB0"/>
    <w:rsid w:val="00390173"/>
    <w:rsid w:val="00390379"/>
    <w:rsid w:val="003903A9"/>
    <w:rsid w:val="003903D9"/>
    <w:rsid w:val="0039052D"/>
    <w:rsid w:val="0039071D"/>
    <w:rsid w:val="00390898"/>
    <w:rsid w:val="00390DA3"/>
    <w:rsid w:val="0039129C"/>
    <w:rsid w:val="00391368"/>
    <w:rsid w:val="0039139D"/>
    <w:rsid w:val="0039141B"/>
    <w:rsid w:val="0039149E"/>
    <w:rsid w:val="003914B1"/>
    <w:rsid w:val="00391624"/>
    <w:rsid w:val="003916A3"/>
    <w:rsid w:val="003918CA"/>
    <w:rsid w:val="0039192C"/>
    <w:rsid w:val="00391DAD"/>
    <w:rsid w:val="00391DC0"/>
    <w:rsid w:val="00391E0D"/>
    <w:rsid w:val="00391EEE"/>
    <w:rsid w:val="00392806"/>
    <w:rsid w:val="00392AEB"/>
    <w:rsid w:val="00392B22"/>
    <w:rsid w:val="00392CD3"/>
    <w:rsid w:val="00392DB4"/>
    <w:rsid w:val="00393014"/>
    <w:rsid w:val="0039316C"/>
    <w:rsid w:val="00393170"/>
    <w:rsid w:val="00393541"/>
    <w:rsid w:val="003936C2"/>
    <w:rsid w:val="00393764"/>
    <w:rsid w:val="00393A52"/>
    <w:rsid w:val="00393F38"/>
    <w:rsid w:val="003943D9"/>
    <w:rsid w:val="003945EC"/>
    <w:rsid w:val="00394D8B"/>
    <w:rsid w:val="00394E58"/>
    <w:rsid w:val="00394F95"/>
    <w:rsid w:val="00395817"/>
    <w:rsid w:val="00395829"/>
    <w:rsid w:val="00395B72"/>
    <w:rsid w:val="00395DB0"/>
    <w:rsid w:val="00395E2B"/>
    <w:rsid w:val="00396050"/>
    <w:rsid w:val="003962E7"/>
    <w:rsid w:val="00396846"/>
    <w:rsid w:val="003968B8"/>
    <w:rsid w:val="003968F5"/>
    <w:rsid w:val="003969A3"/>
    <w:rsid w:val="00396BE0"/>
    <w:rsid w:val="00396D81"/>
    <w:rsid w:val="00397352"/>
    <w:rsid w:val="0039776F"/>
    <w:rsid w:val="0039777A"/>
    <w:rsid w:val="003979FC"/>
    <w:rsid w:val="00397D47"/>
    <w:rsid w:val="00397DD8"/>
    <w:rsid w:val="00397E30"/>
    <w:rsid w:val="00397EC7"/>
    <w:rsid w:val="003A0000"/>
    <w:rsid w:val="003A0164"/>
    <w:rsid w:val="003A016D"/>
    <w:rsid w:val="003A01A7"/>
    <w:rsid w:val="003A01DA"/>
    <w:rsid w:val="003A02B4"/>
    <w:rsid w:val="003A0442"/>
    <w:rsid w:val="003A051A"/>
    <w:rsid w:val="003A05C9"/>
    <w:rsid w:val="003A0656"/>
    <w:rsid w:val="003A0663"/>
    <w:rsid w:val="003A0A58"/>
    <w:rsid w:val="003A12C8"/>
    <w:rsid w:val="003A13F5"/>
    <w:rsid w:val="003A1945"/>
    <w:rsid w:val="003A1AF5"/>
    <w:rsid w:val="003A1DA3"/>
    <w:rsid w:val="003A1F33"/>
    <w:rsid w:val="003A2332"/>
    <w:rsid w:val="003A238E"/>
    <w:rsid w:val="003A2483"/>
    <w:rsid w:val="003A24F7"/>
    <w:rsid w:val="003A2583"/>
    <w:rsid w:val="003A2599"/>
    <w:rsid w:val="003A25A4"/>
    <w:rsid w:val="003A2652"/>
    <w:rsid w:val="003A30CE"/>
    <w:rsid w:val="003A31C7"/>
    <w:rsid w:val="003A32E8"/>
    <w:rsid w:val="003A37A1"/>
    <w:rsid w:val="003A3972"/>
    <w:rsid w:val="003A3A9D"/>
    <w:rsid w:val="003A3BCD"/>
    <w:rsid w:val="003A4255"/>
    <w:rsid w:val="003A42C3"/>
    <w:rsid w:val="003A4346"/>
    <w:rsid w:val="003A4693"/>
    <w:rsid w:val="003A48C8"/>
    <w:rsid w:val="003A4A5A"/>
    <w:rsid w:val="003A4BCE"/>
    <w:rsid w:val="003A4E85"/>
    <w:rsid w:val="003A4F39"/>
    <w:rsid w:val="003A516D"/>
    <w:rsid w:val="003A52C4"/>
    <w:rsid w:val="003A5317"/>
    <w:rsid w:val="003A54D6"/>
    <w:rsid w:val="003A57BC"/>
    <w:rsid w:val="003A5A0B"/>
    <w:rsid w:val="003A5FEB"/>
    <w:rsid w:val="003A600B"/>
    <w:rsid w:val="003A6026"/>
    <w:rsid w:val="003A60CE"/>
    <w:rsid w:val="003A649A"/>
    <w:rsid w:val="003A68D7"/>
    <w:rsid w:val="003A690C"/>
    <w:rsid w:val="003A6AD8"/>
    <w:rsid w:val="003A6F93"/>
    <w:rsid w:val="003A7132"/>
    <w:rsid w:val="003A71BC"/>
    <w:rsid w:val="003A71C3"/>
    <w:rsid w:val="003A73F2"/>
    <w:rsid w:val="003A7691"/>
    <w:rsid w:val="003A7885"/>
    <w:rsid w:val="003A78AF"/>
    <w:rsid w:val="003B00D6"/>
    <w:rsid w:val="003B04CE"/>
    <w:rsid w:val="003B0514"/>
    <w:rsid w:val="003B057D"/>
    <w:rsid w:val="003B05F1"/>
    <w:rsid w:val="003B0915"/>
    <w:rsid w:val="003B095D"/>
    <w:rsid w:val="003B12F4"/>
    <w:rsid w:val="003B182E"/>
    <w:rsid w:val="003B184F"/>
    <w:rsid w:val="003B1A3F"/>
    <w:rsid w:val="003B1DFB"/>
    <w:rsid w:val="003B2236"/>
    <w:rsid w:val="003B24FA"/>
    <w:rsid w:val="003B2B15"/>
    <w:rsid w:val="003B2C70"/>
    <w:rsid w:val="003B2CB8"/>
    <w:rsid w:val="003B2D8B"/>
    <w:rsid w:val="003B3008"/>
    <w:rsid w:val="003B3112"/>
    <w:rsid w:val="003B31E4"/>
    <w:rsid w:val="003B3475"/>
    <w:rsid w:val="003B362F"/>
    <w:rsid w:val="003B394C"/>
    <w:rsid w:val="003B39CF"/>
    <w:rsid w:val="003B3D08"/>
    <w:rsid w:val="003B3DF0"/>
    <w:rsid w:val="003B4047"/>
    <w:rsid w:val="003B4082"/>
    <w:rsid w:val="003B40AB"/>
    <w:rsid w:val="003B4729"/>
    <w:rsid w:val="003B4A23"/>
    <w:rsid w:val="003B4C68"/>
    <w:rsid w:val="003B4CB1"/>
    <w:rsid w:val="003B557A"/>
    <w:rsid w:val="003B5810"/>
    <w:rsid w:val="003B58A7"/>
    <w:rsid w:val="003B5914"/>
    <w:rsid w:val="003B5A19"/>
    <w:rsid w:val="003B5E35"/>
    <w:rsid w:val="003B5EC5"/>
    <w:rsid w:val="003B62BA"/>
    <w:rsid w:val="003B65B7"/>
    <w:rsid w:val="003B6600"/>
    <w:rsid w:val="003B6BC0"/>
    <w:rsid w:val="003B6D2E"/>
    <w:rsid w:val="003B725B"/>
    <w:rsid w:val="003B72B6"/>
    <w:rsid w:val="003B73FD"/>
    <w:rsid w:val="003B7AF4"/>
    <w:rsid w:val="003C012B"/>
    <w:rsid w:val="003C0278"/>
    <w:rsid w:val="003C02C6"/>
    <w:rsid w:val="003C0605"/>
    <w:rsid w:val="003C06D5"/>
    <w:rsid w:val="003C079A"/>
    <w:rsid w:val="003C09DD"/>
    <w:rsid w:val="003C09E5"/>
    <w:rsid w:val="003C0CEE"/>
    <w:rsid w:val="003C0F72"/>
    <w:rsid w:val="003C1025"/>
    <w:rsid w:val="003C1797"/>
    <w:rsid w:val="003C1F88"/>
    <w:rsid w:val="003C207D"/>
    <w:rsid w:val="003C2100"/>
    <w:rsid w:val="003C213C"/>
    <w:rsid w:val="003C242A"/>
    <w:rsid w:val="003C25CE"/>
    <w:rsid w:val="003C27EC"/>
    <w:rsid w:val="003C2813"/>
    <w:rsid w:val="003C2C57"/>
    <w:rsid w:val="003C2CD3"/>
    <w:rsid w:val="003C2F9D"/>
    <w:rsid w:val="003C33A1"/>
    <w:rsid w:val="003C3729"/>
    <w:rsid w:val="003C3896"/>
    <w:rsid w:val="003C38E6"/>
    <w:rsid w:val="003C3ACC"/>
    <w:rsid w:val="003C3D46"/>
    <w:rsid w:val="003C4224"/>
    <w:rsid w:val="003C45D9"/>
    <w:rsid w:val="003C46FD"/>
    <w:rsid w:val="003C4748"/>
    <w:rsid w:val="003C4F21"/>
    <w:rsid w:val="003C4F39"/>
    <w:rsid w:val="003C53DF"/>
    <w:rsid w:val="003C5612"/>
    <w:rsid w:val="003C5895"/>
    <w:rsid w:val="003C5C01"/>
    <w:rsid w:val="003C638A"/>
    <w:rsid w:val="003C670F"/>
    <w:rsid w:val="003C67D3"/>
    <w:rsid w:val="003C68DE"/>
    <w:rsid w:val="003C68F4"/>
    <w:rsid w:val="003C69CA"/>
    <w:rsid w:val="003C6BED"/>
    <w:rsid w:val="003C6E13"/>
    <w:rsid w:val="003C6EEB"/>
    <w:rsid w:val="003C6FD1"/>
    <w:rsid w:val="003C7105"/>
    <w:rsid w:val="003C724D"/>
    <w:rsid w:val="003C75FB"/>
    <w:rsid w:val="003C7824"/>
    <w:rsid w:val="003C7837"/>
    <w:rsid w:val="003C7A72"/>
    <w:rsid w:val="003C7A89"/>
    <w:rsid w:val="003C7B42"/>
    <w:rsid w:val="003C7CAA"/>
    <w:rsid w:val="003D003D"/>
    <w:rsid w:val="003D0568"/>
    <w:rsid w:val="003D065D"/>
    <w:rsid w:val="003D0802"/>
    <w:rsid w:val="003D0BBE"/>
    <w:rsid w:val="003D0C67"/>
    <w:rsid w:val="003D0C76"/>
    <w:rsid w:val="003D0DF2"/>
    <w:rsid w:val="003D0F65"/>
    <w:rsid w:val="003D1042"/>
    <w:rsid w:val="003D1291"/>
    <w:rsid w:val="003D1318"/>
    <w:rsid w:val="003D178B"/>
    <w:rsid w:val="003D18D5"/>
    <w:rsid w:val="003D198E"/>
    <w:rsid w:val="003D1F33"/>
    <w:rsid w:val="003D212D"/>
    <w:rsid w:val="003D2234"/>
    <w:rsid w:val="003D23E2"/>
    <w:rsid w:val="003D242F"/>
    <w:rsid w:val="003D24DD"/>
    <w:rsid w:val="003D2525"/>
    <w:rsid w:val="003D29B4"/>
    <w:rsid w:val="003D2C2C"/>
    <w:rsid w:val="003D2CE6"/>
    <w:rsid w:val="003D2D08"/>
    <w:rsid w:val="003D2DA1"/>
    <w:rsid w:val="003D2EC2"/>
    <w:rsid w:val="003D30C1"/>
    <w:rsid w:val="003D33AB"/>
    <w:rsid w:val="003D356F"/>
    <w:rsid w:val="003D3642"/>
    <w:rsid w:val="003D3991"/>
    <w:rsid w:val="003D3A1F"/>
    <w:rsid w:val="003D3BC9"/>
    <w:rsid w:val="003D3BFE"/>
    <w:rsid w:val="003D4303"/>
    <w:rsid w:val="003D44F6"/>
    <w:rsid w:val="003D4D4C"/>
    <w:rsid w:val="003D4DC7"/>
    <w:rsid w:val="003D4F77"/>
    <w:rsid w:val="003D521A"/>
    <w:rsid w:val="003D5670"/>
    <w:rsid w:val="003D5735"/>
    <w:rsid w:val="003D5881"/>
    <w:rsid w:val="003D6393"/>
    <w:rsid w:val="003D6777"/>
    <w:rsid w:val="003D6A3D"/>
    <w:rsid w:val="003D6BC9"/>
    <w:rsid w:val="003D74AC"/>
    <w:rsid w:val="003D7F25"/>
    <w:rsid w:val="003D7F5E"/>
    <w:rsid w:val="003E0475"/>
    <w:rsid w:val="003E066F"/>
    <w:rsid w:val="003E069D"/>
    <w:rsid w:val="003E0E87"/>
    <w:rsid w:val="003E1272"/>
    <w:rsid w:val="003E1535"/>
    <w:rsid w:val="003E1998"/>
    <w:rsid w:val="003E1E75"/>
    <w:rsid w:val="003E27F7"/>
    <w:rsid w:val="003E2984"/>
    <w:rsid w:val="003E2E31"/>
    <w:rsid w:val="003E314D"/>
    <w:rsid w:val="003E37BE"/>
    <w:rsid w:val="003E3EDE"/>
    <w:rsid w:val="003E3FC2"/>
    <w:rsid w:val="003E4189"/>
    <w:rsid w:val="003E43CC"/>
    <w:rsid w:val="003E47E7"/>
    <w:rsid w:val="003E496D"/>
    <w:rsid w:val="003E4F94"/>
    <w:rsid w:val="003E4F9A"/>
    <w:rsid w:val="003E5082"/>
    <w:rsid w:val="003E5172"/>
    <w:rsid w:val="003E5187"/>
    <w:rsid w:val="003E51B9"/>
    <w:rsid w:val="003E51BF"/>
    <w:rsid w:val="003E53BF"/>
    <w:rsid w:val="003E546C"/>
    <w:rsid w:val="003E58F9"/>
    <w:rsid w:val="003E59AF"/>
    <w:rsid w:val="003E5F97"/>
    <w:rsid w:val="003E609B"/>
    <w:rsid w:val="003E69B7"/>
    <w:rsid w:val="003E70B8"/>
    <w:rsid w:val="003E7258"/>
    <w:rsid w:val="003E7461"/>
    <w:rsid w:val="003E7821"/>
    <w:rsid w:val="003E785D"/>
    <w:rsid w:val="003E7A68"/>
    <w:rsid w:val="003E7A94"/>
    <w:rsid w:val="003E7B19"/>
    <w:rsid w:val="003F061C"/>
    <w:rsid w:val="003F06AA"/>
    <w:rsid w:val="003F06BD"/>
    <w:rsid w:val="003F0AD7"/>
    <w:rsid w:val="003F0CE0"/>
    <w:rsid w:val="003F0F00"/>
    <w:rsid w:val="003F0F14"/>
    <w:rsid w:val="003F15CD"/>
    <w:rsid w:val="003F1617"/>
    <w:rsid w:val="003F161A"/>
    <w:rsid w:val="003F1A48"/>
    <w:rsid w:val="003F25B2"/>
    <w:rsid w:val="003F28F8"/>
    <w:rsid w:val="003F291A"/>
    <w:rsid w:val="003F29C1"/>
    <w:rsid w:val="003F2B6C"/>
    <w:rsid w:val="003F2B8A"/>
    <w:rsid w:val="003F2C8C"/>
    <w:rsid w:val="003F3387"/>
    <w:rsid w:val="003F342C"/>
    <w:rsid w:val="003F349C"/>
    <w:rsid w:val="003F36EE"/>
    <w:rsid w:val="003F3A79"/>
    <w:rsid w:val="003F3B12"/>
    <w:rsid w:val="003F3BCA"/>
    <w:rsid w:val="003F3E19"/>
    <w:rsid w:val="003F40B3"/>
    <w:rsid w:val="003F4471"/>
    <w:rsid w:val="003F44F5"/>
    <w:rsid w:val="003F4720"/>
    <w:rsid w:val="003F47E9"/>
    <w:rsid w:val="003F4946"/>
    <w:rsid w:val="003F49A7"/>
    <w:rsid w:val="003F4F56"/>
    <w:rsid w:val="003F57AA"/>
    <w:rsid w:val="003F57F0"/>
    <w:rsid w:val="003F5820"/>
    <w:rsid w:val="003F5ADF"/>
    <w:rsid w:val="003F5AE2"/>
    <w:rsid w:val="003F5C06"/>
    <w:rsid w:val="003F5DE2"/>
    <w:rsid w:val="003F5E84"/>
    <w:rsid w:val="003F6053"/>
    <w:rsid w:val="003F64F6"/>
    <w:rsid w:val="003F660D"/>
    <w:rsid w:val="003F6AF7"/>
    <w:rsid w:val="003F6CE7"/>
    <w:rsid w:val="003F6F68"/>
    <w:rsid w:val="003F7402"/>
    <w:rsid w:val="003F7519"/>
    <w:rsid w:val="003F756D"/>
    <w:rsid w:val="003F76D0"/>
    <w:rsid w:val="003F7C39"/>
    <w:rsid w:val="003F7F6D"/>
    <w:rsid w:val="003F7FB4"/>
    <w:rsid w:val="0040000C"/>
    <w:rsid w:val="0040037B"/>
    <w:rsid w:val="00400470"/>
    <w:rsid w:val="00400715"/>
    <w:rsid w:val="0040073C"/>
    <w:rsid w:val="0040099C"/>
    <w:rsid w:val="00400B62"/>
    <w:rsid w:val="00400FC3"/>
    <w:rsid w:val="00401217"/>
    <w:rsid w:val="00401272"/>
    <w:rsid w:val="004013EE"/>
    <w:rsid w:val="00401724"/>
    <w:rsid w:val="0040173F"/>
    <w:rsid w:val="00401B14"/>
    <w:rsid w:val="00401C2E"/>
    <w:rsid w:val="00402EF7"/>
    <w:rsid w:val="004032F3"/>
    <w:rsid w:val="0040330A"/>
    <w:rsid w:val="00403380"/>
    <w:rsid w:val="004035D8"/>
    <w:rsid w:val="0040392F"/>
    <w:rsid w:val="00403B42"/>
    <w:rsid w:val="00403DE7"/>
    <w:rsid w:val="00403EA0"/>
    <w:rsid w:val="00403F4D"/>
    <w:rsid w:val="00404344"/>
    <w:rsid w:val="00404390"/>
    <w:rsid w:val="00404979"/>
    <w:rsid w:val="0040498B"/>
    <w:rsid w:val="00404A53"/>
    <w:rsid w:val="00405575"/>
    <w:rsid w:val="00405973"/>
    <w:rsid w:val="00405974"/>
    <w:rsid w:val="00405BAF"/>
    <w:rsid w:val="00405E55"/>
    <w:rsid w:val="00405EB6"/>
    <w:rsid w:val="004060D0"/>
    <w:rsid w:val="0040633F"/>
    <w:rsid w:val="00406907"/>
    <w:rsid w:val="00406CA7"/>
    <w:rsid w:val="00406F35"/>
    <w:rsid w:val="00406F8F"/>
    <w:rsid w:val="0040712D"/>
    <w:rsid w:val="004074C2"/>
    <w:rsid w:val="004076BA"/>
    <w:rsid w:val="0040788B"/>
    <w:rsid w:val="00407DD2"/>
    <w:rsid w:val="004101BF"/>
    <w:rsid w:val="004101EA"/>
    <w:rsid w:val="0041028F"/>
    <w:rsid w:val="004108C4"/>
    <w:rsid w:val="0041090D"/>
    <w:rsid w:val="00410B27"/>
    <w:rsid w:val="00410E66"/>
    <w:rsid w:val="00410FFC"/>
    <w:rsid w:val="004111D5"/>
    <w:rsid w:val="00411301"/>
    <w:rsid w:val="00411352"/>
    <w:rsid w:val="004115EE"/>
    <w:rsid w:val="00411797"/>
    <w:rsid w:val="004119A5"/>
    <w:rsid w:val="00411AB1"/>
    <w:rsid w:val="00411AC3"/>
    <w:rsid w:val="00411F71"/>
    <w:rsid w:val="00412105"/>
    <w:rsid w:val="0041227D"/>
    <w:rsid w:val="004124BC"/>
    <w:rsid w:val="00412890"/>
    <w:rsid w:val="004128B3"/>
    <w:rsid w:val="00412D88"/>
    <w:rsid w:val="004130B2"/>
    <w:rsid w:val="0041383D"/>
    <w:rsid w:val="00413A9D"/>
    <w:rsid w:val="00413AD9"/>
    <w:rsid w:val="00414ABE"/>
    <w:rsid w:val="00414D06"/>
    <w:rsid w:val="00414DA4"/>
    <w:rsid w:val="00415080"/>
    <w:rsid w:val="0041527B"/>
    <w:rsid w:val="00415607"/>
    <w:rsid w:val="0041578E"/>
    <w:rsid w:val="0041593B"/>
    <w:rsid w:val="004159CC"/>
    <w:rsid w:val="00415D4F"/>
    <w:rsid w:val="00416136"/>
    <w:rsid w:val="00416447"/>
    <w:rsid w:val="004164E1"/>
    <w:rsid w:val="00416531"/>
    <w:rsid w:val="004167B5"/>
    <w:rsid w:val="004167D7"/>
    <w:rsid w:val="00416813"/>
    <w:rsid w:val="00416951"/>
    <w:rsid w:val="00416A62"/>
    <w:rsid w:val="00416A8E"/>
    <w:rsid w:val="00416B39"/>
    <w:rsid w:val="00416BAB"/>
    <w:rsid w:val="0041730A"/>
    <w:rsid w:val="00417472"/>
    <w:rsid w:val="00417594"/>
    <w:rsid w:val="00417E02"/>
    <w:rsid w:val="00417E75"/>
    <w:rsid w:val="00417ED8"/>
    <w:rsid w:val="0042022B"/>
    <w:rsid w:val="0042024D"/>
    <w:rsid w:val="00420317"/>
    <w:rsid w:val="0042040A"/>
    <w:rsid w:val="00420793"/>
    <w:rsid w:val="00420C20"/>
    <w:rsid w:val="00420D27"/>
    <w:rsid w:val="004214BC"/>
    <w:rsid w:val="0042157F"/>
    <w:rsid w:val="00421680"/>
    <w:rsid w:val="004217FF"/>
    <w:rsid w:val="00421841"/>
    <w:rsid w:val="0042198C"/>
    <w:rsid w:val="00421AA0"/>
    <w:rsid w:val="00421C66"/>
    <w:rsid w:val="00422217"/>
    <w:rsid w:val="004224CE"/>
    <w:rsid w:val="00422604"/>
    <w:rsid w:val="00422819"/>
    <w:rsid w:val="004228F1"/>
    <w:rsid w:val="004229CC"/>
    <w:rsid w:val="00422CC0"/>
    <w:rsid w:val="00423044"/>
    <w:rsid w:val="00423286"/>
    <w:rsid w:val="00423785"/>
    <w:rsid w:val="004239A6"/>
    <w:rsid w:val="00423F72"/>
    <w:rsid w:val="00423FE2"/>
    <w:rsid w:val="00424505"/>
    <w:rsid w:val="004245B3"/>
    <w:rsid w:val="00424618"/>
    <w:rsid w:val="0042466A"/>
    <w:rsid w:val="00424847"/>
    <w:rsid w:val="00424A61"/>
    <w:rsid w:val="00424B6E"/>
    <w:rsid w:val="00424BA0"/>
    <w:rsid w:val="0042513B"/>
    <w:rsid w:val="0042521F"/>
    <w:rsid w:val="004252ED"/>
    <w:rsid w:val="004254CF"/>
    <w:rsid w:val="004254D5"/>
    <w:rsid w:val="0042572B"/>
    <w:rsid w:val="00425A16"/>
    <w:rsid w:val="00425DB6"/>
    <w:rsid w:val="00425ED5"/>
    <w:rsid w:val="00425EFF"/>
    <w:rsid w:val="00426173"/>
    <w:rsid w:val="004262FE"/>
    <w:rsid w:val="004265EE"/>
    <w:rsid w:val="004265EF"/>
    <w:rsid w:val="00426CF1"/>
    <w:rsid w:val="00426D46"/>
    <w:rsid w:val="00426DB0"/>
    <w:rsid w:val="00426E7A"/>
    <w:rsid w:val="00427100"/>
    <w:rsid w:val="00427117"/>
    <w:rsid w:val="0042779D"/>
    <w:rsid w:val="00427943"/>
    <w:rsid w:val="004279CC"/>
    <w:rsid w:val="00427A14"/>
    <w:rsid w:val="00427A9C"/>
    <w:rsid w:val="00427E51"/>
    <w:rsid w:val="00427ED3"/>
    <w:rsid w:val="00430093"/>
    <w:rsid w:val="004301DD"/>
    <w:rsid w:val="00430271"/>
    <w:rsid w:val="004302C6"/>
    <w:rsid w:val="00430311"/>
    <w:rsid w:val="0043040F"/>
    <w:rsid w:val="00430792"/>
    <w:rsid w:val="0043079D"/>
    <w:rsid w:val="00430929"/>
    <w:rsid w:val="00430CA7"/>
    <w:rsid w:val="00430FFC"/>
    <w:rsid w:val="00431379"/>
    <w:rsid w:val="0043162A"/>
    <w:rsid w:val="004318A8"/>
    <w:rsid w:val="00431B26"/>
    <w:rsid w:val="00431E56"/>
    <w:rsid w:val="00432003"/>
    <w:rsid w:val="004324BE"/>
    <w:rsid w:val="004324CE"/>
    <w:rsid w:val="00432547"/>
    <w:rsid w:val="004325DA"/>
    <w:rsid w:val="0043260D"/>
    <w:rsid w:val="0043279A"/>
    <w:rsid w:val="0043282F"/>
    <w:rsid w:val="00432904"/>
    <w:rsid w:val="00433466"/>
    <w:rsid w:val="0043348C"/>
    <w:rsid w:val="00433CF4"/>
    <w:rsid w:val="00433F84"/>
    <w:rsid w:val="00434292"/>
    <w:rsid w:val="00434403"/>
    <w:rsid w:val="004346EF"/>
    <w:rsid w:val="00434B50"/>
    <w:rsid w:val="00434F8B"/>
    <w:rsid w:val="00435128"/>
    <w:rsid w:val="00435136"/>
    <w:rsid w:val="004353DC"/>
    <w:rsid w:val="0043562D"/>
    <w:rsid w:val="00435A93"/>
    <w:rsid w:val="00435BFE"/>
    <w:rsid w:val="00435CE9"/>
    <w:rsid w:val="00435D0F"/>
    <w:rsid w:val="0043625C"/>
    <w:rsid w:val="0043663D"/>
    <w:rsid w:val="004366DB"/>
    <w:rsid w:val="00436997"/>
    <w:rsid w:val="00436FA3"/>
    <w:rsid w:val="004373A2"/>
    <w:rsid w:val="00437C7B"/>
    <w:rsid w:val="00437EE7"/>
    <w:rsid w:val="004400A1"/>
    <w:rsid w:val="004403D0"/>
    <w:rsid w:val="0044069F"/>
    <w:rsid w:val="004406F7"/>
    <w:rsid w:val="0044074C"/>
    <w:rsid w:val="00440812"/>
    <w:rsid w:val="00440AAA"/>
    <w:rsid w:val="0044111D"/>
    <w:rsid w:val="004411C5"/>
    <w:rsid w:val="00441255"/>
    <w:rsid w:val="00441516"/>
    <w:rsid w:val="004418D9"/>
    <w:rsid w:val="004418FC"/>
    <w:rsid w:val="00441E10"/>
    <w:rsid w:val="00441E99"/>
    <w:rsid w:val="00442026"/>
    <w:rsid w:val="004420A5"/>
    <w:rsid w:val="00442761"/>
    <w:rsid w:val="00442894"/>
    <w:rsid w:val="00442F0A"/>
    <w:rsid w:val="00442FD0"/>
    <w:rsid w:val="00443049"/>
    <w:rsid w:val="004434D7"/>
    <w:rsid w:val="0044367F"/>
    <w:rsid w:val="00443740"/>
    <w:rsid w:val="0044376A"/>
    <w:rsid w:val="004437EB"/>
    <w:rsid w:val="00443B41"/>
    <w:rsid w:val="00443D02"/>
    <w:rsid w:val="00443DA2"/>
    <w:rsid w:val="00444324"/>
    <w:rsid w:val="0044477A"/>
    <w:rsid w:val="00444A3D"/>
    <w:rsid w:val="00444B7E"/>
    <w:rsid w:val="00444DA1"/>
    <w:rsid w:val="00444F3A"/>
    <w:rsid w:val="00444FD2"/>
    <w:rsid w:val="004451BD"/>
    <w:rsid w:val="004456E3"/>
    <w:rsid w:val="00445719"/>
    <w:rsid w:val="00445A15"/>
    <w:rsid w:val="00445BCC"/>
    <w:rsid w:val="00445BEB"/>
    <w:rsid w:val="00445C6E"/>
    <w:rsid w:val="00445EFD"/>
    <w:rsid w:val="00446002"/>
    <w:rsid w:val="004461B4"/>
    <w:rsid w:val="004461E1"/>
    <w:rsid w:val="004462A7"/>
    <w:rsid w:val="004466FA"/>
    <w:rsid w:val="004468D1"/>
    <w:rsid w:val="00446C88"/>
    <w:rsid w:val="00446CFA"/>
    <w:rsid w:val="00447216"/>
    <w:rsid w:val="00447237"/>
    <w:rsid w:val="004477C3"/>
    <w:rsid w:val="00447A26"/>
    <w:rsid w:val="00447A92"/>
    <w:rsid w:val="00447AEC"/>
    <w:rsid w:val="00447B8B"/>
    <w:rsid w:val="00447C1A"/>
    <w:rsid w:val="00447DD2"/>
    <w:rsid w:val="00447E20"/>
    <w:rsid w:val="004500C3"/>
    <w:rsid w:val="00450570"/>
    <w:rsid w:val="004506F5"/>
    <w:rsid w:val="00450BCB"/>
    <w:rsid w:val="00450F08"/>
    <w:rsid w:val="0045151E"/>
    <w:rsid w:val="00451FBD"/>
    <w:rsid w:val="004521BB"/>
    <w:rsid w:val="004521ED"/>
    <w:rsid w:val="004522BB"/>
    <w:rsid w:val="004523FC"/>
    <w:rsid w:val="00452651"/>
    <w:rsid w:val="00452FC5"/>
    <w:rsid w:val="0045318C"/>
    <w:rsid w:val="00453283"/>
    <w:rsid w:val="00453530"/>
    <w:rsid w:val="00453580"/>
    <w:rsid w:val="004535E5"/>
    <w:rsid w:val="00453675"/>
    <w:rsid w:val="00453860"/>
    <w:rsid w:val="004539F7"/>
    <w:rsid w:val="00453C55"/>
    <w:rsid w:val="00453D43"/>
    <w:rsid w:val="00453D86"/>
    <w:rsid w:val="00453DA8"/>
    <w:rsid w:val="0045411C"/>
    <w:rsid w:val="0045431F"/>
    <w:rsid w:val="004549F7"/>
    <w:rsid w:val="00454AB9"/>
    <w:rsid w:val="00454BD9"/>
    <w:rsid w:val="00455562"/>
    <w:rsid w:val="004556B8"/>
    <w:rsid w:val="004559CA"/>
    <w:rsid w:val="00455A9A"/>
    <w:rsid w:val="00455D76"/>
    <w:rsid w:val="00455F27"/>
    <w:rsid w:val="0045600B"/>
    <w:rsid w:val="00456365"/>
    <w:rsid w:val="00456541"/>
    <w:rsid w:val="004565EE"/>
    <w:rsid w:val="00456716"/>
    <w:rsid w:val="00456897"/>
    <w:rsid w:val="00457532"/>
    <w:rsid w:val="00457C6E"/>
    <w:rsid w:val="00457EDC"/>
    <w:rsid w:val="00457FA9"/>
    <w:rsid w:val="0046005E"/>
    <w:rsid w:val="004602CC"/>
    <w:rsid w:val="004603AB"/>
    <w:rsid w:val="00460814"/>
    <w:rsid w:val="00460C98"/>
    <w:rsid w:val="00460DE2"/>
    <w:rsid w:val="00460E9D"/>
    <w:rsid w:val="00460F64"/>
    <w:rsid w:val="004611D1"/>
    <w:rsid w:val="0046137A"/>
    <w:rsid w:val="004614A7"/>
    <w:rsid w:val="00461824"/>
    <w:rsid w:val="00461957"/>
    <w:rsid w:val="00461F70"/>
    <w:rsid w:val="004624D4"/>
    <w:rsid w:val="00462819"/>
    <w:rsid w:val="0046284B"/>
    <w:rsid w:val="00462BB6"/>
    <w:rsid w:val="00462FA6"/>
    <w:rsid w:val="0046314E"/>
    <w:rsid w:val="004631CB"/>
    <w:rsid w:val="0046353E"/>
    <w:rsid w:val="004635B8"/>
    <w:rsid w:val="0046369E"/>
    <w:rsid w:val="00463A70"/>
    <w:rsid w:val="00463DD4"/>
    <w:rsid w:val="00464249"/>
    <w:rsid w:val="0046441D"/>
    <w:rsid w:val="0046486C"/>
    <w:rsid w:val="004649CB"/>
    <w:rsid w:val="00464A57"/>
    <w:rsid w:val="00464E07"/>
    <w:rsid w:val="00464E4C"/>
    <w:rsid w:val="00464F11"/>
    <w:rsid w:val="00464F4A"/>
    <w:rsid w:val="00464FFA"/>
    <w:rsid w:val="00465269"/>
    <w:rsid w:val="00465364"/>
    <w:rsid w:val="004653D7"/>
    <w:rsid w:val="00465421"/>
    <w:rsid w:val="0046542A"/>
    <w:rsid w:val="004655B3"/>
    <w:rsid w:val="004657E2"/>
    <w:rsid w:val="00465CD9"/>
    <w:rsid w:val="0046647A"/>
    <w:rsid w:val="004666E7"/>
    <w:rsid w:val="00466A7C"/>
    <w:rsid w:val="00466B23"/>
    <w:rsid w:val="00466C0D"/>
    <w:rsid w:val="00466C74"/>
    <w:rsid w:val="00466F7E"/>
    <w:rsid w:val="0046741D"/>
    <w:rsid w:val="004676F1"/>
    <w:rsid w:val="00467CB8"/>
    <w:rsid w:val="00467D95"/>
    <w:rsid w:val="004701BF"/>
    <w:rsid w:val="004703C9"/>
    <w:rsid w:val="004707D1"/>
    <w:rsid w:val="00470C74"/>
    <w:rsid w:val="00470FE4"/>
    <w:rsid w:val="00471362"/>
    <w:rsid w:val="00471378"/>
    <w:rsid w:val="0047186C"/>
    <w:rsid w:val="00471A4A"/>
    <w:rsid w:val="00471AB2"/>
    <w:rsid w:val="00471AB6"/>
    <w:rsid w:val="00471C66"/>
    <w:rsid w:val="00471CBA"/>
    <w:rsid w:val="00472526"/>
    <w:rsid w:val="00472ACF"/>
    <w:rsid w:val="00472C04"/>
    <w:rsid w:val="00472C82"/>
    <w:rsid w:val="00472C8A"/>
    <w:rsid w:val="00472D10"/>
    <w:rsid w:val="00472D34"/>
    <w:rsid w:val="0047319F"/>
    <w:rsid w:val="0047323C"/>
    <w:rsid w:val="00473A0B"/>
    <w:rsid w:val="00473B5B"/>
    <w:rsid w:val="00473CF9"/>
    <w:rsid w:val="00474029"/>
    <w:rsid w:val="004746C1"/>
    <w:rsid w:val="0047483D"/>
    <w:rsid w:val="00475178"/>
    <w:rsid w:val="004752AB"/>
    <w:rsid w:val="0047536B"/>
    <w:rsid w:val="00475A13"/>
    <w:rsid w:val="00475A4B"/>
    <w:rsid w:val="00475ADC"/>
    <w:rsid w:val="00475E26"/>
    <w:rsid w:val="00476240"/>
    <w:rsid w:val="00476443"/>
    <w:rsid w:val="004764B6"/>
    <w:rsid w:val="0047663D"/>
    <w:rsid w:val="00476AA2"/>
    <w:rsid w:val="00476B32"/>
    <w:rsid w:val="00476FDA"/>
    <w:rsid w:val="00476FF3"/>
    <w:rsid w:val="004771EF"/>
    <w:rsid w:val="004772A3"/>
    <w:rsid w:val="004772B0"/>
    <w:rsid w:val="00477468"/>
    <w:rsid w:val="0047764A"/>
    <w:rsid w:val="00477A44"/>
    <w:rsid w:val="00477A99"/>
    <w:rsid w:val="00477AD4"/>
    <w:rsid w:val="00480758"/>
    <w:rsid w:val="00480D5C"/>
    <w:rsid w:val="00481045"/>
    <w:rsid w:val="00481136"/>
    <w:rsid w:val="004816B8"/>
    <w:rsid w:val="00481E6C"/>
    <w:rsid w:val="00481F72"/>
    <w:rsid w:val="00482182"/>
    <w:rsid w:val="00482497"/>
    <w:rsid w:val="004825A3"/>
    <w:rsid w:val="00482706"/>
    <w:rsid w:val="0048278F"/>
    <w:rsid w:val="004827A8"/>
    <w:rsid w:val="004829F1"/>
    <w:rsid w:val="00482A98"/>
    <w:rsid w:val="00483357"/>
    <w:rsid w:val="0048363D"/>
    <w:rsid w:val="00483A29"/>
    <w:rsid w:val="00483AB2"/>
    <w:rsid w:val="00483D19"/>
    <w:rsid w:val="00483FFA"/>
    <w:rsid w:val="00484067"/>
    <w:rsid w:val="00484153"/>
    <w:rsid w:val="00484337"/>
    <w:rsid w:val="004843D1"/>
    <w:rsid w:val="00484636"/>
    <w:rsid w:val="00484758"/>
    <w:rsid w:val="00484763"/>
    <w:rsid w:val="004847AB"/>
    <w:rsid w:val="00484847"/>
    <w:rsid w:val="00484C29"/>
    <w:rsid w:val="00484D17"/>
    <w:rsid w:val="00484D3A"/>
    <w:rsid w:val="00484EB7"/>
    <w:rsid w:val="004855DF"/>
    <w:rsid w:val="004856D4"/>
    <w:rsid w:val="00485A66"/>
    <w:rsid w:val="00485BA6"/>
    <w:rsid w:val="00485C27"/>
    <w:rsid w:val="00485E68"/>
    <w:rsid w:val="004860E8"/>
    <w:rsid w:val="004861E6"/>
    <w:rsid w:val="0048642E"/>
    <w:rsid w:val="00486B3B"/>
    <w:rsid w:val="00486E78"/>
    <w:rsid w:val="00486FFD"/>
    <w:rsid w:val="00487093"/>
    <w:rsid w:val="00487874"/>
    <w:rsid w:val="00487883"/>
    <w:rsid w:val="00487EF0"/>
    <w:rsid w:val="0049030B"/>
    <w:rsid w:val="00490415"/>
    <w:rsid w:val="00490763"/>
    <w:rsid w:val="004908BE"/>
    <w:rsid w:val="00490992"/>
    <w:rsid w:val="00490E41"/>
    <w:rsid w:val="00490EF2"/>
    <w:rsid w:val="00490F0C"/>
    <w:rsid w:val="0049102A"/>
    <w:rsid w:val="004910CA"/>
    <w:rsid w:val="00491325"/>
    <w:rsid w:val="004919AF"/>
    <w:rsid w:val="00491E5F"/>
    <w:rsid w:val="00491FD8"/>
    <w:rsid w:val="004929AE"/>
    <w:rsid w:val="00492A88"/>
    <w:rsid w:val="004933D5"/>
    <w:rsid w:val="004938A7"/>
    <w:rsid w:val="0049432E"/>
    <w:rsid w:val="0049455E"/>
    <w:rsid w:val="004946A3"/>
    <w:rsid w:val="00494884"/>
    <w:rsid w:val="00494D9D"/>
    <w:rsid w:val="00495082"/>
    <w:rsid w:val="0049550F"/>
    <w:rsid w:val="004955F5"/>
    <w:rsid w:val="00495660"/>
    <w:rsid w:val="00495F45"/>
    <w:rsid w:val="00495F86"/>
    <w:rsid w:val="004967CD"/>
    <w:rsid w:val="00496A5D"/>
    <w:rsid w:val="00496AD8"/>
    <w:rsid w:val="00496CBC"/>
    <w:rsid w:val="00496F53"/>
    <w:rsid w:val="00497189"/>
    <w:rsid w:val="0049739E"/>
    <w:rsid w:val="004976E5"/>
    <w:rsid w:val="004979F6"/>
    <w:rsid w:val="00497A22"/>
    <w:rsid w:val="00497A24"/>
    <w:rsid w:val="00497AF0"/>
    <w:rsid w:val="00497BB8"/>
    <w:rsid w:val="00497D76"/>
    <w:rsid w:val="00497F54"/>
    <w:rsid w:val="00497F95"/>
    <w:rsid w:val="00497FD6"/>
    <w:rsid w:val="004A0448"/>
    <w:rsid w:val="004A069B"/>
    <w:rsid w:val="004A06AD"/>
    <w:rsid w:val="004A06D2"/>
    <w:rsid w:val="004A07C6"/>
    <w:rsid w:val="004A07CB"/>
    <w:rsid w:val="004A086C"/>
    <w:rsid w:val="004A0DF4"/>
    <w:rsid w:val="004A0ECC"/>
    <w:rsid w:val="004A0F56"/>
    <w:rsid w:val="004A1061"/>
    <w:rsid w:val="004A1109"/>
    <w:rsid w:val="004A12DF"/>
    <w:rsid w:val="004A1619"/>
    <w:rsid w:val="004A16E8"/>
    <w:rsid w:val="004A17CA"/>
    <w:rsid w:val="004A188B"/>
    <w:rsid w:val="004A192B"/>
    <w:rsid w:val="004A1940"/>
    <w:rsid w:val="004A1AC2"/>
    <w:rsid w:val="004A1AFA"/>
    <w:rsid w:val="004A1DB3"/>
    <w:rsid w:val="004A2225"/>
    <w:rsid w:val="004A2629"/>
    <w:rsid w:val="004A2960"/>
    <w:rsid w:val="004A2BA8"/>
    <w:rsid w:val="004A2D81"/>
    <w:rsid w:val="004A300D"/>
    <w:rsid w:val="004A352E"/>
    <w:rsid w:val="004A38A6"/>
    <w:rsid w:val="004A38C4"/>
    <w:rsid w:val="004A3B59"/>
    <w:rsid w:val="004A3DAA"/>
    <w:rsid w:val="004A3E68"/>
    <w:rsid w:val="004A414B"/>
    <w:rsid w:val="004A435B"/>
    <w:rsid w:val="004A459F"/>
    <w:rsid w:val="004A46C0"/>
    <w:rsid w:val="004A470C"/>
    <w:rsid w:val="004A4819"/>
    <w:rsid w:val="004A4F9B"/>
    <w:rsid w:val="004A52ED"/>
    <w:rsid w:val="004A53A0"/>
    <w:rsid w:val="004A54F4"/>
    <w:rsid w:val="004A5534"/>
    <w:rsid w:val="004A5550"/>
    <w:rsid w:val="004A570E"/>
    <w:rsid w:val="004A5760"/>
    <w:rsid w:val="004A5B11"/>
    <w:rsid w:val="004A5C82"/>
    <w:rsid w:val="004A5E6F"/>
    <w:rsid w:val="004A5EF3"/>
    <w:rsid w:val="004A6008"/>
    <w:rsid w:val="004A61BC"/>
    <w:rsid w:val="004A6555"/>
    <w:rsid w:val="004A65CA"/>
    <w:rsid w:val="004A6960"/>
    <w:rsid w:val="004A6CBD"/>
    <w:rsid w:val="004A71D9"/>
    <w:rsid w:val="004A7BE7"/>
    <w:rsid w:val="004A7BEA"/>
    <w:rsid w:val="004B01F6"/>
    <w:rsid w:val="004B033C"/>
    <w:rsid w:val="004B043E"/>
    <w:rsid w:val="004B0770"/>
    <w:rsid w:val="004B08D2"/>
    <w:rsid w:val="004B0A1E"/>
    <w:rsid w:val="004B0A8A"/>
    <w:rsid w:val="004B0B89"/>
    <w:rsid w:val="004B0E94"/>
    <w:rsid w:val="004B0FCC"/>
    <w:rsid w:val="004B1464"/>
    <w:rsid w:val="004B1705"/>
    <w:rsid w:val="004B183F"/>
    <w:rsid w:val="004B1974"/>
    <w:rsid w:val="004B1D54"/>
    <w:rsid w:val="004B2495"/>
    <w:rsid w:val="004B24DC"/>
    <w:rsid w:val="004B2840"/>
    <w:rsid w:val="004B2D19"/>
    <w:rsid w:val="004B313D"/>
    <w:rsid w:val="004B31B2"/>
    <w:rsid w:val="004B3676"/>
    <w:rsid w:val="004B3CBB"/>
    <w:rsid w:val="004B3CCE"/>
    <w:rsid w:val="004B3FFB"/>
    <w:rsid w:val="004B42C6"/>
    <w:rsid w:val="004B433D"/>
    <w:rsid w:val="004B462F"/>
    <w:rsid w:val="004B49D7"/>
    <w:rsid w:val="004B4AB8"/>
    <w:rsid w:val="004B4B75"/>
    <w:rsid w:val="004B5538"/>
    <w:rsid w:val="004B5C22"/>
    <w:rsid w:val="004B61D6"/>
    <w:rsid w:val="004B64F7"/>
    <w:rsid w:val="004B69BD"/>
    <w:rsid w:val="004B69E1"/>
    <w:rsid w:val="004B6BC9"/>
    <w:rsid w:val="004B6DE1"/>
    <w:rsid w:val="004B6EBD"/>
    <w:rsid w:val="004B6F29"/>
    <w:rsid w:val="004B7219"/>
    <w:rsid w:val="004B7571"/>
    <w:rsid w:val="004B7770"/>
    <w:rsid w:val="004B7CFA"/>
    <w:rsid w:val="004B7F14"/>
    <w:rsid w:val="004C0327"/>
    <w:rsid w:val="004C07A4"/>
    <w:rsid w:val="004C09B3"/>
    <w:rsid w:val="004C0D22"/>
    <w:rsid w:val="004C0DB7"/>
    <w:rsid w:val="004C0EFC"/>
    <w:rsid w:val="004C1134"/>
    <w:rsid w:val="004C1310"/>
    <w:rsid w:val="004C14B2"/>
    <w:rsid w:val="004C1636"/>
    <w:rsid w:val="004C1D3C"/>
    <w:rsid w:val="004C1E10"/>
    <w:rsid w:val="004C1F58"/>
    <w:rsid w:val="004C2189"/>
    <w:rsid w:val="004C21AB"/>
    <w:rsid w:val="004C22E6"/>
    <w:rsid w:val="004C22F8"/>
    <w:rsid w:val="004C230B"/>
    <w:rsid w:val="004C2325"/>
    <w:rsid w:val="004C29DA"/>
    <w:rsid w:val="004C2D27"/>
    <w:rsid w:val="004C3397"/>
    <w:rsid w:val="004C369E"/>
    <w:rsid w:val="004C42DB"/>
    <w:rsid w:val="004C450A"/>
    <w:rsid w:val="004C48CF"/>
    <w:rsid w:val="004C4B88"/>
    <w:rsid w:val="004C4C49"/>
    <w:rsid w:val="004C4E10"/>
    <w:rsid w:val="004C52C6"/>
    <w:rsid w:val="004C53CA"/>
    <w:rsid w:val="004C53D5"/>
    <w:rsid w:val="004C5AC0"/>
    <w:rsid w:val="004C5D4D"/>
    <w:rsid w:val="004C5D9C"/>
    <w:rsid w:val="004C5E72"/>
    <w:rsid w:val="004C5E7C"/>
    <w:rsid w:val="004C60D8"/>
    <w:rsid w:val="004C6334"/>
    <w:rsid w:val="004C65BF"/>
    <w:rsid w:val="004C676C"/>
    <w:rsid w:val="004C6CB4"/>
    <w:rsid w:val="004C6E22"/>
    <w:rsid w:val="004C725D"/>
    <w:rsid w:val="004C77BA"/>
    <w:rsid w:val="004C794F"/>
    <w:rsid w:val="004C7A4B"/>
    <w:rsid w:val="004C7A6D"/>
    <w:rsid w:val="004C7D31"/>
    <w:rsid w:val="004C7D3E"/>
    <w:rsid w:val="004C7F19"/>
    <w:rsid w:val="004C7F73"/>
    <w:rsid w:val="004D02D7"/>
    <w:rsid w:val="004D0332"/>
    <w:rsid w:val="004D0444"/>
    <w:rsid w:val="004D0662"/>
    <w:rsid w:val="004D0811"/>
    <w:rsid w:val="004D08A1"/>
    <w:rsid w:val="004D0AB9"/>
    <w:rsid w:val="004D0B42"/>
    <w:rsid w:val="004D0C65"/>
    <w:rsid w:val="004D0F11"/>
    <w:rsid w:val="004D1416"/>
    <w:rsid w:val="004D161E"/>
    <w:rsid w:val="004D16C0"/>
    <w:rsid w:val="004D1740"/>
    <w:rsid w:val="004D183C"/>
    <w:rsid w:val="004D1E7F"/>
    <w:rsid w:val="004D2050"/>
    <w:rsid w:val="004D2221"/>
    <w:rsid w:val="004D29AF"/>
    <w:rsid w:val="004D2AE8"/>
    <w:rsid w:val="004D2DA2"/>
    <w:rsid w:val="004D2FB3"/>
    <w:rsid w:val="004D3321"/>
    <w:rsid w:val="004D3704"/>
    <w:rsid w:val="004D3723"/>
    <w:rsid w:val="004D38F3"/>
    <w:rsid w:val="004D3ADA"/>
    <w:rsid w:val="004D3D68"/>
    <w:rsid w:val="004D3F42"/>
    <w:rsid w:val="004D3FEF"/>
    <w:rsid w:val="004D4836"/>
    <w:rsid w:val="004D48D6"/>
    <w:rsid w:val="004D497C"/>
    <w:rsid w:val="004D4A34"/>
    <w:rsid w:val="004D4B7C"/>
    <w:rsid w:val="004D53CF"/>
    <w:rsid w:val="004D5C51"/>
    <w:rsid w:val="004D5F86"/>
    <w:rsid w:val="004D623B"/>
    <w:rsid w:val="004D6326"/>
    <w:rsid w:val="004D6632"/>
    <w:rsid w:val="004D6783"/>
    <w:rsid w:val="004D6894"/>
    <w:rsid w:val="004D691A"/>
    <w:rsid w:val="004D6FB1"/>
    <w:rsid w:val="004D6FCC"/>
    <w:rsid w:val="004D70B5"/>
    <w:rsid w:val="004D7145"/>
    <w:rsid w:val="004D717A"/>
    <w:rsid w:val="004D72F9"/>
    <w:rsid w:val="004D7348"/>
    <w:rsid w:val="004D78B4"/>
    <w:rsid w:val="004D7C23"/>
    <w:rsid w:val="004D7D28"/>
    <w:rsid w:val="004D7D8D"/>
    <w:rsid w:val="004E00B4"/>
    <w:rsid w:val="004E011A"/>
    <w:rsid w:val="004E023A"/>
    <w:rsid w:val="004E05E1"/>
    <w:rsid w:val="004E06F7"/>
    <w:rsid w:val="004E078D"/>
    <w:rsid w:val="004E09A0"/>
    <w:rsid w:val="004E09FE"/>
    <w:rsid w:val="004E0A53"/>
    <w:rsid w:val="004E152C"/>
    <w:rsid w:val="004E1620"/>
    <w:rsid w:val="004E1986"/>
    <w:rsid w:val="004E2135"/>
    <w:rsid w:val="004E21CF"/>
    <w:rsid w:val="004E2392"/>
    <w:rsid w:val="004E23F4"/>
    <w:rsid w:val="004E292D"/>
    <w:rsid w:val="004E2A10"/>
    <w:rsid w:val="004E2BE4"/>
    <w:rsid w:val="004E2C1C"/>
    <w:rsid w:val="004E32F4"/>
    <w:rsid w:val="004E3504"/>
    <w:rsid w:val="004E3AF0"/>
    <w:rsid w:val="004E3B88"/>
    <w:rsid w:val="004E3C73"/>
    <w:rsid w:val="004E3E6E"/>
    <w:rsid w:val="004E3F1D"/>
    <w:rsid w:val="004E44B9"/>
    <w:rsid w:val="004E45D1"/>
    <w:rsid w:val="004E47F3"/>
    <w:rsid w:val="004E483C"/>
    <w:rsid w:val="004E4A58"/>
    <w:rsid w:val="004E4C5D"/>
    <w:rsid w:val="004E50BD"/>
    <w:rsid w:val="004E571A"/>
    <w:rsid w:val="004E5A8E"/>
    <w:rsid w:val="004E5BA8"/>
    <w:rsid w:val="004E5C1F"/>
    <w:rsid w:val="004E5FDA"/>
    <w:rsid w:val="004E61EE"/>
    <w:rsid w:val="004E68D7"/>
    <w:rsid w:val="004E6CFF"/>
    <w:rsid w:val="004E7027"/>
    <w:rsid w:val="004E7917"/>
    <w:rsid w:val="004E7922"/>
    <w:rsid w:val="004E7CDB"/>
    <w:rsid w:val="004E7D7A"/>
    <w:rsid w:val="004F03DC"/>
    <w:rsid w:val="004F0728"/>
    <w:rsid w:val="004F0890"/>
    <w:rsid w:val="004F090B"/>
    <w:rsid w:val="004F0B6E"/>
    <w:rsid w:val="004F0BF0"/>
    <w:rsid w:val="004F0D42"/>
    <w:rsid w:val="004F0E21"/>
    <w:rsid w:val="004F0E74"/>
    <w:rsid w:val="004F0F5A"/>
    <w:rsid w:val="004F117A"/>
    <w:rsid w:val="004F1707"/>
    <w:rsid w:val="004F17CB"/>
    <w:rsid w:val="004F1827"/>
    <w:rsid w:val="004F1B81"/>
    <w:rsid w:val="004F1DE0"/>
    <w:rsid w:val="004F22EE"/>
    <w:rsid w:val="004F2AFD"/>
    <w:rsid w:val="004F2B4A"/>
    <w:rsid w:val="004F2DB9"/>
    <w:rsid w:val="004F2E9E"/>
    <w:rsid w:val="004F2F1D"/>
    <w:rsid w:val="004F322E"/>
    <w:rsid w:val="004F32EC"/>
    <w:rsid w:val="004F32ED"/>
    <w:rsid w:val="004F3530"/>
    <w:rsid w:val="004F3733"/>
    <w:rsid w:val="004F3739"/>
    <w:rsid w:val="004F376E"/>
    <w:rsid w:val="004F3C3F"/>
    <w:rsid w:val="004F3C81"/>
    <w:rsid w:val="004F41B3"/>
    <w:rsid w:val="004F4586"/>
    <w:rsid w:val="004F45FB"/>
    <w:rsid w:val="004F470F"/>
    <w:rsid w:val="004F477C"/>
    <w:rsid w:val="004F4979"/>
    <w:rsid w:val="004F49D6"/>
    <w:rsid w:val="004F4A43"/>
    <w:rsid w:val="004F4AC3"/>
    <w:rsid w:val="004F4C1D"/>
    <w:rsid w:val="004F4EE0"/>
    <w:rsid w:val="004F4EFB"/>
    <w:rsid w:val="004F5027"/>
    <w:rsid w:val="004F5049"/>
    <w:rsid w:val="004F51F5"/>
    <w:rsid w:val="004F5354"/>
    <w:rsid w:val="004F5639"/>
    <w:rsid w:val="004F5A4E"/>
    <w:rsid w:val="004F5BC7"/>
    <w:rsid w:val="004F5C4B"/>
    <w:rsid w:val="004F620C"/>
    <w:rsid w:val="004F636D"/>
    <w:rsid w:val="004F65CF"/>
    <w:rsid w:val="004F6A0E"/>
    <w:rsid w:val="004F6AF0"/>
    <w:rsid w:val="004F6D1D"/>
    <w:rsid w:val="004F6D6F"/>
    <w:rsid w:val="004F735B"/>
    <w:rsid w:val="004F735C"/>
    <w:rsid w:val="004F75AA"/>
    <w:rsid w:val="004F7BD5"/>
    <w:rsid w:val="004F7C93"/>
    <w:rsid w:val="0050007D"/>
    <w:rsid w:val="005004EF"/>
    <w:rsid w:val="00500766"/>
    <w:rsid w:val="00500B04"/>
    <w:rsid w:val="00500D2B"/>
    <w:rsid w:val="005010D6"/>
    <w:rsid w:val="00501231"/>
    <w:rsid w:val="00501237"/>
    <w:rsid w:val="00501565"/>
    <w:rsid w:val="00501B32"/>
    <w:rsid w:val="00501C70"/>
    <w:rsid w:val="00501DC2"/>
    <w:rsid w:val="00501FA0"/>
    <w:rsid w:val="0050203E"/>
    <w:rsid w:val="00502712"/>
    <w:rsid w:val="0050288C"/>
    <w:rsid w:val="00502EF2"/>
    <w:rsid w:val="00502EFA"/>
    <w:rsid w:val="00503128"/>
    <w:rsid w:val="0050332E"/>
    <w:rsid w:val="00503642"/>
    <w:rsid w:val="005038FE"/>
    <w:rsid w:val="00503B4A"/>
    <w:rsid w:val="00503E8F"/>
    <w:rsid w:val="00503F38"/>
    <w:rsid w:val="005040DE"/>
    <w:rsid w:val="005043EB"/>
    <w:rsid w:val="00504467"/>
    <w:rsid w:val="005044B7"/>
    <w:rsid w:val="005044DB"/>
    <w:rsid w:val="00504913"/>
    <w:rsid w:val="00504956"/>
    <w:rsid w:val="00504E3E"/>
    <w:rsid w:val="005051B8"/>
    <w:rsid w:val="0050540F"/>
    <w:rsid w:val="0050554A"/>
    <w:rsid w:val="005058A2"/>
    <w:rsid w:val="005058B1"/>
    <w:rsid w:val="00505BB0"/>
    <w:rsid w:val="00505F12"/>
    <w:rsid w:val="005060AD"/>
    <w:rsid w:val="005061F1"/>
    <w:rsid w:val="00506282"/>
    <w:rsid w:val="00506676"/>
    <w:rsid w:val="00506781"/>
    <w:rsid w:val="00506E6E"/>
    <w:rsid w:val="00507858"/>
    <w:rsid w:val="005079B9"/>
    <w:rsid w:val="00507A28"/>
    <w:rsid w:val="00510029"/>
    <w:rsid w:val="005103B1"/>
    <w:rsid w:val="00510F32"/>
    <w:rsid w:val="0051122A"/>
    <w:rsid w:val="005113D3"/>
    <w:rsid w:val="00511799"/>
    <w:rsid w:val="005118C0"/>
    <w:rsid w:val="00511B20"/>
    <w:rsid w:val="00511C77"/>
    <w:rsid w:val="00512709"/>
    <w:rsid w:val="0051273E"/>
    <w:rsid w:val="005127E4"/>
    <w:rsid w:val="00513D1B"/>
    <w:rsid w:val="00513D85"/>
    <w:rsid w:val="00513D8B"/>
    <w:rsid w:val="00513F90"/>
    <w:rsid w:val="005149BB"/>
    <w:rsid w:val="005156AF"/>
    <w:rsid w:val="0051573E"/>
    <w:rsid w:val="00515790"/>
    <w:rsid w:val="00515832"/>
    <w:rsid w:val="0051619F"/>
    <w:rsid w:val="005162C9"/>
    <w:rsid w:val="005168EF"/>
    <w:rsid w:val="00516BBF"/>
    <w:rsid w:val="00516BE5"/>
    <w:rsid w:val="00516DE9"/>
    <w:rsid w:val="00516DF1"/>
    <w:rsid w:val="00516F57"/>
    <w:rsid w:val="005171C3"/>
    <w:rsid w:val="005174C3"/>
    <w:rsid w:val="00517623"/>
    <w:rsid w:val="00517A68"/>
    <w:rsid w:val="00517A74"/>
    <w:rsid w:val="00517B2F"/>
    <w:rsid w:val="00517F48"/>
    <w:rsid w:val="005200AD"/>
    <w:rsid w:val="005200FE"/>
    <w:rsid w:val="00520158"/>
    <w:rsid w:val="005209BC"/>
    <w:rsid w:val="00520BBB"/>
    <w:rsid w:val="00520CF7"/>
    <w:rsid w:val="00520F5E"/>
    <w:rsid w:val="00520FA4"/>
    <w:rsid w:val="0052101C"/>
    <w:rsid w:val="0052162D"/>
    <w:rsid w:val="005216E1"/>
    <w:rsid w:val="0052179E"/>
    <w:rsid w:val="00521970"/>
    <w:rsid w:val="00521B8C"/>
    <w:rsid w:val="00521E43"/>
    <w:rsid w:val="00521EA0"/>
    <w:rsid w:val="0052204B"/>
    <w:rsid w:val="00522145"/>
    <w:rsid w:val="00522369"/>
    <w:rsid w:val="005225BA"/>
    <w:rsid w:val="005233E8"/>
    <w:rsid w:val="0052349C"/>
    <w:rsid w:val="005239DC"/>
    <w:rsid w:val="00523AB8"/>
    <w:rsid w:val="00523B18"/>
    <w:rsid w:val="00523D41"/>
    <w:rsid w:val="00523E5D"/>
    <w:rsid w:val="005240E8"/>
    <w:rsid w:val="0052428C"/>
    <w:rsid w:val="005243A9"/>
    <w:rsid w:val="005243F9"/>
    <w:rsid w:val="00524422"/>
    <w:rsid w:val="00524487"/>
    <w:rsid w:val="00524CB4"/>
    <w:rsid w:val="0052529E"/>
    <w:rsid w:val="005253DE"/>
    <w:rsid w:val="0052566A"/>
    <w:rsid w:val="00525731"/>
    <w:rsid w:val="00525737"/>
    <w:rsid w:val="0052580F"/>
    <w:rsid w:val="005259FE"/>
    <w:rsid w:val="00525D4A"/>
    <w:rsid w:val="00525E53"/>
    <w:rsid w:val="00525E7D"/>
    <w:rsid w:val="00526004"/>
    <w:rsid w:val="0052621D"/>
    <w:rsid w:val="00526383"/>
    <w:rsid w:val="005264EF"/>
    <w:rsid w:val="00526863"/>
    <w:rsid w:val="00526DC0"/>
    <w:rsid w:val="00526E80"/>
    <w:rsid w:val="00527146"/>
    <w:rsid w:val="0052726B"/>
    <w:rsid w:val="005276CC"/>
    <w:rsid w:val="00527B52"/>
    <w:rsid w:val="00527C21"/>
    <w:rsid w:val="00527DEC"/>
    <w:rsid w:val="00527F82"/>
    <w:rsid w:val="00530238"/>
    <w:rsid w:val="005302CC"/>
    <w:rsid w:val="00530887"/>
    <w:rsid w:val="00530961"/>
    <w:rsid w:val="00530ACA"/>
    <w:rsid w:val="00530C16"/>
    <w:rsid w:val="00530E09"/>
    <w:rsid w:val="00530EE3"/>
    <w:rsid w:val="0053151D"/>
    <w:rsid w:val="00531B0A"/>
    <w:rsid w:val="00532197"/>
    <w:rsid w:val="005322CE"/>
    <w:rsid w:val="005323BC"/>
    <w:rsid w:val="00532686"/>
    <w:rsid w:val="00532757"/>
    <w:rsid w:val="00532791"/>
    <w:rsid w:val="005328AF"/>
    <w:rsid w:val="00532A6B"/>
    <w:rsid w:val="00532C56"/>
    <w:rsid w:val="0053363B"/>
    <w:rsid w:val="00533A5F"/>
    <w:rsid w:val="00533B04"/>
    <w:rsid w:val="005342BC"/>
    <w:rsid w:val="0053493B"/>
    <w:rsid w:val="00534A9D"/>
    <w:rsid w:val="005350F6"/>
    <w:rsid w:val="00535319"/>
    <w:rsid w:val="00535473"/>
    <w:rsid w:val="00535FEB"/>
    <w:rsid w:val="00536301"/>
    <w:rsid w:val="00536508"/>
    <w:rsid w:val="00536AED"/>
    <w:rsid w:val="00536C5A"/>
    <w:rsid w:val="00536E6E"/>
    <w:rsid w:val="00536F72"/>
    <w:rsid w:val="00537289"/>
    <w:rsid w:val="00537B4A"/>
    <w:rsid w:val="00537CCD"/>
    <w:rsid w:val="00537D2E"/>
    <w:rsid w:val="00537E9E"/>
    <w:rsid w:val="005404B1"/>
    <w:rsid w:val="005405AB"/>
    <w:rsid w:val="0054088F"/>
    <w:rsid w:val="00540A92"/>
    <w:rsid w:val="00540B05"/>
    <w:rsid w:val="00540B29"/>
    <w:rsid w:val="00540E0E"/>
    <w:rsid w:val="00540E40"/>
    <w:rsid w:val="00541067"/>
    <w:rsid w:val="005410B9"/>
    <w:rsid w:val="00541291"/>
    <w:rsid w:val="005412AF"/>
    <w:rsid w:val="00541602"/>
    <w:rsid w:val="0054182A"/>
    <w:rsid w:val="00541A9E"/>
    <w:rsid w:val="00542051"/>
    <w:rsid w:val="00542A4B"/>
    <w:rsid w:val="00542C79"/>
    <w:rsid w:val="00543190"/>
    <w:rsid w:val="0054331D"/>
    <w:rsid w:val="0054338C"/>
    <w:rsid w:val="0054343C"/>
    <w:rsid w:val="005436D9"/>
    <w:rsid w:val="005439C4"/>
    <w:rsid w:val="00543A1A"/>
    <w:rsid w:val="00543AD6"/>
    <w:rsid w:val="00543D2C"/>
    <w:rsid w:val="00543D8F"/>
    <w:rsid w:val="0054476B"/>
    <w:rsid w:val="005447B6"/>
    <w:rsid w:val="005448E3"/>
    <w:rsid w:val="00544A93"/>
    <w:rsid w:val="00544DE0"/>
    <w:rsid w:val="00545181"/>
    <w:rsid w:val="0054518C"/>
    <w:rsid w:val="005452B1"/>
    <w:rsid w:val="0054533E"/>
    <w:rsid w:val="005454FD"/>
    <w:rsid w:val="00545600"/>
    <w:rsid w:val="005458D0"/>
    <w:rsid w:val="0054595D"/>
    <w:rsid w:val="00545D8C"/>
    <w:rsid w:val="005464D4"/>
    <w:rsid w:val="005466A2"/>
    <w:rsid w:val="005466D0"/>
    <w:rsid w:val="0054674C"/>
    <w:rsid w:val="00546AA8"/>
    <w:rsid w:val="00546D6D"/>
    <w:rsid w:val="00546D86"/>
    <w:rsid w:val="005474A7"/>
    <w:rsid w:val="00547539"/>
    <w:rsid w:val="00547612"/>
    <w:rsid w:val="005476CA"/>
    <w:rsid w:val="00547721"/>
    <w:rsid w:val="00547969"/>
    <w:rsid w:val="00547C35"/>
    <w:rsid w:val="00547E84"/>
    <w:rsid w:val="005501A0"/>
    <w:rsid w:val="00550231"/>
    <w:rsid w:val="00550254"/>
    <w:rsid w:val="00550373"/>
    <w:rsid w:val="005509D5"/>
    <w:rsid w:val="00550B72"/>
    <w:rsid w:val="00550D1C"/>
    <w:rsid w:val="0055105C"/>
    <w:rsid w:val="00551108"/>
    <w:rsid w:val="00551927"/>
    <w:rsid w:val="00551DA6"/>
    <w:rsid w:val="00551F21"/>
    <w:rsid w:val="0055220A"/>
    <w:rsid w:val="005524A1"/>
    <w:rsid w:val="005524D8"/>
    <w:rsid w:val="0055273A"/>
    <w:rsid w:val="00552881"/>
    <w:rsid w:val="00552BE5"/>
    <w:rsid w:val="00552D7F"/>
    <w:rsid w:val="00552F37"/>
    <w:rsid w:val="00553109"/>
    <w:rsid w:val="00553781"/>
    <w:rsid w:val="005538AE"/>
    <w:rsid w:val="005539C8"/>
    <w:rsid w:val="00553AEC"/>
    <w:rsid w:val="0055415C"/>
    <w:rsid w:val="00554232"/>
    <w:rsid w:val="005542F6"/>
    <w:rsid w:val="005543C1"/>
    <w:rsid w:val="00554774"/>
    <w:rsid w:val="00554C22"/>
    <w:rsid w:val="00554D3C"/>
    <w:rsid w:val="00554FEB"/>
    <w:rsid w:val="00555055"/>
    <w:rsid w:val="00555403"/>
    <w:rsid w:val="00555517"/>
    <w:rsid w:val="00555771"/>
    <w:rsid w:val="0055584E"/>
    <w:rsid w:val="005559A1"/>
    <w:rsid w:val="00555A4B"/>
    <w:rsid w:val="00555B5E"/>
    <w:rsid w:val="00555CE1"/>
    <w:rsid w:val="00555F2E"/>
    <w:rsid w:val="00556332"/>
    <w:rsid w:val="00556339"/>
    <w:rsid w:val="0055699F"/>
    <w:rsid w:val="00556A79"/>
    <w:rsid w:val="00556B88"/>
    <w:rsid w:val="00556BBD"/>
    <w:rsid w:val="00556CFA"/>
    <w:rsid w:val="00556D68"/>
    <w:rsid w:val="00556D6C"/>
    <w:rsid w:val="00556E90"/>
    <w:rsid w:val="00557E03"/>
    <w:rsid w:val="00557E22"/>
    <w:rsid w:val="0056007A"/>
    <w:rsid w:val="0056015D"/>
    <w:rsid w:val="005604A2"/>
    <w:rsid w:val="005604F8"/>
    <w:rsid w:val="0056077B"/>
    <w:rsid w:val="0056087B"/>
    <w:rsid w:val="005608A2"/>
    <w:rsid w:val="00560B91"/>
    <w:rsid w:val="00560E8F"/>
    <w:rsid w:val="00560EEF"/>
    <w:rsid w:val="00560EFA"/>
    <w:rsid w:val="00560F01"/>
    <w:rsid w:val="00561148"/>
    <w:rsid w:val="00561370"/>
    <w:rsid w:val="00561515"/>
    <w:rsid w:val="00561784"/>
    <w:rsid w:val="0056182B"/>
    <w:rsid w:val="0056193B"/>
    <w:rsid w:val="00561B2B"/>
    <w:rsid w:val="00561C18"/>
    <w:rsid w:val="00561C4A"/>
    <w:rsid w:val="005624DB"/>
    <w:rsid w:val="0056252D"/>
    <w:rsid w:val="0056295D"/>
    <w:rsid w:val="005629F3"/>
    <w:rsid w:val="00562B13"/>
    <w:rsid w:val="00562C9A"/>
    <w:rsid w:val="00563001"/>
    <w:rsid w:val="0056313D"/>
    <w:rsid w:val="005633AE"/>
    <w:rsid w:val="00563900"/>
    <w:rsid w:val="00563C49"/>
    <w:rsid w:val="00563E78"/>
    <w:rsid w:val="005641B0"/>
    <w:rsid w:val="005643D7"/>
    <w:rsid w:val="00564805"/>
    <w:rsid w:val="00564877"/>
    <w:rsid w:val="005648EB"/>
    <w:rsid w:val="00564967"/>
    <w:rsid w:val="005649EA"/>
    <w:rsid w:val="00564D8C"/>
    <w:rsid w:val="00564DE0"/>
    <w:rsid w:val="00565297"/>
    <w:rsid w:val="00565402"/>
    <w:rsid w:val="005655CB"/>
    <w:rsid w:val="00565852"/>
    <w:rsid w:val="00565AF9"/>
    <w:rsid w:val="00565B15"/>
    <w:rsid w:val="00566300"/>
    <w:rsid w:val="005663A1"/>
    <w:rsid w:val="00566494"/>
    <w:rsid w:val="00566627"/>
    <w:rsid w:val="00566E12"/>
    <w:rsid w:val="00566F09"/>
    <w:rsid w:val="00566FCB"/>
    <w:rsid w:val="0056707B"/>
    <w:rsid w:val="00567410"/>
    <w:rsid w:val="005675B8"/>
    <w:rsid w:val="00567607"/>
    <w:rsid w:val="00567865"/>
    <w:rsid w:val="005678E5"/>
    <w:rsid w:val="005702DA"/>
    <w:rsid w:val="00570336"/>
    <w:rsid w:val="0057035D"/>
    <w:rsid w:val="0057055D"/>
    <w:rsid w:val="00570C10"/>
    <w:rsid w:val="00571498"/>
    <w:rsid w:val="005716FE"/>
    <w:rsid w:val="00571707"/>
    <w:rsid w:val="00571961"/>
    <w:rsid w:val="00571B9D"/>
    <w:rsid w:val="00571BF7"/>
    <w:rsid w:val="00571C3A"/>
    <w:rsid w:val="00572120"/>
    <w:rsid w:val="005724E8"/>
    <w:rsid w:val="00572619"/>
    <w:rsid w:val="0057262C"/>
    <w:rsid w:val="00572B2C"/>
    <w:rsid w:val="005730C7"/>
    <w:rsid w:val="005730FC"/>
    <w:rsid w:val="00573225"/>
    <w:rsid w:val="0057336B"/>
    <w:rsid w:val="0057337D"/>
    <w:rsid w:val="005736B8"/>
    <w:rsid w:val="00573A40"/>
    <w:rsid w:val="00573AC0"/>
    <w:rsid w:val="00573E94"/>
    <w:rsid w:val="00574701"/>
    <w:rsid w:val="0057476A"/>
    <w:rsid w:val="00574A29"/>
    <w:rsid w:val="00574B72"/>
    <w:rsid w:val="00574BCD"/>
    <w:rsid w:val="00575073"/>
    <w:rsid w:val="00575492"/>
    <w:rsid w:val="00575DB9"/>
    <w:rsid w:val="00576135"/>
    <w:rsid w:val="005767D3"/>
    <w:rsid w:val="0057680F"/>
    <w:rsid w:val="005768AC"/>
    <w:rsid w:val="00576A2E"/>
    <w:rsid w:val="00576A48"/>
    <w:rsid w:val="00576C71"/>
    <w:rsid w:val="00576DB3"/>
    <w:rsid w:val="00576F62"/>
    <w:rsid w:val="00577199"/>
    <w:rsid w:val="00577231"/>
    <w:rsid w:val="005773D2"/>
    <w:rsid w:val="00577560"/>
    <w:rsid w:val="00577AC8"/>
    <w:rsid w:val="00577E19"/>
    <w:rsid w:val="00577EC9"/>
    <w:rsid w:val="00577F82"/>
    <w:rsid w:val="00580055"/>
    <w:rsid w:val="00580072"/>
    <w:rsid w:val="00580442"/>
    <w:rsid w:val="00580637"/>
    <w:rsid w:val="00580803"/>
    <w:rsid w:val="00580980"/>
    <w:rsid w:val="00580989"/>
    <w:rsid w:val="00580CDC"/>
    <w:rsid w:val="00580E99"/>
    <w:rsid w:val="005810A5"/>
    <w:rsid w:val="00581303"/>
    <w:rsid w:val="005815A5"/>
    <w:rsid w:val="00581913"/>
    <w:rsid w:val="005819D9"/>
    <w:rsid w:val="00581C23"/>
    <w:rsid w:val="00581E11"/>
    <w:rsid w:val="00582769"/>
    <w:rsid w:val="005827C5"/>
    <w:rsid w:val="0058323E"/>
    <w:rsid w:val="00583342"/>
    <w:rsid w:val="00583374"/>
    <w:rsid w:val="005833FE"/>
    <w:rsid w:val="0058354B"/>
    <w:rsid w:val="005835F7"/>
    <w:rsid w:val="00583601"/>
    <w:rsid w:val="00583789"/>
    <w:rsid w:val="00583843"/>
    <w:rsid w:val="00583902"/>
    <w:rsid w:val="00583CE2"/>
    <w:rsid w:val="005842EE"/>
    <w:rsid w:val="00584302"/>
    <w:rsid w:val="0058431A"/>
    <w:rsid w:val="005843DC"/>
    <w:rsid w:val="0058460A"/>
    <w:rsid w:val="00584A16"/>
    <w:rsid w:val="00584C7E"/>
    <w:rsid w:val="00584FB4"/>
    <w:rsid w:val="005852CC"/>
    <w:rsid w:val="0058542F"/>
    <w:rsid w:val="005855EC"/>
    <w:rsid w:val="005856E9"/>
    <w:rsid w:val="0058596E"/>
    <w:rsid w:val="00585B38"/>
    <w:rsid w:val="00585CC3"/>
    <w:rsid w:val="00585D92"/>
    <w:rsid w:val="005860CF"/>
    <w:rsid w:val="005861C0"/>
    <w:rsid w:val="005863A2"/>
    <w:rsid w:val="0058645A"/>
    <w:rsid w:val="005869F7"/>
    <w:rsid w:val="00586A57"/>
    <w:rsid w:val="00586B14"/>
    <w:rsid w:val="00586F3C"/>
    <w:rsid w:val="00586FA6"/>
    <w:rsid w:val="00586FC2"/>
    <w:rsid w:val="00586FCD"/>
    <w:rsid w:val="00586FD2"/>
    <w:rsid w:val="005871A4"/>
    <w:rsid w:val="005874E9"/>
    <w:rsid w:val="00587979"/>
    <w:rsid w:val="00590013"/>
    <w:rsid w:val="0059008A"/>
    <w:rsid w:val="00590134"/>
    <w:rsid w:val="0059016E"/>
    <w:rsid w:val="0059037E"/>
    <w:rsid w:val="00590711"/>
    <w:rsid w:val="0059076A"/>
    <w:rsid w:val="005909F2"/>
    <w:rsid w:val="00590B7C"/>
    <w:rsid w:val="00590FEB"/>
    <w:rsid w:val="0059109E"/>
    <w:rsid w:val="00591C2C"/>
    <w:rsid w:val="00591C8D"/>
    <w:rsid w:val="00591DC1"/>
    <w:rsid w:val="00591FD8"/>
    <w:rsid w:val="00592319"/>
    <w:rsid w:val="005923B3"/>
    <w:rsid w:val="0059266B"/>
    <w:rsid w:val="005929EB"/>
    <w:rsid w:val="00592A7B"/>
    <w:rsid w:val="00592AC3"/>
    <w:rsid w:val="00592E02"/>
    <w:rsid w:val="005930F3"/>
    <w:rsid w:val="00593420"/>
    <w:rsid w:val="00593739"/>
    <w:rsid w:val="005938A1"/>
    <w:rsid w:val="00593C14"/>
    <w:rsid w:val="00593D26"/>
    <w:rsid w:val="00593D5E"/>
    <w:rsid w:val="00593FBB"/>
    <w:rsid w:val="00594058"/>
    <w:rsid w:val="0059453D"/>
    <w:rsid w:val="005947FA"/>
    <w:rsid w:val="00594D08"/>
    <w:rsid w:val="00594DD3"/>
    <w:rsid w:val="00594E77"/>
    <w:rsid w:val="00594EDA"/>
    <w:rsid w:val="00595079"/>
    <w:rsid w:val="00595209"/>
    <w:rsid w:val="0059547F"/>
    <w:rsid w:val="00595A14"/>
    <w:rsid w:val="00595CC8"/>
    <w:rsid w:val="00595F7E"/>
    <w:rsid w:val="00596039"/>
    <w:rsid w:val="0059685D"/>
    <w:rsid w:val="0059687F"/>
    <w:rsid w:val="00596A9B"/>
    <w:rsid w:val="00596DB7"/>
    <w:rsid w:val="00596FAF"/>
    <w:rsid w:val="00597162"/>
    <w:rsid w:val="005979E4"/>
    <w:rsid w:val="00597F15"/>
    <w:rsid w:val="005A055F"/>
    <w:rsid w:val="005A05C7"/>
    <w:rsid w:val="005A0671"/>
    <w:rsid w:val="005A0682"/>
    <w:rsid w:val="005A06E9"/>
    <w:rsid w:val="005A09F5"/>
    <w:rsid w:val="005A0C08"/>
    <w:rsid w:val="005A0EFC"/>
    <w:rsid w:val="005A1201"/>
    <w:rsid w:val="005A1268"/>
    <w:rsid w:val="005A157E"/>
    <w:rsid w:val="005A166A"/>
    <w:rsid w:val="005A18A8"/>
    <w:rsid w:val="005A1E4B"/>
    <w:rsid w:val="005A1EF0"/>
    <w:rsid w:val="005A200D"/>
    <w:rsid w:val="005A27EA"/>
    <w:rsid w:val="005A2835"/>
    <w:rsid w:val="005A28EC"/>
    <w:rsid w:val="005A2B26"/>
    <w:rsid w:val="005A2BC7"/>
    <w:rsid w:val="005A2FE3"/>
    <w:rsid w:val="005A30F6"/>
    <w:rsid w:val="005A3109"/>
    <w:rsid w:val="005A31BC"/>
    <w:rsid w:val="005A3488"/>
    <w:rsid w:val="005A382D"/>
    <w:rsid w:val="005A3C8F"/>
    <w:rsid w:val="005A3DF3"/>
    <w:rsid w:val="005A3E00"/>
    <w:rsid w:val="005A3E6E"/>
    <w:rsid w:val="005A429A"/>
    <w:rsid w:val="005A46B7"/>
    <w:rsid w:val="005A4742"/>
    <w:rsid w:val="005A4760"/>
    <w:rsid w:val="005A4A7B"/>
    <w:rsid w:val="005A4AD6"/>
    <w:rsid w:val="005A4B3B"/>
    <w:rsid w:val="005A4DAC"/>
    <w:rsid w:val="005A5189"/>
    <w:rsid w:val="005A5641"/>
    <w:rsid w:val="005A5FC0"/>
    <w:rsid w:val="005A602D"/>
    <w:rsid w:val="005A67F3"/>
    <w:rsid w:val="005A69C4"/>
    <w:rsid w:val="005A6C29"/>
    <w:rsid w:val="005A6E6E"/>
    <w:rsid w:val="005A6EE5"/>
    <w:rsid w:val="005A7193"/>
    <w:rsid w:val="005A7337"/>
    <w:rsid w:val="005A7357"/>
    <w:rsid w:val="005A7477"/>
    <w:rsid w:val="005A7811"/>
    <w:rsid w:val="005A78F2"/>
    <w:rsid w:val="005A7F62"/>
    <w:rsid w:val="005A7F80"/>
    <w:rsid w:val="005B00DE"/>
    <w:rsid w:val="005B01CB"/>
    <w:rsid w:val="005B0A8D"/>
    <w:rsid w:val="005B169B"/>
    <w:rsid w:val="005B17E7"/>
    <w:rsid w:val="005B1934"/>
    <w:rsid w:val="005B19F6"/>
    <w:rsid w:val="005B1A5F"/>
    <w:rsid w:val="005B1BAF"/>
    <w:rsid w:val="005B205E"/>
    <w:rsid w:val="005B22BF"/>
    <w:rsid w:val="005B22D6"/>
    <w:rsid w:val="005B27C0"/>
    <w:rsid w:val="005B32BC"/>
    <w:rsid w:val="005B3544"/>
    <w:rsid w:val="005B3B6A"/>
    <w:rsid w:val="005B3BF9"/>
    <w:rsid w:val="005B419E"/>
    <w:rsid w:val="005B455A"/>
    <w:rsid w:val="005B470F"/>
    <w:rsid w:val="005B4C85"/>
    <w:rsid w:val="005B4E55"/>
    <w:rsid w:val="005B53FB"/>
    <w:rsid w:val="005B5710"/>
    <w:rsid w:val="005B5766"/>
    <w:rsid w:val="005B5869"/>
    <w:rsid w:val="005B5D02"/>
    <w:rsid w:val="005B678E"/>
    <w:rsid w:val="005B73C3"/>
    <w:rsid w:val="005B762D"/>
    <w:rsid w:val="005B782C"/>
    <w:rsid w:val="005B78BB"/>
    <w:rsid w:val="005C012C"/>
    <w:rsid w:val="005C0160"/>
    <w:rsid w:val="005C09C8"/>
    <w:rsid w:val="005C0C59"/>
    <w:rsid w:val="005C0F71"/>
    <w:rsid w:val="005C0FCF"/>
    <w:rsid w:val="005C11D1"/>
    <w:rsid w:val="005C11F6"/>
    <w:rsid w:val="005C13F5"/>
    <w:rsid w:val="005C13FC"/>
    <w:rsid w:val="005C14EE"/>
    <w:rsid w:val="005C16EC"/>
    <w:rsid w:val="005C183F"/>
    <w:rsid w:val="005C1986"/>
    <w:rsid w:val="005C1A72"/>
    <w:rsid w:val="005C1B4E"/>
    <w:rsid w:val="005C1BA2"/>
    <w:rsid w:val="005C1C99"/>
    <w:rsid w:val="005C1F57"/>
    <w:rsid w:val="005C1FB3"/>
    <w:rsid w:val="005C2283"/>
    <w:rsid w:val="005C2512"/>
    <w:rsid w:val="005C2676"/>
    <w:rsid w:val="005C2948"/>
    <w:rsid w:val="005C2CD1"/>
    <w:rsid w:val="005C32A9"/>
    <w:rsid w:val="005C34EA"/>
    <w:rsid w:val="005C3746"/>
    <w:rsid w:val="005C3B7E"/>
    <w:rsid w:val="005C3C06"/>
    <w:rsid w:val="005C41CE"/>
    <w:rsid w:val="005C4489"/>
    <w:rsid w:val="005C4744"/>
    <w:rsid w:val="005C4824"/>
    <w:rsid w:val="005C4C6B"/>
    <w:rsid w:val="005C500C"/>
    <w:rsid w:val="005C5083"/>
    <w:rsid w:val="005C513E"/>
    <w:rsid w:val="005C52C0"/>
    <w:rsid w:val="005C544B"/>
    <w:rsid w:val="005C5540"/>
    <w:rsid w:val="005C56AE"/>
    <w:rsid w:val="005C5939"/>
    <w:rsid w:val="005C59D7"/>
    <w:rsid w:val="005C5AA8"/>
    <w:rsid w:val="005C5AB0"/>
    <w:rsid w:val="005C5CDC"/>
    <w:rsid w:val="005C5CE4"/>
    <w:rsid w:val="005C5CF2"/>
    <w:rsid w:val="005C6279"/>
    <w:rsid w:val="005C62CA"/>
    <w:rsid w:val="005C62E8"/>
    <w:rsid w:val="005C64C0"/>
    <w:rsid w:val="005C6659"/>
    <w:rsid w:val="005C68B7"/>
    <w:rsid w:val="005C6DBA"/>
    <w:rsid w:val="005C6E6A"/>
    <w:rsid w:val="005C6F57"/>
    <w:rsid w:val="005C70D1"/>
    <w:rsid w:val="005C743D"/>
    <w:rsid w:val="005C762D"/>
    <w:rsid w:val="005C7634"/>
    <w:rsid w:val="005C7E18"/>
    <w:rsid w:val="005D0761"/>
    <w:rsid w:val="005D0996"/>
    <w:rsid w:val="005D0AF3"/>
    <w:rsid w:val="005D0D5A"/>
    <w:rsid w:val="005D0F11"/>
    <w:rsid w:val="005D10C6"/>
    <w:rsid w:val="005D1ACE"/>
    <w:rsid w:val="005D1D28"/>
    <w:rsid w:val="005D1ED0"/>
    <w:rsid w:val="005D1FCC"/>
    <w:rsid w:val="005D1FF9"/>
    <w:rsid w:val="005D2089"/>
    <w:rsid w:val="005D2350"/>
    <w:rsid w:val="005D2475"/>
    <w:rsid w:val="005D2700"/>
    <w:rsid w:val="005D272F"/>
    <w:rsid w:val="005D29F4"/>
    <w:rsid w:val="005D2B56"/>
    <w:rsid w:val="005D2F68"/>
    <w:rsid w:val="005D2F92"/>
    <w:rsid w:val="005D3112"/>
    <w:rsid w:val="005D3389"/>
    <w:rsid w:val="005D3479"/>
    <w:rsid w:val="005D36A8"/>
    <w:rsid w:val="005D3790"/>
    <w:rsid w:val="005D3899"/>
    <w:rsid w:val="005D3DED"/>
    <w:rsid w:val="005D3EF2"/>
    <w:rsid w:val="005D3F9E"/>
    <w:rsid w:val="005D3FA6"/>
    <w:rsid w:val="005D4008"/>
    <w:rsid w:val="005D4023"/>
    <w:rsid w:val="005D4161"/>
    <w:rsid w:val="005D433B"/>
    <w:rsid w:val="005D448D"/>
    <w:rsid w:val="005D4619"/>
    <w:rsid w:val="005D46DB"/>
    <w:rsid w:val="005D4974"/>
    <w:rsid w:val="005D4B17"/>
    <w:rsid w:val="005D4E84"/>
    <w:rsid w:val="005D532E"/>
    <w:rsid w:val="005D5492"/>
    <w:rsid w:val="005D56F3"/>
    <w:rsid w:val="005D589A"/>
    <w:rsid w:val="005D5B7B"/>
    <w:rsid w:val="005D5CC8"/>
    <w:rsid w:val="005D64F9"/>
    <w:rsid w:val="005D6AFE"/>
    <w:rsid w:val="005D6B9F"/>
    <w:rsid w:val="005D6C3A"/>
    <w:rsid w:val="005D6F5D"/>
    <w:rsid w:val="005D6FC6"/>
    <w:rsid w:val="005D77DF"/>
    <w:rsid w:val="005D77E8"/>
    <w:rsid w:val="005D7BAB"/>
    <w:rsid w:val="005D7D3C"/>
    <w:rsid w:val="005E0486"/>
    <w:rsid w:val="005E0586"/>
    <w:rsid w:val="005E089D"/>
    <w:rsid w:val="005E0C89"/>
    <w:rsid w:val="005E11F5"/>
    <w:rsid w:val="005E1468"/>
    <w:rsid w:val="005E15E0"/>
    <w:rsid w:val="005E16DE"/>
    <w:rsid w:val="005E1729"/>
    <w:rsid w:val="005E1A75"/>
    <w:rsid w:val="005E1F34"/>
    <w:rsid w:val="005E1F3C"/>
    <w:rsid w:val="005E235D"/>
    <w:rsid w:val="005E25BD"/>
    <w:rsid w:val="005E267C"/>
    <w:rsid w:val="005E2874"/>
    <w:rsid w:val="005E28A0"/>
    <w:rsid w:val="005E2918"/>
    <w:rsid w:val="005E2BFC"/>
    <w:rsid w:val="005E2C5D"/>
    <w:rsid w:val="005E2CDD"/>
    <w:rsid w:val="005E2F7D"/>
    <w:rsid w:val="005E2FCE"/>
    <w:rsid w:val="005E301C"/>
    <w:rsid w:val="005E3189"/>
    <w:rsid w:val="005E3753"/>
    <w:rsid w:val="005E37EB"/>
    <w:rsid w:val="005E3BBB"/>
    <w:rsid w:val="005E3C56"/>
    <w:rsid w:val="005E3E12"/>
    <w:rsid w:val="005E3E25"/>
    <w:rsid w:val="005E3ED9"/>
    <w:rsid w:val="005E42BB"/>
    <w:rsid w:val="005E4934"/>
    <w:rsid w:val="005E4A0E"/>
    <w:rsid w:val="005E4A31"/>
    <w:rsid w:val="005E4A57"/>
    <w:rsid w:val="005E4CBA"/>
    <w:rsid w:val="005E4DD3"/>
    <w:rsid w:val="005E4E06"/>
    <w:rsid w:val="005E503B"/>
    <w:rsid w:val="005E52E8"/>
    <w:rsid w:val="005E57C8"/>
    <w:rsid w:val="005E587C"/>
    <w:rsid w:val="005E5A38"/>
    <w:rsid w:val="005E5AFF"/>
    <w:rsid w:val="005E5CE5"/>
    <w:rsid w:val="005E5D47"/>
    <w:rsid w:val="005E670B"/>
    <w:rsid w:val="005E6A06"/>
    <w:rsid w:val="005E6B49"/>
    <w:rsid w:val="005E71E6"/>
    <w:rsid w:val="005E722D"/>
    <w:rsid w:val="005E7525"/>
    <w:rsid w:val="005E76CA"/>
    <w:rsid w:val="005E7909"/>
    <w:rsid w:val="005F054B"/>
    <w:rsid w:val="005F0805"/>
    <w:rsid w:val="005F0A5D"/>
    <w:rsid w:val="005F0C8E"/>
    <w:rsid w:val="005F0CD2"/>
    <w:rsid w:val="005F0D6C"/>
    <w:rsid w:val="005F0F38"/>
    <w:rsid w:val="005F10D9"/>
    <w:rsid w:val="005F1105"/>
    <w:rsid w:val="005F16B0"/>
    <w:rsid w:val="005F18D6"/>
    <w:rsid w:val="005F1AD7"/>
    <w:rsid w:val="005F1C01"/>
    <w:rsid w:val="005F21B3"/>
    <w:rsid w:val="005F2282"/>
    <w:rsid w:val="005F26A9"/>
    <w:rsid w:val="005F2D4A"/>
    <w:rsid w:val="005F2F60"/>
    <w:rsid w:val="005F3105"/>
    <w:rsid w:val="005F317C"/>
    <w:rsid w:val="005F333D"/>
    <w:rsid w:val="005F3512"/>
    <w:rsid w:val="005F366A"/>
    <w:rsid w:val="005F37BA"/>
    <w:rsid w:val="005F3801"/>
    <w:rsid w:val="005F3AEC"/>
    <w:rsid w:val="005F3BE0"/>
    <w:rsid w:val="005F3D72"/>
    <w:rsid w:val="005F409D"/>
    <w:rsid w:val="005F4116"/>
    <w:rsid w:val="005F4696"/>
    <w:rsid w:val="005F4C55"/>
    <w:rsid w:val="005F4D33"/>
    <w:rsid w:val="005F4E8B"/>
    <w:rsid w:val="005F55FE"/>
    <w:rsid w:val="005F5719"/>
    <w:rsid w:val="005F58EB"/>
    <w:rsid w:val="005F595E"/>
    <w:rsid w:val="005F5AA9"/>
    <w:rsid w:val="005F5CBA"/>
    <w:rsid w:val="005F5D27"/>
    <w:rsid w:val="005F5D81"/>
    <w:rsid w:val="005F5E40"/>
    <w:rsid w:val="005F5EE0"/>
    <w:rsid w:val="005F5FD9"/>
    <w:rsid w:val="005F65EC"/>
    <w:rsid w:val="005F667C"/>
    <w:rsid w:val="005F68DA"/>
    <w:rsid w:val="005F739F"/>
    <w:rsid w:val="005F74AB"/>
    <w:rsid w:val="005F7713"/>
    <w:rsid w:val="005F7CC5"/>
    <w:rsid w:val="005F7DE3"/>
    <w:rsid w:val="006000DB"/>
    <w:rsid w:val="0060041E"/>
    <w:rsid w:val="00600940"/>
    <w:rsid w:val="00600F62"/>
    <w:rsid w:val="0060112F"/>
    <w:rsid w:val="006011CE"/>
    <w:rsid w:val="00601302"/>
    <w:rsid w:val="00601781"/>
    <w:rsid w:val="0060191A"/>
    <w:rsid w:val="0060217D"/>
    <w:rsid w:val="0060238B"/>
    <w:rsid w:val="00602B00"/>
    <w:rsid w:val="00602BE0"/>
    <w:rsid w:val="00602BF8"/>
    <w:rsid w:val="00602C58"/>
    <w:rsid w:val="00602D75"/>
    <w:rsid w:val="00602F27"/>
    <w:rsid w:val="00603508"/>
    <w:rsid w:val="006035B3"/>
    <w:rsid w:val="006036FE"/>
    <w:rsid w:val="006039DB"/>
    <w:rsid w:val="00604324"/>
    <w:rsid w:val="006044D7"/>
    <w:rsid w:val="00604763"/>
    <w:rsid w:val="006047CD"/>
    <w:rsid w:val="00604B00"/>
    <w:rsid w:val="00604B8F"/>
    <w:rsid w:val="00604D60"/>
    <w:rsid w:val="00604FDD"/>
    <w:rsid w:val="00605160"/>
    <w:rsid w:val="006052A8"/>
    <w:rsid w:val="00605305"/>
    <w:rsid w:val="0060561D"/>
    <w:rsid w:val="00605638"/>
    <w:rsid w:val="0060593C"/>
    <w:rsid w:val="00605B0D"/>
    <w:rsid w:val="00606743"/>
    <w:rsid w:val="006067F6"/>
    <w:rsid w:val="00606868"/>
    <w:rsid w:val="00606AD9"/>
    <w:rsid w:val="00606D66"/>
    <w:rsid w:val="00606D9D"/>
    <w:rsid w:val="006070E9"/>
    <w:rsid w:val="0060759E"/>
    <w:rsid w:val="00607655"/>
    <w:rsid w:val="0060773F"/>
    <w:rsid w:val="00607A7E"/>
    <w:rsid w:val="00607BB3"/>
    <w:rsid w:val="00607BC5"/>
    <w:rsid w:val="00607C0F"/>
    <w:rsid w:val="00607D16"/>
    <w:rsid w:val="00607D59"/>
    <w:rsid w:val="0061029A"/>
    <w:rsid w:val="006104E4"/>
    <w:rsid w:val="0061084D"/>
    <w:rsid w:val="00610D86"/>
    <w:rsid w:val="0061102A"/>
    <w:rsid w:val="0061119D"/>
    <w:rsid w:val="006116B5"/>
    <w:rsid w:val="006117B5"/>
    <w:rsid w:val="00611882"/>
    <w:rsid w:val="00611C55"/>
    <w:rsid w:val="00611E15"/>
    <w:rsid w:val="006122D4"/>
    <w:rsid w:val="0061256A"/>
    <w:rsid w:val="00613095"/>
    <w:rsid w:val="006133C5"/>
    <w:rsid w:val="00613786"/>
    <w:rsid w:val="006138D1"/>
    <w:rsid w:val="00613BBC"/>
    <w:rsid w:val="00613F48"/>
    <w:rsid w:val="00613FA0"/>
    <w:rsid w:val="00614280"/>
    <w:rsid w:val="00614853"/>
    <w:rsid w:val="00614873"/>
    <w:rsid w:val="00614B77"/>
    <w:rsid w:val="00614BA8"/>
    <w:rsid w:val="00614E2B"/>
    <w:rsid w:val="00614F74"/>
    <w:rsid w:val="00615106"/>
    <w:rsid w:val="0061596E"/>
    <w:rsid w:val="006159F5"/>
    <w:rsid w:val="00615B00"/>
    <w:rsid w:val="00615BB8"/>
    <w:rsid w:val="00615C24"/>
    <w:rsid w:val="00615EB6"/>
    <w:rsid w:val="00615F8B"/>
    <w:rsid w:val="00616080"/>
    <w:rsid w:val="006160BD"/>
    <w:rsid w:val="006161AC"/>
    <w:rsid w:val="0061642A"/>
    <w:rsid w:val="0061662F"/>
    <w:rsid w:val="006166B9"/>
    <w:rsid w:val="0061689E"/>
    <w:rsid w:val="00616A2A"/>
    <w:rsid w:val="00616A9A"/>
    <w:rsid w:val="00616B5B"/>
    <w:rsid w:val="00616C02"/>
    <w:rsid w:val="00616CEC"/>
    <w:rsid w:val="00616EFA"/>
    <w:rsid w:val="0061709B"/>
    <w:rsid w:val="00617225"/>
    <w:rsid w:val="0061738A"/>
    <w:rsid w:val="0061791E"/>
    <w:rsid w:val="00617C35"/>
    <w:rsid w:val="006200E7"/>
    <w:rsid w:val="006204AF"/>
    <w:rsid w:val="006204E3"/>
    <w:rsid w:val="00620767"/>
    <w:rsid w:val="00620F1F"/>
    <w:rsid w:val="0062140B"/>
    <w:rsid w:val="00621533"/>
    <w:rsid w:val="0062164F"/>
    <w:rsid w:val="00621B4D"/>
    <w:rsid w:val="00621FEC"/>
    <w:rsid w:val="006221A5"/>
    <w:rsid w:val="006221C3"/>
    <w:rsid w:val="006222AC"/>
    <w:rsid w:val="006222D4"/>
    <w:rsid w:val="00622648"/>
    <w:rsid w:val="006226FB"/>
    <w:rsid w:val="00622832"/>
    <w:rsid w:val="006228D1"/>
    <w:rsid w:val="00622A53"/>
    <w:rsid w:val="00622A64"/>
    <w:rsid w:val="00622BD3"/>
    <w:rsid w:val="00622C3A"/>
    <w:rsid w:val="00622FBD"/>
    <w:rsid w:val="00622FC8"/>
    <w:rsid w:val="006238C1"/>
    <w:rsid w:val="00623A3E"/>
    <w:rsid w:val="00623C41"/>
    <w:rsid w:val="006240FA"/>
    <w:rsid w:val="006241A3"/>
    <w:rsid w:val="0062443F"/>
    <w:rsid w:val="00625894"/>
    <w:rsid w:val="00625A0B"/>
    <w:rsid w:val="00626283"/>
    <w:rsid w:val="00626604"/>
    <w:rsid w:val="00626C73"/>
    <w:rsid w:val="00626CE0"/>
    <w:rsid w:val="00627059"/>
    <w:rsid w:val="006272E5"/>
    <w:rsid w:val="0062746B"/>
    <w:rsid w:val="00627768"/>
    <w:rsid w:val="006301B9"/>
    <w:rsid w:val="006302C7"/>
    <w:rsid w:val="00630DDE"/>
    <w:rsid w:val="006311D2"/>
    <w:rsid w:val="0063128E"/>
    <w:rsid w:val="006312DE"/>
    <w:rsid w:val="00631502"/>
    <w:rsid w:val="006324DB"/>
    <w:rsid w:val="006325DD"/>
    <w:rsid w:val="00632A8A"/>
    <w:rsid w:val="00633127"/>
    <w:rsid w:val="00633391"/>
    <w:rsid w:val="006335C8"/>
    <w:rsid w:val="006336A9"/>
    <w:rsid w:val="0063376C"/>
    <w:rsid w:val="006338DA"/>
    <w:rsid w:val="00633BD7"/>
    <w:rsid w:val="00633C60"/>
    <w:rsid w:val="00634049"/>
    <w:rsid w:val="006345B0"/>
    <w:rsid w:val="00634663"/>
    <w:rsid w:val="006346B6"/>
    <w:rsid w:val="00634BF4"/>
    <w:rsid w:val="00634DAC"/>
    <w:rsid w:val="0063514C"/>
    <w:rsid w:val="006352C7"/>
    <w:rsid w:val="0063534D"/>
    <w:rsid w:val="006357F9"/>
    <w:rsid w:val="006358A5"/>
    <w:rsid w:val="00635B23"/>
    <w:rsid w:val="00635D4A"/>
    <w:rsid w:val="00636291"/>
    <w:rsid w:val="0063640E"/>
    <w:rsid w:val="00636417"/>
    <w:rsid w:val="00636555"/>
    <w:rsid w:val="006367A9"/>
    <w:rsid w:val="00636D1A"/>
    <w:rsid w:val="00636E2A"/>
    <w:rsid w:val="00636ED9"/>
    <w:rsid w:val="00637074"/>
    <w:rsid w:val="0063768E"/>
    <w:rsid w:val="00637892"/>
    <w:rsid w:val="00637CB5"/>
    <w:rsid w:val="00637E8C"/>
    <w:rsid w:val="00640132"/>
    <w:rsid w:val="006404EE"/>
    <w:rsid w:val="00640D1B"/>
    <w:rsid w:val="00640DAF"/>
    <w:rsid w:val="00640DBB"/>
    <w:rsid w:val="0064102E"/>
    <w:rsid w:val="006411CC"/>
    <w:rsid w:val="0064140C"/>
    <w:rsid w:val="0064175C"/>
    <w:rsid w:val="00641874"/>
    <w:rsid w:val="00641B1D"/>
    <w:rsid w:val="00641BF8"/>
    <w:rsid w:val="00641C99"/>
    <w:rsid w:val="00641E93"/>
    <w:rsid w:val="006421B9"/>
    <w:rsid w:val="006423AA"/>
    <w:rsid w:val="00642605"/>
    <w:rsid w:val="00642645"/>
    <w:rsid w:val="006426B2"/>
    <w:rsid w:val="00642739"/>
    <w:rsid w:val="00642A5E"/>
    <w:rsid w:val="00642C76"/>
    <w:rsid w:val="00642CCE"/>
    <w:rsid w:val="006434FE"/>
    <w:rsid w:val="00643635"/>
    <w:rsid w:val="00643B7A"/>
    <w:rsid w:val="00643BA6"/>
    <w:rsid w:val="00643C78"/>
    <w:rsid w:val="00643D9C"/>
    <w:rsid w:val="00643E8F"/>
    <w:rsid w:val="00643ED8"/>
    <w:rsid w:val="00643FBD"/>
    <w:rsid w:val="006440A9"/>
    <w:rsid w:val="00644259"/>
    <w:rsid w:val="006442C3"/>
    <w:rsid w:val="00644402"/>
    <w:rsid w:val="006446A6"/>
    <w:rsid w:val="00644D9D"/>
    <w:rsid w:val="00644F1B"/>
    <w:rsid w:val="00645426"/>
    <w:rsid w:val="00645456"/>
    <w:rsid w:val="0064566A"/>
    <w:rsid w:val="006457B4"/>
    <w:rsid w:val="0064590A"/>
    <w:rsid w:val="00645F10"/>
    <w:rsid w:val="00646057"/>
    <w:rsid w:val="00646295"/>
    <w:rsid w:val="006464C1"/>
    <w:rsid w:val="006465AC"/>
    <w:rsid w:val="00646667"/>
    <w:rsid w:val="00646802"/>
    <w:rsid w:val="006468D7"/>
    <w:rsid w:val="006468FC"/>
    <w:rsid w:val="00646980"/>
    <w:rsid w:val="00646C3B"/>
    <w:rsid w:val="00646D43"/>
    <w:rsid w:val="00647153"/>
    <w:rsid w:val="00647272"/>
    <w:rsid w:val="00647416"/>
    <w:rsid w:val="00647B0B"/>
    <w:rsid w:val="00647D1A"/>
    <w:rsid w:val="00647D8D"/>
    <w:rsid w:val="00647F82"/>
    <w:rsid w:val="006504B5"/>
    <w:rsid w:val="00650764"/>
    <w:rsid w:val="006508A1"/>
    <w:rsid w:val="00650B05"/>
    <w:rsid w:val="00650D87"/>
    <w:rsid w:val="006511FF"/>
    <w:rsid w:val="0065161C"/>
    <w:rsid w:val="00651881"/>
    <w:rsid w:val="006519B9"/>
    <w:rsid w:val="006519D8"/>
    <w:rsid w:val="00651ECC"/>
    <w:rsid w:val="00652440"/>
    <w:rsid w:val="0065254A"/>
    <w:rsid w:val="00652D0E"/>
    <w:rsid w:val="00652FB0"/>
    <w:rsid w:val="0065322A"/>
    <w:rsid w:val="00653602"/>
    <w:rsid w:val="00653747"/>
    <w:rsid w:val="00653891"/>
    <w:rsid w:val="006539B4"/>
    <w:rsid w:val="00653F05"/>
    <w:rsid w:val="00653F10"/>
    <w:rsid w:val="00654092"/>
    <w:rsid w:val="00654108"/>
    <w:rsid w:val="00654110"/>
    <w:rsid w:val="006541FB"/>
    <w:rsid w:val="006543AE"/>
    <w:rsid w:val="006543ED"/>
    <w:rsid w:val="00654478"/>
    <w:rsid w:val="006545DA"/>
    <w:rsid w:val="0065491C"/>
    <w:rsid w:val="00654BF6"/>
    <w:rsid w:val="00654C5B"/>
    <w:rsid w:val="00655557"/>
    <w:rsid w:val="006559BB"/>
    <w:rsid w:val="00655A8E"/>
    <w:rsid w:val="00655BA8"/>
    <w:rsid w:val="00655BF9"/>
    <w:rsid w:val="006561A2"/>
    <w:rsid w:val="006564B5"/>
    <w:rsid w:val="00656633"/>
    <w:rsid w:val="006567DC"/>
    <w:rsid w:val="00656882"/>
    <w:rsid w:val="00656E10"/>
    <w:rsid w:val="00656F17"/>
    <w:rsid w:val="00656F4C"/>
    <w:rsid w:val="0065724B"/>
    <w:rsid w:val="0065736C"/>
    <w:rsid w:val="00657376"/>
    <w:rsid w:val="00657BFB"/>
    <w:rsid w:val="00660158"/>
    <w:rsid w:val="00660582"/>
    <w:rsid w:val="00660963"/>
    <w:rsid w:val="00660CFC"/>
    <w:rsid w:val="00660FA9"/>
    <w:rsid w:val="006610C7"/>
    <w:rsid w:val="0066129B"/>
    <w:rsid w:val="006616EC"/>
    <w:rsid w:val="0066176F"/>
    <w:rsid w:val="00661A92"/>
    <w:rsid w:val="00661E05"/>
    <w:rsid w:val="0066215F"/>
    <w:rsid w:val="00662725"/>
    <w:rsid w:val="006627C4"/>
    <w:rsid w:val="00663151"/>
    <w:rsid w:val="00663824"/>
    <w:rsid w:val="00663D15"/>
    <w:rsid w:val="00663D56"/>
    <w:rsid w:val="00663EDB"/>
    <w:rsid w:val="00663FE2"/>
    <w:rsid w:val="006640DC"/>
    <w:rsid w:val="006644E4"/>
    <w:rsid w:val="00664F9A"/>
    <w:rsid w:val="00665053"/>
    <w:rsid w:val="00665121"/>
    <w:rsid w:val="0066527F"/>
    <w:rsid w:val="006655B1"/>
    <w:rsid w:val="00665BCD"/>
    <w:rsid w:val="00665C56"/>
    <w:rsid w:val="00665ED4"/>
    <w:rsid w:val="00665FD5"/>
    <w:rsid w:val="00666352"/>
    <w:rsid w:val="00666672"/>
    <w:rsid w:val="0066699E"/>
    <w:rsid w:val="006669A5"/>
    <w:rsid w:val="00666CB7"/>
    <w:rsid w:val="00667044"/>
    <w:rsid w:val="00667074"/>
    <w:rsid w:val="006671A5"/>
    <w:rsid w:val="006672E7"/>
    <w:rsid w:val="006673CC"/>
    <w:rsid w:val="006674D5"/>
    <w:rsid w:val="00667565"/>
    <w:rsid w:val="006675D1"/>
    <w:rsid w:val="00667C08"/>
    <w:rsid w:val="00667CA1"/>
    <w:rsid w:val="00667FD8"/>
    <w:rsid w:val="00670054"/>
    <w:rsid w:val="00670155"/>
    <w:rsid w:val="00670225"/>
    <w:rsid w:val="00670300"/>
    <w:rsid w:val="006704F8"/>
    <w:rsid w:val="006706C4"/>
    <w:rsid w:val="00670AEC"/>
    <w:rsid w:val="00670E50"/>
    <w:rsid w:val="00670ED9"/>
    <w:rsid w:val="006710E7"/>
    <w:rsid w:val="006717CE"/>
    <w:rsid w:val="00671CEF"/>
    <w:rsid w:val="0067201B"/>
    <w:rsid w:val="0067219D"/>
    <w:rsid w:val="00672369"/>
    <w:rsid w:val="00672456"/>
    <w:rsid w:val="00672745"/>
    <w:rsid w:val="00672C0B"/>
    <w:rsid w:val="00672D75"/>
    <w:rsid w:val="00672DB8"/>
    <w:rsid w:val="00672FA7"/>
    <w:rsid w:val="00673082"/>
    <w:rsid w:val="00673526"/>
    <w:rsid w:val="00673671"/>
    <w:rsid w:val="00673D6F"/>
    <w:rsid w:val="006743CD"/>
    <w:rsid w:val="006745BB"/>
    <w:rsid w:val="006745C3"/>
    <w:rsid w:val="00674608"/>
    <w:rsid w:val="00674BCB"/>
    <w:rsid w:val="00675000"/>
    <w:rsid w:val="006753EA"/>
    <w:rsid w:val="0067560A"/>
    <w:rsid w:val="0067571F"/>
    <w:rsid w:val="00675865"/>
    <w:rsid w:val="0067600D"/>
    <w:rsid w:val="0067605C"/>
    <w:rsid w:val="0067610B"/>
    <w:rsid w:val="00676196"/>
    <w:rsid w:val="006764F3"/>
    <w:rsid w:val="00676740"/>
    <w:rsid w:val="00676AA5"/>
    <w:rsid w:val="00676F54"/>
    <w:rsid w:val="00677474"/>
    <w:rsid w:val="006775B9"/>
    <w:rsid w:val="00680155"/>
    <w:rsid w:val="006801EC"/>
    <w:rsid w:val="00680690"/>
    <w:rsid w:val="00680970"/>
    <w:rsid w:val="0068098F"/>
    <w:rsid w:val="00680CDB"/>
    <w:rsid w:val="0068110F"/>
    <w:rsid w:val="00681584"/>
    <w:rsid w:val="006815C3"/>
    <w:rsid w:val="0068193A"/>
    <w:rsid w:val="00681B1C"/>
    <w:rsid w:val="00681CFF"/>
    <w:rsid w:val="00681DA9"/>
    <w:rsid w:val="00681FF9"/>
    <w:rsid w:val="0068210D"/>
    <w:rsid w:val="00682464"/>
    <w:rsid w:val="0068248A"/>
    <w:rsid w:val="00682670"/>
    <w:rsid w:val="00682A3A"/>
    <w:rsid w:val="006833E0"/>
    <w:rsid w:val="006837AF"/>
    <w:rsid w:val="00683C1E"/>
    <w:rsid w:val="00683E64"/>
    <w:rsid w:val="00683EEF"/>
    <w:rsid w:val="006840A0"/>
    <w:rsid w:val="00684470"/>
    <w:rsid w:val="006844FC"/>
    <w:rsid w:val="00684C32"/>
    <w:rsid w:val="00684CA2"/>
    <w:rsid w:val="00684D50"/>
    <w:rsid w:val="00684FA0"/>
    <w:rsid w:val="00685063"/>
    <w:rsid w:val="006856EA"/>
    <w:rsid w:val="00685834"/>
    <w:rsid w:val="00685DEE"/>
    <w:rsid w:val="00685ED0"/>
    <w:rsid w:val="0068604C"/>
    <w:rsid w:val="006861B9"/>
    <w:rsid w:val="00686618"/>
    <w:rsid w:val="0068690C"/>
    <w:rsid w:val="00686A0C"/>
    <w:rsid w:val="00686A39"/>
    <w:rsid w:val="00686B6B"/>
    <w:rsid w:val="00686B97"/>
    <w:rsid w:val="00686C8F"/>
    <w:rsid w:val="00686EFB"/>
    <w:rsid w:val="00687031"/>
    <w:rsid w:val="006870D8"/>
    <w:rsid w:val="00687925"/>
    <w:rsid w:val="006879C7"/>
    <w:rsid w:val="00687D9B"/>
    <w:rsid w:val="006901B9"/>
    <w:rsid w:val="0069027B"/>
    <w:rsid w:val="00690464"/>
    <w:rsid w:val="00690C37"/>
    <w:rsid w:val="00690DAA"/>
    <w:rsid w:val="00690EF0"/>
    <w:rsid w:val="00691017"/>
    <w:rsid w:val="00691076"/>
    <w:rsid w:val="00691378"/>
    <w:rsid w:val="0069165D"/>
    <w:rsid w:val="00691B0F"/>
    <w:rsid w:val="00691BEE"/>
    <w:rsid w:val="00691CAA"/>
    <w:rsid w:val="00691D2B"/>
    <w:rsid w:val="00691DF9"/>
    <w:rsid w:val="00691E0B"/>
    <w:rsid w:val="00691ED5"/>
    <w:rsid w:val="00691FC5"/>
    <w:rsid w:val="006920DC"/>
    <w:rsid w:val="00692400"/>
    <w:rsid w:val="006927C5"/>
    <w:rsid w:val="00692CC0"/>
    <w:rsid w:val="00692D8F"/>
    <w:rsid w:val="00692E13"/>
    <w:rsid w:val="0069348F"/>
    <w:rsid w:val="006934F2"/>
    <w:rsid w:val="006935C3"/>
    <w:rsid w:val="00693829"/>
    <w:rsid w:val="006938C5"/>
    <w:rsid w:val="00693B6C"/>
    <w:rsid w:val="00693BB9"/>
    <w:rsid w:val="00693C10"/>
    <w:rsid w:val="00693CEE"/>
    <w:rsid w:val="00693D63"/>
    <w:rsid w:val="00693E75"/>
    <w:rsid w:val="00693F2E"/>
    <w:rsid w:val="00693F57"/>
    <w:rsid w:val="00693F59"/>
    <w:rsid w:val="00694020"/>
    <w:rsid w:val="0069445D"/>
    <w:rsid w:val="006950E2"/>
    <w:rsid w:val="006953FF"/>
    <w:rsid w:val="006958B5"/>
    <w:rsid w:val="00695B52"/>
    <w:rsid w:val="00695B91"/>
    <w:rsid w:val="00695DF9"/>
    <w:rsid w:val="006961DA"/>
    <w:rsid w:val="00696260"/>
    <w:rsid w:val="00696425"/>
    <w:rsid w:val="0069645C"/>
    <w:rsid w:val="00696470"/>
    <w:rsid w:val="006964BD"/>
    <w:rsid w:val="006965A5"/>
    <w:rsid w:val="006965C3"/>
    <w:rsid w:val="00696852"/>
    <w:rsid w:val="00696D70"/>
    <w:rsid w:val="00696F89"/>
    <w:rsid w:val="0069712F"/>
    <w:rsid w:val="00697302"/>
    <w:rsid w:val="006974EB"/>
    <w:rsid w:val="0069759F"/>
    <w:rsid w:val="006976AA"/>
    <w:rsid w:val="006976D2"/>
    <w:rsid w:val="00697A74"/>
    <w:rsid w:val="00697FE1"/>
    <w:rsid w:val="006A00F1"/>
    <w:rsid w:val="006A01BB"/>
    <w:rsid w:val="006A035E"/>
    <w:rsid w:val="006A0488"/>
    <w:rsid w:val="006A0709"/>
    <w:rsid w:val="006A0950"/>
    <w:rsid w:val="006A0BFD"/>
    <w:rsid w:val="006A1681"/>
    <w:rsid w:val="006A1948"/>
    <w:rsid w:val="006A1C06"/>
    <w:rsid w:val="006A1C70"/>
    <w:rsid w:val="006A2408"/>
    <w:rsid w:val="006A2672"/>
    <w:rsid w:val="006A26BD"/>
    <w:rsid w:val="006A27F0"/>
    <w:rsid w:val="006A2959"/>
    <w:rsid w:val="006A2AA0"/>
    <w:rsid w:val="006A2BD0"/>
    <w:rsid w:val="006A2BE8"/>
    <w:rsid w:val="006A2C86"/>
    <w:rsid w:val="006A2E26"/>
    <w:rsid w:val="006A2E71"/>
    <w:rsid w:val="006A2F4B"/>
    <w:rsid w:val="006A3182"/>
    <w:rsid w:val="006A330C"/>
    <w:rsid w:val="006A338D"/>
    <w:rsid w:val="006A34F2"/>
    <w:rsid w:val="006A361C"/>
    <w:rsid w:val="006A3953"/>
    <w:rsid w:val="006A396B"/>
    <w:rsid w:val="006A399A"/>
    <w:rsid w:val="006A3D71"/>
    <w:rsid w:val="006A3DAE"/>
    <w:rsid w:val="006A3DDF"/>
    <w:rsid w:val="006A4478"/>
    <w:rsid w:val="006A479F"/>
    <w:rsid w:val="006A4CC7"/>
    <w:rsid w:val="006A4CCD"/>
    <w:rsid w:val="006A4D1C"/>
    <w:rsid w:val="006A5147"/>
    <w:rsid w:val="006A5173"/>
    <w:rsid w:val="006A521C"/>
    <w:rsid w:val="006A5619"/>
    <w:rsid w:val="006A5C6F"/>
    <w:rsid w:val="006A601B"/>
    <w:rsid w:val="006A6094"/>
    <w:rsid w:val="006A67B6"/>
    <w:rsid w:val="006A6CCF"/>
    <w:rsid w:val="006A71C8"/>
    <w:rsid w:val="006A72A7"/>
    <w:rsid w:val="006A74AD"/>
    <w:rsid w:val="006A76D7"/>
    <w:rsid w:val="006A7800"/>
    <w:rsid w:val="006A7FB3"/>
    <w:rsid w:val="006B004B"/>
    <w:rsid w:val="006B06EF"/>
    <w:rsid w:val="006B07B8"/>
    <w:rsid w:val="006B0E46"/>
    <w:rsid w:val="006B110C"/>
    <w:rsid w:val="006B12E4"/>
    <w:rsid w:val="006B181B"/>
    <w:rsid w:val="006B1AE9"/>
    <w:rsid w:val="006B1B33"/>
    <w:rsid w:val="006B1B46"/>
    <w:rsid w:val="006B1D39"/>
    <w:rsid w:val="006B1EC5"/>
    <w:rsid w:val="006B2179"/>
    <w:rsid w:val="006B222A"/>
    <w:rsid w:val="006B2422"/>
    <w:rsid w:val="006B284A"/>
    <w:rsid w:val="006B2B71"/>
    <w:rsid w:val="006B2B83"/>
    <w:rsid w:val="006B2C65"/>
    <w:rsid w:val="006B2DC7"/>
    <w:rsid w:val="006B2E64"/>
    <w:rsid w:val="006B3071"/>
    <w:rsid w:val="006B30BF"/>
    <w:rsid w:val="006B323D"/>
    <w:rsid w:val="006B33FC"/>
    <w:rsid w:val="006B34F6"/>
    <w:rsid w:val="006B3542"/>
    <w:rsid w:val="006B35FF"/>
    <w:rsid w:val="006B361D"/>
    <w:rsid w:val="006B383C"/>
    <w:rsid w:val="006B3873"/>
    <w:rsid w:val="006B38E0"/>
    <w:rsid w:val="006B3934"/>
    <w:rsid w:val="006B3BA3"/>
    <w:rsid w:val="006B3BE4"/>
    <w:rsid w:val="006B3BE7"/>
    <w:rsid w:val="006B3C4B"/>
    <w:rsid w:val="006B3EDD"/>
    <w:rsid w:val="006B3FA5"/>
    <w:rsid w:val="006B417A"/>
    <w:rsid w:val="006B4553"/>
    <w:rsid w:val="006B46AE"/>
    <w:rsid w:val="006B4757"/>
    <w:rsid w:val="006B4D1D"/>
    <w:rsid w:val="006B4D1F"/>
    <w:rsid w:val="006B4E9E"/>
    <w:rsid w:val="006B5665"/>
    <w:rsid w:val="006B5891"/>
    <w:rsid w:val="006B5961"/>
    <w:rsid w:val="006B5B1D"/>
    <w:rsid w:val="006B5B46"/>
    <w:rsid w:val="006B5EC1"/>
    <w:rsid w:val="006B6566"/>
    <w:rsid w:val="006B6849"/>
    <w:rsid w:val="006B6A33"/>
    <w:rsid w:val="006B6C12"/>
    <w:rsid w:val="006B6CED"/>
    <w:rsid w:val="006B6DA6"/>
    <w:rsid w:val="006B6E06"/>
    <w:rsid w:val="006B70F7"/>
    <w:rsid w:val="006B7265"/>
    <w:rsid w:val="006B75C4"/>
    <w:rsid w:val="006B7CEF"/>
    <w:rsid w:val="006B7D15"/>
    <w:rsid w:val="006B7EB1"/>
    <w:rsid w:val="006B7F80"/>
    <w:rsid w:val="006B7FCC"/>
    <w:rsid w:val="006C00B0"/>
    <w:rsid w:val="006C027B"/>
    <w:rsid w:val="006C0515"/>
    <w:rsid w:val="006C058C"/>
    <w:rsid w:val="006C0760"/>
    <w:rsid w:val="006C0843"/>
    <w:rsid w:val="006C0F76"/>
    <w:rsid w:val="006C108A"/>
    <w:rsid w:val="006C11EC"/>
    <w:rsid w:val="006C16FF"/>
    <w:rsid w:val="006C1C95"/>
    <w:rsid w:val="006C1F13"/>
    <w:rsid w:val="006C209E"/>
    <w:rsid w:val="006C247A"/>
    <w:rsid w:val="006C261F"/>
    <w:rsid w:val="006C28CC"/>
    <w:rsid w:val="006C28FC"/>
    <w:rsid w:val="006C2A4D"/>
    <w:rsid w:val="006C2CA5"/>
    <w:rsid w:val="006C2E6B"/>
    <w:rsid w:val="006C30C5"/>
    <w:rsid w:val="006C3163"/>
    <w:rsid w:val="006C3965"/>
    <w:rsid w:val="006C3976"/>
    <w:rsid w:val="006C3C2E"/>
    <w:rsid w:val="006C3F75"/>
    <w:rsid w:val="006C3FF9"/>
    <w:rsid w:val="006C416B"/>
    <w:rsid w:val="006C4191"/>
    <w:rsid w:val="006C43FD"/>
    <w:rsid w:val="006C4522"/>
    <w:rsid w:val="006C483B"/>
    <w:rsid w:val="006C4AFF"/>
    <w:rsid w:val="006C5145"/>
    <w:rsid w:val="006C53EC"/>
    <w:rsid w:val="006C55C8"/>
    <w:rsid w:val="006C57A3"/>
    <w:rsid w:val="006C5D83"/>
    <w:rsid w:val="006C6294"/>
    <w:rsid w:val="006C6853"/>
    <w:rsid w:val="006C6888"/>
    <w:rsid w:val="006C69B6"/>
    <w:rsid w:val="006C6D2D"/>
    <w:rsid w:val="006C733B"/>
    <w:rsid w:val="006C7463"/>
    <w:rsid w:val="006C76B2"/>
    <w:rsid w:val="006C77F0"/>
    <w:rsid w:val="006C7998"/>
    <w:rsid w:val="006C79DB"/>
    <w:rsid w:val="006C7C58"/>
    <w:rsid w:val="006C7EF7"/>
    <w:rsid w:val="006D0335"/>
    <w:rsid w:val="006D0370"/>
    <w:rsid w:val="006D038A"/>
    <w:rsid w:val="006D066A"/>
    <w:rsid w:val="006D0C93"/>
    <w:rsid w:val="006D1192"/>
    <w:rsid w:val="006D120D"/>
    <w:rsid w:val="006D168B"/>
    <w:rsid w:val="006D1745"/>
    <w:rsid w:val="006D1C9D"/>
    <w:rsid w:val="006D2181"/>
    <w:rsid w:val="006D2706"/>
    <w:rsid w:val="006D2736"/>
    <w:rsid w:val="006D2845"/>
    <w:rsid w:val="006D286B"/>
    <w:rsid w:val="006D2AEA"/>
    <w:rsid w:val="006D30C8"/>
    <w:rsid w:val="006D30C9"/>
    <w:rsid w:val="006D30DA"/>
    <w:rsid w:val="006D31E5"/>
    <w:rsid w:val="006D330F"/>
    <w:rsid w:val="006D368B"/>
    <w:rsid w:val="006D3898"/>
    <w:rsid w:val="006D39D6"/>
    <w:rsid w:val="006D3CD4"/>
    <w:rsid w:val="006D3FA9"/>
    <w:rsid w:val="006D4241"/>
    <w:rsid w:val="006D458D"/>
    <w:rsid w:val="006D45DF"/>
    <w:rsid w:val="006D4652"/>
    <w:rsid w:val="006D47D6"/>
    <w:rsid w:val="006D4ADA"/>
    <w:rsid w:val="006D4E59"/>
    <w:rsid w:val="006D4EAF"/>
    <w:rsid w:val="006D4F7F"/>
    <w:rsid w:val="006D4FBC"/>
    <w:rsid w:val="006D536A"/>
    <w:rsid w:val="006D592B"/>
    <w:rsid w:val="006D5940"/>
    <w:rsid w:val="006D5D3A"/>
    <w:rsid w:val="006D5DCD"/>
    <w:rsid w:val="006D637E"/>
    <w:rsid w:val="006D65A8"/>
    <w:rsid w:val="006D66F3"/>
    <w:rsid w:val="006D6A39"/>
    <w:rsid w:val="006D6ACD"/>
    <w:rsid w:val="006D6B38"/>
    <w:rsid w:val="006D6E91"/>
    <w:rsid w:val="006D72C3"/>
    <w:rsid w:val="006D767A"/>
    <w:rsid w:val="006D76AC"/>
    <w:rsid w:val="006D7C52"/>
    <w:rsid w:val="006D7C60"/>
    <w:rsid w:val="006D7CF9"/>
    <w:rsid w:val="006D7DEF"/>
    <w:rsid w:val="006E0173"/>
    <w:rsid w:val="006E01E6"/>
    <w:rsid w:val="006E0DCE"/>
    <w:rsid w:val="006E11A9"/>
    <w:rsid w:val="006E129F"/>
    <w:rsid w:val="006E12CA"/>
    <w:rsid w:val="006E13E1"/>
    <w:rsid w:val="006E147C"/>
    <w:rsid w:val="006E1802"/>
    <w:rsid w:val="006E1A04"/>
    <w:rsid w:val="006E1C20"/>
    <w:rsid w:val="006E21F7"/>
    <w:rsid w:val="006E24A4"/>
    <w:rsid w:val="006E29A7"/>
    <w:rsid w:val="006E2C34"/>
    <w:rsid w:val="006E31B0"/>
    <w:rsid w:val="006E31BF"/>
    <w:rsid w:val="006E3545"/>
    <w:rsid w:val="006E3856"/>
    <w:rsid w:val="006E3F6E"/>
    <w:rsid w:val="006E497A"/>
    <w:rsid w:val="006E4A6A"/>
    <w:rsid w:val="006E4DE7"/>
    <w:rsid w:val="006E4E5E"/>
    <w:rsid w:val="006E505A"/>
    <w:rsid w:val="006E5068"/>
    <w:rsid w:val="006E547B"/>
    <w:rsid w:val="006E560C"/>
    <w:rsid w:val="006E5E98"/>
    <w:rsid w:val="006E5EFB"/>
    <w:rsid w:val="006E5FB5"/>
    <w:rsid w:val="006E606A"/>
    <w:rsid w:val="006E609F"/>
    <w:rsid w:val="006E65C1"/>
    <w:rsid w:val="006E6A00"/>
    <w:rsid w:val="006E6BD0"/>
    <w:rsid w:val="006E6C8C"/>
    <w:rsid w:val="006E6D18"/>
    <w:rsid w:val="006E6E1D"/>
    <w:rsid w:val="006E71A7"/>
    <w:rsid w:val="006E723E"/>
    <w:rsid w:val="006E7515"/>
    <w:rsid w:val="006E7A53"/>
    <w:rsid w:val="006E7D9C"/>
    <w:rsid w:val="006F03CD"/>
    <w:rsid w:val="006F04B2"/>
    <w:rsid w:val="006F0611"/>
    <w:rsid w:val="006F065B"/>
    <w:rsid w:val="006F0F94"/>
    <w:rsid w:val="006F10C2"/>
    <w:rsid w:val="006F1153"/>
    <w:rsid w:val="006F1215"/>
    <w:rsid w:val="006F1366"/>
    <w:rsid w:val="006F16BC"/>
    <w:rsid w:val="006F1FCA"/>
    <w:rsid w:val="006F2193"/>
    <w:rsid w:val="006F2233"/>
    <w:rsid w:val="006F246C"/>
    <w:rsid w:val="006F2533"/>
    <w:rsid w:val="006F29D8"/>
    <w:rsid w:val="006F2B7D"/>
    <w:rsid w:val="006F2CF8"/>
    <w:rsid w:val="006F2DCF"/>
    <w:rsid w:val="006F2E61"/>
    <w:rsid w:val="006F2E7E"/>
    <w:rsid w:val="006F2F77"/>
    <w:rsid w:val="006F3264"/>
    <w:rsid w:val="006F3282"/>
    <w:rsid w:val="006F3629"/>
    <w:rsid w:val="006F3816"/>
    <w:rsid w:val="006F38A9"/>
    <w:rsid w:val="006F3A41"/>
    <w:rsid w:val="006F3AB2"/>
    <w:rsid w:val="006F3C13"/>
    <w:rsid w:val="006F3F2F"/>
    <w:rsid w:val="006F3F9B"/>
    <w:rsid w:val="006F4089"/>
    <w:rsid w:val="006F4511"/>
    <w:rsid w:val="006F480B"/>
    <w:rsid w:val="006F4871"/>
    <w:rsid w:val="006F4A2D"/>
    <w:rsid w:val="006F5166"/>
    <w:rsid w:val="006F556C"/>
    <w:rsid w:val="006F5745"/>
    <w:rsid w:val="006F5A21"/>
    <w:rsid w:val="006F5DCD"/>
    <w:rsid w:val="006F692E"/>
    <w:rsid w:val="006F6995"/>
    <w:rsid w:val="006F7764"/>
    <w:rsid w:val="006F795C"/>
    <w:rsid w:val="006F79C4"/>
    <w:rsid w:val="006F7A76"/>
    <w:rsid w:val="006F7B6F"/>
    <w:rsid w:val="006F7C50"/>
    <w:rsid w:val="006F7DA2"/>
    <w:rsid w:val="006F7EBE"/>
    <w:rsid w:val="006F7F66"/>
    <w:rsid w:val="00700188"/>
    <w:rsid w:val="00700194"/>
    <w:rsid w:val="00700CAF"/>
    <w:rsid w:val="00701081"/>
    <w:rsid w:val="0070131C"/>
    <w:rsid w:val="007017F0"/>
    <w:rsid w:val="00701915"/>
    <w:rsid w:val="007019CA"/>
    <w:rsid w:val="00701A23"/>
    <w:rsid w:val="0070202A"/>
    <w:rsid w:val="00702204"/>
    <w:rsid w:val="007025F7"/>
    <w:rsid w:val="00702A83"/>
    <w:rsid w:val="00702B71"/>
    <w:rsid w:val="00702C18"/>
    <w:rsid w:val="00702E4C"/>
    <w:rsid w:val="00703301"/>
    <w:rsid w:val="00703451"/>
    <w:rsid w:val="00703944"/>
    <w:rsid w:val="007039A4"/>
    <w:rsid w:val="00703C48"/>
    <w:rsid w:val="00703E3C"/>
    <w:rsid w:val="0070406D"/>
    <w:rsid w:val="007040F1"/>
    <w:rsid w:val="00704172"/>
    <w:rsid w:val="00704188"/>
    <w:rsid w:val="007043D8"/>
    <w:rsid w:val="007044FD"/>
    <w:rsid w:val="007047A1"/>
    <w:rsid w:val="007047B3"/>
    <w:rsid w:val="00704B21"/>
    <w:rsid w:val="0070531D"/>
    <w:rsid w:val="0070545D"/>
    <w:rsid w:val="00705A56"/>
    <w:rsid w:val="00705ABF"/>
    <w:rsid w:val="00705F63"/>
    <w:rsid w:val="0070609A"/>
    <w:rsid w:val="00706975"/>
    <w:rsid w:val="00706A53"/>
    <w:rsid w:val="00706D9B"/>
    <w:rsid w:val="00706FA8"/>
    <w:rsid w:val="0070724A"/>
    <w:rsid w:val="007074EC"/>
    <w:rsid w:val="00707D51"/>
    <w:rsid w:val="00707EA8"/>
    <w:rsid w:val="007103CD"/>
    <w:rsid w:val="007105C2"/>
    <w:rsid w:val="0071084B"/>
    <w:rsid w:val="00710E6A"/>
    <w:rsid w:val="00710EEB"/>
    <w:rsid w:val="00711395"/>
    <w:rsid w:val="00711807"/>
    <w:rsid w:val="00711C00"/>
    <w:rsid w:val="00711C16"/>
    <w:rsid w:val="00711C95"/>
    <w:rsid w:val="00711D29"/>
    <w:rsid w:val="00711D65"/>
    <w:rsid w:val="00711D72"/>
    <w:rsid w:val="00712169"/>
    <w:rsid w:val="00712178"/>
    <w:rsid w:val="00712285"/>
    <w:rsid w:val="00712348"/>
    <w:rsid w:val="007123E6"/>
    <w:rsid w:val="0071243B"/>
    <w:rsid w:val="0071255D"/>
    <w:rsid w:val="007125EF"/>
    <w:rsid w:val="00712858"/>
    <w:rsid w:val="00712C2C"/>
    <w:rsid w:val="00712E36"/>
    <w:rsid w:val="00713D1E"/>
    <w:rsid w:val="00713DB3"/>
    <w:rsid w:val="00713DCE"/>
    <w:rsid w:val="00713DED"/>
    <w:rsid w:val="0071406B"/>
    <w:rsid w:val="00714334"/>
    <w:rsid w:val="00714CBE"/>
    <w:rsid w:val="00714D01"/>
    <w:rsid w:val="007150A4"/>
    <w:rsid w:val="0071514B"/>
    <w:rsid w:val="007152D0"/>
    <w:rsid w:val="007159D9"/>
    <w:rsid w:val="00715A46"/>
    <w:rsid w:val="00715E5C"/>
    <w:rsid w:val="0071615E"/>
    <w:rsid w:val="0071620D"/>
    <w:rsid w:val="00716420"/>
    <w:rsid w:val="007166F4"/>
    <w:rsid w:val="00716880"/>
    <w:rsid w:val="0071693A"/>
    <w:rsid w:val="00716996"/>
    <w:rsid w:val="00716C0C"/>
    <w:rsid w:val="00716C14"/>
    <w:rsid w:val="00716DE9"/>
    <w:rsid w:val="00716F77"/>
    <w:rsid w:val="00717012"/>
    <w:rsid w:val="007172F3"/>
    <w:rsid w:val="00717371"/>
    <w:rsid w:val="007174BD"/>
    <w:rsid w:val="007175BA"/>
    <w:rsid w:val="00717684"/>
    <w:rsid w:val="0071776C"/>
    <w:rsid w:val="00717D72"/>
    <w:rsid w:val="00717DD2"/>
    <w:rsid w:val="00717E43"/>
    <w:rsid w:val="00717EBF"/>
    <w:rsid w:val="00720093"/>
    <w:rsid w:val="00720290"/>
    <w:rsid w:val="0072044A"/>
    <w:rsid w:val="0072051B"/>
    <w:rsid w:val="0072064F"/>
    <w:rsid w:val="007208EF"/>
    <w:rsid w:val="00720AD6"/>
    <w:rsid w:val="00720B6D"/>
    <w:rsid w:val="007211D5"/>
    <w:rsid w:val="007212B8"/>
    <w:rsid w:val="007213BA"/>
    <w:rsid w:val="00721B53"/>
    <w:rsid w:val="00721C90"/>
    <w:rsid w:val="00721D62"/>
    <w:rsid w:val="00721EC0"/>
    <w:rsid w:val="00722100"/>
    <w:rsid w:val="0072217B"/>
    <w:rsid w:val="0072223E"/>
    <w:rsid w:val="00722293"/>
    <w:rsid w:val="00722303"/>
    <w:rsid w:val="007226E2"/>
    <w:rsid w:val="007227EF"/>
    <w:rsid w:val="00722B42"/>
    <w:rsid w:val="00722F23"/>
    <w:rsid w:val="00722F41"/>
    <w:rsid w:val="007242A9"/>
    <w:rsid w:val="00724655"/>
    <w:rsid w:val="007246D8"/>
    <w:rsid w:val="00724911"/>
    <w:rsid w:val="00724AFF"/>
    <w:rsid w:val="00724CAD"/>
    <w:rsid w:val="00724CE9"/>
    <w:rsid w:val="00724EAA"/>
    <w:rsid w:val="00725250"/>
    <w:rsid w:val="00725741"/>
    <w:rsid w:val="00725991"/>
    <w:rsid w:val="00725A44"/>
    <w:rsid w:val="00725C30"/>
    <w:rsid w:val="00725CC7"/>
    <w:rsid w:val="00725F46"/>
    <w:rsid w:val="00725FF8"/>
    <w:rsid w:val="007264A4"/>
    <w:rsid w:val="007267E1"/>
    <w:rsid w:val="00726822"/>
    <w:rsid w:val="0072785E"/>
    <w:rsid w:val="007279AC"/>
    <w:rsid w:val="00727A66"/>
    <w:rsid w:val="00727A80"/>
    <w:rsid w:val="00727C98"/>
    <w:rsid w:val="00727F86"/>
    <w:rsid w:val="00730084"/>
    <w:rsid w:val="007300C2"/>
    <w:rsid w:val="007301FC"/>
    <w:rsid w:val="00730608"/>
    <w:rsid w:val="007306C8"/>
    <w:rsid w:val="007307EC"/>
    <w:rsid w:val="00730F05"/>
    <w:rsid w:val="00731248"/>
    <w:rsid w:val="00731422"/>
    <w:rsid w:val="00731621"/>
    <w:rsid w:val="007317E0"/>
    <w:rsid w:val="00731953"/>
    <w:rsid w:val="00731D2A"/>
    <w:rsid w:val="00731E6B"/>
    <w:rsid w:val="00732274"/>
    <w:rsid w:val="007323A2"/>
    <w:rsid w:val="0073264B"/>
    <w:rsid w:val="007327F7"/>
    <w:rsid w:val="00732A3B"/>
    <w:rsid w:val="00732A41"/>
    <w:rsid w:val="00732DD4"/>
    <w:rsid w:val="00732F1A"/>
    <w:rsid w:val="00732FD5"/>
    <w:rsid w:val="00733252"/>
    <w:rsid w:val="007332D5"/>
    <w:rsid w:val="007339F3"/>
    <w:rsid w:val="00733D36"/>
    <w:rsid w:val="00733E77"/>
    <w:rsid w:val="00733EB4"/>
    <w:rsid w:val="00733EE9"/>
    <w:rsid w:val="00733FA9"/>
    <w:rsid w:val="00734500"/>
    <w:rsid w:val="00734993"/>
    <w:rsid w:val="00734D2E"/>
    <w:rsid w:val="0073502B"/>
    <w:rsid w:val="00735297"/>
    <w:rsid w:val="0073532F"/>
    <w:rsid w:val="00735385"/>
    <w:rsid w:val="007358DA"/>
    <w:rsid w:val="00735940"/>
    <w:rsid w:val="00735E6E"/>
    <w:rsid w:val="00736093"/>
    <w:rsid w:val="00736358"/>
    <w:rsid w:val="007363C1"/>
    <w:rsid w:val="00736433"/>
    <w:rsid w:val="007366EA"/>
    <w:rsid w:val="00736BCE"/>
    <w:rsid w:val="00736D2F"/>
    <w:rsid w:val="00736F8D"/>
    <w:rsid w:val="00736FD2"/>
    <w:rsid w:val="00737097"/>
    <w:rsid w:val="00737112"/>
    <w:rsid w:val="0073750C"/>
    <w:rsid w:val="0073761C"/>
    <w:rsid w:val="00737905"/>
    <w:rsid w:val="00737942"/>
    <w:rsid w:val="00737B94"/>
    <w:rsid w:val="00737F6F"/>
    <w:rsid w:val="00740152"/>
    <w:rsid w:val="007401BA"/>
    <w:rsid w:val="007402EB"/>
    <w:rsid w:val="007403A2"/>
    <w:rsid w:val="007403B7"/>
    <w:rsid w:val="00740837"/>
    <w:rsid w:val="00740A40"/>
    <w:rsid w:val="00740A7C"/>
    <w:rsid w:val="00740D3C"/>
    <w:rsid w:val="00740DF5"/>
    <w:rsid w:val="00741032"/>
    <w:rsid w:val="007414B2"/>
    <w:rsid w:val="007416C1"/>
    <w:rsid w:val="00741DC0"/>
    <w:rsid w:val="00741E25"/>
    <w:rsid w:val="0074296C"/>
    <w:rsid w:val="00742B42"/>
    <w:rsid w:val="00742B4A"/>
    <w:rsid w:val="00743027"/>
    <w:rsid w:val="007431B0"/>
    <w:rsid w:val="007437D2"/>
    <w:rsid w:val="00744259"/>
    <w:rsid w:val="00744267"/>
    <w:rsid w:val="00744907"/>
    <w:rsid w:val="00744BAB"/>
    <w:rsid w:val="00744BB9"/>
    <w:rsid w:val="00744BC8"/>
    <w:rsid w:val="00744BF1"/>
    <w:rsid w:val="00744DA9"/>
    <w:rsid w:val="00744F8B"/>
    <w:rsid w:val="00745138"/>
    <w:rsid w:val="00745468"/>
    <w:rsid w:val="00745499"/>
    <w:rsid w:val="007454A0"/>
    <w:rsid w:val="00745A81"/>
    <w:rsid w:val="00745AEF"/>
    <w:rsid w:val="00745AFE"/>
    <w:rsid w:val="00745BA5"/>
    <w:rsid w:val="00745DDB"/>
    <w:rsid w:val="007460F7"/>
    <w:rsid w:val="0074619A"/>
    <w:rsid w:val="00746335"/>
    <w:rsid w:val="00746592"/>
    <w:rsid w:val="0074660A"/>
    <w:rsid w:val="0074669B"/>
    <w:rsid w:val="0074670D"/>
    <w:rsid w:val="007467C3"/>
    <w:rsid w:val="00746807"/>
    <w:rsid w:val="007469C8"/>
    <w:rsid w:val="00746A6A"/>
    <w:rsid w:val="00746EAC"/>
    <w:rsid w:val="007473AF"/>
    <w:rsid w:val="0074746F"/>
    <w:rsid w:val="00747BD4"/>
    <w:rsid w:val="00747BF2"/>
    <w:rsid w:val="00747D12"/>
    <w:rsid w:val="00750155"/>
    <w:rsid w:val="00750389"/>
    <w:rsid w:val="0075040C"/>
    <w:rsid w:val="00750551"/>
    <w:rsid w:val="00750846"/>
    <w:rsid w:val="00750B01"/>
    <w:rsid w:val="00750BD7"/>
    <w:rsid w:val="00750D7F"/>
    <w:rsid w:val="00750EBE"/>
    <w:rsid w:val="00750FC0"/>
    <w:rsid w:val="00751008"/>
    <w:rsid w:val="007510AE"/>
    <w:rsid w:val="00751360"/>
    <w:rsid w:val="00751664"/>
    <w:rsid w:val="00751680"/>
    <w:rsid w:val="0075183D"/>
    <w:rsid w:val="0075190D"/>
    <w:rsid w:val="00751B0C"/>
    <w:rsid w:val="0075218A"/>
    <w:rsid w:val="00752695"/>
    <w:rsid w:val="00752C6C"/>
    <w:rsid w:val="00752D6D"/>
    <w:rsid w:val="00752DB5"/>
    <w:rsid w:val="007532C9"/>
    <w:rsid w:val="0075381F"/>
    <w:rsid w:val="00753AA7"/>
    <w:rsid w:val="00753C2F"/>
    <w:rsid w:val="00753CD6"/>
    <w:rsid w:val="00753D77"/>
    <w:rsid w:val="0075412E"/>
    <w:rsid w:val="00754149"/>
    <w:rsid w:val="007543D8"/>
    <w:rsid w:val="00754466"/>
    <w:rsid w:val="0075474D"/>
    <w:rsid w:val="00754C64"/>
    <w:rsid w:val="0075507B"/>
    <w:rsid w:val="00755258"/>
    <w:rsid w:val="0075575F"/>
    <w:rsid w:val="00755870"/>
    <w:rsid w:val="00755972"/>
    <w:rsid w:val="007560EA"/>
    <w:rsid w:val="007562BD"/>
    <w:rsid w:val="007563E2"/>
    <w:rsid w:val="0075646C"/>
    <w:rsid w:val="007569DD"/>
    <w:rsid w:val="00756C14"/>
    <w:rsid w:val="00756EBC"/>
    <w:rsid w:val="00756ED0"/>
    <w:rsid w:val="00756F8B"/>
    <w:rsid w:val="00756FF0"/>
    <w:rsid w:val="0075719A"/>
    <w:rsid w:val="007571D9"/>
    <w:rsid w:val="0075723F"/>
    <w:rsid w:val="007573E3"/>
    <w:rsid w:val="00757AA7"/>
    <w:rsid w:val="00757BF3"/>
    <w:rsid w:val="00757E33"/>
    <w:rsid w:val="00757F90"/>
    <w:rsid w:val="00760469"/>
    <w:rsid w:val="007605DF"/>
    <w:rsid w:val="00760C73"/>
    <w:rsid w:val="00760EF2"/>
    <w:rsid w:val="007610E3"/>
    <w:rsid w:val="00761347"/>
    <w:rsid w:val="007613F2"/>
    <w:rsid w:val="00761559"/>
    <w:rsid w:val="007616A5"/>
    <w:rsid w:val="0076195A"/>
    <w:rsid w:val="00761E35"/>
    <w:rsid w:val="00761F67"/>
    <w:rsid w:val="00761FCF"/>
    <w:rsid w:val="00762116"/>
    <w:rsid w:val="007621D8"/>
    <w:rsid w:val="007623C6"/>
    <w:rsid w:val="00762622"/>
    <w:rsid w:val="0076263F"/>
    <w:rsid w:val="00762642"/>
    <w:rsid w:val="00762696"/>
    <w:rsid w:val="007626B7"/>
    <w:rsid w:val="007628F3"/>
    <w:rsid w:val="00762997"/>
    <w:rsid w:val="00762AA8"/>
    <w:rsid w:val="00762C82"/>
    <w:rsid w:val="007636B0"/>
    <w:rsid w:val="007636C8"/>
    <w:rsid w:val="007638DA"/>
    <w:rsid w:val="00763B2C"/>
    <w:rsid w:val="00763E2A"/>
    <w:rsid w:val="007645F1"/>
    <w:rsid w:val="00764846"/>
    <w:rsid w:val="00764869"/>
    <w:rsid w:val="007648B1"/>
    <w:rsid w:val="007648F9"/>
    <w:rsid w:val="00764C96"/>
    <w:rsid w:val="00764D6A"/>
    <w:rsid w:val="00764E2E"/>
    <w:rsid w:val="00764E5D"/>
    <w:rsid w:val="00765139"/>
    <w:rsid w:val="00765599"/>
    <w:rsid w:val="0076567C"/>
    <w:rsid w:val="00765A6F"/>
    <w:rsid w:val="00765AC8"/>
    <w:rsid w:val="00765BC1"/>
    <w:rsid w:val="00765C1F"/>
    <w:rsid w:val="00765CF9"/>
    <w:rsid w:val="007660F8"/>
    <w:rsid w:val="00766206"/>
    <w:rsid w:val="0076644F"/>
    <w:rsid w:val="00766727"/>
    <w:rsid w:val="007667D2"/>
    <w:rsid w:val="00766ACC"/>
    <w:rsid w:val="00766E19"/>
    <w:rsid w:val="00766EB0"/>
    <w:rsid w:val="00767622"/>
    <w:rsid w:val="00767820"/>
    <w:rsid w:val="00767911"/>
    <w:rsid w:val="0076793A"/>
    <w:rsid w:val="007700EC"/>
    <w:rsid w:val="00770C2C"/>
    <w:rsid w:val="00770DE2"/>
    <w:rsid w:val="00770E26"/>
    <w:rsid w:val="00771667"/>
    <w:rsid w:val="007716AA"/>
    <w:rsid w:val="00771A12"/>
    <w:rsid w:val="00771AB3"/>
    <w:rsid w:val="00771D92"/>
    <w:rsid w:val="00771D95"/>
    <w:rsid w:val="00771EDF"/>
    <w:rsid w:val="007722DF"/>
    <w:rsid w:val="00772618"/>
    <w:rsid w:val="00772A71"/>
    <w:rsid w:val="00772B4D"/>
    <w:rsid w:val="00772BA7"/>
    <w:rsid w:val="00772EC0"/>
    <w:rsid w:val="00772F08"/>
    <w:rsid w:val="00773056"/>
    <w:rsid w:val="00773418"/>
    <w:rsid w:val="0077410B"/>
    <w:rsid w:val="00774548"/>
    <w:rsid w:val="007747C7"/>
    <w:rsid w:val="00774CFD"/>
    <w:rsid w:val="00774F88"/>
    <w:rsid w:val="007752F5"/>
    <w:rsid w:val="007752F6"/>
    <w:rsid w:val="007753AD"/>
    <w:rsid w:val="00775415"/>
    <w:rsid w:val="00775484"/>
    <w:rsid w:val="00775875"/>
    <w:rsid w:val="00775C7C"/>
    <w:rsid w:val="00775E65"/>
    <w:rsid w:val="007761B2"/>
    <w:rsid w:val="00776256"/>
    <w:rsid w:val="007762EF"/>
    <w:rsid w:val="0077637B"/>
    <w:rsid w:val="00776620"/>
    <w:rsid w:val="00776B8E"/>
    <w:rsid w:val="00776DDF"/>
    <w:rsid w:val="00776DF8"/>
    <w:rsid w:val="00776EA8"/>
    <w:rsid w:val="00776FEC"/>
    <w:rsid w:val="0077701D"/>
    <w:rsid w:val="00777255"/>
    <w:rsid w:val="0077726B"/>
    <w:rsid w:val="007772CC"/>
    <w:rsid w:val="00777440"/>
    <w:rsid w:val="00777AB3"/>
    <w:rsid w:val="00777B7B"/>
    <w:rsid w:val="00780059"/>
    <w:rsid w:val="0078028D"/>
    <w:rsid w:val="00780486"/>
    <w:rsid w:val="007804A2"/>
    <w:rsid w:val="0078074A"/>
    <w:rsid w:val="00780819"/>
    <w:rsid w:val="00780A79"/>
    <w:rsid w:val="00780F85"/>
    <w:rsid w:val="00781240"/>
    <w:rsid w:val="0078158B"/>
    <w:rsid w:val="0078179B"/>
    <w:rsid w:val="007817BA"/>
    <w:rsid w:val="007818C2"/>
    <w:rsid w:val="00781CE3"/>
    <w:rsid w:val="00781FC2"/>
    <w:rsid w:val="0078258B"/>
    <w:rsid w:val="0078263A"/>
    <w:rsid w:val="007828DE"/>
    <w:rsid w:val="00782A79"/>
    <w:rsid w:val="00782C0B"/>
    <w:rsid w:val="00782C0F"/>
    <w:rsid w:val="00782F91"/>
    <w:rsid w:val="00783214"/>
    <w:rsid w:val="007832E8"/>
    <w:rsid w:val="007836A5"/>
    <w:rsid w:val="0078386F"/>
    <w:rsid w:val="0078394A"/>
    <w:rsid w:val="00783C0C"/>
    <w:rsid w:val="00783FD7"/>
    <w:rsid w:val="00784180"/>
    <w:rsid w:val="00784211"/>
    <w:rsid w:val="00784692"/>
    <w:rsid w:val="007846EE"/>
    <w:rsid w:val="0078471A"/>
    <w:rsid w:val="007848EB"/>
    <w:rsid w:val="00784B16"/>
    <w:rsid w:val="007851BF"/>
    <w:rsid w:val="0078523B"/>
    <w:rsid w:val="00785242"/>
    <w:rsid w:val="007852EA"/>
    <w:rsid w:val="007852FA"/>
    <w:rsid w:val="00785322"/>
    <w:rsid w:val="0078533B"/>
    <w:rsid w:val="0078541C"/>
    <w:rsid w:val="00785854"/>
    <w:rsid w:val="00786FC3"/>
    <w:rsid w:val="0078704C"/>
    <w:rsid w:val="0078778F"/>
    <w:rsid w:val="00787826"/>
    <w:rsid w:val="00787903"/>
    <w:rsid w:val="00787A27"/>
    <w:rsid w:val="00787F51"/>
    <w:rsid w:val="007900B3"/>
    <w:rsid w:val="00790257"/>
    <w:rsid w:val="0079067C"/>
    <w:rsid w:val="007907BD"/>
    <w:rsid w:val="00790ABB"/>
    <w:rsid w:val="00790B3C"/>
    <w:rsid w:val="00790BC2"/>
    <w:rsid w:val="00790C8D"/>
    <w:rsid w:val="0079140D"/>
    <w:rsid w:val="007914E6"/>
    <w:rsid w:val="00791506"/>
    <w:rsid w:val="00791B5F"/>
    <w:rsid w:val="00792078"/>
    <w:rsid w:val="00792138"/>
    <w:rsid w:val="0079269F"/>
    <w:rsid w:val="00792AB1"/>
    <w:rsid w:val="00792C42"/>
    <w:rsid w:val="00793C0F"/>
    <w:rsid w:val="00793D42"/>
    <w:rsid w:val="00794429"/>
    <w:rsid w:val="00794823"/>
    <w:rsid w:val="00794899"/>
    <w:rsid w:val="00794B8D"/>
    <w:rsid w:val="00794B8F"/>
    <w:rsid w:val="00795213"/>
    <w:rsid w:val="007952A6"/>
    <w:rsid w:val="007953D7"/>
    <w:rsid w:val="00795403"/>
    <w:rsid w:val="007955C2"/>
    <w:rsid w:val="00795B76"/>
    <w:rsid w:val="00795C10"/>
    <w:rsid w:val="00795DC4"/>
    <w:rsid w:val="0079620E"/>
    <w:rsid w:val="0079630A"/>
    <w:rsid w:val="0079659E"/>
    <w:rsid w:val="0079665C"/>
    <w:rsid w:val="00796CA9"/>
    <w:rsid w:val="00796D3F"/>
    <w:rsid w:val="00796DBD"/>
    <w:rsid w:val="00796E06"/>
    <w:rsid w:val="0079708A"/>
    <w:rsid w:val="0079717F"/>
    <w:rsid w:val="0079718C"/>
    <w:rsid w:val="007975F1"/>
    <w:rsid w:val="00797689"/>
    <w:rsid w:val="007977B0"/>
    <w:rsid w:val="007979A2"/>
    <w:rsid w:val="00797B90"/>
    <w:rsid w:val="00797C27"/>
    <w:rsid w:val="00797FDE"/>
    <w:rsid w:val="007A00C0"/>
    <w:rsid w:val="007A00CE"/>
    <w:rsid w:val="007A0182"/>
    <w:rsid w:val="007A047B"/>
    <w:rsid w:val="007A0575"/>
    <w:rsid w:val="007A072D"/>
    <w:rsid w:val="007A07D2"/>
    <w:rsid w:val="007A08AA"/>
    <w:rsid w:val="007A09B4"/>
    <w:rsid w:val="007A09D7"/>
    <w:rsid w:val="007A0E1F"/>
    <w:rsid w:val="007A0FF6"/>
    <w:rsid w:val="007A11D3"/>
    <w:rsid w:val="007A190C"/>
    <w:rsid w:val="007A19F9"/>
    <w:rsid w:val="007A1BF0"/>
    <w:rsid w:val="007A1D63"/>
    <w:rsid w:val="007A1E24"/>
    <w:rsid w:val="007A226F"/>
    <w:rsid w:val="007A2486"/>
    <w:rsid w:val="007A248C"/>
    <w:rsid w:val="007A2620"/>
    <w:rsid w:val="007A292A"/>
    <w:rsid w:val="007A2A44"/>
    <w:rsid w:val="007A306A"/>
    <w:rsid w:val="007A30A6"/>
    <w:rsid w:val="007A34F1"/>
    <w:rsid w:val="007A3678"/>
    <w:rsid w:val="007A37B5"/>
    <w:rsid w:val="007A3A49"/>
    <w:rsid w:val="007A3D24"/>
    <w:rsid w:val="007A3E30"/>
    <w:rsid w:val="007A4193"/>
    <w:rsid w:val="007A4880"/>
    <w:rsid w:val="007A4B18"/>
    <w:rsid w:val="007A4E1A"/>
    <w:rsid w:val="007A4E63"/>
    <w:rsid w:val="007A4EFA"/>
    <w:rsid w:val="007A52D9"/>
    <w:rsid w:val="007A5CEC"/>
    <w:rsid w:val="007A5D10"/>
    <w:rsid w:val="007A5D51"/>
    <w:rsid w:val="007A6344"/>
    <w:rsid w:val="007A63CD"/>
    <w:rsid w:val="007A63F6"/>
    <w:rsid w:val="007A679B"/>
    <w:rsid w:val="007A685D"/>
    <w:rsid w:val="007A697C"/>
    <w:rsid w:val="007A69B2"/>
    <w:rsid w:val="007A69B3"/>
    <w:rsid w:val="007A6A3A"/>
    <w:rsid w:val="007A6B34"/>
    <w:rsid w:val="007A6EF8"/>
    <w:rsid w:val="007A72FC"/>
    <w:rsid w:val="007A7328"/>
    <w:rsid w:val="007A789D"/>
    <w:rsid w:val="007A7905"/>
    <w:rsid w:val="007A7970"/>
    <w:rsid w:val="007A7CFA"/>
    <w:rsid w:val="007B025F"/>
    <w:rsid w:val="007B02E9"/>
    <w:rsid w:val="007B03B4"/>
    <w:rsid w:val="007B045A"/>
    <w:rsid w:val="007B048D"/>
    <w:rsid w:val="007B04C7"/>
    <w:rsid w:val="007B0631"/>
    <w:rsid w:val="007B091E"/>
    <w:rsid w:val="007B0DA6"/>
    <w:rsid w:val="007B10BA"/>
    <w:rsid w:val="007B1662"/>
    <w:rsid w:val="007B1B2F"/>
    <w:rsid w:val="007B1BBB"/>
    <w:rsid w:val="007B1D04"/>
    <w:rsid w:val="007B1DDB"/>
    <w:rsid w:val="007B1F19"/>
    <w:rsid w:val="007B1F84"/>
    <w:rsid w:val="007B209C"/>
    <w:rsid w:val="007B21EE"/>
    <w:rsid w:val="007B23DE"/>
    <w:rsid w:val="007B24F3"/>
    <w:rsid w:val="007B2745"/>
    <w:rsid w:val="007B2783"/>
    <w:rsid w:val="007B2D3E"/>
    <w:rsid w:val="007B2DDB"/>
    <w:rsid w:val="007B2E86"/>
    <w:rsid w:val="007B329C"/>
    <w:rsid w:val="007B3B28"/>
    <w:rsid w:val="007B4072"/>
    <w:rsid w:val="007B42E2"/>
    <w:rsid w:val="007B4BF5"/>
    <w:rsid w:val="007B4C8A"/>
    <w:rsid w:val="007B57B6"/>
    <w:rsid w:val="007B5B37"/>
    <w:rsid w:val="007B5B49"/>
    <w:rsid w:val="007B5EBD"/>
    <w:rsid w:val="007B6226"/>
    <w:rsid w:val="007B6C79"/>
    <w:rsid w:val="007B6CCC"/>
    <w:rsid w:val="007B722A"/>
    <w:rsid w:val="007B7440"/>
    <w:rsid w:val="007B7472"/>
    <w:rsid w:val="007B74D1"/>
    <w:rsid w:val="007B7897"/>
    <w:rsid w:val="007B7942"/>
    <w:rsid w:val="007B7A9C"/>
    <w:rsid w:val="007B7D01"/>
    <w:rsid w:val="007B7D69"/>
    <w:rsid w:val="007B7DE0"/>
    <w:rsid w:val="007B7E5A"/>
    <w:rsid w:val="007C00E6"/>
    <w:rsid w:val="007C012D"/>
    <w:rsid w:val="007C0503"/>
    <w:rsid w:val="007C0696"/>
    <w:rsid w:val="007C096C"/>
    <w:rsid w:val="007C0B89"/>
    <w:rsid w:val="007C0E9F"/>
    <w:rsid w:val="007C1102"/>
    <w:rsid w:val="007C1C45"/>
    <w:rsid w:val="007C1D52"/>
    <w:rsid w:val="007C1D57"/>
    <w:rsid w:val="007C220F"/>
    <w:rsid w:val="007C236F"/>
    <w:rsid w:val="007C25A5"/>
    <w:rsid w:val="007C25FC"/>
    <w:rsid w:val="007C289D"/>
    <w:rsid w:val="007C2B89"/>
    <w:rsid w:val="007C2CEE"/>
    <w:rsid w:val="007C2EE6"/>
    <w:rsid w:val="007C3203"/>
    <w:rsid w:val="007C358A"/>
    <w:rsid w:val="007C366E"/>
    <w:rsid w:val="007C398B"/>
    <w:rsid w:val="007C3BA0"/>
    <w:rsid w:val="007C400C"/>
    <w:rsid w:val="007C40B8"/>
    <w:rsid w:val="007C44A5"/>
    <w:rsid w:val="007C48A6"/>
    <w:rsid w:val="007C4B3D"/>
    <w:rsid w:val="007C4CCA"/>
    <w:rsid w:val="007C4F81"/>
    <w:rsid w:val="007C508D"/>
    <w:rsid w:val="007C5395"/>
    <w:rsid w:val="007C548C"/>
    <w:rsid w:val="007C561F"/>
    <w:rsid w:val="007C57BE"/>
    <w:rsid w:val="007C59D0"/>
    <w:rsid w:val="007C5BDD"/>
    <w:rsid w:val="007C5D36"/>
    <w:rsid w:val="007C5DCC"/>
    <w:rsid w:val="007C62AC"/>
    <w:rsid w:val="007C6345"/>
    <w:rsid w:val="007C6798"/>
    <w:rsid w:val="007C6873"/>
    <w:rsid w:val="007C6B7C"/>
    <w:rsid w:val="007C6E38"/>
    <w:rsid w:val="007C72CA"/>
    <w:rsid w:val="007C790E"/>
    <w:rsid w:val="007C7ABB"/>
    <w:rsid w:val="007C7E2B"/>
    <w:rsid w:val="007D0035"/>
    <w:rsid w:val="007D00F2"/>
    <w:rsid w:val="007D0129"/>
    <w:rsid w:val="007D029B"/>
    <w:rsid w:val="007D0521"/>
    <w:rsid w:val="007D0BEA"/>
    <w:rsid w:val="007D0DA6"/>
    <w:rsid w:val="007D1500"/>
    <w:rsid w:val="007D157A"/>
    <w:rsid w:val="007D1BC3"/>
    <w:rsid w:val="007D1C6F"/>
    <w:rsid w:val="007D1DF2"/>
    <w:rsid w:val="007D2019"/>
    <w:rsid w:val="007D2456"/>
    <w:rsid w:val="007D25F7"/>
    <w:rsid w:val="007D288F"/>
    <w:rsid w:val="007D2A92"/>
    <w:rsid w:val="007D2CA9"/>
    <w:rsid w:val="007D2DF5"/>
    <w:rsid w:val="007D303C"/>
    <w:rsid w:val="007D328D"/>
    <w:rsid w:val="007D33C3"/>
    <w:rsid w:val="007D38AF"/>
    <w:rsid w:val="007D4056"/>
    <w:rsid w:val="007D46B2"/>
    <w:rsid w:val="007D4854"/>
    <w:rsid w:val="007D48EB"/>
    <w:rsid w:val="007D493F"/>
    <w:rsid w:val="007D4B0A"/>
    <w:rsid w:val="007D4EF4"/>
    <w:rsid w:val="007D5107"/>
    <w:rsid w:val="007D5174"/>
    <w:rsid w:val="007D5E4B"/>
    <w:rsid w:val="007D5E69"/>
    <w:rsid w:val="007D63F1"/>
    <w:rsid w:val="007D655B"/>
    <w:rsid w:val="007D66D5"/>
    <w:rsid w:val="007D66E4"/>
    <w:rsid w:val="007D6AE7"/>
    <w:rsid w:val="007D70F1"/>
    <w:rsid w:val="007D7351"/>
    <w:rsid w:val="007D740F"/>
    <w:rsid w:val="007D756B"/>
    <w:rsid w:val="007D778E"/>
    <w:rsid w:val="007D790C"/>
    <w:rsid w:val="007D7DB5"/>
    <w:rsid w:val="007D7DE5"/>
    <w:rsid w:val="007D7F75"/>
    <w:rsid w:val="007D7FCA"/>
    <w:rsid w:val="007E008E"/>
    <w:rsid w:val="007E012F"/>
    <w:rsid w:val="007E04A9"/>
    <w:rsid w:val="007E0B5D"/>
    <w:rsid w:val="007E0B80"/>
    <w:rsid w:val="007E0D19"/>
    <w:rsid w:val="007E16B9"/>
    <w:rsid w:val="007E1953"/>
    <w:rsid w:val="007E1B0B"/>
    <w:rsid w:val="007E2105"/>
    <w:rsid w:val="007E21D7"/>
    <w:rsid w:val="007E2995"/>
    <w:rsid w:val="007E2B93"/>
    <w:rsid w:val="007E2D49"/>
    <w:rsid w:val="007E2EA4"/>
    <w:rsid w:val="007E3378"/>
    <w:rsid w:val="007E3383"/>
    <w:rsid w:val="007E3730"/>
    <w:rsid w:val="007E3731"/>
    <w:rsid w:val="007E39DF"/>
    <w:rsid w:val="007E3FEA"/>
    <w:rsid w:val="007E46AC"/>
    <w:rsid w:val="007E5192"/>
    <w:rsid w:val="007E52FC"/>
    <w:rsid w:val="007E5477"/>
    <w:rsid w:val="007E57B4"/>
    <w:rsid w:val="007E596F"/>
    <w:rsid w:val="007E59DA"/>
    <w:rsid w:val="007E5A35"/>
    <w:rsid w:val="007E5DA6"/>
    <w:rsid w:val="007E5DBF"/>
    <w:rsid w:val="007E5F77"/>
    <w:rsid w:val="007E5F99"/>
    <w:rsid w:val="007E5FE2"/>
    <w:rsid w:val="007E6154"/>
    <w:rsid w:val="007E62E2"/>
    <w:rsid w:val="007E632D"/>
    <w:rsid w:val="007E6362"/>
    <w:rsid w:val="007E63DE"/>
    <w:rsid w:val="007E64C5"/>
    <w:rsid w:val="007E6674"/>
    <w:rsid w:val="007E67C7"/>
    <w:rsid w:val="007E68E6"/>
    <w:rsid w:val="007E6AA5"/>
    <w:rsid w:val="007E6D7D"/>
    <w:rsid w:val="007E6DC7"/>
    <w:rsid w:val="007E706D"/>
    <w:rsid w:val="007E730C"/>
    <w:rsid w:val="007E7444"/>
    <w:rsid w:val="007E7F89"/>
    <w:rsid w:val="007F00BB"/>
    <w:rsid w:val="007F00EB"/>
    <w:rsid w:val="007F02C4"/>
    <w:rsid w:val="007F0827"/>
    <w:rsid w:val="007F082B"/>
    <w:rsid w:val="007F08C7"/>
    <w:rsid w:val="007F0A9A"/>
    <w:rsid w:val="007F0AA0"/>
    <w:rsid w:val="007F1A9A"/>
    <w:rsid w:val="007F1D5A"/>
    <w:rsid w:val="007F1D6D"/>
    <w:rsid w:val="007F247C"/>
    <w:rsid w:val="007F256A"/>
    <w:rsid w:val="007F258C"/>
    <w:rsid w:val="007F2DF7"/>
    <w:rsid w:val="007F2EF0"/>
    <w:rsid w:val="007F2FF7"/>
    <w:rsid w:val="007F30B2"/>
    <w:rsid w:val="007F32DE"/>
    <w:rsid w:val="007F3370"/>
    <w:rsid w:val="007F3C69"/>
    <w:rsid w:val="007F3D29"/>
    <w:rsid w:val="007F3DA8"/>
    <w:rsid w:val="007F3F24"/>
    <w:rsid w:val="007F3FCF"/>
    <w:rsid w:val="007F4188"/>
    <w:rsid w:val="007F45DF"/>
    <w:rsid w:val="007F47A2"/>
    <w:rsid w:val="007F4C47"/>
    <w:rsid w:val="007F4CCC"/>
    <w:rsid w:val="007F4E86"/>
    <w:rsid w:val="007F50E3"/>
    <w:rsid w:val="007F53C5"/>
    <w:rsid w:val="007F57A4"/>
    <w:rsid w:val="007F58DC"/>
    <w:rsid w:val="007F5A0C"/>
    <w:rsid w:val="007F5A8D"/>
    <w:rsid w:val="007F5D2F"/>
    <w:rsid w:val="007F5DE6"/>
    <w:rsid w:val="007F657F"/>
    <w:rsid w:val="007F67DA"/>
    <w:rsid w:val="007F6947"/>
    <w:rsid w:val="007F6AF3"/>
    <w:rsid w:val="007F6C06"/>
    <w:rsid w:val="007F6D55"/>
    <w:rsid w:val="007F6EEF"/>
    <w:rsid w:val="007F75FA"/>
    <w:rsid w:val="007F782B"/>
    <w:rsid w:val="007F7992"/>
    <w:rsid w:val="007F7CCC"/>
    <w:rsid w:val="0080018A"/>
    <w:rsid w:val="0080039D"/>
    <w:rsid w:val="008004A0"/>
    <w:rsid w:val="008008C5"/>
    <w:rsid w:val="00800E6F"/>
    <w:rsid w:val="00800E8E"/>
    <w:rsid w:val="00801081"/>
    <w:rsid w:val="008010D8"/>
    <w:rsid w:val="0080120B"/>
    <w:rsid w:val="00801216"/>
    <w:rsid w:val="008017CC"/>
    <w:rsid w:val="008018C3"/>
    <w:rsid w:val="00801D45"/>
    <w:rsid w:val="008022F7"/>
    <w:rsid w:val="0080252E"/>
    <w:rsid w:val="00802748"/>
    <w:rsid w:val="00802858"/>
    <w:rsid w:val="00802F74"/>
    <w:rsid w:val="008032CE"/>
    <w:rsid w:val="008032EA"/>
    <w:rsid w:val="0080335A"/>
    <w:rsid w:val="008033D6"/>
    <w:rsid w:val="00803423"/>
    <w:rsid w:val="00803779"/>
    <w:rsid w:val="00803783"/>
    <w:rsid w:val="00803E46"/>
    <w:rsid w:val="008040CB"/>
    <w:rsid w:val="00804200"/>
    <w:rsid w:val="008043BC"/>
    <w:rsid w:val="00804448"/>
    <w:rsid w:val="008044FC"/>
    <w:rsid w:val="0080492B"/>
    <w:rsid w:val="00804CE0"/>
    <w:rsid w:val="00805A50"/>
    <w:rsid w:val="00805BF9"/>
    <w:rsid w:val="00805D62"/>
    <w:rsid w:val="00805EBF"/>
    <w:rsid w:val="00805FC1"/>
    <w:rsid w:val="00806004"/>
    <w:rsid w:val="0080606F"/>
    <w:rsid w:val="0080617F"/>
    <w:rsid w:val="008061BD"/>
    <w:rsid w:val="0080630B"/>
    <w:rsid w:val="00806604"/>
    <w:rsid w:val="00806841"/>
    <w:rsid w:val="00806967"/>
    <w:rsid w:val="00806D39"/>
    <w:rsid w:val="00806FA8"/>
    <w:rsid w:val="00807031"/>
    <w:rsid w:val="008070DF"/>
    <w:rsid w:val="00807204"/>
    <w:rsid w:val="008072DD"/>
    <w:rsid w:val="0080749E"/>
    <w:rsid w:val="0080769D"/>
    <w:rsid w:val="0080784F"/>
    <w:rsid w:val="00807F27"/>
    <w:rsid w:val="00810121"/>
    <w:rsid w:val="008101FA"/>
    <w:rsid w:val="008102CE"/>
    <w:rsid w:val="00810896"/>
    <w:rsid w:val="008108F7"/>
    <w:rsid w:val="00810D17"/>
    <w:rsid w:val="00811525"/>
    <w:rsid w:val="00811564"/>
    <w:rsid w:val="008119A4"/>
    <w:rsid w:val="00811A46"/>
    <w:rsid w:val="00811C49"/>
    <w:rsid w:val="00811E2D"/>
    <w:rsid w:val="008122E2"/>
    <w:rsid w:val="008123CA"/>
    <w:rsid w:val="0081241A"/>
    <w:rsid w:val="0081292E"/>
    <w:rsid w:val="008129AD"/>
    <w:rsid w:val="008129D2"/>
    <w:rsid w:val="00812C52"/>
    <w:rsid w:val="00812DE1"/>
    <w:rsid w:val="00812FED"/>
    <w:rsid w:val="00813354"/>
    <w:rsid w:val="00813452"/>
    <w:rsid w:val="0081347C"/>
    <w:rsid w:val="008135F0"/>
    <w:rsid w:val="00813789"/>
    <w:rsid w:val="00813ABA"/>
    <w:rsid w:val="00813BB7"/>
    <w:rsid w:val="0081426C"/>
    <w:rsid w:val="0081440F"/>
    <w:rsid w:val="008147AB"/>
    <w:rsid w:val="00814BEF"/>
    <w:rsid w:val="00814DA1"/>
    <w:rsid w:val="00814E36"/>
    <w:rsid w:val="00814E49"/>
    <w:rsid w:val="008156B0"/>
    <w:rsid w:val="00815855"/>
    <w:rsid w:val="008158C1"/>
    <w:rsid w:val="008160C1"/>
    <w:rsid w:val="0081632B"/>
    <w:rsid w:val="008165FD"/>
    <w:rsid w:val="0081677B"/>
    <w:rsid w:val="00816BC5"/>
    <w:rsid w:val="00816BF1"/>
    <w:rsid w:val="00816C18"/>
    <w:rsid w:val="00816D90"/>
    <w:rsid w:val="00816E15"/>
    <w:rsid w:val="00816E71"/>
    <w:rsid w:val="00816EEF"/>
    <w:rsid w:val="00816F40"/>
    <w:rsid w:val="00817BF3"/>
    <w:rsid w:val="00817ED0"/>
    <w:rsid w:val="008201A6"/>
    <w:rsid w:val="00820303"/>
    <w:rsid w:val="00820443"/>
    <w:rsid w:val="0082054A"/>
    <w:rsid w:val="00820B11"/>
    <w:rsid w:val="00820CFC"/>
    <w:rsid w:val="00820F04"/>
    <w:rsid w:val="00820F16"/>
    <w:rsid w:val="00820F32"/>
    <w:rsid w:val="008214A9"/>
    <w:rsid w:val="00821B9C"/>
    <w:rsid w:val="00821D66"/>
    <w:rsid w:val="0082213E"/>
    <w:rsid w:val="00822321"/>
    <w:rsid w:val="008225D9"/>
    <w:rsid w:val="00822612"/>
    <w:rsid w:val="00822D9C"/>
    <w:rsid w:val="0082313E"/>
    <w:rsid w:val="00823172"/>
    <w:rsid w:val="00823A52"/>
    <w:rsid w:val="00823BE6"/>
    <w:rsid w:val="00823DED"/>
    <w:rsid w:val="00823EFA"/>
    <w:rsid w:val="00824184"/>
    <w:rsid w:val="00824338"/>
    <w:rsid w:val="00824C35"/>
    <w:rsid w:val="00824CC1"/>
    <w:rsid w:val="00824D97"/>
    <w:rsid w:val="008255F7"/>
    <w:rsid w:val="008257FF"/>
    <w:rsid w:val="00825EE6"/>
    <w:rsid w:val="00825F0A"/>
    <w:rsid w:val="00825F76"/>
    <w:rsid w:val="00826AEF"/>
    <w:rsid w:val="00826B8D"/>
    <w:rsid w:val="00826BB8"/>
    <w:rsid w:val="00826D48"/>
    <w:rsid w:val="00826E22"/>
    <w:rsid w:val="00826EAC"/>
    <w:rsid w:val="00826EBB"/>
    <w:rsid w:val="00826F0F"/>
    <w:rsid w:val="00826F84"/>
    <w:rsid w:val="008270A5"/>
    <w:rsid w:val="0082711C"/>
    <w:rsid w:val="0082712B"/>
    <w:rsid w:val="008276EC"/>
    <w:rsid w:val="00827CBB"/>
    <w:rsid w:val="00827DA5"/>
    <w:rsid w:val="00827DA9"/>
    <w:rsid w:val="00827E55"/>
    <w:rsid w:val="0083037F"/>
    <w:rsid w:val="008303FA"/>
    <w:rsid w:val="00830E07"/>
    <w:rsid w:val="00830E3D"/>
    <w:rsid w:val="0083138F"/>
    <w:rsid w:val="008315C8"/>
    <w:rsid w:val="008316E2"/>
    <w:rsid w:val="00831A32"/>
    <w:rsid w:val="00831CDB"/>
    <w:rsid w:val="00832332"/>
    <w:rsid w:val="00832389"/>
    <w:rsid w:val="00832484"/>
    <w:rsid w:val="008324B5"/>
    <w:rsid w:val="00832522"/>
    <w:rsid w:val="008327B7"/>
    <w:rsid w:val="00832A4A"/>
    <w:rsid w:val="00832AA3"/>
    <w:rsid w:val="00832C83"/>
    <w:rsid w:val="00832D29"/>
    <w:rsid w:val="00832E3F"/>
    <w:rsid w:val="00832F17"/>
    <w:rsid w:val="00833692"/>
    <w:rsid w:val="0083382A"/>
    <w:rsid w:val="0083399B"/>
    <w:rsid w:val="00833D2C"/>
    <w:rsid w:val="00833EB8"/>
    <w:rsid w:val="00834120"/>
    <w:rsid w:val="00834147"/>
    <w:rsid w:val="00834453"/>
    <w:rsid w:val="008344D1"/>
    <w:rsid w:val="00834698"/>
    <w:rsid w:val="008346C6"/>
    <w:rsid w:val="00834B2E"/>
    <w:rsid w:val="00834DA4"/>
    <w:rsid w:val="00834E69"/>
    <w:rsid w:val="00834F19"/>
    <w:rsid w:val="00834F8D"/>
    <w:rsid w:val="0083501F"/>
    <w:rsid w:val="0083515F"/>
    <w:rsid w:val="008352AF"/>
    <w:rsid w:val="008352BF"/>
    <w:rsid w:val="00835378"/>
    <w:rsid w:val="00835473"/>
    <w:rsid w:val="008357F1"/>
    <w:rsid w:val="00835866"/>
    <w:rsid w:val="00835AE9"/>
    <w:rsid w:val="00835BCF"/>
    <w:rsid w:val="00835FEF"/>
    <w:rsid w:val="008361EA"/>
    <w:rsid w:val="00836906"/>
    <w:rsid w:val="00836BC7"/>
    <w:rsid w:val="00836D9A"/>
    <w:rsid w:val="00836E79"/>
    <w:rsid w:val="00836F68"/>
    <w:rsid w:val="0083728A"/>
    <w:rsid w:val="008377F2"/>
    <w:rsid w:val="00837833"/>
    <w:rsid w:val="00837B80"/>
    <w:rsid w:val="00840116"/>
    <w:rsid w:val="008402E6"/>
    <w:rsid w:val="008408DE"/>
    <w:rsid w:val="00840B8B"/>
    <w:rsid w:val="00840D46"/>
    <w:rsid w:val="008421E0"/>
    <w:rsid w:val="0084235E"/>
    <w:rsid w:val="00842394"/>
    <w:rsid w:val="00842862"/>
    <w:rsid w:val="008430D7"/>
    <w:rsid w:val="0084386D"/>
    <w:rsid w:val="008439A1"/>
    <w:rsid w:val="00843AC1"/>
    <w:rsid w:val="00843B67"/>
    <w:rsid w:val="00843BD1"/>
    <w:rsid w:val="0084436B"/>
    <w:rsid w:val="008443C9"/>
    <w:rsid w:val="0084448B"/>
    <w:rsid w:val="00844A90"/>
    <w:rsid w:val="00844CA3"/>
    <w:rsid w:val="00845027"/>
    <w:rsid w:val="008450A1"/>
    <w:rsid w:val="0084519E"/>
    <w:rsid w:val="008451F0"/>
    <w:rsid w:val="00845296"/>
    <w:rsid w:val="00845474"/>
    <w:rsid w:val="00845509"/>
    <w:rsid w:val="008458EB"/>
    <w:rsid w:val="00845C70"/>
    <w:rsid w:val="00845D07"/>
    <w:rsid w:val="00845FF8"/>
    <w:rsid w:val="008460D8"/>
    <w:rsid w:val="00846164"/>
    <w:rsid w:val="008461BE"/>
    <w:rsid w:val="008461FC"/>
    <w:rsid w:val="008468F9"/>
    <w:rsid w:val="00846934"/>
    <w:rsid w:val="008469F2"/>
    <w:rsid w:val="00846A06"/>
    <w:rsid w:val="00846C28"/>
    <w:rsid w:val="00846CB7"/>
    <w:rsid w:val="008473DB"/>
    <w:rsid w:val="008475DD"/>
    <w:rsid w:val="00847801"/>
    <w:rsid w:val="00847819"/>
    <w:rsid w:val="00847B69"/>
    <w:rsid w:val="00847EA3"/>
    <w:rsid w:val="00847F81"/>
    <w:rsid w:val="0085009B"/>
    <w:rsid w:val="00850202"/>
    <w:rsid w:val="00850679"/>
    <w:rsid w:val="00850890"/>
    <w:rsid w:val="00850B1B"/>
    <w:rsid w:val="00850B7C"/>
    <w:rsid w:val="00850DF1"/>
    <w:rsid w:val="00850FA6"/>
    <w:rsid w:val="00851325"/>
    <w:rsid w:val="0085141A"/>
    <w:rsid w:val="00851426"/>
    <w:rsid w:val="0085174D"/>
    <w:rsid w:val="00851895"/>
    <w:rsid w:val="00851C1A"/>
    <w:rsid w:val="00851E4F"/>
    <w:rsid w:val="00851E6E"/>
    <w:rsid w:val="008521A9"/>
    <w:rsid w:val="00852270"/>
    <w:rsid w:val="008523A9"/>
    <w:rsid w:val="008524A2"/>
    <w:rsid w:val="0085276A"/>
    <w:rsid w:val="0085277D"/>
    <w:rsid w:val="0085283A"/>
    <w:rsid w:val="0085288E"/>
    <w:rsid w:val="00852C04"/>
    <w:rsid w:val="00853392"/>
    <w:rsid w:val="008534B9"/>
    <w:rsid w:val="00853624"/>
    <w:rsid w:val="00853796"/>
    <w:rsid w:val="00853AA5"/>
    <w:rsid w:val="00853BA4"/>
    <w:rsid w:val="00853C2B"/>
    <w:rsid w:val="00853C3D"/>
    <w:rsid w:val="00853DF8"/>
    <w:rsid w:val="008546C2"/>
    <w:rsid w:val="00854CB7"/>
    <w:rsid w:val="00854D7D"/>
    <w:rsid w:val="008551AD"/>
    <w:rsid w:val="008552A4"/>
    <w:rsid w:val="00855353"/>
    <w:rsid w:val="008553DA"/>
    <w:rsid w:val="008554C8"/>
    <w:rsid w:val="008554D5"/>
    <w:rsid w:val="00855659"/>
    <w:rsid w:val="008558FB"/>
    <w:rsid w:val="00855AB0"/>
    <w:rsid w:val="00855F6F"/>
    <w:rsid w:val="0085604C"/>
    <w:rsid w:val="0085670C"/>
    <w:rsid w:val="0085682E"/>
    <w:rsid w:val="00856953"/>
    <w:rsid w:val="00856A72"/>
    <w:rsid w:val="00856C90"/>
    <w:rsid w:val="00856CB0"/>
    <w:rsid w:val="00856E66"/>
    <w:rsid w:val="00856E72"/>
    <w:rsid w:val="00857361"/>
    <w:rsid w:val="00857418"/>
    <w:rsid w:val="00857427"/>
    <w:rsid w:val="00857437"/>
    <w:rsid w:val="00857BCC"/>
    <w:rsid w:val="00860447"/>
    <w:rsid w:val="00860451"/>
    <w:rsid w:val="00860798"/>
    <w:rsid w:val="00861062"/>
    <w:rsid w:val="008610A6"/>
    <w:rsid w:val="0086126C"/>
    <w:rsid w:val="008612B9"/>
    <w:rsid w:val="008612BB"/>
    <w:rsid w:val="008613B3"/>
    <w:rsid w:val="00861476"/>
    <w:rsid w:val="008616F0"/>
    <w:rsid w:val="00861B16"/>
    <w:rsid w:val="00861B3B"/>
    <w:rsid w:val="00861C6B"/>
    <w:rsid w:val="00861CE5"/>
    <w:rsid w:val="00861EB8"/>
    <w:rsid w:val="00862209"/>
    <w:rsid w:val="008623C5"/>
    <w:rsid w:val="00862960"/>
    <w:rsid w:val="008629B9"/>
    <w:rsid w:val="008629E6"/>
    <w:rsid w:val="00862BD5"/>
    <w:rsid w:val="00862CBC"/>
    <w:rsid w:val="00863024"/>
    <w:rsid w:val="00863166"/>
    <w:rsid w:val="00863293"/>
    <w:rsid w:val="008638DA"/>
    <w:rsid w:val="008638EB"/>
    <w:rsid w:val="00863A96"/>
    <w:rsid w:val="00863EEF"/>
    <w:rsid w:val="00863EF8"/>
    <w:rsid w:val="00863F4D"/>
    <w:rsid w:val="0086423F"/>
    <w:rsid w:val="00864321"/>
    <w:rsid w:val="008645A2"/>
    <w:rsid w:val="0086463E"/>
    <w:rsid w:val="008649C7"/>
    <w:rsid w:val="008649D6"/>
    <w:rsid w:val="00864AEC"/>
    <w:rsid w:val="00864B6D"/>
    <w:rsid w:val="00864D2E"/>
    <w:rsid w:val="00864F59"/>
    <w:rsid w:val="00865257"/>
    <w:rsid w:val="00865278"/>
    <w:rsid w:val="00865616"/>
    <w:rsid w:val="00865649"/>
    <w:rsid w:val="00865E12"/>
    <w:rsid w:val="008661F0"/>
    <w:rsid w:val="00866401"/>
    <w:rsid w:val="00866B55"/>
    <w:rsid w:val="008671C2"/>
    <w:rsid w:val="0086723E"/>
    <w:rsid w:val="008672C3"/>
    <w:rsid w:val="008677C0"/>
    <w:rsid w:val="00867805"/>
    <w:rsid w:val="008679C6"/>
    <w:rsid w:val="00867AB8"/>
    <w:rsid w:val="00867C5F"/>
    <w:rsid w:val="00867C79"/>
    <w:rsid w:val="00867EE0"/>
    <w:rsid w:val="00867EEF"/>
    <w:rsid w:val="00870008"/>
    <w:rsid w:val="0087097D"/>
    <w:rsid w:val="00870D26"/>
    <w:rsid w:val="00871198"/>
    <w:rsid w:val="0087129D"/>
    <w:rsid w:val="008713BF"/>
    <w:rsid w:val="008718A7"/>
    <w:rsid w:val="00871B7B"/>
    <w:rsid w:val="00871CAF"/>
    <w:rsid w:val="00872054"/>
    <w:rsid w:val="008721E9"/>
    <w:rsid w:val="00872314"/>
    <w:rsid w:val="008728AD"/>
    <w:rsid w:val="00872B2A"/>
    <w:rsid w:val="00872D11"/>
    <w:rsid w:val="00872D90"/>
    <w:rsid w:val="00872F45"/>
    <w:rsid w:val="0087302A"/>
    <w:rsid w:val="00873030"/>
    <w:rsid w:val="00873099"/>
    <w:rsid w:val="008733B2"/>
    <w:rsid w:val="00873442"/>
    <w:rsid w:val="008734E4"/>
    <w:rsid w:val="0087370E"/>
    <w:rsid w:val="00873978"/>
    <w:rsid w:val="00873AA5"/>
    <w:rsid w:val="00873C44"/>
    <w:rsid w:val="00873E8C"/>
    <w:rsid w:val="0087404A"/>
    <w:rsid w:val="008740CA"/>
    <w:rsid w:val="00874449"/>
    <w:rsid w:val="0087446A"/>
    <w:rsid w:val="0087481E"/>
    <w:rsid w:val="00874898"/>
    <w:rsid w:val="008749AA"/>
    <w:rsid w:val="00874A42"/>
    <w:rsid w:val="00874BFB"/>
    <w:rsid w:val="00874C60"/>
    <w:rsid w:val="00874C82"/>
    <w:rsid w:val="00875329"/>
    <w:rsid w:val="00875370"/>
    <w:rsid w:val="00875574"/>
    <w:rsid w:val="0087575F"/>
    <w:rsid w:val="008759D0"/>
    <w:rsid w:val="008759DB"/>
    <w:rsid w:val="00875AF2"/>
    <w:rsid w:val="00875D18"/>
    <w:rsid w:val="00875EAA"/>
    <w:rsid w:val="0087635E"/>
    <w:rsid w:val="00876381"/>
    <w:rsid w:val="00876413"/>
    <w:rsid w:val="008765A4"/>
    <w:rsid w:val="00876CB0"/>
    <w:rsid w:val="00876D1B"/>
    <w:rsid w:val="00876DFE"/>
    <w:rsid w:val="00876EA2"/>
    <w:rsid w:val="00876F23"/>
    <w:rsid w:val="008772C9"/>
    <w:rsid w:val="00877681"/>
    <w:rsid w:val="00877A25"/>
    <w:rsid w:val="00877CAC"/>
    <w:rsid w:val="00877E21"/>
    <w:rsid w:val="00877E82"/>
    <w:rsid w:val="0088003D"/>
    <w:rsid w:val="008806C3"/>
    <w:rsid w:val="0088079B"/>
    <w:rsid w:val="008808B6"/>
    <w:rsid w:val="00880BE4"/>
    <w:rsid w:val="00880C86"/>
    <w:rsid w:val="00880EAA"/>
    <w:rsid w:val="00881356"/>
    <w:rsid w:val="008815E2"/>
    <w:rsid w:val="00881664"/>
    <w:rsid w:val="00881AFE"/>
    <w:rsid w:val="00881B98"/>
    <w:rsid w:val="00882072"/>
    <w:rsid w:val="008820EC"/>
    <w:rsid w:val="008820F0"/>
    <w:rsid w:val="0088236F"/>
    <w:rsid w:val="008823FA"/>
    <w:rsid w:val="00882425"/>
    <w:rsid w:val="0088261B"/>
    <w:rsid w:val="00882A89"/>
    <w:rsid w:val="00882AF1"/>
    <w:rsid w:val="00882C41"/>
    <w:rsid w:val="00882CE4"/>
    <w:rsid w:val="00882F59"/>
    <w:rsid w:val="00882FE6"/>
    <w:rsid w:val="0088317E"/>
    <w:rsid w:val="0088361D"/>
    <w:rsid w:val="00883766"/>
    <w:rsid w:val="0088439C"/>
    <w:rsid w:val="008843BF"/>
    <w:rsid w:val="00884C4D"/>
    <w:rsid w:val="00884E3A"/>
    <w:rsid w:val="00885065"/>
    <w:rsid w:val="00885190"/>
    <w:rsid w:val="008851E3"/>
    <w:rsid w:val="008853E5"/>
    <w:rsid w:val="008857D2"/>
    <w:rsid w:val="00885890"/>
    <w:rsid w:val="00885965"/>
    <w:rsid w:val="00885AF4"/>
    <w:rsid w:val="00885B48"/>
    <w:rsid w:val="00885EA6"/>
    <w:rsid w:val="00885FD9"/>
    <w:rsid w:val="008862FE"/>
    <w:rsid w:val="008866D6"/>
    <w:rsid w:val="00886710"/>
    <w:rsid w:val="008868D4"/>
    <w:rsid w:val="00886A5E"/>
    <w:rsid w:val="00886BA8"/>
    <w:rsid w:val="00887319"/>
    <w:rsid w:val="00887704"/>
    <w:rsid w:val="008878AA"/>
    <w:rsid w:val="00887A6D"/>
    <w:rsid w:val="00887B44"/>
    <w:rsid w:val="00887CB1"/>
    <w:rsid w:val="00887EAA"/>
    <w:rsid w:val="00887F4F"/>
    <w:rsid w:val="008900F6"/>
    <w:rsid w:val="00890190"/>
    <w:rsid w:val="0089040D"/>
    <w:rsid w:val="00890565"/>
    <w:rsid w:val="00890AAE"/>
    <w:rsid w:val="00890B74"/>
    <w:rsid w:val="00890D59"/>
    <w:rsid w:val="00890DDC"/>
    <w:rsid w:val="00890DF0"/>
    <w:rsid w:val="00890EE6"/>
    <w:rsid w:val="0089106B"/>
    <w:rsid w:val="008911DC"/>
    <w:rsid w:val="008912A7"/>
    <w:rsid w:val="008912C7"/>
    <w:rsid w:val="0089144E"/>
    <w:rsid w:val="0089177F"/>
    <w:rsid w:val="00891905"/>
    <w:rsid w:val="00891C01"/>
    <w:rsid w:val="00891DC5"/>
    <w:rsid w:val="008923BA"/>
    <w:rsid w:val="008923DB"/>
    <w:rsid w:val="008924C0"/>
    <w:rsid w:val="008924C2"/>
    <w:rsid w:val="00892A35"/>
    <w:rsid w:val="00892B6D"/>
    <w:rsid w:val="00892CC1"/>
    <w:rsid w:val="008930C4"/>
    <w:rsid w:val="00893199"/>
    <w:rsid w:val="00893770"/>
    <w:rsid w:val="008937BD"/>
    <w:rsid w:val="00893945"/>
    <w:rsid w:val="00893A31"/>
    <w:rsid w:val="00893ECE"/>
    <w:rsid w:val="00893F92"/>
    <w:rsid w:val="00894420"/>
    <w:rsid w:val="0089463B"/>
    <w:rsid w:val="0089493B"/>
    <w:rsid w:val="00894E94"/>
    <w:rsid w:val="00894EBC"/>
    <w:rsid w:val="0089509E"/>
    <w:rsid w:val="00895189"/>
    <w:rsid w:val="00895223"/>
    <w:rsid w:val="008953DE"/>
    <w:rsid w:val="00895445"/>
    <w:rsid w:val="008954CC"/>
    <w:rsid w:val="008955AD"/>
    <w:rsid w:val="0089572D"/>
    <w:rsid w:val="00895C6E"/>
    <w:rsid w:val="00896009"/>
    <w:rsid w:val="008962DA"/>
    <w:rsid w:val="00896364"/>
    <w:rsid w:val="008965BF"/>
    <w:rsid w:val="00896651"/>
    <w:rsid w:val="00896D9F"/>
    <w:rsid w:val="00897044"/>
    <w:rsid w:val="00897248"/>
    <w:rsid w:val="00897413"/>
    <w:rsid w:val="008977B3"/>
    <w:rsid w:val="00897881"/>
    <w:rsid w:val="00897996"/>
    <w:rsid w:val="008979E2"/>
    <w:rsid w:val="00897B68"/>
    <w:rsid w:val="008A0417"/>
    <w:rsid w:val="008A046D"/>
    <w:rsid w:val="008A08A5"/>
    <w:rsid w:val="008A0935"/>
    <w:rsid w:val="008A09F7"/>
    <w:rsid w:val="008A0BA2"/>
    <w:rsid w:val="008A0EE3"/>
    <w:rsid w:val="008A1122"/>
    <w:rsid w:val="008A1136"/>
    <w:rsid w:val="008A1182"/>
    <w:rsid w:val="008A1293"/>
    <w:rsid w:val="008A129B"/>
    <w:rsid w:val="008A15D1"/>
    <w:rsid w:val="008A1A7F"/>
    <w:rsid w:val="008A1B4A"/>
    <w:rsid w:val="008A1B99"/>
    <w:rsid w:val="008A1BEE"/>
    <w:rsid w:val="008A1E5F"/>
    <w:rsid w:val="008A1EC6"/>
    <w:rsid w:val="008A1FDE"/>
    <w:rsid w:val="008A222A"/>
    <w:rsid w:val="008A27C9"/>
    <w:rsid w:val="008A2913"/>
    <w:rsid w:val="008A2ADF"/>
    <w:rsid w:val="008A2C01"/>
    <w:rsid w:val="008A3047"/>
    <w:rsid w:val="008A328D"/>
    <w:rsid w:val="008A33A5"/>
    <w:rsid w:val="008A3969"/>
    <w:rsid w:val="008A3AE2"/>
    <w:rsid w:val="008A3EB1"/>
    <w:rsid w:val="008A4557"/>
    <w:rsid w:val="008A4691"/>
    <w:rsid w:val="008A46C9"/>
    <w:rsid w:val="008A4E9C"/>
    <w:rsid w:val="008A55FD"/>
    <w:rsid w:val="008A5644"/>
    <w:rsid w:val="008A5690"/>
    <w:rsid w:val="008A578C"/>
    <w:rsid w:val="008A57EC"/>
    <w:rsid w:val="008A58BB"/>
    <w:rsid w:val="008A5915"/>
    <w:rsid w:val="008A5A8E"/>
    <w:rsid w:val="008A5B68"/>
    <w:rsid w:val="008A5C78"/>
    <w:rsid w:val="008A5EE5"/>
    <w:rsid w:val="008A640B"/>
    <w:rsid w:val="008A67BA"/>
    <w:rsid w:val="008A68E3"/>
    <w:rsid w:val="008A6D08"/>
    <w:rsid w:val="008A6D0A"/>
    <w:rsid w:val="008A777C"/>
    <w:rsid w:val="008A7932"/>
    <w:rsid w:val="008A7B3F"/>
    <w:rsid w:val="008B0189"/>
    <w:rsid w:val="008B027B"/>
    <w:rsid w:val="008B04C9"/>
    <w:rsid w:val="008B0703"/>
    <w:rsid w:val="008B0988"/>
    <w:rsid w:val="008B0F33"/>
    <w:rsid w:val="008B1311"/>
    <w:rsid w:val="008B1825"/>
    <w:rsid w:val="008B1994"/>
    <w:rsid w:val="008B214A"/>
    <w:rsid w:val="008B2252"/>
    <w:rsid w:val="008B22A1"/>
    <w:rsid w:val="008B22E1"/>
    <w:rsid w:val="008B2416"/>
    <w:rsid w:val="008B25D8"/>
    <w:rsid w:val="008B27B8"/>
    <w:rsid w:val="008B2F00"/>
    <w:rsid w:val="008B3332"/>
    <w:rsid w:val="008B3416"/>
    <w:rsid w:val="008B3485"/>
    <w:rsid w:val="008B3634"/>
    <w:rsid w:val="008B36BC"/>
    <w:rsid w:val="008B3D7B"/>
    <w:rsid w:val="008B3E3D"/>
    <w:rsid w:val="008B43B9"/>
    <w:rsid w:val="008B47A2"/>
    <w:rsid w:val="008B4824"/>
    <w:rsid w:val="008B49C0"/>
    <w:rsid w:val="008B4B81"/>
    <w:rsid w:val="008B4EFA"/>
    <w:rsid w:val="008B504D"/>
    <w:rsid w:val="008B52A2"/>
    <w:rsid w:val="008B52C9"/>
    <w:rsid w:val="008B5494"/>
    <w:rsid w:val="008B5886"/>
    <w:rsid w:val="008B5B01"/>
    <w:rsid w:val="008B5E4F"/>
    <w:rsid w:val="008B5E8B"/>
    <w:rsid w:val="008B6001"/>
    <w:rsid w:val="008B60B9"/>
    <w:rsid w:val="008B623A"/>
    <w:rsid w:val="008B651A"/>
    <w:rsid w:val="008B660A"/>
    <w:rsid w:val="008B6856"/>
    <w:rsid w:val="008B698F"/>
    <w:rsid w:val="008B6BF0"/>
    <w:rsid w:val="008B6F16"/>
    <w:rsid w:val="008B6F5E"/>
    <w:rsid w:val="008B6FE2"/>
    <w:rsid w:val="008B7066"/>
    <w:rsid w:val="008B7088"/>
    <w:rsid w:val="008B7172"/>
    <w:rsid w:val="008B71CA"/>
    <w:rsid w:val="008B7510"/>
    <w:rsid w:val="008B7532"/>
    <w:rsid w:val="008B7641"/>
    <w:rsid w:val="008B76DF"/>
    <w:rsid w:val="008B7B33"/>
    <w:rsid w:val="008B7BAD"/>
    <w:rsid w:val="008B7F7D"/>
    <w:rsid w:val="008C0026"/>
    <w:rsid w:val="008C00B9"/>
    <w:rsid w:val="008C030C"/>
    <w:rsid w:val="008C0388"/>
    <w:rsid w:val="008C03C6"/>
    <w:rsid w:val="008C041D"/>
    <w:rsid w:val="008C0639"/>
    <w:rsid w:val="008C0699"/>
    <w:rsid w:val="008C06B0"/>
    <w:rsid w:val="008C09A5"/>
    <w:rsid w:val="008C1279"/>
    <w:rsid w:val="008C138E"/>
    <w:rsid w:val="008C1392"/>
    <w:rsid w:val="008C1428"/>
    <w:rsid w:val="008C152A"/>
    <w:rsid w:val="008C16B7"/>
    <w:rsid w:val="008C1F2A"/>
    <w:rsid w:val="008C2178"/>
    <w:rsid w:val="008C2258"/>
    <w:rsid w:val="008C230C"/>
    <w:rsid w:val="008C2543"/>
    <w:rsid w:val="008C2EFA"/>
    <w:rsid w:val="008C2FCE"/>
    <w:rsid w:val="008C310D"/>
    <w:rsid w:val="008C3179"/>
    <w:rsid w:val="008C324C"/>
    <w:rsid w:val="008C3355"/>
    <w:rsid w:val="008C3408"/>
    <w:rsid w:val="008C3BC2"/>
    <w:rsid w:val="008C3CB4"/>
    <w:rsid w:val="008C3DC1"/>
    <w:rsid w:val="008C3EC9"/>
    <w:rsid w:val="008C3F33"/>
    <w:rsid w:val="008C4046"/>
    <w:rsid w:val="008C43BD"/>
    <w:rsid w:val="008C44A1"/>
    <w:rsid w:val="008C454D"/>
    <w:rsid w:val="008C4687"/>
    <w:rsid w:val="008C4BF8"/>
    <w:rsid w:val="008C4DBD"/>
    <w:rsid w:val="008C51C8"/>
    <w:rsid w:val="008C5477"/>
    <w:rsid w:val="008C596E"/>
    <w:rsid w:val="008C5999"/>
    <w:rsid w:val="008C59C3"/>
    <w:rsid w:val="008C5BE4"/>
    <w:rsid w:val="008C5CCB"/>
    <w:rsid w:val="008C612F"/>
    <w:rsid w:val="008C62C5"/>
    <w:rsid w:val="008C685F"/>
    <w:rsid w:val="008C687C"/>
    <w:rsid w:val="008C6FD3"/>
    <w:rsid w:val="008C751F"/>
    <w:rsid w:val="008C754D"/>
    <w:rsid w:val="008C7A93"/>
    <w:rsid w:val="008C7B49"/>
    <w:rsid w:val="008C7B4B"/>
    <w:rsid w:val="008C7BD4"/>
    <w:rsid w:val="008C7C35"/>
    <w:rsid w:val="008C7E6A"/>
    <w:rsid w:val="008C7FC6"/>
    <w:rsid w:val="008D0399"/>
    <w:rsid w:val="008D067A"/>
    <w:rsid w:val="008D06A5"/>
    <w:rsid w:val="008D06BA"/>
    <w:rsid w:val="008D07F2"/>
    <w:rsid w:val="008D0912"/>
    <w:rsid w:val="008D0BF0"/>
    <w:rsid w:val="008D19F4"/>
    <w:rsid w:val="008D1A79"/>
    <w:rsid w:val="008D1C68"/>
    <w:rsid w:val="008D1F38"/>
    <w:rsid w:val="008D25F0"/>
    <w:rsid w:val="008D2622"/>
    <w:rsid w:val="008D27AF"/>
    <w:rsid w:val="008D2A53"/>
    <w:rsid w:val="008D2B5B"/>
    <w:rsid w:val="008D2C91"/>
    <w:rsid w:val="008D3074"/>
    <w:rsid w:val="008D32EC"/>
    <w:rsid w:val="008D339F"/>
    <w:rsid w:val="008D344F"/>
    <w:rsid w:val="008D371E"/>
    <w:rsid w:val="008D3D02"/>
    <w:rsid w:val="008D3DFD"/>
    <w:rsid w:val="008D3F28"/>
    <w:rsid w:val="008D4570"/>
    <w:rsid w:val="008D473D"/>
    <w:rsid w:val="008D4E63"/>
    <w:rsid w:val="008D4F7E"/>
    <w:rsid w:val="008D5127"/>
    <w:rsid w:val="008D53FE"/>
    <w:rsid w:val="008D57E0"/>
    <w:rsid w:val="008D58A6"/>
    <w:rsid w:val="008D58E5"/>
    <w:rsid w:val="008D593A"/>
    <w:rsid w:val="008D5C3D"/>
    <w:rsid w:val="008D5FA8"/>
    <w:rsid w:val="008D619B"/>
    <w:rsid w:val="008D6512"/>
    <w:rsid w:val="008D6620"/>
    <w:rsid w:val="008D67BF"/>
    <w:rsid w:val="008D6814"/>
    <w:rsid w:val="008D6A98"/>
    <w:rsid w:val="008D6B27"/>
    <w:rsid w:val="008D70B7"/>
    <w:rsid w:val="008D719B"/>
    <w:rsid w:val="008D77D4"/>
    <w:rsid w:val="008D7A56"/>
    <w:rsid w:val="008D7AFB"/>
    <w:rsid w:val="008D7C27"/>
    <w:rsid w:val="008D7FFA"/>
    <w:rsid w:val="008E004E"/>
    <w:rsid w:val="008E01CF"/>
    <w:rsid w:val="008E0819"/>
    <w:rsid w:val="008E09A2"/>
    <w:rsid w:val="008E0A6E"/>
    <w:rsid w:val="008E0A9B"/>
    <w:rsid w:val="008E0B5E"/>
    <w:rsid w:val="008E0D96"/>
    <w:rsid w:val="008E0E7F"/>
    <w:rsid w:val="008E0FC3"/>
    <w:rsid w:val="008E0FDA"/>
    <w:rsid w:val="008E1246"/>
    <w:rsid w:val="008E158E"/>
    <w:rsid w:val="008E163A"/>
    <w:rsid w:val="008E16F2"/>
    <w:rsid w:val="008E1724"/>
    <w:rsid w:val="008E1942"/>
    <w:rsid w:val="008E1D18"/>
    <w:rsid w:val="008E1FC3"/>
    <w:rsid w:val="008E20A0"/>
    <w:rsid w:val="008E2272"/>
    <w:rsid w:val="008E2377"/>
    <w:rsid w:val="008E2380"/>
    <w:rsid w:val="008E266B"/>
    <w:rsid w:val="008E290B"/>
    <w:rsid w:val="008E291D"/>
    <w:rsid w:val="008E2A5C"/>
    <w:rsid w:val="008E2E81"/>
    <w:rsid w:val="008E30D0"/>
    <w:rsid w:val="008E34AB"/>
    <w:rsid w:val="008E38D2"/>
    <w:rsid w:val="008E3A2E"/>
    <w:rsid w:val="008E3C7A"/>
    <w:rsid w:val="008E4391"/>
    <w:rsid w:val="008E49D6"/>
    <w:rsid w:val="008E4A47"/>
    <w:rsid w:val="008E4D98"/>
    <w:rsid w:val="008E4F1A"/>
    <w:rsid w:val="008E5232"/>
    <w:rsid w:val="008E56DD"/>
    <w:rsid w:val="008E56F3"/>
    <w:rsid w:val="008E5A8A"/>
    <w:rsid w:val="008E5A90"/>
    <w:rsid w:val="008E5E5C"/>
    <w:rsid w:val="008E5EDC"/>
    <w:rsid w:val="008E5EF2"/>
    <w:rsid w:val="008E5FB7"/>
    <w:rsid w:val="008E6124"/>
    <w:rsid w:val="008E6366"/>
    <w:rsid w:val="008E6418"/>
    <w:rsid w:val="008E647A"/>
    <w:rsid w:val="008E64E0"/>
    <w:rsid w:val="008E6777"/>
    <w:rsid w:val="008E68E9"/>
    <w:rsid w:val="008E69F7"/>
    <w:rsid w:val="008E6A68"/>
    <w:rsid w:val="008E6D56"/>
    <w:rsid w:val="008E6EEF"/>
    <w:rsid w:val="008E7543"/>
    <w:rsid w:val="008E795E"/>
    <w:rsid w:val="008E79C8"/>
    <w:rsid w:val="008E7DFA"/>
    <w:rsid w:val="008E7F3C"/>
    <w:rsid w:val="008F0050"/>
    <w:rsid w:val="008F03AC"/>
    <w:rsid w:val="008F0BA3"/>
    <w:rsid w:val="008F0FEE"/>
    <w:rsid w:val="008F13DD"/>
    <w:rsid w:val="008F188A"/>
    <w:rsid w:val="008F1B9B"/>
    <w:rsid w:val="008F1C0E"/>
    <w:rsid w:val="008F1D05"/>
    <w:rsid w:val="008F2069"/>
    <w:rsid w:val="008F35EA"/>
    <w:rsid w:val="008F372D"/>
    <w:rsid w:val="008F3766"/>
    <w:rsid w:val="008F378C"/>
    <w:rsid w:val="008F38AF"/>
    <w:rsid w:val="008F3D6D"/>
    <w:rsid w:val="008F3DCD"/>
    <w:rsid w:val="008F4983"/>
    <w:rsid w:val="008F4A99"/>
    <w:rsid w:val="008F4B20"/>
    <w:rsid w:val="008F4C2F"/>
    <w:rsid w:val="008F4EB3"/>
    <w:rsid w:val="008F5C01"/>
    <w:rsid w:val="008F5C4C"/>
    <w:rsid w:val="008F5C8B"/>
    <w:rsid w:val="008F5CF2"/>
    <w:rsid w:val="008F5FBD"/>
    <w:rsid w:val="008F60F8"/>
    <w:rsid w:val="008F62A7"/>
    <w:rsid w:val="008F62F6"/>
    <w:rsid w:val="008F6442"/>
    <w:rsid w:val="008F6692"/>
    <w:rsid w:val="008F67F8"/>
    <w:rsid w:val="008F697D"/>
    <w:rsid w:val="008F6DC8"/>
    <w:rsid w:val="008F7114"/>
    <w:rsid w:val="008F789A"/>
    <w:rsid w:val="008F7923"/>
    <w:rsid w:val="008F7C08"/>
    <w:rsid w:val="009000E8"/>
    <w:rsid w:val="009003FB"/>
    <w:rsid w:val="00900403"/>
    <w:rsid w:val="009006A7"/>
    <w:rsid w:val="00900AD9"/>
    <w:rsid w:val="00900C9B"/>
    <w:rsid w:val="00901044"/>
    <w:rsid w:val="0090104C"/>
    <w:rsid w:val="009011D1"/>
    <w:rsid w:val="0090135E"/>
    <w:rsid w:val="0090174B"/>
    <w:rsid w:val="00901828"/>
    <w:rsid w:val="00901AF0"/>
    <w:rsid w:val="00901B3E"/>
    <w:rsid w:val="00901B8A"/>
    <w:rsid w:val="00901C35"/>
    <w:rsid w:val="00901CB9"/>
    <w:rsid w:val="00901E86"/>
    <w:rsid w:val="00902481"/>
    <w:rsid w:val="009027DF"/>
    <w:rsid w:val="009033BE"/>
    <w:rsid w:val="009033C6"/>
    <w:rsid w:val="009035C9"/>
    <w:rsid w:val="0090388A"/>
    <w:rsid w:val="00903B24"/>
    <w:rsid w:val="00903C56"/>
    <w:rsid w:val="00903DF1"/>
    <w:rsid w:val="00903FEF"/>
    <w:rsid w:val="00904444"/>
    <w:rsid w:val="009044F5"/>
    <w:rsid w:val="00904809"/>
    <w:rsid w:val="0090488A"/>
    <w:rsid w:val="00904977"/>
    <w:rsid w:val="009049CC"/>
    <w:rsid w:val="00904A0B"/>
    <w:rsid w:val="00904CE3"/>
    <w:rsid w:val="00904D3D"/>
    <w:rsid w:val="00904EE6"/>
    <w:rsid w:val="00904EEC"/>
    <w:rsid w:val="00905004"/>
    <w:rsid w:val="009050A1"/>
    <w:rsid w:val="009051DC"/>
    <w:rsid w:val="00905574"/>
    <w:rsid w:val="00905A41"/>
    <w:rsid w:val="00905CF2"/>
    <w:rsid w:val="00905D9F"/>
    <w:rsid w:val="00905DA6"/>
    <w:rsid w:val="00905E00"/>
    <w:rsid w:val="00905FA4"/>
    <w:rsid w:val="009064F2"/>
    <w:rsid w:val="00906568"/>
    <w:rsid w:val="009065FE"/>
    <w:rsid w:val="009067F2"/>
    <w:rsid w:val="00906A3F"/>
    <w:rsid w:val="00906C9B"/>
    <w:rsid w:val="00906E6F"/>
    <w:rsid w:val="00906F03"/>
    <w:rsid w:val="00906F1C"/>
    <w:rsid w:val="0090709A"/>
    <w:rsid w:val="009071F7"/>
    <w:rsid w:val="00907374"/>
    <w:rsid w:val="009074C4"/>
    <w:rsid w:val="0090758C"/>
    <w:rsid w:val="009079AC"/>
    <w:rsid w:val="00907FA3"/>
    <w:rsid w:val="0091019D"/>
    <w:rsid w:val="009105CB"/>
    <w:rsid w:val="00910649"/>
    <w:rsid w:val="0091066B"/>
    <w:rsid w:val="00910C8E"/>
    <w:rsid w:val="00910E26"/>
    <w:rsid w:val="00910E2E"/>
    <w:rsid w:val="00910EE0"/>
    <w:rsid w:val="00910F75"/>
    <w:rsid w:val="009113FD"/>
    <w:rsid w:val="00911617"/>
    <w:rsid w:val="009116F2"/>
    <w:rsid w:val="009121D0"/>
    <w:rsid w:val="009121F9"/>
    <w:rsid w:val="00912266"/>
    <w:rsid w:val="00912440"/>
    <w:rsid w:val="009126B7"/>
    <w:rsid w:val="009128F8"/>
    <w:rsid w:val="00912B37"/>
    <w:rsid w:val="00912B64"/>
    <w:rsid w:val="00912D1B"/>
    <w:rsid w:val="00912DC7"/>
    <w:rsid w:val="00912E07"/>
    <w:rsid w:val="00913539"/>
    <w:rsid w:val="009137CF"/>
    <w:rsid w:val="009138A7"/>
    <w:rsid w:val="00913A24"/>
    <w:rsid w:val="00913B03"/>
    <w:rsid w:val="00913B27"/>
    <w:rsid w:val="00913B30"/>
    <w:rsid w:val="00913C5B"/>
    <w:rsid w:val="009143D9"/>
    <w:rsid w:val="00914536"/>
    <w:rsid w:val="00914D6D"/>
    <w:rsid w:val="00915304"/>
    <w:rsid w:val="00915356"/>
    <w:rsid w:val="0091587D"/>
    <w:rsid w:val="00915BB5"/>
    <w:rsid w:val="00915CF0"/>
    <w:rsid w:val="00915D53"/>
    <w:rsid w:val="00915D87"/>
    <w:rsid w:val="009160D3"/>
    <w:rsid w:val="009166D0"/>
    <w:rsid w:val="009168E1"/>
    <w:rsid w:val="00916913"/>
    <w:rsid w:val="00916AAE"/>
    <w:rsid w:val="00916B56"/>
    <w:rsid w:val="00916D84"/>
    <w:rsid w:val="009172AC"/>
    <w:rsid w:val="009172F6"/>
    <w:rsid w:val="009174D1"/>
    <w:rsid w:val="00917A4D"/>
    <w:rsid w:val="00917AFA"/>
    <w:rsid w:val="00917CE4"/>
    <w:rsid w:val="0092016C"/>
    <w:rsid w:val="0092020C"/>
    <w:rsid w:val="00920297"/>
    <w:rsid w:val="009207E5"/>
    <w:rsid w:val="00920A81"/>
    <w:rsid w:val="00920ACA"/>
    <w:rsid w:val="00921013"/>
    <w:rsid w:val="00921048"/>
    <w:rsid w:val="0092123E"/>
    <w:rsid w:val="009212C7"/>
    <w:rsid w:val="0092143D"/>
    <w:rsid w:val="0092156F"/>
    <w:rsid w:val="009215AE"/>
    <w:rsid w:val="009216A5"/>
    <w:rsid w:val="00921847"/>
    <w:rsid w:val="00921CE3"/>
    <w:rsid w:val="0092261C"/>
    <w:rsid w:val="0092269D"/>
    <w:rsid w:val="00922ACC"/>
    <w:rsid w:val="00922C78"/>
    <w:rsid w:val="00922DD2"/>
    <w:rsid w:val="00922E41"/>
    <w:rsid w:val="00922EE0"/>
    <w:rsid w:val="009238EB"/>
    <w:rsid w:val="0092396D"/>
    <w:rsid w:val="00923CC9"/>
    <w:rsid w:val="00923EF3"/>
    <w:rsid w:val="00923F21"/>
    <w:rsid w:val="00924092"/>
    <w:rsid w:val="00924265"/>
    <w:rsid w:val="00924300"/>
    <w:rsid w:val="009244A0"/>
    <w:rsid w:val="0092497A"/>
    <w:rsid w:val="009250F7"/>
    <w:rsid w:val="009251C9"/>
    <w:rsid w:val="0092535D"/>
    <w:rsid w:val="0092541E"/>
    <w:rsid w:val="0092559A"/>
    <w:rsid w:val="00925B0B"/>
    <w:rsid w:val="00925F22"/>
    <w:rsid w:val="00926306"/>
    <w:rsid w:val="009263CA"/>
    <w:rsid w:val="0092657A"/>
    <w:rsid w:val="009267AF"/>
    <w:rsid w:val="0092709E"/>
    <w:rsid w:val="009273A0"/>
    <w:rsid w:val="00927603"/>
    <w:rsid w:val="00927902"/>
    <w:rsid w:val="0092792D"/>
    <w:rsid w:val="00927BCE"/>
    <w:rsid w:val="00927CAC"/>
    <w:rsid w:val="00927D13"/>
    <w:rsid w:val="00927E61"/>
    <w:rsid w:val="00930108"/>
    <w:rsid w:val="00930AC6"/>
    <w:rsid w:val="00930B42"/>
    <w:rsid w:val="0093135B"/>
    <w:rsid w:val="00931533"/>
    <w:rsid w:val="009315D1"/>
    <w:rsid w:val="009317AA"/>
    <w:rsid w:val="00931BDE"/>
    <w:rsid w:val="00932409"/>
    <w:rsid w:val="00932594"/>
    <w:rsid w:val="009326E1"/>
    <w:rsid w:val="0093293C"/>
    <w:rsid w:val="00932C0F"/>
    <w:rsid w:val="00932F30"/>
    <w:rsid w:val="00933040"/>
    <w:rsid w:val="00933068"/>
    <w:rsid w:val="009330B3"/>
    <w:rsid w:val="009330BB"/>
    <w:rsid w:val="009332C6"/>
    <w:rsid w:val="0093362C"/>
    <w:rsid w:val="00933798"/>
    <w:rsid w:val="0093381C"/>
    <w:rsid w:val="00933C39"/>
    <w:rsid w:val="00934044"/>
    <w:rsid w:val="00934126"/>
    <w:rsid w:val="0093453E"/>
    <w:rsid w:val="0093499E"/>
    <w:rsid w:val="00934C46"/>
    <w:rsid w:val="0093514E"/>
    <w:rsid w:val="009353D9"/>
    <w:rsid w:val="00935577"/>
    <w:rsid w:val="00935618"/>
    <w:rsid w:val="0093565A"/>
    <w:rsid w:val="0093592C"/>
    <w:rsid w:val="00935A1F"/>
    <w:rsid w:val="0093624E"/>
    <w:rsid w:val="00936694"/>
    <w:rsid w:val="00936722"/>
    <w:rsid w:val="00936732"/>
    <w:rsid w:val="0093673C"/>
    <w:rsid w:val="00936BF4"/>
    <w:rsid w:val="00936E62"/>
    <w:rsid w:val="00936FE9"/>
    <w:rsid w:val="0093707F"/>
    <w:rsid w:val="009370EC"/>
    <w:rsid w:val="009371B8"/>
    <w:rsid w:val="009377A2"/>
    <w:rsid w:val="00937CF3"/>
    <w:rsid w:val="00937E25"/>
    <w:rsid w:val="00940017"/>
    <w:rsid w:val="00940068"/>
    <w:rsid w:val="00940134"/>
    <w:rsid w:val="009405B5"/>
    <w:rsid w:val="0094071A"/>
    <w:rsid w:val="00940B0F"/>
    <w:rsid w:val="00940C1B"/>
    <w:rsid w:val="00940FD9"/>
    <w:rsid w:val="00941194"/>
    <w:rsid w:val="009415D1"/>
    <w:rsid w:val="00941794"/>
    <w:rsid w:val="00941829"/>
    <w:rsid w:val="00941919"/>
    <w:rsid w:val="00941B2E"/>
    <w:rsid w:val="00941D64"/>
    <w:rsid w:val="00941E41"/>
    <w:rsid w:val="0094228D"/>
    <w:rsid w:val="009425C3"/>
    <w:rsid w:val="0094276C"/>
    <w:rsid w:val="00942779"/>
    <w:rsid w:val="00942865"/>
    <w:rsid w:val="009428E2"/>
    <w:rsid w:val="009429CC"/>
    <w:rsid w:val="00942D49"/>
    <w:rsid w:val="009430C1"/>
    <w:rsid w:val="009430F8"/>
    <w:rsid w:val="00943334"/>
    <w:rsid w:val="00943AE0"/>
    <w:rsid w:val="00943B17"/>
    <w:rsid w:val="00943C38"/>
    <w:rsid w:val="00943FAA"/>
    <w:rsid w:val="0094404D"/>
    <w:rsid w:val="00944297"/>
    <w:rsid w:val="00944530"/>
    <w:rsid w:val="0094457A"/>
    <w:rsid w:val="00944604"/>
    <w:rsid w:val="00944661"/>
    <w:rsid w:val="009448D7"/>
    <w:rsid w:val="009448E5"/>
    <w:rsid w:val="00944C48"/>
    <w:rsid w:val="00944DA5"/>
    <w:rsid w:val="00944E56"/>
    <w:rsid w:val="00945100"/>
    <w:rsid w:val="0094520E"/>
    <w:rsid w:val="00945422"/>
    <w:rsid w:val="00945DEA"/>
    <w:rsid w:val="00945F4E"/>
    <w:rsid w:val="00946079"/>
    <w:rsid w:val="009464E3"/>
    <w:rsid w:val="009468EC"/>
    <w:rsid w:val="00946A37"/>
    <w:rsid w:val="00946B7D"/>
    <w:rsid w:val="00946DAD"/>
    <w:rsid w:val="00946EAE"/>
    <w:rsid w:val="00946F69"/>
    <w:rsid w:val="00947452"/>
    <w:rsid w:val="00947687"/>
    <w:rsid w:val="00947B25"/>
    <w:rsid w:val="00947B4E"/>
    <w:rsid w:val="00947DD2"/>
    <w:rsid w:val="00947E9E"/>
    <w:rsid w:val="00947F2D"/>
    <w:rsid w:val="0095045C"/>
    <w:rsid w:val="0095067B"/>
    <w:rsid w:val="009506D0"/>
    <w:rsid w:val="0095097D"/>
    <w:rsid w:val="00950D0F"/>
    <w:rsid w:val="00950EE0"/>
    <w:rsid w:val="00950F01"/>
    <w:rsid w:val="00950F68"/>
    <w:rsid w:val="0095104F"/>
    <w:rsid w:val="0095133D"/>
    <w:rsid w:val="00951534"/>
    <w:rsid w:val="009517B5"/>
    <w:rsid w:val="0095198F"/>
    <w:rsid w:val="00951B10"/>
    <w:rsid w:val="00951DF8"/>
    <w:rsid w:val="00951FCC"/>
    <w:rsid w:val="009522FC"/>
    <w:rsid w:val="00952450"/>
    <w:rsid w:val="0095258B"/>
    <w:rsid w:val="009529C4"/>
    <w:rsid w:val="00952D4F"/>
    <w:rsid w:val="00952ED1"/>
    <w:rsid w:val="00953221"/>
    <w:rsid w:val="0095382A"/>
    <w:rsid w:val="00953853"/>
    <w:rsid w:val="00953DCC"/>
    <w:rsid w:val="009543E9"/>
    <w:rsid w:val="00954447"/>
    <w:rsid w:val="009549AC"/>
    <w:rsid w:val="009549DD"/>
    <w:rsid w:val="00954C61"/>
    <w:rsid w:val="00954DE0"/>
    <w:rsid w:val="00954E6F"/>
    <w:rsid w:val="00954F21"/>
    <w:rsid w:val="009551F6"/>
    <w:rsid w:val="00955298"/>
    <w:rsid w:val="00955B23"/>
    <w:rsid w:val="00955FCF"/>
    <w:rsid w:val="00956143"/>
    <w:rsid w:val="009561BE"/>
    <w:rsid w:val="009562A7"/>
    <w:rsid w:val="00956462"/>
    <w:rsid w:val="00956764"/>
    <w:rsid w:val="0095676F"/>
    <w:rsid w:val="00956809"/>
    <w:rsid w:val="00956B59"/>
    <w:rsid w:val="00956B92"/>
    <w:rsid w:val="00956BA6"/>
    <w:rsid w:val="00956CE7"/>
    <w:rsid w:val="00956DB0"/>
    <w:rsid w:val="00956DCA"/>
    <w:rsid w:val="00956E81"/>
    <w:rsid w:val="00956ED3"/>
    <w:rsid w:val="00957433"/>
    <w:rsid w:val="0095747A"/>
    <w:rsid w:val="00957695"/>
    <w:rsid w:val="00957A1B"/>
    <w:rsid w:val="00957A77"/>
    <w:rsid w:val="00957AA7"/>
    <w:rsid w:val="00957C5A"/>
    <w:rsid w:val="00957E0B"/>
    <w:rsid w:val="00960042"/>
    <w:rsid w:val="0096026D"/>
    <w:rsid w:val="00960935"/>
    <w:rsid w:val="0096096F"/>
    <w:rsid w:val="00961178"/>
    <w:rsid w:val="009611DE"/>
    <w:rsid w:val="00961422"/>
    <w:rsid w:val="00961D19"/>
    <w:rsid w:val="00961D73"/>
    <w:rsid w:val="00962110"/>
    <w:rsid w:val="00962193"/>
    <w:rsid w:val="009623B4"/>
    <w:rsid w:val="00962A4E"/>
    <w:rsid w:val="00962A97"/>
    <w:rsid w:val="00962B92"/>
    <w:rsid w:val="00962B94"/>
    <w:rsid w:val="00962BBD"/>
    <w:rsid w:val="00962DC3"/>
    <w:rsid w:val="00963068"/>
    <w:rsid w:val="009630EE"/>
    <w:rsid w:val="00963303"/>
    <w:rsid w:val="009634E6"/>
    <w:rsid w:val="00963871"/>
    <w:rsid w:val="00963D2F"/>
    <w:rsid w:val="009643EF"/>
    <w:rsid w:val="009645E5"/>
    <w:rsid w:val="0096474A"/>
    <w:rsid w:val="0096475A"/>
    <w:rsid w:val="009648AA"/>
    <w:rsid w:val="00964A88"/>
    <w:rsid w:val="00964BA7"/>
    <w:rsid w:val="00964E81"/>
    <w:rsid w:val="00964F17"/>
    <w:rsid w:val="0096508A"/>
    <w:rsid w:val="009651C2"/>
    <w:rsid w:val="009652BF"/>
    <w:rsid w:val="009654D1"/>
    <w:rsid w:val="009655EE"/>
    <w:rsid w:val="0096579E"/>
    <w:rsid w:val="00965BA6"/>
    <w:rsid w:val="00965BDC"/>
    <w:rsid w:val="00965D83"/>
    <w:rsid w:val="00965EF8"/>
    <w:rsid w:val="00965F33"/>
    <w:rsid w:val="00966126"/>
    <w:rsid w:val="009662EB"/>
    <w:rsid w:val="009663CD"/>
    <w:rsid w:val="0096669B"/>
    <w:rsid w:val="0096674F"/>
    <w:rsid w:val="00966BF2"/>
    <w:rsid w:val="00966CF4"/>
    <w:rsid w:val="00966F26"/>
    <w:rsid w:val="009671FF"/>
    <w:rsid w:val="009676BC"/>
    <w:rsid w:val="009677D3"/>
    <w:rsid w:val="00967AB4"/>
    <w:rsid w:val="00970055"/>
    <w:rsid w:val="009701A4"/>
    <w:rsid w:val="00970252"/>
    <w:rsid w:val="009703AE"/>
    <w:rsid w:val="009705C4"/>
    <w:rsid w:val="00970768"/>
    <w:rsid w:val="00970850"/>
    <w:rsid w:val="0097096D"/>
    <w:rsid w:val="00970BC8"/>
    <w:rsid w:val="00970CF2"/>
    <w:rsid w:val="00970FEB"/>
    <w:rsid w:val="00971108"/>
    <w:rsid w:val="00971306"/>
    <w:rsid w:val="009716C3"/>
    <w:rsid w:val="009718D2"/>
    <w:rsid w:val="0097196E"/>
    <w:rsid w:val="00971A77"/>
    <w:rsid w:val="00971B19"/>
    <w:rsid w:val="00971C35"/>
    <w:rsid w:val="00971D5E"/>
    <w:rsid w:val="00971F98"/>
    <w:rsid w:val="0097206A"/>
    <w:rsid w:val="00972228"/>
    <w:rsid w:val="00972494"/>
    <w:rsid w:val="00972BEF"/>
    <w:rsid w:val="00972DA3"/>
    <w:rsid w:val="00972FB2"/>
    <w:rsid w:val="0097318E"/>
    <w:rsid w:val="009734F9"/>
    <w:rsid w:val="009738A0"/>
    <w:rsid w:val="009743E4"/>
    <w:rsid w:val="0097442B"/>
    <w:rsid w:val="009744DE"/>
    <w:rsid w:val="00974798"/>
    <w:rsid w:val="00974836"/>
    <w:rsid w:val="00974EB1"/>
    <w:rsid w:val="009752DA"/>
    <w:rsid w:val="00975345"/>
    <w:rsid w:val="00975592"/>
    <w:rsid w:val="009756A2"/>
    <w:rsid w:val="009757F1"/>
    <w:rsid w:val="00975AD5"/>
    <w:rsid w:val="00975D79"/>
    <w:rsid w:val="00976006"/>
    <w:rsid w:val="00976387"/>
    <w:rsid w:val="009766B9"/>
    <w:rsid w:val="009767F2"/>
    <w:rsid w:val="00976B07"/>
    <w:rsid w:val="00976BBC"/>
    <w:rsid w:val="00976CB8"/>
    <w:rsid w:val="00976D1D"/>
    <w:rsid w:val="00977000"/>
    <w:rsid w:val="009771B1"/>
    <w:rsid w:val="00977514"/>
    <w:rsid w:val="009775B2"/>
    <w:rsid w:val="00977EA3"/>
    <w:rsid w:val="00980107"/>
    <w:rsid w:val="00980116"/>
    <w:rsid w:val="009802A6"/>
    <w:rsid w:val="00980885"/>
    <w:rsid w:val="00980B64"/>
    <w:rsid w:val="00980DC2"/>
    <w:rsid w:val="0098102B"/>
    <w:rsid w:val="00981633"/>
    <w:rsid w:val="009816BA"/>
    <w:rsid w:val="00981E7C"/>
    <w:rsid w:val="00982104"/>
    <w:rsid w:val="0098239A"/>
    <w:rsid w:val="00982489"/>
    <w:rsid w:val="0098262B"/>
    <w:rsid w:val="009828CC"/>
    <w:rsid w:val="00982BAB"/>
    <w:rsid w:val="00982C9E"/>
    <w:rsid w:val="00983061"/>
    <w:rsid w:val="009830AD"/>
    <w:rsid w:val="009836E3"/>
    <w:rsid w:val="00983755"/>
    <w:rsid w:val="00983761"/>
    <w:rsid w:val="00983973"/>
    <w:rsid w:val="00983AB4"/>
    <w:rsid w:val="00983DBC"/>
    <w:rsid w:val="00983F2C"/>
    <w:rsid w:val="00983F36"/>
    <w:rsid w:val="009841D2"/>
    <w:rsid w:val="009841F7"/>
    <w:rsid w:val="0098469D"/>
    <w:rsid w:val="009849BB"/>
    <w:rsid w:val="00984A7F"/>
    <w:rsid w:val="00984B4C"/>
    <w:rsid w:val="00984D16"/>
    <w:rsid w:val="00984D4E"/>
    <w:rsid w:val="00984E55"/>
    <w:rsid w:val="00985683"/>
    <w:rsid w:val="00985C06"/>
    <w:rsid w:val="00986837"/>
    <w:rsid w:val="00986A4A"/>
    <w:rsid w:val="00986B8D"/>
    <w:rsid w:val="00986EE5"/>
    <w:rsid w:val="009870BE"/>
    <w:rsid w:val="009870F0"/>
    <w:rsid w:val="00987652"/>
    <w:rsid w:val="00987672"/>
    <w:rsid w:val="009905EA"/>
    <w:rsid w:val="009907F2"/>
    <w:rsid w:val="00990A0A"/>
    <w:rsid w:val="00990BB4"/>
    <w:rsid w:val="009914A7"/>
    <w:rsid w:val="009914E0"/>
    <w:rsid w:val="00991851"/>
    <w:rsid w:val="009919B9"/>
    <w:rsid w:val="009919C2"/>
    <w:rsid w:val="00991B37"/>
    <w:rsid w:val="00991D6E"/>
    <w:rsid w:val="00991F45"/>
    <w:rsid w:val="00991FBF"/>
    <w:rsid w:val="0099214E"/>
    <w:rsid w:val="0099239A"/>
    <w:rsid w:val="00992AD7"/>
    <w:rsid w:val="00992C75"/>
    <w:rsid w:val="00992C7C"/>
    <w:rsid w:val="00992DC8"/>
    <w:rsid w:val="009930A5"/>
    <w:rsid w:val="0099388D"/>
    <w:rsid w:val="00993965"/>
    <w:rsid w:val="00993AB0"/>
    <w:rsid w:val="00993BD0"/>
    <w:rsid w:val="00993FE0"/>
    <w:rsid w:val="00994210"/>
    <w:rsid w:val="009942AA"/>
    <w:rsid w:val="009943A2"/>
    <w:rsid w:val="009943A3"/>
    <w:rsid w:val="009943DC"/>
    <w:rsid w:val="0099451D"/>
    <w:rsid w:val="0099489A"/>
    <w:rsid w:val="00994EAA"/>
    <w:rsid w:val="00994EFE"/>
    <w:rsid w:val="00994FDA"/>
    <w:rsid w:val="009957B5"/>
    <w:rsid w:val="0099586C"/>
    <w:rsid w:val="00995A8E"/>
    <w:rsid w:val="00995D34"/>
    <w:rsid w:val="00995D6A"/>
    <w:rsid w:val="00995FA7"/>
    <w:rsid w:val="009962C9"/>
    <w:rsid w:val="009962FC"/>
    <w:rsid w:val="00996454"/>
    <w:rsid w:val="0099689E"/>
    <w:rsid w:val="00996992"/>
    <w:rsid w:val="00996ED5"/>
    <w:rsid w:val="0099718C"/>
    <w:rsid w:val="009975EE"/>
    <w:rsid w:val="009977D8"/>
    <w:rsid w:val="009978A8"/>
    <w:rsid w:val="00997A2A"/>
    <w:rsid w:val="00997F25"/>
    <w:rsid w:val="00997F6D"/>
    <w:rsid w:val="009A0705"/>
    <w:rsid w:val="009A0AD4"/>
    <w:rsid w:val="009A0F02"/>
    <w:rsid w:val="009A10BF"/>
    <w:rsid w:val="009A16DA"/>
    <w:rsid w:val="009A17DE"/>
    <w:rsid w:val="009A1972"/>
    <w:rsid w:val="009A1ABD"/>
    <w:rsid w:val="009A1B10"/>
    <w:rsid w:val="009A1D0D"/>
    <w:rsid w:val="009A2293"/>
    <w:rsid w:val="009A2731"/>
    <w:rsid w:val="009A28CB"/>
    <w:rsid w:val="009A28DD"/>
    <w:rsid w:val="009A2939"/>
    <w:rsid w:val="009A2B74"/>
    <w:rsid w:val="009A2CB6"/>
    <w:rsid w:val="009A2D70"/>
    <w:rsid w:val="009A2F16"/>
    <w:rsid w:val="009A2F58"/>
    <w:rsid w:val="009A3172"/>
    <w:rsid w:val="009A3D4E"/>
    <w:rsid w:val="009A49F0"/>
    <w:rsid w:val="009A49FF"/>
    <w:rsid w:val="009A559C"/>
    <w:rsid w:val="009A5679"/>
    <w:rsid w:val="009A57EC"/>
    <w:rsid w:val="009A5FE8"/>
    <w:rsid w:val="009A5FEE"/>
    <w:rsid w:val="009A60A3"/>
    <w:rsid w:val="009A6286"/>
    <w:rsid w:val="009A65CE"/>
    <w:rsid w:val="009A6D01"/>
    <w:rsid w:val="009A6EBF"/>
    <w:rsid w:val="009A6F17"/>
    <w:rsid w:val="009A7504"/>
    <w:rsid w:val="009A7522"/>
    <w:rsid w:val="009A78DD"/>
    <w:rsid w:val="009A7CA0"/>
    <w:rsid w:val="009A7F3A"/>
    <w:rsid w:val="009B0676"/>
    <w:rsid w:val="009B076F"/>
    <w:rsid w:val="009B088B"/>
    <w:rsid w:val="009B0ABF"/>
    <w:rsid w:val="009B0FA8"/>
    <w:rsid w:val="009B1062"/>
    <w:rsid w:val="009B1150"/>
    <w:rsid w:val="009B151F"/>
    <w:rsid w:val="009B1879"/>
    <w:rsid w:val="009B1D2C"/>
    <w:rsid w:val="009B1E8A"/>
    <w:rsid w:val="009B1F9E"/>
    <w:rsid w:val="009B1FD2"/>
    <w:rsid w:val="009B2030"/>
    <w:rsid w:val="009B2187"/>
    <w:rsid w:val="009B23A8"/>
    <w:rsid w:val="009B27A9"/>
    <w:rsid w:val="009B2C8B"/>
    <w:rsid w:val="009B2EBC"/>
    <w:rsid w:val="009B30CB"/>
    <w:rsid w:val="009B312F"/>
    <w:rsid w:val="009B32D4"/>
    <w:rsid w:val="009B32E1"/>
    <w:rsid w:val="009B3406"/>
    <w:rsid w:val="009B35E8"/>
    <w:rsid w:val="009B36AB"/>
    <w:rsid w:val="009B3D6F"/>
    <w:rsid w:val="009B443D"/>
    <w:rsid w:val="009B478E"/>
    <w:rsid w:val="009B4ADB"/>
    <w:rsid w:val="009B4AFA"/>
    <w:rsid w:val="009B4C0C"/>
    <w:rsid w:val="009B518E"/>
    <w:rsid w:val="009B5254"/>
    <w:rsid w:val="009B5394"/>
    <w:rsid w:val="009B55E8"/>
    <w:rsid w:val="009B56B4"/>
    <w:rsid w:val="009B5752"/>
    <w:rsid w:val="009B5848"/>
    <w:rsid w:val="009B5C15"/>
    <w:rsid w:val="009B610E"/>
    <w:rsid w:val="009B6189"/>
    <w:rsid w:val="009B664B"/>
    <w:rsid w:val="009B6658"/>
    <w:rsid w:val="009B6674"/>
    <w:rsid w:val="009B671E"/>
    <w:rsid w:val="009B67F7"/>
    <w:rsid w:val="009B6BCE"/>
    <w:rsid w:val="009B6DE5"/>
    <w:rsid w:val="009B6E7C"/>
    <w:rsid w:val="009B6F7F"/>
    <w:rsid w:val="009B70AC"/>
    <w:rsid w:val="009B73F2"/>
    <w:rsid w:val="009B76AC"/>
    <w:rsid w:val="009B79BF"/>
    <w:rsid w:val="009B7B21"/>
    <w:rsid w:val="009B7D2E"/>
    <w:rsid w:val="009C0168"/>
    <w:rsid w:val="009C0A41"/>
    <w:rsid w:val="009C0C2D"/>
    <w:rsid w:val="009C0D44"/>
    <w:rsid w:val="009C0D6F"/>
    <w:rsid w:val="009C109C"/>
    <w:rsid w:val="009C1121"/>
    <w:rsid w:val="009C12B5"/>
    <w:rsid w:val="009C1816"/>
    <w:rsid w:val="009C18D6"/>
    <w:rsid w:val="009C1D03"/>
    <w:rsid w:val="009C1D27"/>
    <w:rsid w:val="009C1DFD"/>
    <w:rsid w:val="009C1E12"/>
    <w:rsid w:val="009C1F08"/>
    <w:rsid w:val="009C1F0A"/>
    <w:rsid w:val="009C20F8"/>
    <w:rsid w:val="009C2162"/>
    <w:rsid w:val="009C24A1"/>
    <w:rsid w:val="009C259E"/>
    <w:rsid w:val="009C267F"/>
    <w:rsid w:val="009C2BC8"/>
    <w:rsid w:val="009C2C51"/>
    <w:rsid w:val="009C2D6F"/>
    <w:rsid w:val="009C2E67"/>
    <w:rsid w:val="009C35FB"/>
    <w:rsid w:val="009C36E7"/>
    <w:rsid w:val="009C3E64"/>
    <w:rsid w:val="009C41BD"/>
    <w:rsid w:val="009C4B9F"/>
    <w:rsid w:val="009C4C1B"/>
    <w:rsid w:val="009C4CF4"/>
    <w:rsid w:val="009C4D0B"/>
    <w:rsid w:val="009C4D11"/>
    <w:rsid w:val="009C5026"/>
    <w:rsid w:val="009C513C"/>
    <w:rsid w:val="009C5176"/>
    <w:rsid w:val="009C5419"/>
    <w:rsid w:val="009C56A5"/>
    <w:rsid w:val="009C5771"/>
    <w:rsid w:val="009C5C85"/>
    <w:rsid w:val="009C5EA2"/>
    <w:rsid w:val="009C60A5"/>
    <w:rsid w:val="009C630D"/>
    <w:rsid w:val="009C63A8"/>
    <w:rsid w:val="009C6480"/>
    <w:rsid w:val="009C67D0"/>
    <w:rsid w:val="009C6923"/>
    <w:rsid w:val="009C6940"/>
    <w:rsid w:val="009C6BBE"/>
    <w:rsid w:val="009C6D50"/>
    <w:rsid w:val="009C717D"/>
    <w:rsid w:val="009C7384"/>
    <w:rsid w:val="009C760D"/>
    <w:rsid w:val="009C7816"/>
    <w:rsid w:val="009C7A85"/>
    <w:rsid w:val="009C7B9C"/>
    <w:rsid w:val="009C7CC1"/>
    <w:rsid w:val="009D005C"/>
    <w:rsid w:val="009D0071"/>
    <w:rsid w:val="009D00FD"/>
    <w:rsid w:val="009D032D"/>
    <w:rsid w:val="009D05DC"/>
    <w:rsid w:val="009D0763"/>
    <w:rsid w:val="009D0A86"/>
    <w:rsid w:val="009D0AC0"/>
    <w:rsid w:val="009D0AF3"/>
    <w:rsid w:val="009D0B3A"/>
    <w:rsid w:val="009D0B5F"/>
    <w:rsid w:val="009D0C53"/>
    <w:rsid w:val="009D0F1B"/>
    <w:rsid w:val="009D1298"/>
    <w:rsid w:val="009D1343"/>
    <w:rsid w:val="009D16FE"/>
    <w:rsid w:val="009D1BA8"/>
    <w:rsid w:val="009D1BAA"/>
    <w:rsid w:val="009D1CB5"/>
    <w:rsid w:val="009D1E09"/>
    <w:rsid w:val="009D1E11"/>
    <w:rsid w:val="009D1E16"/>
    <w:rsid w:val="009D2378"/>
    <w:rsid w:val="009D27B2"/>
    <w:rsid w:val="009D29D5"/>
    <w:rsid w:val="009D2AB9"/>
    <w:rsid w:val="009D2CC9"/>
    <w:rsid w:val="009D2D17"/>
    <w:rsid w:val="009D2F8F"/>
    <w:rsid w:val="009D3357"/>
    <w:rsid w:val="009D3568"/>
    <w:rsid w:val="009D357E"/>
    <w:rsid w:val="009D35E2"/>
    <w:rsid w:val="009D3C5A"/>
    <w:rsid w:val="009D3CFA"/>
    <w:rsid w:val="009D4159"/>
    <w:rsid w:val="009D45CD"/>
    <w:rsid w:val="009D47C1"/>
    <w:rsid w:val="009D489B"/>
    <w:rsid w:val="009D4FC1"/>
    <w:rsid w:val="009D5004"/>
    <w:rsid w:val="009D5007"/>
    <w:rsid w:val="009D5244"/>
    <w:rsid w:val="009D52C6"/>
    <w:rsid w:val="009D5468"/>
    <w:rsid w:val="009D54E5"/>
    <w:rsid w:val="009D55A6"/>
    <w:rsid w:val="009D564E"/>
    <w:rsid w:val="009D5743"/>
    <w:rsid w:val="009D57DD"/>
    <w:rsid w:val="009D5B10"/>
    <w:rsid w:val="009D5B21"/>
    <w:rsid w:val="009D5D20"/>
    <w:rsid w:val="009D5FA4"/>
    <w:rsid w:val="009D66B9"/>
    <w:rsid w:val="009D6773"/>
    <w:rsid w:val="009D6864"/>
    <w:rsid w:val="009D6869"/>
    <w:rsid w:val="009D68D7"/>
    <w:rsid w:val="009D6A5A"/>
    <w:rsid w:val="009D6AD8"/>
    <w:rsid w:val="009D70D7"/>
    <w:rsid w:val="009D7134"/>
    <w:rsid w:val="009D74CA"/>
    <w:rsid w:val="009D7A45"/>
    <w:rsid w:val="009D7B25"/>
    <w:rsid w:val="009D7B9A"/>
    <w:rsid w:val="009D7CBD"/>
    <w:rsid w:val="009D7E23"/>
    <w:rsid w:val="009D7E50"/>
    <w:rsid w:val="009D7EBC"/>
    <w:rsid w:val="009E0102"/>
    <w:rsid w:val="009E0159"/>
    <w:rsid w:val="009E064D"/>
    <w:rsid w:val="009E0DD2"/>
    <w:rsid w:val="009E1177"/>
    <w:rsid w:val="009E13C4"/>
    <w:rsid w:val="009E161B"/>
    <w:rsid w:val="009E1A7B"/>
    <w:rsid w:val="009E23B0"/>
    <w:rsid w:val="009E2823"/>
    <w:rsid w:val="009E28AE"/>
    <w:rsid w:val="009E2F26"/>
    <w:rsid w:val="009E31B3"/>
    <w:rsid w:val="009E3420"/>
    <w:rsid w:val="009E398D"/>
    <w:rsid w:val="009E3ACD"/>
    <w:rsid w:val="009E4146"/>
    <w:rsid w:val="009E4401"/>
    <w:rsid w:val="009E45E6"/>
    <w:rsid w:val="009E464E"/>
    <w:rsid w:val="009E48EC"/>
    <w:rsid w:val="009E4973"/>
    <w:rsid w:val="009E4E87"/>
    <w:rsid w:val="009E55BB"/>
    <w:rsid w:val="009E565A"/>
    <w:rsid w:val="009E5A48"/>
    <w:rsid w:val="009E5CC4"/>
    <w:rsid w:val="009E5EB4"/>
    <w:rsid w:val="009E615C"/>
    <w:rsid w:val="009E644B"/>
    <w:rsid w:val="009E671B"/>
    <w:rsid w:val="009E6870"/>
    <w:rsid w:val="009E689B"/>
    <w:rsid w:val="009E6905"/>
    <w:rsid w:val="009E6B51"/>
    <w:rsid w:val="009E7253"/>
    <w:rsid w:val="009E72B7"/>
    <w:rsid w:val="009E771F"/>
    <w:rsid w:val="009E7794"/>
    <w:rsid w:val="009E7C22"/>
    <w:rsid w:val="009F0092"/>
    <w:rsid w:val="009F00D4"/>
    <w:rsid w:val="009F02D6"/>
    <w:rsid w:val="009F03B6"/>
    <w:rsid w:val="009F03CD"/>
    <w:rsid w:val="009F08B9"/>
    <w:rsid w:val="009F0B2F"/>
    <w:rsid w:val="009F0BFF"/>
    <w:rsid w:val="009F0CBD"/>
    <w:rsid w:val="009F0F21"/>
    <w:rsid w:val="009F0FBB"/>
    <w:rsid w:val="009F1126"/>
    <w:rsid w:val="009F1265"/>
    <w:rsid w:val="009F1319"/>
    <w:rsid w:val="009F141A"/>
    <w:rsid w:val="009F1522"/>
    <w:rsid w:val="009F16CE"/>
    <w:rsid w:val="009F17B4"/>
    <w:rsid w:val="009F1997"/>
    <w:rsid w:val="009F1A1D"/>
    <w:rsid w:val="009F2128"/>
    <w:rsid w:val="009F21FE"/>
    <w:rsid w:val="009F2391"/>
    <w:rsid w:val="009F23A6"/>
    <w:rsid w:val="009F31F2"/>
    <w:rsid w:val="009F3557"/>
    <w:rsid w:val="009F38A5"/>
    <w:rsid w:val="009F3975"/>
    <w:rsid w:val="009F3A6F"/>
    <w:rsid w:val="009F3C37"/>
    <w:rsid w:val="009F3E44"/>
    <w:rsid w:val="009F426D"/>
    <w:rsid w:val="009F435A"/>
    <w:rsid w:val="009F44E7"/>
    <w:rsid w:val="009F450F"/>
    <w:rsid w:val="009F48B9"/>
    <w:rsid w:val="009F49A4"/>
    <w:rsid w:val="009F4B80"/>
    <w:rsid w:val="009F4CAF"/>
    <w:rsid w:val="009F4F05"/>
    <w:rsid w:val="009F5002"/>
    <w:rsid w:val="009F507A"/>
    <w:rsid w:val="009F541A"/>
    <w:rsid w:val="009F5460"/>
    <w:rsid w:val="009F5572"/>
    <w:rsid w:val="009F5830"/>
    <w:rsid w:val="009F5952"/>
    <w:rsid w:val="009F5995"/>
    <w:rsid w:val="009F5B3A"/>
    <w:rsid w:val="009F61D7"/>
    <w:rsid w:val="009F6744"/>
    <w:rsid w:val="009F6CCF"/>
    <w:rsid w:val="009F7279"/>
    <w:rsid w:val="009F7D41"/>
    <w:rsid w:val="00A00419"/>
    <w:rsid w:val="00A00A58"/>
    <w:rsid w:val="00A00B23"/>
    <w:rsid w:val="00A01705"/>
    <w:rsid w:val="00A0175A"/>
    <w:rsid w:val="00A01826"/>
    <w:rsid w:val="00A01865"/>
    <w:rsid w:val="00A01A52"/>
    <w:rsid w:val="00A01BC8"/>
    <w:rsid w:val="00A02253"/>
    <w:rsid w:val="00A02414"/>
    <w:rsid w:val="00A02647"/>
    <w:rsid w:val="00A0281F"/>
    <w:rsid w:val="00A0285D"/>
    <w:rsid w:val="00A02995"/>
    <w:rsid w:val="00A02A88"/>
    <w:rsid w:val="00A02B2B"/>
    <w:rsid w:val="00A02D68"/>
    <w:rsid w:val="00A02F27"/>
    <w:rsid w:val="00A02FAD"/>
    <w:rsid w:val="00A03075"/>
    <w:rsid w:val="00A0310E"/>
    <w:rsid w:val="00A03194"/>
    <w:rsid w:val="00A0319E"/>
    <w:rsid w:val="00A03328"/>
    <w:rsid w:val="00A03546"/>
    <w:rsid w:val="00A0364B"/>
    <w:rsid w:val="00A03CDB"/>
    <w:rsid w:val="00A03D4D"/>
    <w:rsid w:val="00A03DD2"/>
    <w:rsid w:val="00A03EA2"/>
    <w:rsid w:val="00A03F80"/>
    <w:rsid w:val="00A04248"/>
    <w:rsid w:val="00A042BD"/>
    <w:rsid w:val="00A04316"/>
    <w:rsid w:val="00A04A82"/>
    <w:rsid w:val="00A04AB6"/>
    <w:rsid w:val="00A04B92"/>
    <w:rsid w:val="00A04C32"/>
    <w:rsid w:val="00A04E61"/>
    <w:rsid w:val="00A04EDA"/>
    <w:rsid w:val="00A04F4E"/>
    <w:rsid w:val="00A055AD"/>
    <w:rsid w:val="00A055E5"/>
    <w:rsid w:val="00A05779"/>
    <w:rsid w:val="00A06284"/>
    <w:rsid w:val="00A065EB"/>
    <w:rsid w:val="00A067D4"/>
    <w:rsid w:val="00A06A6C"/>
    <w:rsid w:val="00A06CDC"/>
    <w:rsid w:val="00A06E2F"/>
    <w:rsid w:val="00A06E33"/>
    <w:rsid w:val="00A06F05"/>
    <w:rsid w:val="00A075F4"/>
    <w:rsid w:val="00A07A17"/>
    <w:rsid w:val="00A07ABC"/>
    <w:rsid w:val="00A07C0B"/>
    <w:rsid w:val="00A07D21"/>
    <w:rsid w:val="00A07E82"/>
    <w:rsid w:val="00A100A7"/>
    <w:rsid w:val="00A1013C"/>
    <w:rsid w:val="00A10225"/>
    <w:rsid w:val="00A10A87"/>
    <w:rsid w:val="00A113C0"/>
    <w:rsid w:val="00A116B6"/>
    <w:rsid w:val="00A117EA"/>
    <w:rsid w:val="00A1186D"/>
    <w:rsid w:val="00A11889"/>
    <w:rsid w:val="00A118DE"/>
    <w:rsid w:val="00A11B39"/>
    <w:rsid w:val="00A11F18"/>
    <w:rsid w:val="00A11F96"/>
    <w:rsid w:val="00A12398"/>
    <w:rsid w:val="00A12431"/>
    <w:rsid w:val="00A1245F"/>
    <w:rsid w:val="00A1276D"/>
    <w:rsid w:val="00A12AC0"/>
    <w:rsid w:val="00A12BBB"/>
    <w:rsid w:val="00A12D09"/>
    <w:rsid w:val="00A12DC1"/>
    <w:rsid w:val="00A12F6F"/>
    <w:rsid w:val="00A13025"/>
    <w:rsid w:val="00A132CC"/>
    <w:rsid w:val="00A13399"/>
    <w:rsid w:val="00A1353F"/>
    <w:rsid w:val="00A138FA"/>
    <w:rsid w:val="00A13987"/>
    <w:rsid w:val="00A13ABA"/>
    <w:rsid w:val="00A13C30"/>
    <w:rsid w:val="00A13C65"/>
    <w:rsid w:val="00A13D82"/>
    <w:rsid w:val="00A13DF9"/>
    <w:rsid w:val="00A14385"/>
    <w:rsid w:val="00A14553"/>
    <w:rsid w:val="00A14C4F"/>
    <w:rsid w:val="00A14CA3"/>
    <w:rsid w:val="00A15059"/>
    <w:rsid w:val="00A15080"/>
    <w:rsid w:val="00A1525B"/>
    <w:rsid w:val="00A153C1"/>
    <w:rsid w:val="00A157A2"/>
    <w:rsid w:val="00A15A14"/>
    <w:rsid w:val="00A15A77"/>
    <w:rsid w:val="00A15B4D"/>
    <w:rsid w:val="00A162D5"/>
    <w:rsid w:val="00A166D0"/>
    <w:rsid w:val="00A167B1"/>
    <w:rsid w:val="00A16AA6"/>
    <w:rsid w:val="00A16F0D"/>
    <w:rsid w:val="00A17085"/>
    <w:rsid w:val="00A174D3"/>
    <w:rsid w:val="00A175CE"/>
    <w:rsid w:val="00A1777E"/>
    <w:rsid w:val="00A17805"/>
    <w:rsid w:val="00A17E0F"/>
    <w:rsid w:val="00A20052"/>
    <w:rsid w:val="00A201C0"/>
    <w:rsid w:val="00A20838"/>
    <w:rsid w:val="00A2084E"/>
    <w:rsid w:val="00A2094C"/>
    <w:rsid w:val="00A20A69"/>
    <w:rsid w:val="00A20B1E"/>
    <w:rsid w:val="00A20C62"/>
    <w:rsid w:val="00A20C76"/>
    <w:rsid w:val="00A20DA4"/>
    <w:rsid w:val="00A20DA8"/>
    <w:rsid w:val="00A20FC3"/>
    <w:rsid w:val="00A20FD9"/>
    <w:rsid w:val="00A2149C"/>
    <w:rsid w:val="00A21597"/>
    <w:rsid w:val="00A2165D"/>
    <w:rsid w:val="00A216B4"/>
    <w:rsid w:val="00A2176F"/>
    <w:rsid w:val="00A21840"/>
    <w:rsid w:val="00A21A38"/>
    <w:rsid w:val="00A21B60"/>
    <w:rsid w:val="00A2218A"/>
    <w:rsid w:val="00A221B3"/>
    <w:rsid w:val="00A2235E"/>
    <w:rsid w:val="00A22372"/>
    <w:rsid w:val="00A22629"/>
    <w:rsid w:val="00A226EE"/>
    <w:rsid w:val="00A227C5"/>
    <w:rsid w:val="00A22F68"/>
    <w:rsid w:val="00A23409"/>
    <w:rsid w:val="00A2369F"/>
    <w:rsid w:val="00A236AB"/>
    <w:rsid w:val="00A23804"/>
    <w:rsid w:val="00A23AAC"/>
    <w:rsid w:val="00A23AD5"/>
    <w:rsid w:val="00A23D82"/>
    <w:rsid w:val="00A23EF9"/>
    <w:rsid w:val="00A2438C"/>
    <w:rsid w:val="00A246F2"/>
    <w:rsid w:val="00A247A1"/>
    <w:rsid w:val="00A24C6E"/>
    <w:rsid w:val="00A24CC4"/>
    <w:rsid w:val="00A24E1A"/>
    <w:rsid w:val="00A25054"/>
    <w:rsid w:val="00A25C35"/>
    <w:rsid w:val="00A25CCA"/>
    <w:rsid w:val="00A25E35"/>
    <w:rsid w:val="00A260C9"/>
    <w:rsid w:val="00A260F5"/>
    <w:rsid w:val="00A26766"/>
    <w:rsid w:val="00A26979"/>
    <w:rsid w:val="00A26BB5"/>
    <w:rsid w:val="00A26C29"/>
    <w:rsid w:val="00A26E69"/>
    <w:rsid w:val="00A26E87"/>
    <w:rsid w:val="00A2704C"/>
    <w:rsid w:val="00A2726D"/>
    <w:rsid w:val="00A274C7"/>
    <w:rsid w:val="00A278EF"/>
    <w:rsid w:val="00A27A55"/>
    <w:rsid w:val="00A27B06"/>
    <w:rsid w:val="00A27CFD"/>
    <w:rsid w:val="00A27D6F"/>
    <w:rsid w:val="00A27D85"/>
    <w:rsid w:val="00A30595"/>
    <w:rsid w:val="00A30981"/>
    <w:rsid w:val="00A309A6"/>
    <w:rsid w:val="00A30A43"/>
    <w:rsid w:val="00A30ACF"/>
    <w:rsid w:val="00A30D3D"/>
    <w:rsid w:val="00A30DCA"/>
    <w:rsid w:val="00A30DCD"/>
    <w:rsid w:val="00A31046"/>
    <w:rsid w:val="00A310BE"/>
    <w:rsid w:val="00A316FA"/>
    <w:rsid w:val="00A319FE"/>
    <w:rsid w:val="00A31D8B"/>
    <w:rsid w:val="00A31DC5"/>
    <w:rsid w:val="00A31F8C"/>
    <w:rsid w:val="00A31FED"/>
    <w:rsid w:val="00A3200A"/>
    <w:rsid w:val="00A320A7"/>
    <w:rsid w:val="00A3222F"/>
    <w:rsid w:val="00A32232"/>
    <w:rsid w:val="00A32802"/>
    <w:rsid w:val="00A32A42"/>
    <w:rsid w:val="00A32B70"/>
    <w:rsid w:val="00A32CE8"/>
    <w:rsid w:val="00A32D14"/>
    <w:rsid w:val="00A3305A"/>
    <w:rsid w:val="00A332C5"/>
    <w:rsid w:val="00A333FC"/>
    <w:rsid w:val="00A334B9"/>
    <w:rsid w:val="00A33713"/>
    <w:rsid w:val="00A33878"/>
    <w:rsid w:val="00A338A9"/>
    <w:rsid w:val="00A3398D"/>
    <w:rsid w:val="00A33CB8"/>
    <w:rsid w:val="00A34676"/>
    <w:rsid w:val="00A34E5C"/>
    <w:rsid w:val="00A34E80"/>
    <w:rsid w:val="00A34FA7"/>
    <w:rsid w:val="00A354F0"/>
    <w:rsid w:val="00A35752"/>
    <w:rsid w:val="00A359E4"/>
    <w:rsid w:val="00A35A0D"/>
    <w:rsid w:val="00A35A5A"/>
    <w:rsid w:val="00A35E2F"/>
    <w:rsid w:val="00A35F69"/>
    <w:rsid w:val="00A360CC"/>
    <w:rsid w:val="00A3618E"/>
    <w:rsid w:val="00A3640A"/>
    <w:rsid w:val="00A365A2"/>
    <w:rsid w:val="00A365B2"/>
    <w:rsid w:val="00A36667"/>
    <w:rsid w:val="00A36876"/>
    <w:rsid w:val="00A36A3D"/>
    <w:rsid w:val="00A36BAF"/>
    <w:rsid w:val="00A36DE2"/>
    <w:rsid w:val="00A3718D"/>
    <w:rsid w:val="00A37237"/>
    <w:rsid w:val="00A3740A"/>
    <w:rsid w:val="00A3742D"/>
    <w:rsid w:val="00A37598"/>
    <w:rsid w:val="00A37BF7"/>
    <w:rsid w:val="00A400F2"/>
    <w:rsid w:val="00A40128"/>
    <w:rsid w:val="00A40367"/>
    <w:rsid w:val="00A40390"/>
    <w:rsid w:val="00A4053F"/>
    <w:rsid w:val="00A40856"/>
    <w:rsid w:val="00A409F2"/>
    <w:rsid w:val="00A40D32"/>
    <w:rsid w:val="00A40D64"/>
    <w:rsid w:val="00A41147"/>
    <w:rsid w:val="00A41409"/>
    <w:rsid w:val="00A4170A"/>
    <w:rsid w:val="00A4174C"/>
    <w:rsid w:val="00A41F6B"/>
    <w:rsid w:val="00A423A1"/>
    <w:rsid w:val="00A42846"/>
    <w:rsid w:val="00A42CFE"/>
    <w:rsid w:val="00A43094"/>
    <w:rsid w:val="00A43169"/>
    <w:rsid w:val="00A43276"/>
    <w:rsid w:val="00A432CA"/>
    <w:rsid w:val="00A4349F"/>
    <w:rsid w:val="00A43632"/>
    <w:rsid w:val="00A4363F"/>
    <w:rsid w:val="00A439B4"/>
    <w:rsid w:val="00A439D0"/>
    <w:rsid w:val="00A43B9E"/>
    <w:rsid w:val="00A43DCF"/>
    <w:rsid w:val="00A43FD6"/>
    <w:rsid w:val="00A442C5"/>
    <w:rsid w:val="00A4436A"/>
    <w:rsid w:val="00A4498F"/>
    <w:rsid w:val="00A44C97"/>
    <w:rsid w:val="00A4503A"/>
    <w:rsid w:val="00A459F5"/>
    <w:rsid w:val="00A45E97"/>
    <w:rsid w:val="00A45F18"/>
    <w:rsid w:val="00A46142"/>
    <w:rsid w:val="00A461E7"/>
    <w:rsid w:val="00A46216"/>
    <w:rsid w:val="00A4629C"/>
    <w:rsid w:val="00A46349"/>
    <w:rsid w:val="00A46EBA"/>
    <w:rsid w:val="00A4745F"/>
    <w:rsid w:val="00A4749F"/>
    <w:rsid w:val="00A4753D"/>
    <w:rsid w:val="00A479B3"/>
    <w:rsid w:val="00A47D25"/>
    <w:rsid w:val="00A47E16"/>
    <w:rsid w:val="00A50166"/>
    <w:rsid w:val="00A5033A"/>
    <w:rsid w:val="00A50458"/>
    <w:rsid w:val="00A50E55"/>
    <w:rsid w:val="00A50F5A"/>
    <w:rsid w:val="00A51287"/>
    <w:rsid w:val="00A513A0"/>
    <w:rsid w:val="00A51559"/>
    <w:rsid w:val="00A51571"/>
    <w:rsid w:val="00A5167E"/>
    <w:rsid w:val="00A51721"/>
    <w:rsid w:val="00A518B4"/>
    <w:rsid w:val="00A51B6F"/>
    <w:rsid w:val="00A523D5"/>
    <w:rsid w:val="00A52667"/>
    <w:rsid w:val="00A52771"/>
    <w:rsid w:val="00A529F6"/>
    <w:rsid w:val="00A52A14"/>
    <w:rsid w:val="00A52B6A"/>
    <w:rsid w:val="00A531BB"/>
    <w:rsid w:val="00A532E4"/>
    <w:rsid w:val="00A53536"/>
    <w:rsid w:val="00A53636"/>
    <w:rsid w:val="00A53DDA"/>
    <w:rsid w:val="00A5414B"/>
    <w:rsid w:val="00A54171"/>
    <w:rsid w:val="00A54388"/>
    <w:rsid w:val="00A543B3"/>
    <w:rsid w:val="00A54CB5"/>
    <w:rsid w:val="00A55084"/>
    <w:rsid w:val="00A55653"/>
    <w:rsid w:val="00A55C91"/>
    <w:rsid w:val="00A55CFF"/>
    <w:rsid w:val="00A55ED0"/>
    <w:rsid w:val="00A56820"/>
    <w:rsid w:val="00A56C0B"/>
    <w:rsid w:val="00A56E13"/>
    <w:rsid w:val="00A56F12"/>
    <w:rsid w:val="00A579BA"/>
    <w:rsid w:val="00A57AF4"/>
    <w:rsid w:val="00A57E16"/>
    <w:rsid w:val="00A604B9"/>
    <w:rsid w:val="00A6053A"/>
    <w:rsid w:val="00A606BA"/>
    <w:rsid w:val="00A6071A"/>
    <w:rsid w:val="00A607C2"/>
    <w:rsid w:val="00A60855"/>
    <w:rsid w:val="00A60890"/>
    <w:rsid w:val="00A60B6D"/>
    <w:rsid w:val="00A60BC3"/>
    <w:rsid w:val="00A60CD6"/>
    <w:rsid w:val="00A60F8C"/>
    <w:rsid w:val="00A6104C"/>
    <w:rsid w:val="00A610D4"/>
    <w:rsid w:val="00A612A4"/>
    <w:rsid w:val="00A6136F"/>
    <w:rsid w:val="00A61897"/>
    <w:rsid w:val="00A61D90"/>
    <w:rsid w:val="00A61DEF"/>
    <w:rsid w:val="00A6201E"/>
    <w:rsid w:val="00A6253F"/>
    <w:rsid w:val="00A62CA5"/>
    <w:rsid w:val="00A62D01"/>
    <w:rsid w:val="00A62E9A"/>
    <w:rsid w:val="00A631BC"/>
    <w:rsid w:val="00A632A9"/>
    <w:rsid w:val="00A635E0"/>
    <w:rsid w:val="00A63B65"/>
    <w:rsid w:val="00A6412E"/>
    <w:rsid w:val="00A641CE"/>
    <w:rsid w:val="00A642B8"/>
    <w:rsid w:val="00A648BE"/>
    <w:rsid w:val="00A64958"/>
    <w:rsid w:val="00A64DE5"/>
    <w:rsid w:val="00A64E32"/>
    <w:rsid w:val="00A64E9E"/>
    <w:rsid w:val="00A65153"/>
    <w:rsid w:val="00A652B4"/>
    <w:rsid w:val="00A655DA"/>
    <w:rsid w:val="00A658E9"/>
    <w:rsid w:val="00A659DF"/>
    <w:rsid w:val="00A65A1A"/>
    <w:rsid w:val="00A65A87"/>
    <w:rsid w:val="00A65AB5"/>
    <w:rsid w:val="00A65B96"/>
    <w:rsid w:val="00A65CD7"/>
    <w:rsid w:val="00A66027"/>
    <w:rsid w:val="00A6680D"/>
    <w:rsid w:val="00A6686D"/>
    <w:rsid w:val="00A669DA"/>
    <w:rsid w:val="00A66C1F"/>
    <w:rsid w:val="00A67636"/>
    <w:rsid w:val="00A67686"/>
    <w:rsid w:val="00A67A27"/>
    <w:rsid w:val="00A67A69"/>
    <w:rsid w:val="00A67D1A"/>
    <w:rsid w:val="00A67D53"/>
    <w:rsid w:val="00A7002C"/>
    <w:rsid w:val="00A70764"/>
    <w:rsid w:val="00A70A10"/>
    <w:rsid w:val="00A70E02"/>
    <w:rsid w:val="00A70E21"/>
    <w:rsid w:val="00A7125E"/>
    <w:rsid w:val="00A717C9"/>
    <w:rsid w:val="00A71891"/>
    <w:rsid w:val="00A7195B"/>
    <w:rsid w:val="00A71B12"/>
    <w:rsid w:val="00A71B43"/>
    <w:rsid w:val="00A71C6A"/>
    <w:rsid w:val="00A71C88"/>
    <w:rsid w:val="00A71FCB"/>
    <w:rsid w:val="00A725FA"/>
    <w:rsid w:val="00A72A44"/>
    <w:rsid w:val="00A72D7A"/>
    <w:rsid w:val="00A72E24"/>
    <w:rsid w:val="00A73230"/>
    <w:rsid w:val="00A732FB"/>
    <w:rsid w:val="00A734F7"/>
    <w:rsid w:val="00A73AF2"/>
    <w:rsid w:val="00A73B25"/>
    <w:rsid w:val="00A73D82"/>
    <w:rsid w:val="00A73E08"/>
    <w:rsid w:val="00A73E67"/>
    <w:rsid w:val="00A7438C"/>
    <w:rsid w:val="00A745BE"/>
    <w:rsid w:val="00A74726"/>
    <w:rsid w:val="00A74865"/>
    <w:rsid w:val="00A74C90"/>
    <w:rsid w:val="00A74D40"/>
    <w:rsid w:val="00A74F17"/>
    <w:rsid w:val="00A74F1F"/>
    <w:rsid w:val="00A75167"/>
    <w:rsid w:val="00A7583B"/>
    <w:rsid w:val="00A75DAB"/>
    <w:rsid w:val="00A75E5A"/>
    <w:rsid w:val="00A76188"/>
    <w:rsid w:val="00A764E7"/>
    <w:rsid w:val="00A767A8"/>
    <w:rsid w:val="00A7696D"/>
    <w:rsid w:val="00A76983"/>
    <w:rsid w:val="00A76B1E"/>
    <w:rsid w:val="00A77039"/>
    <w:rsid w:val="00A7737E"/>
    <w:rsid w:val="00A776CC"/>
    <w:rsid w:val="00A77CDA"/>
    <w:rsid w:val="00A77EA1"/>
    <w:rsid w:val="00A77EE3"/>
    <w:rsid w:val="00A80671"/>
    <w:rsid w:val="00A80C2C"/>
    <w:rsid w:val="00A812B9"/>
    <w:rsid w:val="00A812EB"/>
    <w:rsid w:val="00A814A6"/>
    <w:rsid w:val="00A814EC"/>
    <w:rsid w:val="00A81725"/>
    <w:rsid w:val="00A81804"/>
    <w:rsid w:val="00A81814"/>
    <w:rsid w:val="00A81DF5"/>
    <w:rsid w:val="00A81EA4"/>
    <w:rsid w:val="00A820A9"/>
    <w:rsid w:val="00A820B3"/>
    <w:rsid w:val="00A822DF"/>
    <w:rsid w:val="00A82436"/>
    <w:rsid w:val="00A82505"/>
    <w:rsid w:val="00A82B77"/>
    <w:rsid w:val="00A82C77"/>
    <w:rsid w:val="00A83451"/>
    <w:rsid w:val="00A83542"/>
    <w:rsid w:val="00A8367D"/>
    <w:rsid w:val="00A8370F"/>
    <w:rsid w:val="00A83712"/>
    <w:rsid w:val="00A83C30"/>
    <w:rsid w:val="00A83D5F"/>
    <w:rsid w:val="00A8407F"/>
    <w:rsid w:val="00A844A4"/>
    <w:rsid w:val="00A84639"/>
    <w:rsid w:val="00A84755"/>
    <w:rsid w:val="00A84777"/>
    <w:rsid w:val="00A847FD"/>
    <w:rsid w:val="00A84C26"/>
    <w:rsid w:val="00A850B6"/>
    <w:rsid w:val="00A856E0"/>
    <w:rsid w:val="00A85A2F"/>
    <w:rsid w:val="00A85D58"/>
    <w:rsid w:val="00A85F20"/>
    <w:rsid w:val="00A85FB5"/>
    <w:rsid w:val="00A85FFC"/>
    <w:rsid w:val="00A864A6"/>
    <w:rsid w:val="00A866C0"/>
    <w:rsid w:val="00A86A2E"/>
    <w:rsid w:val="00A86C8D"/>
    <w:rsid w:val="00A86D9C"/>
    <w:rsid w:val="00A86EFD"/>
    <w:rsid w:val="00A871DD"/>
    <w:rsid w:val="00A871EA"/>
    <w:rsid w:val="00A8757F"/>
    <w:rsid w:val="00A87859"/>
    <w:rsid w:val="00A878FF"/>
    <w:rsid w:val="00A879E2"/>
    <w:rsid w:val="00A87A3F"/>
    <w:rsid w:val="00A87B2A"/>
    <w:rsid w:val="00A900A2"/>
    <w:rsid w:val="00A90355"/>
    <w:rsid w:val="00A904ED"/>
    <w:rsid w:val="00A90532"/>
    <w:rsid w:val="00A9099C"/>
    <w:rsid w:val="00A90C06"/>
    <w:rsid w:val="00A90D1A"/>
    <w:rsid w:val="00A90D7E"/>
    <w:rsid w:val="00A91043"/>
    <w:rsid w:val="00A91155"/>
    <w:rsid w:val="00A91307"/>
    <w:rsid w:val="00A91E10"/>
    <w:rsid w:val="00A91E90"/>
    <w:rsid w:val="00A9207E"/>
    <w:rsid w:val="00A920A9"/>
    <w:rsid w:val="00A92182"/>
    <w:rsid w:val="00A923EA"/>
    <w:rsid w:val="00A92915"/>
    <w:rsid w:val="00A92B52"/>
    <w:rsid w:val="00A92C53"/>
    <w:rsid w:val="00A92F17"/>
    <w:rsid w:val="00A92F49"/>
    <w:rsid w:val="00A9310B"/>
    <w:rsid w:val="00A932AC"/>
    <w:rsid w:val="00A932E5"/>
    <w:rsid w:val="00A934FE"/>
    <w:rsid w:val="00A937EC"/>
    <w:rsid w:val="00A93C73"/>
    <w:rsid w:val="00A93E18"/>
    <w:rsid w:val="00A940DE"/>
    <w:rsid w:val="00A9414E"/>
    <w:rsid w:val="00A941DA"/>
    <w:rsid w:val="00A9488A"/>
    <w:rsid w:val="00A94960"/>
    <w:rsid w:val="00A94BCB"/>
    <w:rsid w:val="00A95475"/>
    <w:rsid w:val="00A95682"/>
    <w:rsid w:val="00A958D3"/>
    <w:rsid w:val="00A9633A"/>
    <w:rsid w:val="00A968FC"/>
    <w:rsid w:val="00A96CC8"/>
    <w:rsid w:val="00A96D3E"/>
    <w:rsid w:val="00A97017"/>
    <w:rsid w:val="00A97127"/>
    <w:rsid w:val="00A971B4"/>
    <w:rsid w:val="00A9744E"/>
    <w:rsid w:val="00A9795B"/>
    <w:rsid w:val="00A97974"/>
    <w:rsid w:val="00A97A6D"/>
    <w:rsid w:val="00A97B5C"/>
    <w:rsid w:val="00A97EFB"/>
    <w:rsid w:val="00AA0386"/>
    <w:rsid w:val="00AA03F5"/>
    <w:rsid w:val="00AA05EC"/>
    <w:rsid w:val="00AA08F1"/>
    <w:rsid w:val="00AA0951"/>
    <w:rsid w:val="00AA0AB3"/>
    <w:rsid w:val="00AA0B1E"/>
    <w:rsid w:val="00AA0CCE"/>
    <w:rsid w:val="00AA0CFE"/>
    <w:rsid w:val="00AA1019"/>
    <w:rsid w:val="00AA1427"/>
    <w:rsid w:val="00AA14A1"/>
    <w:rsid w:val="00AA14EA"/>
    <w:rsid w:val="00AA15C3"/>
    <w:rsid w:val="00AA15C8"/>
    <w:rsid w:val="00AA1A4F"/>
    <w:rsid w:val="00AA2031"/>
    <w:rsid w:val="00AA2258"/>
    <w:rsid w:val="00AA2E95"/>
    <w:rsid w:val="00AA3615"/>
    <w:rsid w:val="00AA36C7"/>
    <w:rsid w:val="00AA36D7"/>
    <w:rsid w:val="00AA3B27"/>
    <w:rsid w:val="00AA3B64"/>
    <w:rsid w:val="00AA42A6"/>
    <w:rsid w:val="00AA44CA"/>
    <w:rsid w:val="00AA4B8C"/>
    <w:rsid w:val="00AA4F3E"/>
    <w:rsid w:val="00AA5067"/>
    <w:rsid w:val="00AA513D"/>
    <w:rsid w:val="00AA54C4"/>
    <w:rsid w:val="00AA5788"/>
    <w:rsid w:val="00AA586E"/>
    <w:rsid w:val="00AA5C90"/>
    <w:rsid w:val="00AA5F91"/>
    <w:rsid w:val="00AA66A5"/>
    <w:rsid w:val="00AA6794"/>
    <w:rsid w:val="00AA6A1C"/>
    <w:rsid w:val="00AA6C65"/>
    <w:rsid w:val="00AA6D6F"/>
    <w:rsid w:val="00AA7101"/>
    <w:rsid w:val="00AA73B0"/>
    <w:rsid w:val="00AA73DB"/>
    <w:rsid w:val="00AA7B2E"/>
    <w:rsid w:val="00AA7BEF"/>
    <w:rsid w:val="00AA7C75"/>
    <w:rsid w:val="00AA7DD2"/>
    <w:rsid w:val="00AB03E0"/>
    <w:rsid w:val="00AB05FA"/>
    <w:rsid w:val="00AB0AD9"/>
    <w:rsid w:val="00AB0BC3"/>
    <w:rsid w:val="00AB0CA0"/>
    <w:rsid w:val="00AB0D33"/>
    <w:rsid w:val="00AB108F"/>
    <w:rsid w:val="00AB11DB"/>
    <w:rsid w:val="00AB139F"/>
    <w:rsid w:val="00AB163F"/>
    <w:rsid w:val="00AB19B3"/>
    <w:rsid w:val="00AB1A78"/>
    <w:rsid w:val="00AB1BA0"/>
    <w:rsid w:val="00AB1D45"/>
    <w:rsid w:val="00AB1E19"/>
    <w:rsid w:val="00AB1F14"/>
    <w:rsid w:val="00AB2069"/>
    <w:rsid w:val="00AB23A7"/>
    <w:rsid w:val="00AB2D65"/>
    <w:rsid w:val="00AB2D97"/>
    <w:rsid w:val="00AB2FAA"/>
    <w:rsid w:val="00AB311A"/>
    <w:rsid w:val="00AB32D6"/>
    <w:rsid w:val="00AB3581"/>
    <w:rsid w:val="00AB397D"/>
    <w:rsid w:val="00AB3E8B"/>
    <w:rsid w:val="00AB420C"/>
    <w:rsid w:val="00AB4418"/>
    <w:rsid w:val="00AB4924"/>
    <w:rsid w:val="00AB4A65"/>
    <w:rsid w:val="00AB4BDB"/>
    <w:rsid w:val="00AB4D01"/>
    <w:rsid w:val="00AB4D67"/>
    <w:rsid w:val="00AB50E2"/>
    <w:rsid w:val="00AB54CA"/>
    <w:rsid w:val="00AB5787"/>
    <w:rsid w:val="00AB5A6C"/>
    <w:rsid w:val="00AB5A85"/>
    <w:rsid w:val="00AB5C38"/>
    <w:rsid w:val="00AB5FE0"/>
    <w:rsid w:val="00AB61F3"/>
    <w:rsid w:val="00AB63BD"/>
    <w:rsid w:val="00AB648D"/>
    <w:rsid w:val="00AB6726"/>
    <w:rsid w:val="00AB6B78"/>
    <w:rsid w:val="00AB6BC2"/>
    <w:rsid w:val="00AB6C2D"/>
    <w:rsid w:val="00AB7122"/>
    <w:rsid w:val="00AB718F"/>
    <w:rsid w:val="00AB74D1"/>
    <w:rsid w:val="00AB779B"/>
    <w:rsid w:val="00AB786F"/>
    <w:rsid w:val="00AB7911"/>
    <w:rsid w:val="00AB79CF"/>
    <w:rsid w:val="00AC0099"/>
    <w:rsid w:val="00AC0357"/>
    <w:rsid w:val="00AC05FF"/>
    <w:rsid w:val="00AC07B2"/>
    <w:rsid w:val="00AC0982"/>
    <w:rsid w:val="00AC09D8"/>
    <w:rsid w:val="00AC0A0C"/>
    <w:rsid w:val="00AC0B77"/>
    <w:rsid w:val="00AC0E8F"/>
    <w:rsid w:val="00AC0F3D"/>
    <w:rsid w:val="00AC10A9"/>
    <w:rsid w:val="00AC1219"/>
    <w:rsid w:val="00AC146D"/>
    <w:rsid w:val="00AC1674"/>
    <w:rsid w:val="00AC1B60"/>
    <w:rsid w:val="00AC1C1E"/>
    <w:rsid w:val="00AC206B"/>
    <w:rsid w:val="00AC2616"/>
    <w:rsid w:val="00AC2710"/>
    <w:rsid w:val="00AC27D6"/>
    <w:rsid w:val="00AC29B9"/>
    <w:rsid w:val="00AC2A04"/>
    <w:rsid w:val="00AC2A0D"/>
    <w:rsid w:val="00AC2A1F"/>
    <w:rsid w:val="00AC2AA2"/>
    <w:rsid w:val="00AC2AA3"/>
    <w:rsid w:val="00AC2AA8"/>
    <w:rsid w:val="00AC30EF"/>
    <w:rsid w:val="00AC35F5"/>
    <w:rsid w:val="00AC3774"/>
    <w:rsid w:val="00AC3BD2"/>
    <w:rsid w:val="00AC3CC4"/>
    <w:rsid w:val="00AC3CCC"/>
    <w:rsid w:val="00AC3D31"/>
    <w:rsid w:val="00AC40F0"/>
    <w:rsid w:val="00AC425C"/>
    <w:rsid w:val="00AC43C2"/>
    <w:rsid w:val="00AC4573"/>
    <w:rsid w:val="00AC4609"/>
    <w:rsid w:val="00AC4681"/>
    <w:rsid w:val="00AC496F"/>
    <w:rsid w:val="00AC4BEC"/>
    <w:rsid w:val="00AC4E5D"/>
    <w:rsid w:val="00AC5023"/>
    <w:rsid w:val="00AC5243"/>
    <w:rsid w:val="00AC526B"/>
    <w:rsid w:val="00AC5698"/>
    <w:rsid w:val="00AC5EC8"/>
    <w:rsid w:val="00AC6234"/>
    <w:rsid w:val="00AC646F"/>
    <w:rsid w:val="00AC6697"/>
    <w:rsid w:val="00AC6901"/>
    <w:rsid w:val="00AC6C56"/>
    <w:rsid w:val="00AC6D00"/>
    <w:rsid w:val="00AC6EBF"/>
    <w:rsid w:val="00AC7023"/>
    <w:rsid w:val="00AC7128"/>
    <w:rsid w:val="00AC71F7"/>
    <w:rsid w:val="00AC7441"/>
    <w:rsid w:val="00AC768D"/>
    <w:rsid w:val="00AC7879"/>
    <w:rsid w:val="00AC7CA8"/>
    <w:rsid w:val="00AC7F08"/>
    <w:rsid w:val="00AD0272"/>
    <w:rsid w:val="00AD0924"/>
    <w:rsid w:val="00AD09AB"/>
    <w:rsid w:val="00AD0B80"/>
    <w:rsid w:val="00AD0C51"/>
    <w:rsid w:val="00AD0C6E"/>
    <w:rsid w:val="00AD0E5A"/>
    <w:rsid w:val="00AD1855"/>
    <w:rsid w:val="00AD19FD"/>
    <w:rsid w:val="00AD1A79"/>
    <w:rsid w:val="00AD1ABC"/>
    <w:rsid w:val="00AD1CE7"/>
    <w:rsid w:val="00AD1D68"/>
    <w:rsid w:val="00AD1DF0"/>
    <w:rsid w:val="00AD245D"/>
    <w:rsid w:val="00AD249D"/>
    <w:rsid w:val="00AD255B"/>
    <w:rsid w:val="00AD25E8"/>
    <w:rsid w:val="00AD29C2"/>
    <w:rsid w:val="00AD2CAF"/>
    <w:rsid w:val="00AD2E4D"/>
    <w:rsid w:val="00AD2FF9"/>
    <w:rsid w:val="00AD3039"/>
    <w:rsid w:val="00AD30DA"/>
    <w:rsid w:val="00AD316F"/>
    <w:rsid w:val="00AD36FD"/>
    <w:rsid w:val="00AD373B"/>
    <w:rsid w:val="00AD37C9"/>
    <w:rsid w:val="00AD3C58"/>
    <w:rsid w:val="00AD4355"/>
    <w:rsid w:val="00AD44A0"/>
    <w:rsid w:val="00AD46CF"/>
    <w:rsid w:val="00AD4901"/>
    <w:rsid w:val="00AD4944"/>
    <w:rsid w:val="00AD4A77"/>
    <w:rsid w:val="00AD4B65"/>
    <w:rsid w:val="00AD4C34"/>
    <w:rsid w:val="00AD5086"/>
    <w:rsid w:val="00AD524E"/>
    <w:rsid w:val="00AD54A4"/>
    <w:rsid w:val="00AD5511"/>
    <w:rsid w:val="00AD5D9C"/>
    <w:rsid w:val="00AD5E47"/>
    <w:rsid w:val="00AD6322"/>
    <w:rsid w:val="00AD6702"/>
    <w:rsid w:val="00AD693A"/>
    <w:rsid w:val="00AD6960"/>
    <w:rsid w:val="00AD6A31"/>
    <w:rsid w:val="00AD6AAA"/>
    <w:rsid w:val="00AD6E14"/>
    <w:rsid w:val="00AD6E36"/>
    <w:rsid w:val="00AD72D8"/>
    <w:rsid w:val="00AD737D"/>
    <w:rsid w:val="00AD7618"/>
    <w:rsid w:val="00AD772F"/>
    <w:rsid w:val="00AD7AE2"/>
    <w:rsid w:val="00AD7F86"/>
    <w:rsid w:val="00AE016E"/>
    <w:rsid w:val="00AE038F"/>
    <w:rsid w:val="00AE0425"/>
    <w:rsid w:val="00AE0465"/>
    <w:rsid w:val="00AE0684"/>
    <w:rsid w:val="00AE06C0"/>
    <w:rsid w:val="00AE0D8E"/>
    <w:rsid w:val="00AE1080"/>
    <w:rsid w:val="00AE1147"/>
    <w:rsid w:val="00AE1295"/>
    <w:rsid w:val="00AE13B5"/>
    <w:rsid w:val="00AE1416"/>
    <w:rsid w:val="00AE15E1"/>
    <w:rsid w:val="00AE15EE"/>
    <w:rsid w:val="00AE173C"/>
    <w:rsid w:val="00AE1A8F"/>
    <w:rsid w:val="00AE1B30"/>
    <w:rsid w:val="00AE1C7F"/>
    <w:rsid w:val="00AE1CD2"/>
    <w:rsid w:val="00AE1CF3"/>
    <w:rsid w:val="00AE2362"/>
    <w:rsid w:val="00AE2413"/>
    <w:rsid w:val="00AE2482"/>
    <w:rsid w:val="00AE2C0E"/>
    <w:rsid w:val="00AE2DDC"/>
    <w:rsid w:val="00AE31BA"/>
    <w:rsid w:val="00AE31EC"/>
    <w:rsid w:val="00AE34B1"/>
    <w:rsid w:val="00AE3A35"/>
    <w:rsid w:val="00AE3F21"/>
    <w:rsid w:val="00AE40F2"/>
    <w:rsid w:val="00AE4237"/>
    <w:rsid w:val="00AE437C"/>
    <w:rsid w:val="00AE43C5"/>
    <w:rsid w:val="00AE456B"/>
    <w:rsid w:val="00AE480F"/>
    <w:rsid w:val="00AE4AC2"/>
    <w:rsid w:val="00AE4C1F"/>
    <w:rsid w:val="00AE4CA8"/>
    <w:rsid w:val="00AE4FA4"/>
    <w:rsid w:val="00AE52D8"/>
    <w:rsid w:val="00AE53F2"/>
    <w:rsid w:val="00AE5938"/>
    <w:rsid w:val="00AE5A1A"/>
    <w:rsid w:val="00AE5A5D"/>
    <w:rsid w:val="00AE5C3F"/>
    <w:rsid w:val="00AE5C4E"/>
    <w:rsid w:val="00AE61BD"/>
    <w:rsid w:val="00AE666E"/>
    <w:rsid w:val="00AE6790"/>
    <w:rsid w:val="00AE699F"/>
    <w:rsid w:val="00AE69B4"/>
    <w:rsid w:val="00AE6B57"/>
    <w:rsid w:val="00AE6EE3"/>
    <w:rsid w:val="00AE745D"/>
    <w:rsid w:val="00AE7462"/>
    <w:rsid w:val="00AE7621"/>
    <w:rsid w:val="00AE762D"/>
    <w:rsid w:val="00AE76AE"/>
    <w:rsid w:val="00AE7A2D"/>
    <w:rsid w:val="00AE7A60"/>
    <w:rsid w:val="00AE7AB1"/>
    <w:rsid w:val="00AE7C12"/>
    <w:rsid w:val="00AE7EFB"/>
    <w:rsid w:val="00AE7FB7"/>
    <w:rsid w:val="00AF050E"/>
    <w:rsid w:val="00AF07D1"/>
    <w:rsid w:val="00AF0983"/>
    <w:rsid w:val="00AF0E77"/>
    <w:rsid w:val="00AF0F12"/>
    <w:rsid w:val="00AF1073"/>
    <w:rsid w:val="00AF110B"/>
    <w:rsid w:val="00AF15A2"/>
    <w:rsid w:val="00AF1A58"/>
    <w:rsid w:val="00AF2227"/>
    <w:rsid w:val="00AF2455"/>
    <w:rsid w:val="00AF26FF"/>
    <w:rsid w:val="00AF2910"/>
    <w:rsid w:val="00AF2A3E"/>
    <w:rsid w:val="00AF2A5F"/>
    <w:rsid w:val="00AF2AE7"/>
    <w:rsid w:val="00AF2C45"/>
    <w:rsid w:val="00AF2C5B"/>
    <w:rsid w:val="00AF2F5E"/>
    <w:rsid w:val="00AF307C"/>
    <w:rsid w:val="00AF3499"/>
    <w:rsid w:val="00AF34E7"/>
    <w:rsid w:val="00AF3D47"/>
    <w:rsid w:val="00AF41CF"/>
    <w:rsid w:val="00AF43F1"/>
    <w:rsid w:val="00AF4A04"/>
    <w:rsid w:val="00AF4A19"/>
    <w:rsid w:val="00AF4DC3"/>
    <w:rsid w:val="00AF5056"/>
    <w:rsid w:val="00AF51D8"/>
    <w:rsid w:val="00AF56F1"/>
    <w:rsid w:val="00AF59E8"/>
    <w:rsid w:val="00AF59F7"/>
    <w:rsid w:val="00AF5BA3"/>
    <w:rsid w:val="00AF5BFB"/>
    <w:rsid w:val="00AF5CF2"/>
    <w:rsid w:val="00AF62FE"/>
    <w:rsid w:val="00AF6D3F"/>
    <w:rsid w:val="00AF6FFF"/>
    <w:rsid w:val="00AF71E5"/>
    <w:rsid w:val="00AF730E"/>
    <w:rsid w:val="00AF75EC"/>
    <w:rsid w:val="00AF7812"/>
    <w:rsid w:val="00AF79F5"/>
    <w:rsid w:val="00AF7A3F"/>
    <w:rsid w:val="00AF7F5F"/>
    <w:rsid w:val="00B008B6"/>
    <w:rsid w:val="00B00946"/>
    <w:rsid w:val="00B00C5B"/>
    <w:rsid w:val="00B00C8D"/>
    <w:rsid w:val="00B00CE2"/>
    <w:rsid w:val="00B00D52"/>
    <w:rsid w:val="00B01056"/>
    <w:rsid w:val="00B015E0"/>
    <w:rsid w:val="00B0167D"/>
    <w:rsid w:val="00B018CF"/>
    <w:rsid w:val="00B01CE2"/>
    <w:rsid w:val="00B01F0E"/>
    <w:rsid w:val="00B01F2E"/>
    <w:rsid w:val="00B020EF"/>
    <w:rsid w:val="00B02166"/>
    <w:rsid w:val="00B02576"/>
    <w:rsid w:val="00B025C4"/>
    <w:rsid w:val="00B027E3"/>
    <w:rsid w:val="00B0293C"/>
    <w:rsid w:val="00B029C0"/>
    <w:rsid w:val="00B02B9B"/>
    <w:rsid w:val="00B02D20"/>
    <w:rsid w:val="00B02EC8"/>
    <w:rsid w:val="00B030EA"/>
    <w:rsid w:val="00B031D1"/>
    <w:rsid w:val="00B034E3"/>
    <w:rsid w:val="00B0387B"/>
    <w:rsid w:val="00B03A3F"/>
    <w:rsid w:val="00B03C11"/>
    <w:rsid w:val="00B040F4"/>
    <w:rsid w:val="00B041AE"/>
    <w:rsid w:val="00B042AE"/>
    <w:rsid w:val="00B043CE"/>
    <w:rsid w:val="00B04601"/>
    <w:rsid w:val="00B04685"/>
    <w:rsid w:val="00B046D2"/>
    <w:rsid w:val="00B048A6"/>
    <w:rsid w:val="00B04B3A"/>
    <w:rsid w:val="00B04B63"/>
    <w:rsid w:val="00B04C01"/>
    <w:rsid w:val="00B04DC4"/>
    <w:rsid w:val="00B05156"/>
    <w:rsid w:val="00B052BA"/>
    <w:rsid w:val="00B0535B"/>
    <w:rsid w:val="00B05612"/>
    <w:rsid w:val="00B05724"/>
    <w:rsid w:val="00B057EF"/>
    <w:rsid w:val="00B05818"/>
    <w:rsid w:val="00B05D81"/>
    <w:rsid w:val="00B060D3"/>
    <w:rsid w:val="00B062A8"/>
    <w:rsid w:val="00B063BE"/>
    <w:rsid w:val="00B066BB"/>
    <w:rsid w:val="00B06789"/>
    <w:rsid w:val="00B06A2A"/>
    <w:rsid w:val="00B06EC1"/>
    <w:rsid w:val="00B076B2"/>
    <w:rsid w:val="00B077C2"/>
    <w:rsid w:val="00B07C3F"/>
    <w:rsid w:val="00B07FC8"/>
    <w:rsid w:val="00B10080"/>
    <w:rsid w:val="00B103CA"/>
    <w:rsid w:val="00B1044F"/>
    <w:rsid w:val="00B1082A"/>
    <w:rsid w:val="00B109DD"/>
    <w:rsid w:val="00B10C52"/>
    <w:rsid w:val="00B10DBA"/>
    <w:rsid w:val="00B10F9E"/>
    <w:rsid w:val="00B11124"/>
    <w:rsid w:val="00B1127B"/>
    <w:rsid w:val="00B115A0"/>
    <w:rsid w:val="00B1167F"/>
    <w:rsid w:val="00B116C5"/>
    <w:rsid w:val="00B117D8"/>
    <w:rsid w:val="00B11915"/>
    <w:rsid w:val="00B11AEE"/>
    <w:rsid w:val="00B11F9E"/>
    <w:rsid w:val="00B12099"/>
    <w:rsid w:val="00B122EF"/>
    <w:rsid w:val="00B125A7"/>
    <w:rsid w:val="00B12673"/>
    <w:rsid w:val="00B12876"/>
    <w:rsid w:val="00B12881"/>
    <w:rsid w:val="00B128B0"/>
    <w:rsid w:val="00B12CAA"/>
    <w:rsid w:val="00B12F34"/>
    <w:rsid w:val="00B130A7"/>
    <w:rsid w:val="00B131E1"/>
    <w:rsid w:val="00B131F9"/>
    <w:rsid w:val="00B1327D"/>
    <w:rsid w:val="00B135CB"/>
    <w:rsid w:val="00B136A8"/>
    <w:rsid w:val="00B1393F"/>
    <w:rsid w:val="00B13973"/>
    <w:rsid w:val="00B13E4E"/>
    <w:rsid w:val="00B13F3B"/>
    <w:rsid w:val="00B14213"/>
    <w:rsid w:val="00B1482F"/>
    <w:rsid w:val="00B149CA"/>
    <w:rsid w:val="00B14B58"/>
    <w:rsid w:val="00B157A5"/>
    <w:rsid w:val="00B157FF"/>
    <w:rsid w:val="00B1588F"/>
    <w:rsid w:val="00B15BD7"/>
    <w:rsid w:val="00B15FE9"/>
    <w:rsid w:val="00B1608B"/>
    <w:rsid w:val="00B166A8"/>
    <w:rsid w:val="00B16714"/>
    <w:rsid w:val="00B16A03"/>
    <w:rsid w:val="00B16EDC"/>
    <w:rsid w:val="00B16FD4"/>
    <w:rsid w:val="00B174D4"/>
    <w:rsid w:val="00B1757E"/>
    <w:rsid w:val="00B175BD"/>
    <w:rsid w:val="00B175F8"/>
    <w:rsid w:val="00B17859"/>
    <w:rsid w:val="00B17994"/>
    <w:rsid w:val="00B17C00"/>
    <w:rsid w:val="00B17E8D"/>
    <w:rsid w:val="00B17EF5"/>
    <w:rsid w:val="00B20166"/>
    <w:rsid w:val="00B207C3"/>
    <w:rsid w:val="00B20870"/>
    <w:rsid w:val="00B20F25"/>
    <w:rsid w:val="00B20F98"/>
    <w:rsid w:val="00B2103B"/>
    <w:rsid w:val="00B21756"/>
    <w:rsid w:val="00B218F5"/>
    <w:rsid w:val="00B21C03"/>
    <w:rsid w:val="00B21CB6"/>
    <w:rsid w:val="00B21D53"/>
    <w:rsid w:val="00B21E4F"/>
    <w:rsid w:val="00B21FFA"/>
    <w:rsid w:val="00B2207F"/>
    <w:rsid w:val="00B220BB"/>
    <w:rsid w:val="00B2217D"/>
    <w:rsid w:val="00B22385"/>
    <w:rsid w:val="00B223A5"/>
    <w:rsid w:val="00B229C2"/>
    <w:rsid w:val="00B229FE"/>
    <w:rsid w:val="00B23407"/>
    <w:rsid w:val="00B23741"/>
    <w:rsid w:val="00B23786"/>
    <w:rsid w:val="00B23CE6"/>
    <w:rsid w:val="00B23E4B"/>
    <w:rsid w:val="00B2401E"/>
    <w:rsid w:val="00B24138"/>
    <w:rsid w:val="00B24178"/>
    <w:rsid w:val="00B244C3"/>
    <w:rsid w:val="00B246CB"/>
    <w:rsid w:val="00B247E9"/>
    <w:rsid w:val="00B24970"/>
    <w:rsid w:val="00B24A4C"/>
    <w:rsid w:val="00B24ADC"/>
    <w:rsid w:val="00B24BFD"/>
    <w:rsid w:val="00B24C2D"/>
    <w:rsid w:val="00B24CA5"/>
    <w:rsid w:val="00B24DD3"/>
    <w:rsid w:val="00B252B7"/>
    <w:rsid w:val="00B25535"/>
    <w:rsid w:val="00B25795"/>
    <w:rsid w:val="00B258E4"/>
    <w:rsid w:val="00B25B3C"/>
    <w:rsid w:val="00B25DDE"/>
    <w:rsid w:val="00B25FE7"/>
    <w:rsid w:val="00B260B2"/>
    <w:rsid w:val="00B26238"/>
    <w:rsid w:val="00B26861"/>
    <w:rsid w:val="00B269BF"/>
    <w:rsid w:val="00B26B6F"/>
    <w:rsid w:val="00B26B71"/>
    <w:rsid w:val="00B26CFD"/>
    <w:rsid w:val="00B27381"/>
    <w:rsid w:val="00B275B2"/>
    <w:rsid w:val="00B277C0"/>
    <w:rsid w:val="00B27AE6"/>
    <w:rsid w:val="00B27B9F"/>
    <w:rsid w:val="00B27D7E"/>
    <w:rsid w:val="00B27DB1"/>
    <w:rsid w:val="00B27FEB"/>
    <w:rsid w:val="00B30237"/>
    <w:rsid w:val="00B306F5"/>
    <w:rsid w:val="00B30A40"/>
    <w:rsid w:val="00B30BA6"/>
    <w:rsid w:val="00B30D23"/>
    <w:rsid w:val="00B30D28"/>
    <w:rsid w:val="00B31103"/>
    <w:rsid w:val="00B312CC"/>
    <w:rsid w:val="00B31470"/>
    <w:rsid w:val="00B314BB"/>
    <w:rsid w:val="00B31560"/>
    <w:rsid w:val="00B3162E"/>
    <w:rsid w:val="00B31FA6"/>
    <w:rsid w:val="00B3230D"/>
    <w:rsid w:val="00B32341"/>
    <w:rsid w:val="00B32376"/>
    <w:rsid w:val="00B3240E"/>
    <w:rsid w:val="00B3253E"/>
    <w:rsid w:val="00B3267D"/>
    <w:rsid w:val="00B32EB7"/>
    <w:rsid w:val="00B33662"/>
    <w:rsid w:val="00B33CA6"/>
    <w:rsid w:val="00B33F0B"/>
    <w:rsid w:val="00B33FE5"/>
    <w:rsid w:val="00B34034"/>
    <w:rsid w:val="00B3448D"/>
    <w:rsid w:val="00B3463A"/>
    <w:rsid w:val="00B34B8C"/>
    <w:rsid w:val="00B34B90"/>
    <w:rsid w:val="00B34B94"/>
    <w:rsid w:val="00B34C0D"/>
    <w:rsid w:val="00B353FA"/>
    <w:rsid w:val="00B35661"/>
    <w:rsid w:val="00B3584A"/>
    <w:rsid w:val="00B35B7B"/>
    <w:rsid w:val="00B35F8C"/>
    <w:rsid w:val="00B36149"/>
    <w:rsid w:val="00B361C2"/>
    <w:rsid w:val="00B361E6"/>
    <w:rsid w:val="00B36576"/>
    <w:rsid w:val="00B36703"/>
    <w:rsid w:val="00B3689A"/>
    <w:rsid w:val="00B3690B"/>
    <w:rsid w:val="00B36A74"/>
    <w:rsid w:val="00B36B1B"/>
    <w:rsid w:val="00B36F67"/>
    <w:rsid w:val="00B36F84"/>
    <w:rsid w:val="00B36F95"/>
    <w:rsid w:val="00B36FC1"/>
    <w:rsid w:val="00B372CF"/>
    <w:rsid w:val="00B373CE"/>
    <w:rsid w:val="00B37491"/>
    <w:rsid w:val="00B37B27"/>
    <w:rsid w:val="00B37B58"/>
    <w:rsid w:val="00B40846"/>
    <w:rsid w:val="00B409A7"/>
    <w:rsid w:val="00B409C3"/>
    <w:rsid w:val="00B41046"/>
    <w:rsid w:val="00B410B8"/>
    <w:rsid w:val="00B41747"/>
    <w:rsid w:val="00B41FEB"/>
    <w:rsid w:val="00B42104"/>
    <w:rsid w:val="00B421CB"/>
    <w:rsid w:val="00B424D5"/>
    <w:rsid w:val="00B4258E"/>
    <w:rsid w:val="00B425BF"/>
    <w:rsid w:val="00B42813"/>
    <w:rsid w:val="00B42841"/>
    <w:rsid w:val="00B42851"/>
    <w:rsid w:val="00B42BD6"/>
    <w:rsid w:val="00B42C64"/>
    <w:rsid w:val="00B42E32"/>
    <w:rsid w:val="00B42F10"/>
    <w:rsid w:val="00B432B7"/>
    <w:rsid w:val="00B43656"/>
    <w:rsid w:val="00B43A73"/>
    <w:rsid w:val="00B43F69"/>
    <w:rsid w:val="00B4402F"/>
    <w:rsid w:val="00B442C6"/>
    <w:rsid w:val="00B442C8"/>
    <w:rsid w:val="00B447C6"/>
    <w:rsid w:val="00B44843"/>
    <w:rsid w:val="00B44A09"/>
    <w:rsid w:val="00B44F69"/>
    <w:rsid w:val="00B453DD"/>
    <w:rsid w:val="00B456EA"/>
    <w:rsid w:val="00B45B11"/>
    <w:rsid w:val="00B45CD5"/>
    <w:rsid w:val="00B45DEB"/>
    <w:rsid w:val="00B45E07"/>
    <w:rsid w:val="00B461CD"/>
    <w:rsid w:val="00B46342"/>
    <w:rsid w:val="00B46387"/>
    <w:rsid w:val="00B46455"/>
    <w:rsid w:val="00B46513"/>
    <w:rsid w:val="00B465BE"/>
    <w:rsid w:val="00B467AC"/>
    <w:rsid w:val="00B46BC2"/>
    <w:rsid w:val="00B472D2"/>
    <w:rsid w:val="00B473E9"/>
    <w:rsid w:val="00B473FC"/>
    <w:rsid w:val="00B47945"/>
    <w:rsid w:val="00B47979"/>
    <w:rsid w:val="00B479E4"/>
    <w:rsid w:val="00B47BB2"/>
    <w:rsid w:val="00B5019C"/>
    <w:rsid w:val="00B50333"/>
    <w:rsid w:val="00B505DB"/>
    <w:rsid w:val="00B50885"/>
    <w:rsid w:val="00B50B4C"/>
    <w:rsid w:val="00B51006"/>
    <w:rsid w:val="00B51131"/>
    <w:rsid w:val="00B511E2"/>
    <w:rsid w:val="00B5126F"/>
    <w:rsid w:val="00B51498"/>
    <w:rsid w:val="00B517A7"/>
    <w:rsid w:val="00B51E63"/>
    <w:rsid w:val="00B52A8E"/>
    <w:rsid w:val="00B5308C"/>
    <w:rsid w:val="00B53600"/>
    <w:rsid w:val="00B5378A"/>
    <w:rsid w:val="00B53A33"/>
    <w:rsid w:val="00B53DB0"/>
    <w:rsid w:val="00B53F2D"/>
    <w:rsid w:val="00B54388"/>
    <w:rsid w:val="00B5493F"/>
    <w:rsid w:val="00B54A70"/>
    <w:rsid w:val="00B54D2B"/>
    <w:rsid w:val="00B55009"/>
    <w:rsid w:val="00B552C3"/>
    <w:rsid w:val="00B55402"/>
    <w:rsid w:val="00B5550B"/>
    <w:rsid w:val="00B559C2"/>
    <w:rsid w:val="00B55FD0"/>
    <w:rsid w:val="00B56053"/>
    <w:rsid w:val="00B561EA"/>
    <w:rsid w:val="00B565A4"/>
    <w:rsid w:val="00B56B78"/>
    <w:rsid w:val="00B56C4F"/>
    <w:rsid w:val="00B56FB6"/>
    <w:rsid w:val="00B57356"/>
    <w:rsid w:val="00B5740E"/>
    <w:rsid w:val="00B57504"/>
    <w:rsid w:val="00B576C4"/>
    <w:rsid w:val="00B577B7"/>
    <w:rsid w:val="00B57859"/>
    <w:rsid w:val="00B57927"/>
    <w:rsid w:val="00B57928"/>
    <w:rsid w:val="00B57C6E"/>
    <w:rsid w:val="00B57D52"/>
    <w:rsid w:val="00B57E04"/>
    <w:rsid w:val="00B57F5E"/>
    <w:rsid w:val="00B60188"/>
    <w:rsid w:val="00B60348"/>
    <w:rsid w:val="00B604BD"/>
    <w:rsid w:val="00B60C45"/>
    <w:rsid w:val="00B60E33"/>
    <w:rsid w:val="00B6118D"/>
    <w:rsid w:val="00B613E0"/>
    <w:rsid w:val="00B61D63"/>
    <w:rsid w:val="00B61D8D"/>
    <w:rsid w:val="00B61E5B"/>
    <w:rsid w:val="00B61EE0"/>
    <w:rsid w:val="00B62276"/>
    <w:rsid w:val="00B626E0"/>
    <w:rsid w:val="00B627CA"/>
    <w:rsid w:val="00B62BF2"/>
    <w:rsid w:val="00B62C35"/>
    <w:rsid w:val="00B63078"/>
    <w:rsid w:val="00B631A3"/>
    <w:rsid w:val="00B6341D"/>
    <w:rsid w:val="00B63594"/>
    <w:rsid w:val="00B6374A"/>
    <w:rsid w:val="00B63787"/>
    <w:rsid w:val="00B63C56"/>
    <w:rsid w:val="00B640FB"/>
    <w:rsid w:val="00B64120"/>
    <w:rsid w:val="00B64403"/>
    <w:rsid w:val="00B64F9B"/>
    <w:rsid w:val="00B6544F"/>
    <w:rsid w:val="00B65766"/>
    <w:rsid w:val="00B65827"/>
    <w:rsid w:val="00B659BB"/>
    <w:rsid w:val="00B65B27"/>
    <w:rsid w:val="00B65E98"/>
    <w:rsid w:val="00B65F7F"/>
    <w:rsid w:val="00B661B1"/>
    <w:rsid w:val="00B666BE"/>
    <w:rsid w:val="00B66920"/>
    <w:rsid w:val="00B66FD8"/>
    <w:rsid w:val="00B6734C"/>
    <w:rsid w:val="00B6761A"/>
    <w:rsid w:val="00B67D9D"/>
    <w:rsid w:val="00B67E0D"/>
    <w:rsid w:val="00B700E0"/>
    <w:rsid w:val="00B7015E"/>
    <w:rsid w:val="00B703C8"/>
    <w:rsid w:val="00B7053E"/>
    <w:rsid w:val="00B708FE"/>
    <w:rsid w:val="00B70AA3"/>
    <w:rsid w:val="00B70AB8"/>
    <w:rsid w:val="00B70BD2"/>
    <w:rsid w:val="00B7134A"/>
    <w:rsid w:val="00B71361"/>
    <w:rsid w:val="00B71694"/>
    <w:rsid w:val="00B716DD"/>
    <w:rsid w:val="00B71810"/>
    <w:rsid w:val="00B71CA8"/>
    <w:rsid w:val="00B72250"/>
    <w:rsid w:val="00B725A6"/>
    <w:rsid w:val="00B72623"/>
    <w:rsid w:val="00B72771"/>
    <w:rsid w:val="00B728DC"/>
    <w:rsid w:val="00B72AFA"/>
    <w:rsid w:val="00B72B69"/>
    <w:rsid w:val="00B72B98"/>
    <w:rsid w:val="00B72BC8"/>
    <w:rsid w:val="00B72C86"/>
    <w:rsid w:val="00B73103"/>
    <w:rsid w:val="00B731BB"/>
    <w:rsid w:val="00B736EB"/>
    <w:rsid w:val="00B7399C"/>
    <w:rsid w:val="00B73BE9"/>
    <w:rsid w:val="00B73C3F"/>
    <w:rsid w:val="00B745C9"/>
    <w:rsid w:val="00B746C9"/>
    <w:rsid w:val="00B749AA"/>
    <w:rsid w:val="00B74A22"/>
    <w:rsid w:val="00B74B97"/>
    <w:rsid w:val="00B74CC0"/>
    <w:rsid w:val="00B74FFF"/>
    <w:rsid w:val="00B75205"/>
    <w:rsid w:val="00B75612"/>
    <w:rsid w:val="00B75BC6"/>
    <w:rsid w:val="00B75C76"/>
    <w:rsid w:val="00B75CD7"/>
    <w:rsid w:val="00B75EF5"/>
    <w:rsid w:val="00B76002"/>
    <w:rsid w:val="00B76245"/>
    <w:rsid w:val="00B762B5"/>
    <w:rsid w:val="00B764FE"/>
    <w:rsid w:val="00B76652"/>
    <w:rsid w:val="00B767CD"/>
    <w:rsid w:val="00B76FD2"/>
    <w:rsid w:val="00B7708E"/>
    <w:rsid w:val="00B771A2"/>
    <w:rsid w:val="00B77267"/>
    <w:rsid w:val="00B773EC"/>
    <w:rsid w:val="00B7760C"/>
    <w:rsid w:val="00B77B24"/>
    <w:rsid w:val="00B803A9"/>
    <w:rsid w:val="00B806D5"/>
    <w:rsid w:val="00B80C0A"/>
    <w:rsid w:val="00B80C30"/>
    <w:rsid w:val="00B80C35"/>
    <w:rsid w:val="00B80DC0"/>
    <w:rsid w:val="00B80F4A"/>
    <w:rsid w:val="00B811B4"/>
    <w:rsid w:val="00B812A1"/>
    <w:rsid w:val="00B812F6"/>
    <w:rsid w:val="00B81550"/>
    <w:rsid w:val="00B8157D"/>
    <w:rsid w:val="00B8193E"/>
    <w:rsid w:val="00B81F40"/>
    <w:rsid w:val="00B825A6"/>
    <w:rsid w:val="00B8263D"/>
    <w:rsid w:val="00B82663"/>
    <w:rsid w:val="00B8284B"/>
    <w:rsid w:val="00B8287B"/>
    <w:rsid w:val="00B82E4A"/>
    <w:rsid w:val="00B82F71"/>
    <w:rsid w:val="00B830CC"/>
    <w:rsid w:val="00B83164"/>
    <w:rsid w:val="00B831F6"/>
    <w:rsid w:val="00B834AD"/>
    <w:rsid w:val="00B837BE"/>
    <w:rsid w:val="00B839DC"/>
    <w:rsid w:val="00B83CA4"/>
    <w:rsid w:val="00B83F62"/>
    <w:rsid w:val="00B8412F"/>
    <w:rsid w:val="00B84304"/>
    <w:rsid w:val="00B84485"/>
    <w:rsid w:val="00B844E6"/>
    <w:rsid w:val="00B845F2"/>
    <w:rsid w:val="00B84668"/>
    <w:rsid w:val="00B847AD"/>
    <w:rsid w:val="00B84BCA"/>
    <w:rsid w:val="00B84C87"/>
    <w:rsid w:val="00B8509E"/>
    <w:rsid w:val="00B852A2"/>
    <w:rsid w:val="00B854BE"/>
    <w:rsid w:val="00B8558E"/>
    <w:rsid w:val="00B8585D"/>
    <w:rsid w:val="00B85B69"/>
    <w:rsid w:val="00B85DAF"/>
    <w:rsid w:val="00B85E70"/>
    <w:rsid w:val="00B8608E"/>
    <w:rsid w:val="00B861B4"/>
    <w:rsid w:val="00B863A0"/>
    <w:rsid w:val="00B86425"/>
    <w:rsid w:val="00B86527"/>
    <w:rsid w:val="00B865FB"/>
    <w:rsid w:val="00B86614"/>
    <w:rsid w:val="00B8670B"/>
    <w:rsid w:val="00B869F6"/>
    <w:rsid w:val="00B86AD1"/>
    <w:rsid w:val="00B86C53"/>
    <w:rsid w:val="00B86F21"/>
    <w:rsid w:val="00B873BF"/>
    <w:rsid w:val="00B875D5"/>
    <w:rsid w:val="00B8786C"/>
    <w:rsid w:val="00B87877"/>
    <w:rsid w:val="00B87894"/>
    <w:rsid w:val="00B87A66"/>
    <w:rsid w:val="00B87CB6"/>
    <w:rsid w:val="00B90785"/>
    <w:rsid w:val="00B90944"/>
    <w:rsid w:val="00B90BF3"/>
    <w:rsid w:val="00B90D5E"/>
    <w:rsid w:val="00B90FD9"/>
    <w:rsid w:val="00B910BB"/>
    <w:rsid w:val="00B912F0"/>
    <w:rsid w:val="00B913D5"/>
    <w:rsid w:val="00B9148B"/>
    <w:rsid w:val="00B916AA"/>
    <w:rsid w:val="00B91BE3"/>
    <w:rsid w:val="00B9278A"/>
    <w:rsid w:val="00B927EE"/>
    <w:rsid w:val="00B92E07"/>
    <w:rsid w:val="00B930E9"/>
    <w:rsid w:val="00B935BD"/>
    <w:rsid w:val="00B93725"/>
    <w:rsid w:val="00B9382F"/>
    <w:rsid w:val="00B93919"/>
    <w:rsid w:val="00B93FAA"/>
    <w:rsid w:val="00B944CF"/>
    <w:rsid w:val="00B9451E"/>
    <w:rsid w:val="00B947CE"/>
    <w:rsid w:val="00B94FAB"/>
    <w:rsid w:val="00B95158"/>
    <w:rsid w:val="00B95865"/>
    <w:rsid w:val="00B959FB"/>
    <w:rsid w:val="00B95A0C"/>
    <w:rsid w:val="00B95B13"/>
    <w:rsid w:val="00B95D61"/>
    <w:rsid w:val="00B962DB"/>
    <w:rsid w:val="00B9631C"/>
    <w:rsid w:val="00B96403"/>
    <w:rsid w:val="00B965BE"/>
    <w:rsid w:val="00B96605"/>
    <w:rsid w:val="00B9667F"/>
    <w:rsid w:val="00B96839"/>
    <w:rsid w:val="00B96AFE"/>
    <w:rsid w:val="00B96BED"/>
    <w:rsid w:val="00B96D18"/>
    <w:rsid w:val="00B96EDC"/>
    <w:rsid w:val="00B9744B"/>
    <w:rsid w:val="00B976C8"/>
    <w:rsid w:val="00B9774E"/>
    <w:rsid w:val="00B97B53"/>
    <w:rsid w:val="00B97BAE"/>
    <w:rsid w:val="00B97CA4"/>
    <w:rsid w:val="00B97D11"/>
    <w:rsid w:val="00B97E61"/>
    <w:rsid w:val="00BA100C"/>
    <w:rsid w:val="00BA1333"/>
    <w:rsid w:val="00BA1561"/>
    <w:rsid w:val="00BA159E"/>
    <w:rsid w:val="00BA2796"/>
    <w:rsid w:val="00BA27B6"/>
    <w:rsid w:val="00BA29E3"/>
    <w:rsid w:val="00BA2A12"/>
    <w:rsid w:val="00BA2C15"/>
    <w:rsid w:val="00BA2C8D"/>
    <w:rsid w:val="00BA2D9B"/>
    <w:rsid w:val="00BA2FD9"/>
    <w:rsid w:val="00BA3199"/>
    <w:rsid w:val="00BA31DC"/>
    <w:rsid w:val="00BA3733"/>
    <w:rsid w:val="00BA3C76"/>
    <w:rsid w:val="00BA419B"/>
    <w:rsid w:val="00BA46F0"/>
    <w:rsid w:val="00BA4BB9"/>
    <w:rsid w:val="00BA4F4E"/>
    <w:rsid w:val="00BA505E"/>
    <w:rsid w:val="00BA5095"/>
    <w:rsid w:val="00BA52E3"/>
    <w:rsid w:val="00BA5698"/>
    <w:rsid w:val="00BA5C87"/>
    <w:rsid w:val="00BA5DB9"/>
    <w:rsid w:val="00BA5E83"/>
    <w:rsid w:val="00BA614D"/>
    <w:rsid w:val="00BA65AD"/>
    <w:rsid w:val="00BA681E"/>
    <w:rsid w:val="00BA6E08"/>
    <w:rsid w:val="00BA6FF3"/>
    <w:rsid w:val="00BA72BF"/>
    <w:rsid w:val="00BA7370"/>
    <w:rsid w:val="00BA77F0"/>
    <w:rsid w:val="00BA7838"/>
    <w:rsid w:val="00BA7BB2"/>
    <w:rsid w:val="00BA7BD3"/>
    <w:rsid w:val="00BB0039"/>
    <w:rsid w:val="00BB00AB"/>
    <w:rsid w:val="00BB0280"/>
    <w:rsid w:val="00BB02CE"/>
    <w:rsid w:val="00BB054B"/>
    <w:rsid w:val="00BB0990"/>
    <w:rsid w:val="00BB0A61"/>
    <w:rsid w:val="00BB0C44"/>
    <w:rsid w:val="00BB0C6E"/>
    <w:rsid w:val="00BB0E8D"/>
    <w:rsid w:val="00BB0EB8"/>
    <w:rsid w:val="00BB15DD"/>
    <w:rsid w:val="00BB1B24"/>
    <w:rsid w:val="00BB1B9D"/>
    <w:rsid w:val="00BB1BF1"/>
    <w:rsid w:val="00BB1EFE"/>
    <w:rsid w:val="00BB1F44"/>
    <w:rsid w:val="00BB2050"/>
    <w:rsid w:val="00BB2055"/>
    <w:rsid w:val="00BB254C"/>
    <w:rsid w:val="00BB2696"/>
    <w:rsid w:val="00BB2B43"/>
    <w:rsid w:val="00BB2B80"/>
    <w:rsid w:val="00BB2FEE"/>
    <w:rsid w:val="00BB3945"/>
    <w:rsid w:val="00BB39AB"/>
    <w:rsid w:val="00BB3C4F"/>
    <w:rsid w:val="00BB3E52"/>
    <w:rsid w:val="00BB4098"/>
    <w:rsid w:val="00BB4A25"/>
    <w:rsid w:val="00BB4C70"/>
    <w:rsid w:val="00BB4D02"/>
    <w:rsid w:val="00BB4DCB"/>
    <w:rsid w:val="00BB506E"/>
    <w:rsid w:val="00BB53A2"/>
    <w:rsid w:val="00BB55E5"/>
    <w:rsid w:val="00BB60FE"/>
    <w:rsid w:val="00BB6146"/>
    <w:rsid w:val="00BB640C"/>
    <w:rsid w:val="00BB65CF"/>
    <w:rsid w:val="00BB676F"/>
    <w:rsid w:val="00BB69F9"/>
    <w:rsid w:val="00BB6ABE"/>
    <w:rsid w:val="00BB6AD9"/>
    <w:rsid w:val="00BB721B"/>
    <w:rsid w:val="00BB73B6"/>
    <w:rsid w:val="00BB76CC"/>
    <w:rsid w:val="00BB770B"/>
    <w:rsid w:val="00BB77F5"/>
    <w:rsid w:val="00BB794F"/>
    <w:rsid w:val="00BB7B6D"/>
    <w:rsid w:val="00BB7BC7"/>
    <w:rsid w:val="00BB7D23"/>
    <w:rsid w:val="00BC0055"/>
    <w:rsid w:val="00BC03C4"/>
    <w:rsid w:val="00BC0635"/>
    <w:rsid w:val="00BC081E"/>
    <w:rsid w:val="00BC0BB3"/>
    <w:rsid w:val="00BC0BEE"/>
    <w:rsid w:val="00BC0F9F"/>
    <w:rsid w:val="00BC15B4"/>
    <w:rsid w:val="00BC1616"/>
    <w:rsid w:val="00BC165A"/>
    <w:rsid w:val="00BC1A8D"/>
    <w:rsid w:val="00BC1CFD"/>
    <w:rsid w:val="00BC1D8D"/>
    <w:rsid w:val="00BC24B9"/>
    <w:rsid w:val="00BC2834"/>
    <w:rsid w:val="00BC2CEE"/>
    <w:rsid w:val="00BC3175"/>
    <w:rsid w:val="00BC33C1"/>
    <w:rsid w:val="00BC3609"/>
    <w:rsid w:val="00BC365B"/>
    <w:rsid w:val="00BC387E"/>
    <w:rsid w:val="00BC3A14"/>
    <w:rsid w:val="00BC3A63"/>
    <w:rsid w:val="00BC3C6E"/>
    <w:rsid w:val="00BC3E6D"/>
    <w:rsid w:val="00BC3EFB"/>
    <w:rsid w:val="00BC4195"/>
    <w:rsid w:val="00BC41BC"/>
    <w:rsid w:val="00BC44D0"/>
    <w:rsid w:val="00BC4539"/>
    <w:rsid w:val="00BC46BF"/>
    <w:rsid w:val="00BC4734"/>
    <w:rsid w:val="00BC4970"/>
    <w:rsid w:val="00BC4A3B"/>
    <w:rsid w:val="00BC4DE4"/>
    <w:rsid w:val="00BC52D7"/>
    <w:rsid w:val="00BC5373"/>
    <w:rsid w:val="00BC53D7"/>
    <w:rsid w:val="00BC560D"/>
    <w:rsid w:val="00BC569D"/>
    <w:rsid w:val="00BC5AC0"/>
    <w:rsid w:val="00BC5C69"/>
    <w:rsid w:val="00BC5C9E"/>
    <w:rsid w:val="00BC6600"/>
    <w:rsid w:val="00BC6769"/>
    <w:rsid w:val="00BC6BF1"/>
    <w:rsid w:val="00BC6E9E"/>
    <w:rsid w:val="00BC6F72"/>
    <w:rsid w:val="00BC6FA4"/>
    <w:rsid w:val="00BC6FE0"/>
    <w:rsid w:val="00BC71B5"/>
    <w:rsid w:val="00BC7538"/>
    <w:rsid w:val="00BC77F9"/>
    <w:rsid w:val="00BC78FF"/>
    <w:rsid w:val="00BC7C23"/>
    <w:rsid w:val="00BC7CB6"/>
    <w:rsid w:val="00BC7DE8"/>
    <w:rsid w:val="00BC7E31"/>
    <w:rsid w:val="00BC7E6F"/>
    <w:rsid w:val="00BC7F0D"/>
    <w:rsid w:val="00BD007E"/>
    <w:rsid w:val="00BD09F6"/>
    <w:rsid w:val="00BD0DF5"/>
    <w:rsid w:val="00BD0F08"/>
    <w:rsid w:val="00BD0FF7"/>
    <w:rsid w:val="00BD1094"/>
    <w:rsid w:val="00BD1125"/>
    <w:rsid w:val="00BD1A82"/>
    <w:rsid w:val="00BD1C21"/>
    <w:rsid w:val="00BD1D3E"/>
    <w:rsid w:val="00BD1DD8"/>
    <w:rsid w:val="00BD20C7"/>
    <w:rsid w:val="00BD2223"/>
    <w:rsid w:val="00BD232E"/>
    <w:rsid w:val="00BD2449"/>
    <w:rsid w:val="00BD25BD"/>
    <w:rsid w:val="00BD2C15"/>
    <w:rsid w:val="00BD3110"/>
    <w:rsid w:val="00BD327F"/>
    <w:rsid w:val="00BD3683"/>
    <w:rsid w:val="00BD36F2"/>
    <w:rsid w:val="00BD3AE9"/>
    <w:rsid w:val="00BD3B21"/>
    <w:rsid w:val="00BD3CE9"/>
    <w:rsid w:val="00BD3E40"/>
    <w:rsid w:val="00BD3F47"/>
    <w:rsid w:val="00BD4030"/>
    <w:rsid w:val="00BD443F"/>
    <w:rsid w:val="00BD451B"/>
    <w:rsid w:val="00BD4869"/>
    <w:rsid w:val="00BD48F1"/>
    <w:rsid w:val="00BD48F4"/>
    <w:rsid w:val="00BD49D0"/>
    <w:rsid w:val="00BD49E6"/>
    <w:rsid w:val="00BD4A22"/>
    <w:rsid w:val="00BD512F"/>
    <w:rsid w:val="00BD52DD"/>
    <w:rsid w:val="00BD533C"/>
    <w:rsid w:val="00BD5483"/>
    <w:rsid w:val="00BD54E8"/>
    <w:rsid w:val="00BD5B23"/>
    <w:rsid w:val="00BD5F2E"/>
    <w:rsid w:val="00BD65C3"/>
    <w:rsid w:val="00BD66D8"/>
    <w:rsid w:val="00BD69CC"/>
    <w:rsid w:val="00BD6B80"/>
    <w:rsid w:val="00BD6D8D"/>
    <w:rsid w:val="00BD6E26"/>
    <w:rsid w:val="00BD6E5B"/>
    <w:rsid w:val="00BD6FAA"/>
    <w:rsid w:val="00BD723A"/>
    <w:rsid w:val="00BD72B7"/>
    <w:rsid w:val="00BD72D3"/>
    <w:rsid w:val="00BD7755"/>
    <w:rsid w:val="00BD78C5"/>
    <w:rsid w:val="00BD7B50"/>
    <w:rsid w:val="00BD7FD2"/>
    <w:rsid w:val="00BE012A"/>
    <w:rsid w:val="00BE014A"/>
    <w:rsid w:val="00BE01E1"/>
    <w:rsid w:val="00BE029D"/>
    <w:rsid w:val="00BE03AE"/>
    <w:rsid w:val="00BE07F9"/>
    <w:rsid w:val="00BE0F0C"/>
    <w:rsid w:val="00BE10FC"/>
    <w:rsid w:val="00BE1625"/>
    <w:rsid w:val="00BE19DC"/>
    <w:rsid w:val="00BE19DF"/>
    <w:rsid w:val="00BE1C56"/>
    <w:rsid w:val="00BE1E1D"/>
    <w:rsid w:val="00BE1E84"/>
    <w:rsid w:val="00BE1FF2"/>
    <w:rsid w:val="00BE221B"/>
    <w:rsid w:val="00BE2342"/>
    <w:rsid w:val="00BE23C4"/>
    <w:rsid w:val="00BE252C"/>
    <w:rsid w:val="00BE25E5"/>
    <w:rsid w:val="00BE2ACE"/>
    <w:rsid w:val="00BE2ADC"/>
    <w:rsid w:val="00BE2B52"/>
    <w:rsid w:val="00BE2BA3"/>
    <w:rsid w:val="00BE3301"/>
    <w:rsid w:val="00BE342F"/>
    <w:rsid w:val="00BE461C"/>
    <w:rsid w:val="00BE4734"/>
    <w:rsid w:val="00BE4980"/>
    <w:rsid w:val="00BE4AE0"/>
    <w:rsid w:val="00BE4CFB"/>
    <w:rsid w:val="00BE4F6E"/>
    <w:rsid w:val="00BE5098"/>
    <w:rsid w:val="00BE5191"/>
    <w:rsid w:val="00BE53B7"/>
    <w:rsid w:val="00BE561A"/>
    <w:rsid w:val="00BE5629"/>
    <w:rsid w:val="00BE5C17"/>
    <w:rsid w:val="00BE6154"/>
    <w:rsid w:val="00BE6593"/>
    <w:rsid w:val="00BE6AD5"/>
    <w:rsid w:val="00BE6E4F"/>
    <w:rsid w:val="00BE6F19"/>
    <w:rsid w:val="00BE6F9F"/>
    <w:rsid w:val="00BE6FB5"/>
    <w:rsid w:val="00BE739C"/>
    <w:rsid w:val="00BE76A6"/>
    <w:rsid w:val="00BE7730"/>
    <w:rsid w:val="00BE784D"/>
    <w:rsid w:val="00BE7CB7"/>
    <w:rsid w:val="00BE7EBA"/>
    <w:rsid w:val="00BF0022"/>
    <w:rsid w:val="00BF0181"/>
    <w:rsid w:val="00BF01FC"/>
    <w:rsid w:val="00BF0231"/>
    <w:rsid w:val="00BF0250"/>
    <w:rsid w:val="00BF0329"/>
    <w:rsid w:val="00BF0A21"/>
    <w:rsid w:val="00BF0B40"/>
    <w:rsid w:val="00BF0CA4"/>
    <w:rsid w:val="00BF0CE3"/>
    <w:rsid w:val="00BF11CE"/>
    <w:rsid w:val="00BF15C0"/>
    <w:rsid w:val="00BF163C"/>
    <w:rsid w:val="00BF168A"/>
    <w:rsid w:val="00BF16CD"/>
    <w:rsid w:val="00BF1AED"/>
    <w:rsid w:val="00BF1F38"/>
    <w:rsid w:val="00BF220F"/>
    <w:rsid w:val="00BF26BF"/>
    <w:rsid w:val="00BF283A"/>
    <w:rsid w:val="00BF2A0A"/>
    <w:rsid w:val="00BF2BBC"/>
    <w:rsid w:val="00BF2C33"/>
    <w:rsid w:val="00BF2D69"/>
    <w:rsid w:val="00BF2FA7"/>
    <w:rsid w:val="00BF3002"/>
    <w:rsid w:val="00BF301B"/>
    <w:rsid w:val="00BF3202"/>
    <w:rsid w:val="00BF325C"/>
    <w:rsid w:val="00BF3409"/>
    <w:rsid w:val="00BF34A4"/>
    <w:rsid w:val="00BF35EF"/>
    <w:rsid w:val="00BF35FA"/>
    <w:rsid w:val="00BF3829"/>
    <w:rsid w:val="00BF4031"/>
    <w:rsid w:val="00BF42A0"/>
    <w:rsid w:val="00BF441B"/>
    <w:rsid w:val="00BF462F"/>
    <w:rsid w:val="00BF47C2"/>
    <w:rsid w:val="00BF47FD"/>
    <w:rsid w:val="00BF4B06"/>
    <w:rsid w:val="00BF4E55"/>
    <w:rsid w:val="00BF4E83"/>
    <w:rsid w:val="00BF5867"/>
    <w:rsid w:val="00BF5954"/>
    <w:rsid w:val="00BF5A78"/>
    <w:rsid w:val="00BF5E71"/>
    <w:rsid w:val="00BF6259"/>
    <w:rsid w:val="00BF63EA"/>
    <w:rsid w:val="00BF6452"/>
    <w:rsid w:val="00BF6599"/>
    <w:rsid w:val="00BF65AA"/>
    <w:rsid w:val="00BF6E47"/>
    <w:rsid w:val="00BF6FAB"/>
    <w:rsid w:val="00BF7202"/>
    <w:rsid w:val="00BF73E7"/>
    <w:rsid w:val="00BF7547"/>
    <w:rsid w:val="00BF773B"/>
    <w:rsid w:val="00BF7B6D"/>
    <w:rsid w:val="00BF7FD3"/>
    <w:rsid w:val="00C00039"/>
    <w:rsid w:val="00C003C5"/>
    <w:rsid w:val="00C009FB"/>
    <w:rsid w:val="00C00A41"/>
    <w:rsid w:val="00C00BE5"/>
    <w:rsid w:val="00C01222"/>
    <w:rsid w:val="00C0132D"/>
    <w:rsid w:val="00C01525"/>
    <w:rsid w:val="00C0180B"/>
    <w:rsid w:val="00C01E6F"/>
    <w:rsid w:val="00C021B3"/>
    <w:rsid w:val="00C02519"/>
    <w:rsid w:val="00C02764"/>
    <w:rsid w:val="00C028DC"/>
    <w:rsid w:val="00C02B55"/>
    <w:rsid w:val="00C02C10"/>
    <w:rsid w:val="00C02F9C"/>
    <w:rsid w:val="00C03108"/>
    <w:rsid w:val="00C03236"/>
    <w:rsid w:val="00C03308"/>
    <w:rsid w:val="00C039C0"/>
    <w:rsid w:val="00C03F85"/>
    <w:rsid w:val="00C03FB4"/>
    <w:rsid w:val="00C04086"/>
    <w:rsid w:val="00C0428D"/>
    <w:rsid w:val="00C04693"/>
    <w:rsid w:val="00C04736"/>
    <w:rsid w:val="00C04925"/>
    <w:rsid w:val="00C04D5C"/>
    <w:rsid w:val="00C04DBD"/>
    <w:rsid w:val="00C04EF8"/>
    <w:rsid w:val="00C04F3A"/>
    <w:rsid w:val="00C05170"/>
    <w:rsid w:val="00C05605"/>
    <w:rsid w:val="00C057F2"/>
    <w:rsid w:val="00C0618C"/>
    <w:rsid w:val="00C061B0"/>
    <w:rsid w:val="00C061B4"/>
    <w:rsid w:val="00C06340"/>
    <w:rsid w:val="00C06652"/>
    <w:rsid w:val="00C068FF"/>
    <w:rsid w:val="00C0699F"/>
    <w:rsid w:val="00C06D61"/>
    <w:rsid w:val="00C06E28"/>
    <w:rsid w:val="00C06E34"/>
    <w:rsid w:val="00C06F91"/>
    <w:rsid w:val="00C06FEE"/>
    <w:rsid w:val="00C07067"/>
    <w:rsid w:val="00C0706B"/>
    <w:rsid w:val="00C0711E"/>
    <w:rsid w:val="00C077FA"/>
    <w:rsid w:val="00C07A21"/>
    <w:rsid w:val="00C10039"/>
    <w:rsid w:val="00C100E5"/>
    <w:rsid w:val="00C1027A"/>
    <w:rsid w:val="00C10370"/>
    <w:rsid w:val="00C10759"/>
    <w:rsid w:val="00C10825"/>
    <w:rsid w:val="00C10900"/>
    <w:rsid w:val="00C1091B"/>
    <w:rsid w:val="00C109C8"/>
    <w:rsid w:val="00C10CCE"/>
    <w:rsid w:val="00C10DAF"/>
    <w:rsid w:val="00C10EDF"/>
    <w:rsid w:val="00C10F28"/>
    <w:rsid w:val="00C11275"/>
    <w:rsid w:val="00C11439"/>
    <w:rsid w:val="00C1157E"/>
    <w:rsid w:val="00C1186F"/>
    <w:rsid w:val="00C11BFC"/>
    <w:rsid w:val="00C11E6F"/>
    <w:rsid w:val="00C11FEE"/>
    <w:rsid w:val="00C1220D"/>
    <w:rsid w:val="00C1222F"/>
    <w:rsid w:val="00C12307"/>
    <w:rsid w:val="00C1280E"/>
    <w:rsid w:val="00C12ACE"/>
    <w:rsid w:val="00C12F9C"/>
    <w:rsid w:val="00C13269"/>
    <w:rsid w:val="00C13292"/>
    <w:rsid w:val="00C13950"/>
    <w:rsid w:val="00C13BA4"/>
    <w:rsid w:val="00C13BD8"/>
    <w:rsid w:val="00C13D5A"/>
    <w:rsid w:val="00C13DC7"/>
    <w:rsid w:val="00C14085"/>
    <w:rsid w:val="00C1420F"/>
    <w:rsid w:val="00C1434A"/>
    <w:rsid w:val="00C14477"/>
    <w:rsid w:val="00C145BB"/>
    <w:rsid w:val="00C149B2"/>
    <w:rsid w:val="00C14ABF"/>
    <w:rsid w:val="00C14C46"/>
    <w:rsid w:val="00C14E25"/>
    <w:rsid w:val="00C15408"/>
    <w:rsid w:val="00C1562A"/>
    <w:rsid w:val="00C156E3"/>
    <w:rsid w:val="00C157A9"/>
    <w:rsid w:val="00C1586A"/>
    <w:rsid w:val="00C15967"/>
    <w:rsid w:val="00C159E9"/>
    <w:rsid w:val="00C15A58"/>
    <w:rsid w:val="00C15B66"/>
    <w:rsid w:val="00C15BB2"/>
    <w:rsid w:val="00C15C2C"/>
    <w:rsid w:val="00C15C4E"/>
    <w:rsid w:val="00C15D92"/>
    <w:rsid w:val="00C15FAF"/>
    <w:rsid w:val="00C1624E"/>
    <w:rsid w:val="00C162D6"/>
    <w:rsid w:val="00C16A18"/>
    <w:rsid w:val="00C16A6D"/>
    <w:rsid w:val="00C16B48"/>
    <w:rsid w:val="00C16BA2"/>
    <w:rsid w:val="00C16E21"/>
    <w:rsid w:val="00C17187"/>
    <w:rsid w:val="00C1724C"/>
    <w:rsid w:val="00C1726B"/>
    <w:rsid w:val="00C17352"/>
    <w:rsid w:val="00C173F5"/>
    <w:rsid w:val="00C175B2"/>
    <w:rsid w:val="00C176C6"/>
    <w:rsid w:val="00C178AA"/>
    <w:rsid w:val="00C17AA4"/>
    <w:rsid w:val="00C17B08"/>
    <w:rsid w:val="00C17DB1"/>
    <w:rsid w:val="00C17FA4"/>
    <w:rsid w:val="00C17FFD"/>
    <w:rsid w:val="00C200BC"/>
    <w:rsid w:val="00C20206"/>
    <w:rsid w:val="00C2021F"/>
    <w:rsid w:val="00C20359"/>
    <w:rsid w:val="00C20789"/>
    <w:rsid w:val="00C20BFC"/>
    <w:rsid w:val="00C20E6C"/>
    <w:rsid w:val="00C20F50"/>
    <w:rsid w:val="00C2101C"/>
    <w:rsid w:val="00C212B8"/>
    <w:rsid w:val="00C21355"/>
    <w:rsid w:val="00C2154F"/>
    <w:rsid w:val="00C21739"/>
    <w:rsid w:val="00C21963"/>
    <w:rsid w:val="00C219E5"/>
    <w:rsid w:val="00C21B24"/>
    <w:rsid w:val="00C21F59"/>
    <w:rsid w:val="00C22302"/>
    <w:rsid w:val="00C2248F"/>
    <w:rsid w:val="00C229BC"/>
    <w:rsid w:val="00C22A55"/>
    <w:rsid w:val="00C22AB4"/>
    <w:rsid w:val="00C22D04"/>
    <w:rsid w:val="00C22EAE"/>
    <w:rsid w:val="00C22EDB"/>
    <w:rsid w:val="00C22FEE"/>
    <w:rsid w:val="00C2321C"/>
    <w:rsid w:val="00C2335E"/>
    <w:rsid w:val="00C234FB"/>
    <w:rsid w:val="00C236BB"/>
    <w:rsid w:val="00C2377F"/>
    <w:rsid w:val="00C238CF"/>
    <w:rsid w:val="00C23A0B"/>
    <w:rsid w:val="00C23CEE"/>
    <w:rsid w:val="00C23D23"/>
    <w:rsid w:val="00C23FD6"/>
    <w:rsid w:val="00C24277"/>
    <w:rsid w:val="00C2437F"/>
    <w:rsid w:val="00C24489"/>
    <w:rsid w:val="00C246BB"/>
    <w:rsid w:val="00C24948"/>
    <w:rsid w:val="00C249B0"/>
    <w:rsid w:val="00C249F2"/>
    <w:rsid w:val="00C24D01"/>
    <w:rsid w:val="00C25008"/>
    <w:rsid w:val="00C252D2"/>
    <w:rsid w:val="00C253CD"/>
    <w:rsid w:val="00C254CA"/>
    <w:rsid w:val="00C25816"/>
    <w:rsid w:val="00C2584B"/>
    <w:rsid w:val="00C2601E"/>
    <w:rsid w:val="00C26296"/>
    <w:rsid w:val="00C2648C"/>
    <w:rsid w:val="00C266A7"/>
    <w:rsid w:val="00C26856"/>
    <w:rsid w:val="00C2692D"/>
    <w:rsid w:val="00C26B02"/>
    <w:rsid w:val="00C26D8B"/>
    <w:rsid w:val="00C26E15"/>
    <w:rsid w:val="00C270DE"/>
    <w:rsid w:val="00C27381"/>
    <w:rsid w:val="00C27460"/>
    <w:rsid w:val="00C27685"/>
    <w:rsid w:val="00C2791D"/>
    <w:rsid w:val="00C2799B"/>
    <w:rsid w:val="00C27C49"/>
    <w:rsid w:val="00C27D96"/>
    <w:rsid w:val="00C27E32"/>
    <w:rsid w:val="00C27F3D"/>
    <w:rsid w:val="00C30237"/>
    <w:rsid w:val="00C30492"/>
    <w:rsid w:val="00C30608"/>
    <w:rsid w:val="00C30647"/>
    <w:rsid w:val="00C30780"/>
    <w:rsid w:val="00C30B45"/>
    <w:rsid w:val="00C315D7"/>
    <w:rsid w:val="00C31788"/>
    <w:rsid w:val="00C31BAD"/>
    <w:rsid w:val="00C32266"/>
    <w:rsid w:val="00C323A2"/>
    <w:rsid w:val="00C325D9"/>
    <w:rsid w:val="00C32B1C"/>
    <w:rsid w:val="00C32B63"/>
    <w:rsid w:val="00C32BDA"/>
    <w:rsid w:val="00C32EDC"/>
    <w:rsid w:val="00C33243"/>
    <w:rsid w:val="00C33358"/>
    <w:rsid w:val="00C3342F"/>
    <w:rsid w:val="00C334F3"/>
    <w:rsid w:val="00C3375B"/>
    <w:rsid w:val="00C33969"/>
    <w:rsid w:val="00C33A72"/>
    <w:rsid w:val="00C33AAB"/>
    <w:rsid w:val="00C344EC"/>
    <w:rsid w:val="00C34618"/>
    <w:rsid w:val="00C3475F"/>
    <w:rsid w:val="00C34D05"/>
    <w:rsid w:val="00C351C4"/>
    <w:rsid w:val="00C351FC"/>
    <w:rsid w:val="00C3548C"/>
    <w:rsid w:val="00C35666"/>
    <w:rsid w:val="00C357A8"/>
    <w:rsid w:val="00C35892"/>
    <w:rsid w:val="00C35911"/>
    <w:rsid w:val="00C36256"/>
    <w:rsid w:val="00C3638F"/>
    <w:rsid w:val="00C368A8"/>
    <w:rsid w:val="00C368FB"/>
    <w:rsid w:val="00C371E5"/>
    <w:rsid w:val="00C37574"/>
    <w:rsid w:val="00C37876"/>
    <w:rsid w:val="00C3793A"/>
    <w:rsid w:val="00C37C5F"/>
    <w:rsid w:val="00C37C6C"/>
    <w:rsid w:val="00C37D61"/>
    <w:rsid w:val="00C37EB6"/>
    <w:rsid w:val="00C37ED5"/>
    <w:rsid w:val="00C40118"/>
    <w:rsid w:val="00C40368"/>
    <w:rsid w:val="00C40502"/>
    <w:rsid w:val="00C406CF"/>
    <w:rsid w:val="00C40A8A"/>
    <w:rsid w:val="00C40E60"/>
    <w:rsid w:val="00C4119E"/>
    <w:rsid w:val="00C4122B"/>
    <w:rsid w:val="00C414A1"/>
    <w:rsid w:val="00C4150C"/>
    <w:rsid w:val="00C416EC"/>
    <w:rsid w:val="00C41AFC"/>
    <w:rsid w:val="00C41BAA"/>
    <w:rsid w:val="00C42254"/>
    <w:rsid w:val="00C42728"/>
    <w:rsid w:val="00C42944"/>
    <w:rsid w:val="00C42CE1"/>
    <w:rsid w:val="00C435B7"/>
    <w:rsid w:val="00C4379F"/>
    <w:rsid w:val="00C4386C"/>
    <w:rsid w:val="00C439A7"/>
    <w:rsid w:val="00C43B4D"/>
    <w:rsid w:val="00C44CD1"/>
    <w:rsid w:val="00C44FB7"/>
    <w:rsid w:val="00C4501F"/>
    <w:rsid w:val="00C45183"/>
    <w:rsid w:val="00C45295"/>
    <w:rsid w:val="00C453B0"/>
    <w:rsid w:val="00C45B01"/>
    <w:rsid w:val="00C45DFE"/>
    <w:rsid w:val="00C45E41"/>
    <w:rsid w:val="00C45FEB"/>
    <w:rsid w:val="00C460FB"/>
    <w:rsid w:val="00C46198"/>
    <w:rsid w:val="00C462E7"/>
    <w:rsid w:val="00C463DB"/>
    <w:rsid w:val="00C464FB"/>
    <w:rsid w:val="00C46536"/>
    <w:rsid w:val="00C47A4E"/>
    <w:rsid w:val="00C47A87"/>
    <w:rsid w:val="00C47C55"/>
    <w:rsid w:val="00C47D17"/>
    <w:rsid w:val="00C47EF6"/>
    <w:rsid w:val="00C47EF7"/>
    <w:rsid w:val="00C50048"/>
    <w:rsid w:val="00C5009E"/>
    <w:rsid w:val="00C501D2"/>
    <w:rsid w:val="00C506D8"/>
    <w:rsid w:val="00C50A9D"/>
    <w:rsid w:val="00C50C05"/>
    <w:rsid w:val="00C51B01"/>
    <w:rsid w:val="00C51C12"/>
    <w:rsid w:val="00C51ECD"/>
    <w:rsid w:val="00C51F0B"/>
    <w:rsid w:val="00C52159"/>
    <w:rsid w:val="00C5218B"/>
    <w:rsid w:val="00C52210"/>
    <w:rsid w:val="00C523E3"/>
    <w:rsid w:val="00C5255D"/>
    <w:rsid w:val="00C52571"/>
    <w:rsid w:val="00C525DD"/>
    <w:rsid w:val="00C52647"/>
    <w:rsid w:val="00C529B5"/>
    <w:rsid w:val="00C529DA"/>
    <w:rsid w:val="00C52BCE"/>
    <w:rsid w:val="00C52C06"/>
    <w:rsid w:val="00C52C6B"/>
    <w:rsid w:val="00C52CF6"/>
    <w:rsid w:val="00C52E32"/>
    <w:rsid w:val="00C530DF"/>
    <w:rsid w:val="00C53545"/>
    <w:rsid w:val="00C53681"/>
    <w:rsid w:val="00C54036"/>
    <w:rsid w:val="00C5411B"/>
    <w:rsid w:val="00C542BA"/>
    <w:rsid w:val="00C54517"/>
    <w:rsid w:val="00C54D63"/>
    <w:rsid w:val="00C54E9E"/>
    <w:rsid w:val="00C55224"/>
    <w:rsid w:val="00C554EA"/>
    <w:rsid w:val="00C55552"/>
    <w:rsid w:val="00C55615"/>
    <w:rsid w:val="00C55B84"/>
    <w:rsid w:val="00C55E6C"/>
    <w:rsid w:val="00C56173"/>
    <w:rsid w:val="00C563F0"/>
    <w:rsid w:val="00C56488"/>
    <w:rsid w:val="00C567A7"/>
    <w:rsid w:val="00C569A8"/>
    <w:rsid w:val="00C56BF9"/>
    <w:rsid w:val="00C56F84"/>
    <w:rsid w:val="00C576B3"/>
    <w:rsid w:val="00C57880"/>
    <w:rsid w:val="00C579B0"/>
    <w:rsid w:val="00C57B31"/>
    <w:rsid w:val="00C57E60"/>
    <w:rsid w:val="00C57E9B"/>
    <w:rsid w:val="00C60115"/>
    <w:rsid w:val="00C601EC"/>
    <w:rsid w:val="00C60237"/>
    <w:rsid w:val="00C60877"/>
    <w:rsid w:val="00C609D2"/>
    <w:rsid w:val="00C60A62"/>
    <w:rsid w:val="00C60B9B"/>
    <w:rsid w:val="00C60CC3"/>
    <w:rsid w:val="00C61049"/>
    <w:rsid w:val="00C61299"/>
    <w:rsid w:val="00C62188"/>
    <w:rsid w:val="00C621D5"/>
    <w:rsid w:val="00C621E9"/>
    <w:rsid w:val="00C6262F"/>
    <w:rsid w:val="00C62691"/>
    <w:rsid w:val="00C62746"/>
    <w:rsid w:val="00C62A6D"/>
    <w:rsid w:val="00C62E7C"/>
    <w:rsid w:val="00C63086"/>
    <w:rsid w:val="00C630BE"/>
    <w:rsid w:val="00C632E1"/>
    <w:rsid w:val="00C63565"/>
    <w:rsid w:val="00C63A1D"/>
    <w:rsid w:val="00C63B11"/>
    <w:rsid w:val="00C63DAD"/>
    <w:rsid w:val="00C64315"/>
    <w:rsid w:val="00C6450D"/>
    <w:rsid w:val="00C64788"/>
    <w:rsid w:val="00C647B8"/>
    <w:rsid w:val="00C647EA"/>
    <w:rsid w:val="00C64997"/>
    <w:rsid w:val="00C64A36"/>
    <w:rsid w:val="00C64D9C"/>
    <w:rsid w:val="00C64DA4"/>
    <w:rsid w:val="00C64DD6"/>
    <w:rsid w:val="00C64E3D"/>
    <w:rsid w:val="00C65A9F"/>
    <w:rsid w:val="00C65AB0"/>
    <w:rsid w:val="00C65B5C"/>
    <w:rsid w:val="00C65EE1"/>
    <w:rsid w:val="00C660AA"/>
    <w:rsid w:val="00C663F1"/>
    <w:rsid w:val="00C66453"/>
    <w:rsid w:val="00C66620"/>
    <w:rsid w:val="00C6668E"/>
    <w:rsid w:val="00C6689E"/>
    <w:rsid w:val="00C66E1C"/>
    <w:rsid w:val="00C672C5"/>
    <w:rsid w:val="00C67444"/>
    <w:rsid w:val="00C6769C"/>
    <w:rsid w:val="00C67EE0"/>
    <w:rsid w:val="00C67F94"/>
    <w:rsid w:val="00C70058"/>
    <w:rsid w:val="00C70102"/>
    <w:rsid w:val="00C7046B"/>
    <w:rsid w:val="00C705D2"/>
    <w:rsid w:val="00C7066C"/>
    <w:rsid w:val="00C70940"/>
    <w:rsid w:val="00C70B2A"/>
    <w:rsid w:val="00C70DF3"/>
    <w:rsid w:val="00C70EFE"/>
    <w:rsid w:val="00C711A1"/>
    <w:rsid w:val="00C713BD"/>
    <w:rsid w:val="00C716F5"/>
    <w:rsid w:val="00C717D5"/>
    <w:rsid w:val="00C71A30"/>
    <w:rsid w:val="00C71AC0"/>
    <w:rsid w:val="00C71C30"/>
    <w:rsid w:val="00C71C7E"/>
    <w:rsid w:val="00C7200E"/>
    <w:rsid w:val="00C72AF8"/>
    <w:rsid w:val="00C731BF"/>
    <w:rsid w:val="00C732EC"/>
    <w:rsid w:val="00C737C2"/>
    <w:rsid w:val="00C73DE4"/>
    <w:rsid w:val="00C7409B"/>
    <w:rsid w:val="00C74112"/>
    <w:rsid w:val="00C743AA"/>
    <w:rsid w:val="00C747FB"/>
    <w:rsid w:val="00C75017"/>
    <w:rsid w:val="00C75272"/>
    <w:rsid w:val="00C75299"/>
    <w:rsid w:val="00C7539F"/>
    <w:rsid w:val="00C7542F"/>
    <w:rsid w:val="00C7556D"/>
    <w:rsid w:val="00C7570D"/>
    <w:rsid w:val="00C75802"/>
    <w:rsid w:val="00C75B5A"/>
    <w:rsid w:val="00C75C8F"/>
    <w:rsid w:val="00C75CD8"/>
    <w:rsid w:val="00C75DE0"/>
    <w:rsid w:val="00C760B7"/>
    <w:rsid w:val="00C76196"/>
    <w:rsid w:val="00C762F4"/>
    <w:rsid w:val="00C76890"/>
    <w:rsid w:val="00C7689F"/>
    <w:rsid w:val="00C76A1B"/>
    <w:rsid w:val="00C76C51"/>
    <w:rsid w:val="00C76D83"/>
    <w:rsid w:val="00C77172"/>
    <w:rsid w:val="00C772AC"/>
    <w:rsid w:val="00C77867"/>
    <w:rsid w:val="00C77B1B"/>
    <w:rsid w:val="00C77D56"/>
    <w:rsid w:val="00C77D5D"/>
    <w:rsid w:val="00C800EE"/>
    <w:rsid w:val="00C80536"/>
    <w:rsid w:val="00C8053B"/>
    <w:rsid w:val="00C80E5B"/>
    <w:rsid w:val="00C80ED4"/>
    <w:rsid w:val="00C813AC"/>
    <w:rsid w:val="00C815F6"/>
    <w:rsid w:val="00C81A89"/>
    <w:rsid w:val="00C81A97"/>
    <w:rsid w:val="00C81D0A"/>
    <w:rsid w:val="00C81D4C"/>
    <w:rsid w:val="00C81E63"/>
    <w:rsid w:val="00C82143"/>
    <w:rsid w:val="00C823E4"/>
    <w:rsid w:val="00C826AF"/>
    <w:rsid w:val="00C82B43"/>
    <w:rsid w:val="00C82BD4"/>
    <w:rsid w:val="00C82C02"/>
    <w:rsid w:val="00C82C2B"/>
    <w:rsid w:val="00C82C59"/>
    <w:rsid w:val="00C82DBB"/>
    <w:rsid w:val="00C8313A"/>
    <w:rsid w:val="00C83162"/>
    <w:rsid w:val="00C83212"/>
    <w:rsid w:val="00C8395B"/>
    <w:rsid w:val="00C839ED"/>
    <w:rsid w:val="00C841FF"/>
    <w:rsid w:val="00C844C5"/>
    <w:rsid w:val="00C846C1"/>
    <w:rsid w:val="00C84AEF"/>
    <w:rsid w:val="00C84C79"/>
    <w:rsid w:val="00C84D09"/>
    <w:rsid w:val="00C850C7"/>
    <w:rsid w:val="00C850CA"/>
    <w:rsid w:val="00C85118"/>
    <w:rsid w:val="00C85197"/>
    <w:rsid w:val="00C851BC"/>
    <w:rsid w:val="00C852FB"/>
    <w:rsid w:val="00C854C3"/>
    <w:rsid w:val="00C8569D"/>
    <w:rsid w:val="00C8580A"/>
    <w:rsid w:val="00C858B9"/>
    <w:rsid w:val="00C85BEC"/>
    <w:rsid w:val="00C85C62"/>
    <w:rsid w:val="00C86783"/>
    <w:rsid w:val="00C867CB"/>
    <w:rsid w:val="00C86866"/>
    <w:rsid w:val="00C86982"/>
    <w:rsid w:val="00C86AA7"/>
    <w:rsid w:val="00C86B77"/>
    <w:rsid w:val="00C86C9C"/>
    <w:rsid w:val="00C86F33"/>
    <w:rsid w:val="00C87018"/>
    <w:rsid w:val="00C873DE"/>
    <w:rsid w:val="00C875B3"/>
    <w:rsid w:val="00C87863"/>
    <w:rsid w:val="00C87895"/>
    <w:rsid w:val="00C878B4"/>
    <w:rsid w:val="00C87AAE"/>
    <w:rsid w:val="00C87C94"/>
    <w:rsid w:val="00C87EF4"/>
    <w:rsid w:val="00C900DA"/>
    <w:rsid w:val="00C9028E"/>
    <w:rsid w:val="00C902E4"/>
    <w:rsid w:val="00C90550"/>
    <w:rsid w:val="00C90654"/>
    <w:rsid w:val="00C906C2"/>
    <w:rsid w:val="00C90CD3"/>
    <w:rsid w:val="00C91496"/>
    <w:rsid w:val="00C91514"/>
    <w:rsid w:val="00C91573"/>
    <w:rsid w:val="00C91A56"/>
    <w:rsid w:val="00C91A7D"/>
    <w:rsid w:val="00C91B5F"/>
    <w:rsid w:val="00C91BC9"/>
    <w:rsid w:val="00C91C72"/>
    <w:rsid w:val="00C920DE"/>
    <w:rsid w:val="00C9241A"/>
    <w:rsid w:val="00C92635"/>
    <w:rsid w:val="00C92773"/>
    <w:rsid w:val="00C92C0B"/>
    <w:rsid w:val="00C92D6C"/>
    <w:rsid w:val="00C92D79"/>
    <w:rsid w:val="00C92DAF"/>
    <w:rsid w:val="00C92EDE"/>
    <w:rsid w:val="00C92FC8"/>
    <w:rsid w:val="00C9321D"/>
    <w:rsid w:val="00C93BA9"/>
    <w:rsid w:val="00C93C1A"/>
    <w:rsid w:val="00C93C55"/>
    <w:rsid w:val="00C93E63"/>
    <w:rsid w:val="00C93F91"/>
    <w:rsid w:val="00C93FB8"/>
    <w:rsid w:val="00C94247"/>
    <w:rsid w:val="00C942CD"/>
    <w:rsid w:val="00C94428"/>
    <w:rsid w:val="00C94477"/>
    <w:rsid w:val="00C9451C"/>
    <w:rsid w:val="00C945A6"/>
    <w:rsid w:val="00C946F8"/>
    <w:rsid w:val="00C94B3E"/>
    <w:rsid w:val="00C94B6F"/>
    <w:rsid w:val="00C94C3E"/>
    <w:rsid w:val="00C94C8E"/>
    <w:rsid w:val="00C94C98"/>
    <w:rsid w:val="00C94D87"/>
    <w:rsid w:val="00C94DDF"/>
    <w:rsid w:val="00C94EA7"/>
    <w:rsid w:val="00C94FFB"/>
    <w:rsid w:val="00C95032"/>
    <w:rsid w:val="00C952D0"/>
    <w:rsid w:val="00C9558F"/>
    <w:rsid w:val="00C9560B"/>
    <w:rsid w:val="00C95AB9"/>
    <w:rsid w:val="00C95BDC"/>
    <w:rsid w:val="00C95DE1"/>
    <w:rsid w:val="00C95FDD"/>
    <w:rsid w:val="00C9648E"/>
    <w:rsid w:val="00C96541"/>
    <w:rsid w:val="00C96BC3"/>
    <w:rsid w:val="00C975E8"/>
    <w:rsid w:val="00C9777E"/>
    <w:rsid w:val="00C977C9"/>
    <w:rsid w:val="00C979AB"/>
    <w:rsid w:val="00C979C4"/>
    <w:rsid w:val="00C97A4F"/>
    <w:rsid w:val="00C97EDE"/>
    <w:rsid w:val="00CA095C"/>
    <w:rsid w:val="00CA0C62"/>
    <w:rsid w:val="00CA0C6A"/>
    <w:rsid w:val="00CA1211"/>
    <w:rsid w:val="00CA1421"/>
    <w:rsid w:val="00CA1686"/>
    <w:rsid w:val="00CA1876"/>
    <w:rsid w:val="00CA189A"/>
    <w:rsid w:val="00CA1A2A"/>
    <w:rsid w:val="00CA1C55"/>
    <w:rsid w:val="00CA1F4E"/>
    <w:rsid w:val="00CA1F60"/>
    <w:rsid w:val="00CA24EF"/>
    <w:rsid w:val="00CA255F"/>
    <w:rsid w:val="00CA2609"/>
    <w:rsid w:val="00CA2FEA"/>
    <w:rsid w:val="00CA30D0"/>
    <w:rsid w:val="00CA33CE"/>
    <w:rsid w:val="00CA3550"/>
    <w:rsid w:val="00CA384A"/>
    <w:rsid w:val="00CA3B61"/>
    <w:rsid w:val="00CA3B85"/>
    <w:rsid w:val="00CA4500"/>
    <w:rsid w:val="00CA47BB"/>
    <w:rsid w:val="00CA4826"/>
    <w:rsid w:val="00CA4866"/>
    <w:rsid w:val="00CA4A8F"/>
    <w:rsid w:val="00CA5538"/>
    <w:rsid w:val="00CA5612"/>
    <w:rsid w:val="00CA5677"/>
    <w:rsid w:val="00CA5A35"/>
    <w:rsid w:val="00CA5E66"/>
    <w:rsid w:val="00CA5E7C"/>
    <w:rsid w:val="00CA60AA"/>
    <w:rsid w:val="00CA612E"/>
    <w:rsid w:val="00CA641E"/>
    <w:rsid w:val="00CA68DC"/>
    <w:rsid w:val="00CA6BC3"/>
    <w:rsid w:val="00CA6C4C"/>
    <w:rsid w:val="00CA6CC8"/>
    <w:rsid w:val="00CA6E29"/>
    <w:rsid w:val="00CA7052"/>
    <w:rsid w:val="00CA70A2"/>
    <w:rsid w:val="00CA71E7"/>
    <w:rsid w:val="00CA722C"/>
    <w:rsid w:val="00CB00B6"/>
    <w:rsid w:val="00CB022A"/>
    <w:rsid w:val="00CB023C"/>
    <w:rsid w:val="00CB023F"/>
    <w:rsid w:val="00CB050C"/>
    <w:rsid w:val="00CB05B4"/>
    <w:rsid w:val="00CB066D"/>
    <w:rsid w:val="00CB06EA"/>
    <w:rsid w:val="00CB0FD3"/>
    <w:rsid w:val="00CB10F1"/>
    <w:rsid w:val="00CB1289"/>
    <w:rsid w:val="00CB12BD"/>
    <w:rsid w:val="00CB14E8"/>
    <w:rsid w:val="00CB17D7"/>
    <w:rsid w:val="00CB18CA"/>
    <w:rsid w:val="00CB1AEC"/>
    <w:rsid w:val="00CB1B14"/>
    <w:rsid w:val="00CB2439"/>
    <w:rsid w:val="00CB2579"/>
    <w:rsid w:val="00CB25D4"/>
    <w:rsid w:val="00CB2682"/>
    <w:rsid w:val="00CB27C5"/>
    <w:rsid w:val="00CB27E9"/>
    <w:rsid w:val="00CB2987"/>
    <w:rsid w:val="00CB2C53"/>
    <w:rsid w:val="00CB2EBA"/>
    <w:rsid w:val="00CB343C"/>
    <w:rsid w:val="00CB3645"/>
    <w:rsid w:val="00CB376A"/>
    <w:rsid w:val="00CB39FB"/>
    <w:rsid w:val="00CB3AB6"/>
    <w:rsid w:val="00CB3DA2"/>
    <w:rsid w:val="00CB43DA"/>
    <w:rsid w:val="00CB44B1"/>
    <w:rsid w:val="00CB489C"/>
    <w:rsid w:val="00CB4DC4"/>
    <w:rsid w:val="00CB51C1"/>
    <w:rsid w:val="00CB51D2"/>
    <w:rsid w:val="00CB536C"/>
    <w:rsid w:val="00CB5A2F"/>
    <w:rsid w:val="00CB61EC"/>
    <w:rsid w:val="00CB6206"/>
    <w:rsid w:val="00CB627D"/>
    <w:rsid w:val="00CB62BD"/>
    <w:rsid w:val="00CB6444"/>
    <w:rsid w:val="00CB66C3"/>
    <w:rsid w:val="00CB6775"/>
    <w:rsid w:val="00CB6995"/>
    <w:rsid w:val="00CB6A9F"/>
    <w:rsid w:val="00CB6AE1"/>
    <w:rsid w:val="00CB6D23"/>
    <w:rsid w:val="00CB6D39"/>
    <w:rsid w:val="00CB6F9E"/>
    <w:rsid w:val="00CB7195"/>
    <w:rsid w:val="00CB771C"/>
    <w:rsid w:val="00CB7AFD"/>
    <w:rsid w:val="00CB7B70"/>
    <w:rsid w:val="00CC029B"/>
    <w:rsid w:val="00CC0353"/>
    <w:rsid w:val="00CC0654"/>
    <w:rsid w:val="00CC0B96"/>
    <w:rsid w:val="00CC0CC6"/>
    <w:rsid w:val="00CC0DBC"/>
    <w:rsid w:val="00CC1010"/>
    <w:rsid w:val="00CC1041"/>
    <w:rsid w:val="00CC121C"/>
    <w:rsid w:val="00CC1C1A"/>
    <w:rsid w:val="00CC1CC8"/>
    <w:rsid w:val="00CC27E1"/>
    <w:rsid w:val="00CC2AB1"/>
    <w:rsid w:val="00CC2B13"/>
    <w:rsid w:val="00CC2D18"/>
    <w:rsid w:val="00CC2DA5"/>
    <w:rsid w:val="00CC2EF7"/>
    <w:rsid w:val="00CC2F18"/>
    <w:rsid w:val="00CC3127"/>
    <w:rsid w:val="00CC32A1"/>
    <w:rsid w:val="00CC3537"/>
    <w:rsid w:val="00CC3861"/>
    <w:rsid w:val="00CC388C"/>
    <w:rsid w:val="00CC3AD3"/>
    <w:rsid w:val="00CC3B4D"/>
    <w:rsid w:val="00CC3C88"/>
    <w:rsid w:val="00CC3D7D"/>
    <w:rsid w:val="00CC3DE1"/>
    <w:rsid w:val="00CC3FA0"/>
    <w:rsid w:val="00CC41C0"/>
    <w:rsid w:val="00CC4209"/>
    <w:rsid w:val="00CC43F9"/>
    <w:rsid w:val="00CC4B4E"/>
    <w:rsid w:val="00CC4B5B"/>
    <w:rsid w:val="00CC4BAE"/>
    <w:rsid w:val="00CC4C08"/>
    <w:rsid w:val="00CC4CFE"/>
    <w:rsid w:val="00CC535C"/>
    <w:rsid w:val="00CC5A01"/>
    <w:rsid w:val="00CC5B26"/>
    <w:rsid w:val="00CC5B5C"/>
    <w:rsid w:val="00CC5D41"/>
    <w:rsid w:val="00CC5FAE"/>
    <w:rsid w:val="00CC5FEE"/>
    <w:rsid w:val="00CC608C"/>
    <w:rsid w:val="00CC6105"/>
    <w:rsid w:val="00CC657B"/>
    <w:rsid w:val="00CC66D4"/>
    <w:rsid w:val="00CC6E5E"/>
    <w:rsid w:val="00CC7162"/>
    <w:rsid w:val="00CC717C"/>
    <w:rsid w:val="00CC7445"/>
    <w:rsid w:val="00CC7501"/>
    <w:rsid w:val="00CC7854"/>
    <w:rsid w:val="00CC79A6"/>
    <w:rsid w:val="00CC7D13"/>
    <w:rsid w:val="00CC7E3E"/>
    <w:rsid w:val="00CC7E48"/>
    <w:rsid w:val="00CC7E9D"/>
    <w:rsid w:val="00CC7F39"/>
    <w:rsid w:val="00CD010D"/>
    <w:rsid w:val="00CD0194"/>
    <w:rsid w:val="00CD02E5"/>
    <w:rsid w:val="00CD02FA"/>
    <w:rsid w:val="00CD0673"/>
    <w:rsid w:val="00CD07AD"/>
    <w:rsid w:val="00CD0862"/>
    <w:rsid w:val="00CD0C10"/>
    <w:rsid w:val="00CD0C3F"/>
    <w:rsid w:val="00CD10AC"/>
    <w:rsid w:val="00CD118D"/>
    <w:rsid w:val="00CD16DA"/>
    <w:rsid w:val="00CD1768"/>
    <w:rsid w:val="00CD18D8"/>
    <w:rsid w:val="00CD1C42"/>
    <w:rsid w:val="00CD1F46"/>
    <w:rsid w:val="00CD20F0"/>
    <w:rsid w:val="00CD22A1"/>
    <w:rsid w:val="00CD23BA"/>
    <w:rsid w:val="00CD23F4"/>
    <w:rsid w:val="00CD2622"/>
    <w:rsid w:val="00CD2856"/>
    <w:rsid w:val="00CD28F2"/>
    <w:rsid w:val="00CD29EA"/>
    <w:rsid w:val="00CD2A6B"/>
    <w:rsid w:val="00CD2DFE"/>
    <w:rsid w:val="00CD3129"/>
    <w:rsid w:val="00CD31BA"/>
    <w:rsid w:val="00CD333E"/>
    <w:rsid w:val="00CD385A"/>
    <w:rsid w:val="00CD3D06"/>
    <w:rsid w:val="00CD3D75"/>
    <w:rsid w:val="00CD3F5B"/>
    <w:rsid w:val="00CD3F67"/>
    <w:rsid w:val="00CD404F"/>
    <w:rsid w:val="00CD41FB"/>
    <w:rsid w:val="00CD439E"/>
    <w:rsid w:val="00CD4403"/>
    <w:rsid w:val="00CD4425"/>
    <w:rsid w:val="00CD45CE"/>
    <w:rsid w:val="00CD47D0"/>
    <w:rsid w:val="00CD4AC7"/>
    <w:rsid w:val="00CD4C37"/>
    <w:rsid w:val="00CD4D1B"/>
    <w:rsid w:val="00CD538F"/>
    <w:rsid w:val="00CD53BE"/>
    <w:rsid w:val="00CD5632"/>
    <w:rsid w:val="00CD564B"/>
    <w:rsid w:val="00CD56E3"/>
    <w:rsid w:val="00CD5E6F"/>
    <w:rsid w:val="00CD5F7B"/>
    <w:rsid w:val="00CD62BB"/>
    <w:rsid w:val="00CD66F5"/>
    <w:rsid w:val="00CD697F"/>
    <w:rsid w:val="00CD69FD"/>
    <w:rsid w:val="00CD6A63"/>
    <w:rsid w:val="00CD7528"/>
    <w:rsid w:val="00CD7FB8"/>
    <w:rsid w:val="00CE0509"/>
    <w:rsid w:val="00CE062A"/>
    <w:rsid w:val="00CE0B71"/>
    <w:rsid w:val="00CE0BD0"/>
    <w:rsid w:val="00CE0C01"/>
    <w:rsid w:val="00CE0C5D"/>
    <w:rsid w:val="00CE1356"/>
    <w:rsid w:val="00CE1766"/>
    <w:rsid w:val="00CE1850"/>
    <w:rsid w:val="00CE187F"/>
    <w:rsid w:val="00CE1A44"/>
    <w:rsid w:val="00CE1A78"/>
    <w:rsid w:val="00CE1AC5"/>
    <w:rsid w:val="00CE1DFB"/>
    <w:rsid w:val="00CE1F5A"/>
    <w:rsid w:val="00CE2322"/>
    <w:rsid w:val="00CE2430"/>
    <w:rsid w:val="00CE2715"/>
    <w:rsid w:val="00CE2AAC"/>
    <w:rsid w:val="00CE2AC2"/>
    <w:rsid w:val="00CE2BAC"/>
    <w:rsid w:val="00CE2D71"/>
    <w:rsid w:val="00CE2E3E"/>
    <w:rsid w:val="00CE2F08"/>
    <w:rsid w:val="00CE30B6"/>
    <w:rsid w:val="00CE30FF"/>
    <w:rsid w:val="00CE3128"/>
    <w:rsid w:val="00CE3288"/>
    <w:rsid w:val="00CE32F1"/>
    <w:rsid w:val="00CE3439"/>
    <w:rsid w:val="00CE3664"/>
    <w:rsid w:val="00CE373E"/>
    <w:rsid w:val="00CE3776"/>
    <w:rsid w:val="00CE39A0"/>
    <w:rsid w:val="00CE39A3"/>
    <w:rsid w:val="00CE3A98"/>
    <w:rsid w:val="00CE3AE7"/>
    <w:rsid w:val="00CE3C2E"/>
    <w:rsid w:val="00CE40ED"/>
    <w:rsid w:val="00CE429A"/>
    <w:rsid w:val="00CE43F8"/>
    <w:rsid w:val="00CE452F"/>
    <w:rsid w:val="00CE474E"/>
    <w:rsid w:val="00CE493D"/>
    <w:rsid w:val="00CE499D"/>
    <w:rsid w:val="00CE4F61"/>
    <w:rsid w:val="00CE501D"/>
    <w:rsid w:val="00CE50FC"/>
    <w:rsid w:val="00CE5145"/>
    <w:rsid w:val="00CE54B6"/>
    <w:rsid w:val="00CE54EB"/>
    <w:rsid w:val="00CE5965"/>
    <w:rsid w:val="00CE5CE5"/>
    <w:rsid w:val="00CE63D6"/>
    <w:rsid w:val="00CE6697"/>
    <w:rsid w:val="00CE6820"/>
    <w:rsid w:val="00CE6FE3"/>
    <w:rsid w:val="00CE72C8"/>
    <w:rsid w:val="00CE72E2"/>
    <w:rsid w:val="00CE72E6"/>
    <w:rsid w:val="00CE7747"/>
    <w:rsid w:val="00CE7D0C"/>
    <w:rsid w:val="00CE7F0C"/>
    <w:rsid w:val="00CF0197"/>
    <w:rsid w:val="00CF0202"/>
    <w:rsid w:val="00CF0612"/>
    <w:rsid w:val="00CF0ADD"/>
    <w:rsid w:val="00CF0C83"/>
    <w:rsid w:val="00CF0D90"/>
    <w:rsid w:val="00CF0EA1"/>
    <w:rsid w:val="00CF12B0"/>
    <w:rsid w:val="00CF12F3"/>
    <w:rsid w:val="00CF1383"/>
    <w:rsid w:val="00CF13E9"/>
    <w:rsid w:val="00CF14F9"/>
    <w:rsid w:val="00CF1BBA"/>
    <w:rsid w:val="00CF1EF8"/>
    <w:rsid w:val="00CF1F5F"/>
    <w:rsid w:val="00CF22F2"/>
    <w:rsid w:val="00CF2429"/>
    <w:rsid w:val="00CF259E"/>
    <w:rsid w:val="00CF265F"/>
    <w:rsid w:val="00CF26CA"/>
    <w:rsid w:val="00CF28CA"/>
    <w:rsid w:val="00CF2A38"/>
    <w:rsid w:val="00CF2F0B"/>
    <w:rsid w:val="00CF31A0"/>
    <w:rsid w:val="00CF332A"/>
    <w:rsid w:val="00CF3520"/>
    <w:rsid w:val="00CF3770"/>
    <w:rsid w:val="00CF388D"/>
    <w:rsid w:val="00CF3952"/>
    <w:rsid w:val="00CF3A0E"/>
    <w:rsid w:val="00CF3C12"/>
    <w:rsid w:val="00CF3CAC"/>
    <w:rsid w:val="00CF423D"/>
    <w:rsid w:val="00CF430A"/>
    <w:rsid w:val="00CF434D"/>
    <w:rsid w:val="00CF46CA"/>
    <w:rsid w:val="00CF49B2"/>
    <w:rsid w:val="00CF4B94"/>
    <w:rsid w:val="00CF4D12"/>
    <w:rsid w:val="00CF4D46"/>
    <w:rsid w:val="00CF4F5E"/>
    <w:rsid w:val="00CF5094"/>
    <w:rsid w:val="00CF50D1"/>
    <w:rsid w:val="00CF51D1"/>
    <w:rsid w:val="00CF541F"/>
    <w:rsid w:val="00CF55A3"/>
    <w:rsid w:val="00CF5790"/>
    <w:rsid w:val="00CF5868"/>
    <w:rsid w:val="00CF58A0"/>
    <w:rsid w:val="00CF5988"/>
    <w:rsid w:val="00CF5A70"/>
    <w:rsid w:val="00CF5AB7"/>
    <w:rsid w:val="00CF5DA6"/>
    <w:rsid w:val="00CF5E21"/>
    <w:rsid w:val="00CF6087"/>
    <w:rsid w:val="00CF68D9"/>
    <w:rsid w:val="00CF68ED"/>
    <w:rsid w:val="00CF6AC9"/>
    <w:rsid w:val="00CF6DC8"/>
    <w:rsid w:val="00CF6DE3"/>
    <w:rsid w:val="00CF73BE"/>
    <w:rsid w:val="00CF7C98"/>
    <w:rsid w:val="00CF7C9F"/>
    <w:rsid w:val="00CF7D80"/>
    <w:rsid w:val="00D0042B"/>
    <w:rsid w:val="00D006D3"/>
    <w:rsid w:val="00D0094E"/>
    <w:rsid w:val="00D00C55"/>
    <w:rsid w:val="00D00CC2"/>
    <w:rsid w:val="00D00EDC"/>
    <w:rsid w:val="00D00FD4"/>
    <w:rsid w:val="00D010A4"/>
    <w:rsid w:val="00D01113"/>
    <w:rsid w:val="00D01329"/>
    <w:rsid w:val="00D014E2"/>
    <w:rsid w:val="00D01BF6"/>
    <w:rsid w:val="00D01D84"/>
    <w:rsid w:val="00D01E6F"/>
    <w:rsid w:val="00D01F62"/>
    <w:rsid w:val="00D01FDB"/>
    <w:rsid w:val="00D0206F"/>
    <w:rsid w:val="00D02297"/>
    <w:rsid w:val="00D023C5"/>
    <w:rsid w:val="00D02A5E"/>
    <w:rsid w:val="00D02BC7"/>
    <w:rsid w:val="00D02D03"/>
    <w:rsid w:val="00D02D35"/>
    <w:rsid w:val="00D02E5F"/>
    <w:rsid w:val="00D02E77"/>
    <w:rsid w:val="00D02F3D"/>
    <w:rsid w:val="00D03284"/>
    <w:rsid w:val="00D03347"/>
    <w:rsid w:val="00D034E8"/>
    <w:rsid w:val="00D03A9B"/>
    <w:rsid w:val="00D03AA1"/>
    <w:rsid w:val="00D03BEC"/>
    <w:rsid w:val="00D03F16"/>
    <w:rsid w:val="00D0400D"/>
    <w:rsid w:val="00D040B8"/>
    <w:rsid w:val="00D04316"/>
    <w:rsid w:val="00D04A25"/>
    <w:rsid w:val="00D04A38"/>
    <w:rsid w:val="00D05406"/>
    <w:rsid w:val="00D05431"/>
    <w:rsid w:val="00D0545A"/>
    <w:rsid w:val="00D0566B"/>
    <w:rsid w:val="00D058AA"/>
    <w:rsid w:val="00D059A3"/>
    <w:rsid w:val="00D05A7C"/>
    <w:rsid w:val="00D05AB7"/>
    <w:rsid w:val="00D05D92"/>
    <w:rsid w:val="00D0638B"/>
    <w:rsid w:val="00D064B2"/>
    <w:rsid w:val="00D069A6"/>
    <w:rsid w:val="00D06DDA"/>
    <w:rsid w:val="00D06EFF"/>
    <w:rsid w:val="00D06F08"/>
    <w:rsid w:val="00D06FB7"/>
    <w:rsid w:val="00D072C4"/>
    <w:rsid w:val="00D07523"/>
    <w:rsid w:val="00D0756B"/>
    <w:rsid w:val="00D07652"/>
    <w:rsid w:val="00D07A06"/>
    <w:rsid w:val="00D07F7D"/>
    <w:rsid w:val="00D100F7"/>
    <w:rsid w:val="00D10113"/>
    <w:rsid w:val="00D1032B"/>
    <w:rsid w:val="00D10AD2"/>
    <w:rsid w:val="00D10CCB"/>
    <w:rsid w:val="00D10D7A"/>
    <w:rsid w:val="00D10EEE"/>
    <w:rsid w:val="00D10F6F"/>
    <w:rsid w:val="00D10FF8"/>
    <w:rsid w:val="00D113F2"/>
    <w:rsid w:val="00D11426"/>
    <w:rsid w:val="00D117BD"/>
    <w:rsid w:val="00D11D27"/>
    <w:rsid w:val="00D11DD2"/>
    <w:rsid w:val="00D12044"/>
    <w:rsid w:val="00D1233C"/>
    <w:rsid w:val="00D123C6"/>
    <w:rsid w:val="00D1245D"/>
    <w:rsid w:val="00D12AE8"/>
    <w:rsid w:val="00D12BA1"/>
    <w:rsid w:val="00D12CA1"/>
    <w:rsid w:val="00D12F40"/>
    <w:rsid w:val="00D13104"/>
    <w:rsid w:val="00D13196"/>
    <w:rsid w:val="00D13286"/>
    <w:rsid w:val="00D1328A"/>
    <w:rsid w:val="00D13347"/>
    <w:rsid w:val="00D135D5"/>
    <w:rsid w:val="00D136D6"/>
    <w:rsid w:val="00D138BB"/>
    <w:rsid w:val="00D139CB"/>
    <w:rsid w:val="00D13D62"/>
    <w:rsid w:val="00D13E56"/>
    <w:rsid w:val="00D14102"/>
    <w:rsid w:val="00D142D7"/>
    <w:rsid w:val="00D14470"/>
    <w:rsid w:val="00D1470D"/>
    <w:rsid w:val="00D147F7"/>
    <w:rsid w:val="00D149EB"/>
    <w:rsid w:val="00D14A4E"/>
    <w:rsid w:val="00D14A71"/>
    <w:rsid w:val="00D14CB7"/>
    <w:rsid w:val="00D1514C"/>
    <w:rsid w:val="00D158B1"/>
    <w:rsid w:val="00D15D55"/>
    <w:rsid w:val="00D15F1E"/>
    <w:rsid w:val="00D15F85"/>
    <w:rsid w:val="00D16062"/>
    <w:rsid w:val="00D1629F"/>
    <w:rsid w:val="00D1633B"/>
    <w:rsid w:val="00D16414"/>
    <w:rsid w:val="00D166A2"/>
    <w:rsid w:val="00D1686F"/>
    <w:rsid w:val="00D16B7F"/>
    <w:rsid w:val="00D16D41"/>
    <w:rsid w:val="00D171F2"/>
    <w:rsid w:val="00D1742D"/>
    <w:rsid w:val="00D17519"/>
    <w:rsid w:val="00D17528"/>
    <w:rsid w:val="00D1799E"/>
    <w:rsid w:val="00D17DD7"/>
    <w:rsid w:val="00D17EE8"/>
    <w:rsid w:val="00D20344"/>
    <w:rsid w:val="00D2083D"/>
    <w:rsid w:val="00D20BEB"/>
    <w:rsid w:val="00D20D65"/>
    <w:rsid w:val="00D2121A"/>
    <w:rsid w:val="00D21289"/>
    <w:rsid w:val="00D214F7"/>
    <w:rsid w:val="00D2196D"/>
    <w:rsid w:val="00D21AC0"/>
    <w:rsid w:val="00D21D3B"/>
    <w:rsid w:val="00D21F59"/>
    <w:rsid w:val="00D221A7"/>
    <w:rsid w:val="00D22332"/>
    <w:rsid w:val="00D22469"/>
    <w:rsid w:val="00D22887"/>
    <w:rsid w:val="00D228AC"/>
    <w:rsid w:val="00D22A67"/>
    <w:rsid w:val="00D22A74"/>
    <w:rsid w:val="00D22BAD"/>
    <w:rsid w:val="00D22CA7"/>
    <w:rsid w:val="00D22E54"/>
    <w:rsid w:val="00D23013"/>
    <w:rsid w:val="00D23688"/>
    <w:rsid w:val="00D2373B"/>
    <w:rsid w:val="00D23766"/>
    <w:rsid w:val="00D23EA7"/>
    <w:rsid w:val="00D23F0E"/>
    <w:rsid w:val="00D241D2"/>
    <w:rsid w:val="00D2439B"/>
    <w:rsid w:val="00D24451"/>
    <w:rsid w:val="00D245BD"/>
    <w:rsid w:val="00D24651"/>
    <w:rsid w:val="00D246FC"/>
    <w:rsid w:val="00D249CF"/>
    <w:rsid w:val="00D24FB7"/>
    <w:rsid w:val="00D25156"/>
    <w:rsid w:val="00D252BE"/>
    <w:rsid w:val="00D25338"/>
    <w:rsid w:val="00D25554"/>
    <w:rsid w:val="00D258D9"/>
    <w:rsid w:val="00D25A2D"/>
    <w:rsid w:val="00D25A3D"/>
    <w:rsid w:val="00D25AE0"/>
    <w:rsid w:val="00D25BB6"/>
    <w:rsid w:val="00D25EFE"/>
    <w:rsid w:val="00D2634A"/>
    <w:rsid w:val="00D2635E"/>
    <w:rsid w:val="00D265BB"/>
    <w:rsid w:val="00D2683C"/>
    <w:rsid w:val="00D26935"/>
    <w:rsid w:val="00D269F8"/>
    <w:rsid w:val="00D27018"/>
    <w:rsid w:val="00D27370"/>
    <w:rsid w:val="00D2772D"/>
    <w:rsid w:val="00D27D2B"/>
    <w:rsid w:val="00D27D7C"/>
    <w:rsid w:val="00D27D93"/>
    <w:rsid w:val="00D27FB1"/>
    <w:rsid w:val="00D3009C"/>
    <w:rsid w:val="00D30235"/>
    <w:rsid w:val="00D30394"/>
    <w:rsid w:val="00D3078F"/>
    <w:rsid w:val="00D30C0B"/>
    <w:rsid w:val="00D30EB8"/>
    <w:rsid w:val="00D31285"/>
    <w:rsid w:val="00D3179F"/>
    <w:rsid w:val="00D319D5"/>
    <w:rsid w:val="00D31B9C"/>
    <w:rsid w:val="00D32045"/>
    <w:rsid w:val="00D32307"/>
    <w:rsid w:val="00D324AE"/>
    <w:rsid w:val="00D324FF"/>
    <w:rsid w:val="00D326DC"/>
    <w:rsid w:val="00D3299E"/>
    <w:rsid w:val="00D32A83"/>
    <w:rsid w:val="00D32EFD"/>
    <w:rsid w:val="00D32FA8"/>
    <w:rsid w:val="00D3310F"/>
    <w:rsid w:val="00D33425"/>
    <w:rsid w:val="00D33495"/>
    <w:rsid w:val="00D33769"/>
    <w:rsid w:val="00D337AB"/>
    <w:rsid w:val="00D338BA"/>
    <w:rsid w:val="00D33A66"/>
    <w:rsid w:val="00D33E20"/>
    <w:rsid w:val="00D33FAF"/>
    <w:rsid w:val="00D34135"/>
    <w:rsid w:val="00D341DC"/>
    <w:rsid w:val="00D34478"/>
    <w:rsid w:val="00D34688"/>
    <w:rsid w:val="00D34A56"/>
    <w:rsid w:val="00D34CE5"/>
    <w:rsid w:val="00D34E5D"/>
    <w:rsid w:val="00D34E94"/>
    <w:rsid w:val="00D35079"/>
    <w:rsid w:val="00D3558D"/>
    <w:rsid w:val="00D35726"/>
    <w:rsid w:val="00D35A80"/>
    <w:rsid w:val="00D35B1D"/>
    <w:rsid w:val="00D35C84"/>
    <w:rsid w:val="00D360AA"/>
    <w:rsid w:val="00D360D3"/>
    <w:rsid w:val="00D36378"/>
    <w:rsid w:val="00D3644D"/>
    <w:rsid w:val="00D365FA"/>
    <w:rsid w:val="00D36B0F"/>
    <w:rsid w:val="00D36B3D"/>
    <w:rsid w:val="00D36EAA"/>
    <w:rsid w:val="00D3705C"/>
    <w:rsid w:val="00D37816"/>
    <w:rsid w:val="00D37988"/>
    <w:rsid w:val="00D37C69"/>
    <w:rsid w:val="00D37F75"/>
    <w:rsid w:val="00D40541"/>
    <w:rsid w:val="00D40801"/>
    <w:rsid w:val="00D40BB8"/>
    <w:rsid w:val="00D40BE3"/>
    <w:rsid w:val="00D40E95"/>
    <w:rsid w:val="00D40FC2"/>
    <w:rsid w:val="00D410B2"/>
    <w:rsid w:val="00D4145B"/>
    <w:rsid w:val="00D4171E"/>
    <w:rsid w:val="00D42094"/>
    <w:rsid w:val="00D4215A"/>
    <w:rsid w:val="00D4261E"/>
    <w:rsid w:val="00D428AB"/>
    <w:rsid w:val="00D42A69"/>
    <w:rsid w:val="00D42BF4"/>
    <w:rsid w:val="00D42C36"/>
    <w:rsid w:val="00D42D97"/>
    <w:rsid w:val="00D42EEE"/>
    <w:rsid w:val="00D42F80"/>
    <w:rsid w:val="00D4337A"/>
    <w:rsid w:val="00D437AE"/>
    <w:rsid w:val="00D43848"/>
    <w:rsid w:val="00D438EA"/>
    <w:rsid w:val="00D43CA9"/>
    <w:rsid w:val="00D43F83"/>
    <w:rsid w:val="00D4426E"/>
    <w:rsid w:val="00D44306"/>
    <w:rsid w:val="00D4458B"/>
    <w:rsid w:val="00D44BD5"/>
    <w:rsid w:val="00D44CA8"/>
    <w:rsid w:val="00D44CDD"/>
    <w:rsid w:val="00D44E62"/>
    <w:rsid w:val="00D4507F"/>
    <w:rsid w:val="00D451CE"/>
    <w:rsid w:val="00D45AD3"/>
    <w:rsid w:val="00D45EAE"/>
    <w:rsid w:val="00D45F4B"/>
    <w:rsid w:val="00D461E0"/>
    <w:rsid w:val="00D464EC"/>
    <w:rsid w:val="00D466CF"/>
    <w:rsid w:val="00D469E1"/>
    <w:rsid w:val="00D46BD2"/>
    <w:rsid w:val="00D47121"/>
    <w:rsid w:val="00D47A7C"/>
    <w:rsid w:val="00D47A96"/>
    <w:rsid w:val="00D5016F"/>
    <w:rsid w:val="00D5020D"/>
    <w:rsid w:val="00D50216"/>
    <w:rsid w:val="00D5027C"/>
    <w:rsid w:val="00D502AC"/>
    <w:rsid w:val="00D502D6"/>
    <w:rsid w:val="00D50367"/>
    <w:rsid w:val="00D503A5"/>
    <w:rsid w:val="00D50657"/>
    <w:rsid w:val="00D5069E"/>
    <w:rsid w:val="00D506E3"/>
    <w:rsid w:val="00D50B7B"/>
    <w:rsid w:val="00D50BA3"/>
    <w:rsid w:val="00D50C4E"/>
    <w:rsid w:val="00D51038"/>
    <w:rsid w:val="00D51752"/>
    <w:rsid w:val="00D5227F"/>
    <w:rsid w:val="00D5256C"/>
    <w:rsid w:val="00D525CD"/>
    <w:rsid w:val="00D526B1"/>
    <w:rsid w:val="00D526F5"/>
    <w:rsid w:val="00D52778"/>
    <w:rsid w:val="00D528B4"/>
    <w:rsid w:val="00D528CD"/>
    <w:rsid w:val="00D528D0"/>
    <w:rsid w:val="00D5297C"/>
    <w:rsid w:val="00D52CA1"/>
    <w:rsid w:val="00D52CFE"/>
    <w:rsid w:val="00D52E28"/>
    <w:rsid w:val="00D52F10"/>
    <w:rsid w:val="00D52FB3"/>
    <w:rsid w:val="00D5367A"/>
    <w:rsid w:val="00D538A1"/>
    <w:rsid w:val="00D5393A"/>
    <w:rsid w:val="00D53CDB"/>
    <w:rsid w:val="00D53D01"/>
    <w:rsid w:val="00D54271"/>
    <w:rsid w:val="00D5450F"/>
    <w:rsid w:val="00D547BF"/>
    <w:rsid w:val="00D54DB2"/>
    <w:rsid w:val="00D5514A"/>
    <w:rsid w:val="00D55668"/>
    <w:rsid w:val="00D55790"/>
    <w:rsid w:val="00D55ED1"/>
    <w:rsid w:val="00D55F86"/>
    <w:rsid w:val="00D55FF4"/>
    <w:rsid w:val="00D56239"/>
    <w:rsid w:val="00D567A9"/>
    <w:rsid w:val="00D56813"/>
    <w:rsid w:val="00D5687D"/>
    <w:rsid w:val="00D56C69"/>
    <w:rsid w:val="00D573B8"/>
    <w:rsid w:val="00D576C0"/>
    <w:rsid w:val="00D578B1"/>
    <w:rsid w:val="00D57920"/>
    <w:rsid w:val="00D5795A"/>
    <w:rsid w:val="00D57A96"/>
    <w:rsid w:val="00D57BB3"/>
    <w:rsid w:val="00D600D2"/>
    <w:rsid w:val="00D6026F"/>
    <w:rsid w:val="00D603ED"/>
    <w:rsid w:val="00D60AA2"/>
    <w:rsid w:val="00D60B6F"/>
    <w:rsid w:val="00D60BA0"/>
    <w:rsid w:val="00D60EB8"/>
    <w:rsid w:val="00D60FD7"/>
    <w:rsid w:val="00D6128F"/>
    <w:rsid w:val="00D61432"/>
    <w:rsid w:val="00D618B4"/>
    <w:rsid w:val="00D619E1"/>
    <w:rsid w:val="00D61A94"/>
    <w:rsid w:val="00D61B62"/>
    <w:rsid w:val="00D61CB8"/>
    <w:rsid w:val="00D61E46"/>
    <w:rsid w:val="00D61FE7"/>
    <w:rsid w:val="00D62071"/>
    <w:rsid w:val="00D62248"/>
    <w:rsid w:val="00D62B67"/>
    <w:rsid w:val="00D62E7A"/>
    <w:rsid w:val="00D635EC"/>
    <w:rsid w:val="00D63B3F"/>
    <w:rsid w:val="00D63C07"/>
    <w:rsid w:val="00D63EA4"/>
    <w:rsid w:val="00D63F5B"/>
    <w:rsid w:val="00D640A6"/>
    <w:rsid w:val="00D642CA"/>
    <w:rsid w:val="00D643F7"/>
    <w:rsid w:val="00D64888"/>
    <w:rsid w:val="00D64F35"/>
    <w:rsid w:val="00D650E4"/>
    <w:rsid w:val="00D6524F"/>
    <w:rsid w:val="00D6545C"/>
    <w:rsid w:val="00D6564C"/>
    <w:rsid w:val="00D65B92"/>
    <w:rsid w:val="00D65CD1"/>
    <w:rsid w:val="00D65FBA"/>
    <w:rsid w:val="00D66079"/>
    <w:rsid w:val="00D660E8"/>
    <w:rsid w:val="00D6626A"/>
    <w:rsid w:val="00D66672"/>
    <w:rsid w:val="00D66687"/>
    <w:rsid w:val="00D66810"/>
    <w:rsid w:val="00D66999"/>
    <w:rsid w:val="00D66A3F"/>
    <w:rsid w:val="00D66E6A"/>
    <w:rsid w:val="00D66E91"/>
    <w:rsid w:val="00D67063"/>
    <w:rsid w:val="00D671A1"/>
    <w:rsid w:val="00D672BA"/>
    <w:rsid w:val="00D67B3D"/>
    <w:rsid w:val="00D67E1F"/>
    <w:rsid w:val="00D67F02"/>
    <w:rsid w:val="00D67FAF"/>
    <w:rsid w:val="00D70097"/>
    <w:rsid w:val="00D703D1"/>
    <w:rsid w:val="00D70B6E"/>
    <w:rsid w:val="00D70D54"/>
    <w:rsid w:val="00D711E1"/>
    <w:rsid w:val="00D7147B"/>
    <w:rsid w:val="00D72046"/>
    <w:rsid w:val="00D721A5"/>
    <w:rsid w:val="00D721AF"/>
    <w:rsid w:val="00D7231D"/>
    <w:rsid w:val="00D72530"/>
    <w:rsid w:val="00D729D1"/>
    <w:rsid w:val="00D72D13"/>
    <w:rsid w:val="00D7330E"/>
    <w:rsid w:val="00D73355"/>
    <w:rsid w:val="00D73440"/>
    <w:rsid w:val="00D735D0"/>
    <w:rsid w:val="00D73647"/>
    <w:rsid w:val="00D737AC"/>
    <w:rsid w:val="00D73B2F"/>
    <w:rsid w:val="00D73BE9"/>
    <w:rsid w:val="00D73E60"/>
    <w:rsid w:val="00D7464A"/>
    <w:rsid w:val="00D74BB4"/>
    <w:rsid w:val="00D74F1B"/>
    <w:rsid w:val="00D74F9D"/>
    <w:rsid w:val="00D7529E"/>
    <w:rsid w:val="00D7569E"/>
    <w:rsid w:val="00D7587B"/>
    <w:rsid w:val="00D75C5E"/>
    <w:rsid w:val="00D75C77"/>
    <w:rsid w:val="00D75D61"/>
    <w:rsid w:val="00D75E5E"/>
    <w:rsid w:val="00D75F34"/>
    <w:rsid w:val="00D76146"/>
    <w:rsid w:val="00D7640A"/>
    <w:rsid w:val="00D76436"/>
    <w:rsid w:val="00D76611"/>
    <w:rsid w:val="00D769B4"/>
    <w:rsid w:val="00D76A76"/>
    <w:rsid w:val="00D76D80"/>
    <w:rsid w:val="00D76E0C"/>
    <w:rsid w:val="00D771B4"/>
    <w:rsid w:val="00D77422"/>
    <w:rsid w:val="00D774DD"/>
    <w:rsid w:val="00D776FE"/>
    <w:rsid w:val="00D777CA"/>
    <w:rsid w:val="00D77AD7"/>
    <w:rsid w:val="00D77C27"/>
    <w:rsid w:val="00D77D9A"/>
    <w:rsid w:val="00D801DD"/>
    <w:rsid w:val="00D80653"/>
    <w:rsid w:val="00D80DE9"/>
    <w:rsid w:val="00D812D2"/>
    <w:rsid w:val="00D8172E"/>
    <w:rsid w:val="00D817EF"/>
    <w:rsid w:val="00D81A6E"/>
    <w:rsid w:val="00D81F94"/>
    <w:rsid w:val="00D82226"/>
    <w:rsid w:val="00D82C98"/>
    <w:rsid w:val="00D82EAB"/>
    <w:rsid w:val="00D83551"/>
    <w:rsid w:val="00D838C4"/>
    <w:rsid w:val="00D83972"/>
    <w:rsid w:val="00D841CA"/>
    <w:rsid w:val="00D84210"/>
    <w:rsid w:val="00D84770"/>
    <w:rsid w:val="00D847DC"/>
    <w:rsid w:val="00D849AB"/>
    <w:rsid w:val="00D84D23"/>
    <w:rsid w:val="00D85807"/>
    <w:rsid w:val="00D8589F"/>
    <w:rsid w:val="00D8599F"/>
    <w:rsid w:val="00D859F9"/>
    <w:rsid w:val="00D85BB4"/>
    <w:rsid w:val="00D860C2"/>
    <w:rsid w:val="00D86395"/>
    <w:rsid w:val="00D863F1"/>
    <w:rsid w:val="00D864A1"/>
    <w:rsid w:val="00D86640"/>
    <w:rsid w:val="00D866F1"/>
    <w:rsid w:val="00D8686C"/>
    <w:rsid w:val="00D86BA0"/>
    <w:rsid w:val="00D86BDD"/>
    <w:rsid w:val="00D86C74"/>
    <w:rsid w:val="00D87194"/>
    <w:rsid w:val="00D87218"/>
    <w:rsid w:val="00D87612"/>
    <w:rsid w:val="00D8765D"/>
    <w:rsid w:val="00D87694"/>
    <w:rsid w:val="00D87AB0"/>
    <w:rsid w:val="00D900FA"/>
    <w:rsid w:val="00D90102"/>
    <w:rsid w:val="00D90217"/>
    <w:rsid w:val="00D9032B"/>
    <w:rsid w:val="00D9041F"/>
    <w:rsid w:val="00D904C9"/>
    <w:rsid w:val="00D90760"/>
    <w:rsid w:val="00D90D04"/>
    <w:rsid w:val="00D91415"/>
    <w:rsid w:val="00D91905"/>
    <w:rsid w:val="00D9192F"/>
    <w:rsid w:val="00D9198D"/>
    <w:rsid w:val="00D92621"/>
    <w:rsid w:val="00D92F74"/>
    <w:rsid w:val="00D92FBC"/>
    <w:rsid w:val="00D938CC"/>
    <w:rsid w:val="00D93A27"/>
    <w:rsid w:val="00D93D45"/>
    <w:rsid w:val="00D93DE6"/>
    <w:rsid w:val="00D93F9C"/>
    <w:rsid w:val="00D94050"/>
    <w:rsid w:val="00D94544"/>
    <w:rsid w:val="00D94781"/>
    <w:rsid w:val="00D9497A"/>
    <w:rsid w:val="00D94A00"/>
    <w:rsid w:val="00D94BC2"/>
    <w:rsid w:val="00D94FF4"/>
    <w:rsid w:val="00D95027"/>
    <w:rsid w:val="00D95322"/>
    <w:rsid w:val="00D955A5"/>
    <w:rsid w:val="00D95DF0"/>
    <w:rsid w:val="00D9638C"/>
    <w:rsid w:val="00D9698E"/>
    <w:rsid w:val="00D96C26"/>
    <w:rsid w:val="00D96CBD"/>
    <w:rsid w:val="00D96F68"/>
    <w:rsid w:val="00D970C3"/>
    <w:rsid w:val="00D972EC"/>
    <w:rsid w:val="00D9735D"/>
    <w:rsid w:val="00D974DE"/>
    <w:rsid w:val="00D9751C"/>
    <w:rsid w:val="00D97660"/>
    <w:rsid w:val="00D979C8"/>
    <w:rsid w:val="00D97AD6"/>
    <w:rsid w:val="00D97BB7"/>
    <w:rsid w:val="00D97D0A"/>
    <w:rsid w:val="00D97EDD"/>
    <w:rsid w:val="00D97F08"/>
    <w:rsid w:val="00D97F28"/>
    <w:rsid w:val="00DA0394"/>
    <w:rsid w:val="00DA0758"/>
    <w:rsid w:val="00DA0B8E"/>
    <w:rsid w:val="00DA1199"/>
    <w:rsid w:val="00DA1437"/>
    <w:rsid w:val="00DA1598"/>
    <w:rsid w:val="00DA16AC"/>
    <w:rsid w:val="00DA2107"/>
    <w:rsid w:val="00DA2278"/>
    <w:rsid w:val="00DA2614"/>
    <w:rsid w:val="00DA262E"/>
    <w:rsid w:val="00DA29BB"/>
    <w:rsid w:val="00DA29BD"/>
    <w:rsid w:val="00DA2AC7"/>
    <w:rsid w:val="00DA2D63"/>
    <w:rsid w:val="00DA2E85"/>
    <w:rsid w:val="00DA2F37"/>
    <w:rsid w:val="00DA3257"/>
    <w:rsid w:val="00DA3546"/>
    <w:rsid w:val="00DA3606"/>
    <w:rsid w:val="00DA3B08"/>
    <w:rsid w:val="00DA3B63"/>
    <w:rsid w:val="00DA3D99"/>
    <w:rsid w:val="00DA40E2"/>
    <w:rsid w:val="00DA452A"/>
    <w:rsid w:val="00DA4B54"/>
    <w:rsid w:val="00DA4EBE"/>
    <w:rsid w:val="00DA5122"/>
    <w:rsid w:val="00DA5B45"/>
    <w:rsid w:val="00DA5E65"/>
    <w:rsid w:val="00DA5EB3"/>
    <w:rsid w:val="00DA5FAD"/>
    <w:rsid w:val="00DA620F"/>
    <w:rsid w:val="00DA632F"/>
    <w:rsid w:val="00DA654D"/>
    <w:rsid w:val="00DA65FD"/>
    <w:rsid w:val="00DA672F"/>
    <w:rsid w:val="00DA6899"/>
    <w:rsid w:val="00DA6A07"/>
    <w:rsid w:val="00DA6A2E"/>
    <w:rsid w:val="00DA6C02"/>
    <w:rsid w:val="00DA71A2"/>
    <w:rsid w:val="00DA71B8"/>
    <w:rsid w:val="00DA734A"/>
    <w:rsid w:val="00DA7398"/>
    <w:rsid w:val="00DA74EA"/>
    <w:rsid w:val="00DA75C5"/>
    <w:rsid w:val="00DA766C"/>
    <w:rsid w:val="00DA7A1E"/>
    <w:rsid w:val="00DA7E1A"/>
    <w:rsid w:val="00DA7E2C"/>
    <w:rsid w:val="00DA7E9E"/>
    <w:rsid w:val="00DA7ECF"/>
    <w:rsid w:val="00DB0233"/>
    <w:rsid w:val="00DB0479"/>
    <w:rsid w:val="00DB0B27"/>
    <w:rsid w:val="00DB0D7D"/>
    <w:rsid w:val="00DB0FE9"/>
    <w:rsid w:val="00DB147F"/>
    <w:rsid w:val="00DB15DC"/>
    <w:rsid w:val="00DB1840"/>
    <w:rsid w:val="00DB184D"/>
    <w:rsid w:val="00DB1ACD"/>
    <w:rsid w:val="00DB1DA5"/>
    <w:rsid w:val="00DB1ED7"/>
    <w:rsid w:val="00DB1FB2"/>
    <w:rsid w:val="00DB23F6"/>
    <w:rsid w:val="00DB289D"/>
    <w:rsid w:val="00DB2F8B"/>
    <w:rsid w:val="00DB31FC"/>
    <w:rsid w:val="00DB324B"/>
    <w:rsid w:val="00DB328D"/>
    <w:rsid w:val="00DB32D7"/>
    <w:rsid w:val="00DB36BB"/>
    <w:rsid w:val="00DB3704"/>
    <w:rsid w:val="00DB400A"/>
    <w:rsid w:val="00DB4180"/>
    <w:rsid w:val="00DB44BA"/>
    <w:rsid w:val="00DB4548"/>
    <w:rsid w:val="00DB4C54"/>
    <w:rsid w:val="00DB4FD3"/>
    <w:rsid w:val="00DB52D1"/>
    <w:rsid w:val="00DB541E"/>
    <w:rsid w:val="00DB56B7"/>
    <w:rsid w:val="00DB570D"/>
    <w:rsid w:val="00DB57E6"/>
    <w:rsid w:val="00DB57EA"/>
    <w:rsid w:val="00DB5A59"/>
    <w:rsid w:val="00DB5B12"/>
    <w:rsid w:val="00DB5D03"/>
    <w:rsid w:val="00DB5EEA"/>
    <w:rsid w:val="00DB612C"/>
    <w:rsid w:val="00DB618A"/>
    <w:rsid w:val="00DB6E5E"/>
    <w:rsid w:val="00DB7176"/>
    <w:rsid w:val="00DB7922"/>
    <w:rsid w:val="00DB79B1"/>
    <w:rsid w:val="00DB7B5A"/>
    <w:rsid w:val="00DB7C89"/>
    <w:rsid w:val="00DC045F"/>
    <w:rsid w:val="00DC056F"/>
    <w:rsid w:val="00DC06DB"/>
    <w:rsid w:val="00DC0735"/>
    <w:rsid w:val="00DC0B5D"/>
    <w:rsid w:val="00DC1176"/>
    <w:rsid w:val="00DC146C"/>
    <w:rsid w:val="00DC14E5"/>
    <w:rsid w:val="00DC1539"/>
    <w:rsid w:val="00DC17FC"/>
    <w:rsid w:val="00DC19D2"/>
    <w:rsid w:val="00DC1CA1"/>
    <w:rsid w:val="00DC1D18"/>
    <w:rsid w:val="00DC1EDA"/>
    <w:rsid w:val="00DC20C4"/>
    <w:rsid w:val="00DC2457"/>
    <w:rsid w:val="00DC25C1"/>
    <w:rsid w:val="00DC2732"/>
    <w:rsid w:val="00DC2F44"/>
    <w:rsid w:val="00DC2F6F"/>
    <w:rsid w:val="00DC3175"/>
    <w:rsid w:val="00DC3AA4"/>
    <w:rsid w:val="00DC3BC4"/>
    <w:rsid w:val="00DC3BDA"/>
    <w:rsid w:val="00DC440E"/>
    <w:rsid w:val="00DC4510"/>
    <w:rsid w:val="00DC4567"/>
    <w:rsid w:val="00DC45C1"/>
    <w:rsid w:val="00DC4889"/>
    <w:rsid w:val="00DC4B3D"/>
    <w:rsid w:val="00DC4BFB"/>
    <w:rsid w:val="00DC4F9A"/>
    <w:rsid w:val="00DC53B5"/>
    <w:rsid w:val="00DC5480"/>
    <w:rsid w:val="00DC54D8"/>
    <w:rsid w:val="00DC5826"/>
    <w:rsid w:val="00DC59A5"/>
    <w:rsid w:val="00DC59D8"/>
    <w:rsid w:val="00DC5CA4"/>
    <w:rsid w:val="00DC5E81"/>
    <w:rsid w:val="00DC605C"/>
    <w:rsid w:val="00DC63F8"/>
    <w:rsid w:val="00DC650B"/>
    <w:rsid w:val="00DC66E8"/>
    <w:rsid w:val="00DC6938"/>
    <w:rsid w:val="00DC697E"/>
    <w:rsid w:val="00DC6D58"/>
    <w:rsid w:val="00DC6DD8"/>
    <w:rsid w:val="00DC6F75"/>
    <w:rsid w:val="00DC7317"/>
    <w:rsid w:val="00DD01D0"/>
    <w:rsid w:val="00DD022B"/>
    <w:rsid w:val="00DD0238"/>
    <w:rsid w:val="00DD027D"/>
    <w:rsid w:val="00DD09FF"/>
    <w:rsid w:val="00DD0D61"/>
    <w:rsid w:val="00DD0DA9"/>
    <w:rsid w:val="00DD0DAF"/>
    <w:rsid w:val="00DD0F4C"/>
    <w:rsid w:val="00DD0F8F"/>
    <w:rsid w:val="00DD11F0"/>
    <w:rsid w:val="00DD137D"/>
    <w:rsid w:val="00DD187D"/>
    <w:rsid w:val="00DD2246"/>
    <w:rsid w:val="00DD22B7"/>
    <w:rsid w:val="00DD2506"/>
    <w:rsid w:val="00DD25B2"/>
    <w:rsid w:val="00DD2867"/>
    <w:rsid w:val="00DD2DE7"/>
    <w:rsid w:val="00DD2F00"/>
    <w:rsid w:val="00DD2F63"/>
    <w:rsid w:val="00DD3388"/>
    <w:rsid w:val="00DD345E"/>
    <w:rsid w:val="00DD380A"/>
    <w:rsid w:val="00DD3A0F"/>
    <w:rsid w:val="00DD3A7D"/>
    <w:rsid w:val="00DD3B83"/>
    <w:rsid w:val="00DD3BE6"/>
    <w:rsid w:val="00DD3D71"/>
    <w:rsid w:val="00DD3FB5"/>
    <w:rsid w:val="00DD3FEC"/>
    <w:rsid w:val="00DD4017"/>
    <w:rsid w:val="00DD4130"/>
    <w:rsid w:val="00DD4481"/>
    <w:rsid w:val="00DD4584"/>
    <w:rsid w:val="00DD4846"/>
    <w:rsid w:val="00DD48F1"/>
    <w:rsid w:val="00DD4958"/>
    <w:rsid w:val="00DD4B19"/>
    <w:rsid w:val="00DD4B71"/>
    <w:rsid w:val="00DD4CAD"/>
    <w:rsid w:val="00DD4EDB"/>
    <w:rsid w:val="00DD4F87"/>
    <w:rsid w:val="00DD53B4"/>
    <w:rsid w:val="00DD560C"/>
    <w:rsid w:val="00DD5765"/>
    <w:rsid w:val="00DD5969"/>
    <w:rsid w:val="00DD5A1D"/>
    <w:rsid w:val="00DD5B1D"/>
    <w:rsid w:val="00DD5CA7"/>
    <w:rsid w:val="00DD5CB6"/>
    <w:rsid w:val="00DD64AD"/>
    <w:rsid w:val="00DD664B"/>
    <w:rsid w:val="00DD677A"/>
    <w:rsid w:val="00DD6C7E"/>
    <w:rsid w:val="00DD6D75"/>
    <w:rsid w:val="00DD7137"/>
    <w:rsid w:val="00DD71AE"/>
    <w:rsid w:val="00DD7372"/>
    <w:rsid w:val="00DD7761"/>
    <w:rsid w:val="00DD7A56"/>
    <w:rsid w:val="00DD7BEB"/>
    <w:rsid w:val="00DD7C0D"/>
    <w:rsid w:val="00DD7E6F"/>
    <w:rsid w:val="00DD7E95"/>
    <w:rsid w:val="00DE0040"/>
    <w:rsid w:val="00DE005E"/>
    <w:rsid w:val="00DE017B"/>
    <w:rsid w:val="00DE0354"/>
    <w:rsid w:val="00DE03B8"/>
    <w:rsid w:val="00DE046D"/>
    <w:rsid w:val="00DE05C2"/>
    <w:rsid w:val="00DE0AAE"/>
    <w:rsid w:val="00DE0EEF"/>
    <w:rsid w:val="00DE15DF"/>
    <w:rsid w:val="00DE15E5"/>
    <w:rsid w:val="00DE1618"/>
    <w:rsid w:val="00DE1BEB"/>
    <w:rsid w:val="00DE1D98"/>
    <w:rsid w:val="00DE1DC2"/>
    <w:rsid w:val="00DE2022"/>
    <w:rsid w:val="00DE20D8"/>
    <w:rsid w:val="00DE2377"/>
    <w:rsid w:val="00DE240E"/>
    <w:rsid w:val="00DE2703"/>
    <w:rsid w:val="00DE272F"/>
    <w:rsid w:val="00DE2E0D"/>
    <w:rsid w:val="00DE2F3A"/>
    <w:rsid w:val="00DE3AC8"/>
    <w:rsid w:val="00DE3C1D"/>
    <w:rsid w:val="00DE3C33"/>
    <w:rsid w:val="00DE3C9A"/>
    <w:rsid w:val="00DE3D44"/>
    <w:rsid w:val="00DE3D91"/>
    <w:rsid w:val="00DE3EB3"/>
    <w:rsid w:val="00DE4048"/>
    <w:rsid w:val="00DE4056"/>
    <w:rsid w:val="00DE4150"/>
    <w:rsid w:val="00DE4162"/>
    <w:rsid w:val="00DE4E03"/>
    <w:rsid w:val="00DE4E1F"/>
    <w:rsid w:val="00DE50DE"/>
    <w:rsid w:val="00DE5156"/>
    <w:rsid w:val="00DE5643"/>
    <w:rsid w:val="00DE56E6"/>
    <w:rsid w:val="00DE57AA"/>
    <w:rsid w:val="00DE5810"/>
    <w:rsid w:val="00DE5896"/>
    <w:rsid w:val="00DE5959"/>
    <w:rsid w:val="00DE5BF0"/>
    <w:rsid w:val="00DE5D1F"/>
    <w:rsid w:val="00DE5DF6"/>
    <w:rsid w:val="00DE60D5"/>
    <w:rsid w:val="00DE6373"/>
    <w:rsid w:val="00DE637D"/>
    <w:rsid w:val="00DE640B"/>
    <w:rsid w:val="00DE649A"/>
    <w:rsid w:val="00DE68FB"/>
    <w:rsid w:val="00DE6972"/>
    <w:rsid w:val="00DE6E91"/>
    <w:rsid w:val="00DE6E9B"/>
    <w:rsid w:val="00DE71FD"/>
    <w:rsid w:val="00DE76A8"/>
    <w:rsid w:val="00DE789A"/>
    <w:rsid w:val="00DE79E8"/>
    <w:rsid w:val="00DE7E40"/>
    <w:rsid w:val="00DE7F82"/>
    <w:rsid w:val="00DF0181"/>
    <w:rsid w:val="00DF01A1"/>
    <w:rsid w:val="00DF039C"/>
    <w:rsid w:val="00DF0624"/>
    <w:rsid w:val="00DF07E0"/>
    <w:rsid w:val="00DF089C"/>
    <w:rsid w:val="00DF0BBA"/>
    <w:rsid w:val="00DF0F32"/>
    <w:rsid w:val="00DF0F9B"/>
    <w:rsid w:val="00DF11A0"/>
    <w:rsid w:val="00DF12D1"/>
    <w:rsid w:val="00DF16D6"/>
    <w:rsid w:val="00DF1C38"/>
    <w:rsid w:val="00DF1E1C"/>
    <w:rsid w:val="00DF20C5"/>
    <w:rsid w:val="00DF2140"/>
    <w:rsid w:val="00DF2252"/>
    <w:rsid w:val="00DF26A9"/>
    <w:rsid w:val="00DF28BD"/>
    <w:rsid w:val="00DF28BE"/>
    <w:rsid w:val="00DF2A3D"/>
    <w:rsid w:val="00DF2AE2"/>
    <w:rsid w:val="00DF2DC2"/>
    <w:rsid w:val="00DF3286"/>
    <w:rsid w:val="00DF3500"/>
    <w:rsid w:val="00DF378D"/>
    <w:rsid w:val="00DF39FF"/>
    <w:rsid w:val="00DF3C2D"/>
    <w:rsid w:val="00DF4437"/>
    <w:rsid w:val="00DF45AF"/>
    <w:rsid w:val="00DF4658"/>
    <w:rsid w:val="00DF46F2"/>
    <w:rsid w:val="00DF47FB"/>
    <w:rsid w:val="00DF4CB6"/>
    <w:rsid w:val="00DF505A"/>
    <w:rsid w:val="00DF5279"/>
    <w:rsid w:val="00DF581A"/>
    <w:rsid w:val="00DF5953"/>
    <w:rsid w:val="00DF597A"/>
    <w:rsid w:val="00DF5EAF"/>
    <w:rsid w:val="00DF61A8"/>
    <w:rsid w:val="00DF62A1"/>
    <w:rsid w:val="00DF632E"/>
    <w:rsid w:val="00DF641B"/>
    <w:rsid w:val="00DF66DF"/>
    <w:rsid w:val="00DF6A40"/>
    <w:rsid w:val="00DF6B99"/>
    <w:rsid w:val="00DF6C19"/>
    <w:rsid w:val="00DF6CB8"/>
    <w:rsid w:val="00DF7022"/>
    <w:rsid w:val="00DF7359"/>
    <w:rsid w:val="00DF73A1"/>
    <w:rsid w:val="00DF753C"/>
    <w:rsid w:val="00DF75E6"/>
    <w:rsid w:val="00DF7E14"/>
    <w:rsid w:val="00DF7F25"/>
    <w:rsid w:val="00E0007F"/>
    <w:rsid w:val="00E0017D"/>
    <w:rsid w:val="00E0023D"/>
    <w:rsid w:val="00E003F0"/>
    <w:rsid w:val="00E005F3"/>
    <w:rsid w:val="00E007E9"/>
    <w:rsid w:val="00E00813"/>
    <w:rsid w:val="00E00AA5"/>
    <w:rsid w:val="00E00ED9"/>
    <w:rsid w:val="00E00FA2"/>
    <w:rsid w:val="00E0129D"/>
    <w:rsid w:val="00E0183C"/>
    <w:rsid w:val="00E01948"/>
    <w:rsid w:val="00E01BB0"/>
    <w:rsid w:val="00E01C7A"/>
    <w:rsid w:val="00E01EB6"/>
    <w:rsid w:val="00E01FBE"/>
    <w:rsid w:val="00E01FD9"/>
    <w:rsid w:val="00E022F0"/>
    <w:rsid w:val="00E02537"/>
    <w:rsid w:val="00E026DA"/>
    <w:rsid w:val="00E02740"/>
    <w:rsid w:val="00E029FA"/>
    <w:rsid w:val="00E02E5B"/>
    <w:rsid w:val="00E03279"/>
    <w:rsid w:val="00E03834"/>
    <w:rsid w:val="00E03A5F"/>
    <w:rsid w:val="00E03A77"/>
    <w:rsid w:val="00E03C2A"/>
    <w:rsid w:val="00E03C72"/>
    <w:rsid w:val="00E03EB2"/>
    <w:rsid w:val="00E03F66"/>
    <w:rsid w:val="00E04431"/>
    <w:rsid w:val="00E0453A"/>
    <w:rsid w:val="00E04E1D"/>
    <w:rsid w:val="00E051AC"/>
    <w:rsid w:val="00E0536F"/>
    <w:rsid w:val="00E053C4"/>
    <w:rsid w:val="00E05550"/>
    <w:rsid w:val="00E0565C"/>
    <w:rsid w:val="00E05901"/>
    <w:rsid w:val="00E05B0B"/>
    <w:rsid w:val="00E05C99"/>
    <w:rsid w:val="00E05F8C"/>
    <w:rsid w:val="00E0633E"/>
    <w:rsid w:val="00E06B97"/>
    <w:rsid w:val="00E06D1D"/>
    <w:rsid w:val="00E06E49"/>
    <w:rsid w:val="00E06FD6"/>
    <w:rsid w:val="00E072B8"/>
    <w:rsid w:val="00E0760B"/>
    <w:rsid w:val="00E07B28"/>
    <w:rsid w:val="00E07DB2"/>
    <w:rsid w:val="00E07E23"/>
    <w:rsid w:val="00E07E5F"/>
    <w:rsid w:val="00E07E9C"/>
    <w:rsid w:val="00E10004"/>
    <w:rsid w:val="00E10936"/>
    <w:rsid w:val="00E10ACF"/>
    <w:rsid w:val="00E10AFD"/>
    <w:rsid w:val="00E10CB6"/>
    <w:rsid w:val="00E10FAA"/>
    <w:rsid w:val="00E110AA"/>
    <w:rsid w:val="00E111F5"/>
    <w:rsid w:val="00E1149B"/>
    <w:rsid w:val="00E115B6"/>
    <w:rsid w:val="00E11AC8"/>
    <w:rsid w:val="00E11D32"/>
    <w:rsid w:val="00E11DCF"/>
    <w:rsid w:val="00E11F2E"/>
    <w:rsid w:val="00E1211A"/>
    <w:rsid w:val="00E121EB"/>
    <w:rsid w:val="00E1246A"/>
    <w:rsid w:val="00E1268B"/>
    <w:rsid w:val="00E1269F"/>
    <w:rsid w:val="00E12822"/>
    <w:rsid w:val="00E12950"/>
    <w:rsid w:val="00E12968"/>
    <w:rsid w:val="00E12BF0"/>
    <w:rsid w:val="00E1308D"/>
    <w:rsid w:val="00E13214"/>
    <w:rsid w:val="00E135EE"/>
    <w:rsid w:val="00E13CD6"/>
    <w:rsid w:val="00E13D8C"/>
    <w:rsid w:val="00E13E8E"/>
    <w:rsid w:val="00E13EDB"/>
    <w:rsid w:val="00E13F19"/>
    <w:rsid w:val="00E143B5"/>
    <w:rsid w:val="00E14862"/>
    <w:rsid w:val="00E14910"/>
    <w:rsid w:val="00E14A38"/>
    <w:rsid w:val="00E14AA3"/>
    <w:rsid w:val="00E14B24"/>
    <w:rsid w:val="00E14DBF"/>
    <w:rsid w:val="00E14F5E"/>
    <w:rsid w:val="00E15275"/>
    <w:rsid w:val="00E161B6"/>
    <w:rsid w:val="00E16356"/>
    <w:rsid w:val="00E16561"/>
    <w:rsid w:val="00E1660A"/>
    <w:rsid w:val="00E16654"/>
    <w:rsid w:val="00E169CC"/>
    <w:rsid w:val="00E16C75"/>
    <w:rsid w:val="00E16D2A"/>
    <w:rsid w:val="00E16E00"/>
    <w:rsid w:val="00E17678"/>
    <w:rsid w:val="00E177D5"/>
    <w:rsid w:val="00E179DF"/>
    <w:rsid w:val="00E17EAE"/>
    <w:rsid w:val="00E202AA"/>
    <w:rsid w:val="00E202F5"/>
    <w:rsid w:val="00E204E2"/>
    <w:rsid w:val="00E20740"/>
    <w:rsid w:val="00E20810"/>
    <w:rsid w:val="00E20D89"/>
    <w:rsid w:val="00E21000"/>
    <w:rsid w:val="00E21746"/>
    <w:rsid w:val="00E21936"/>
    <w:rsid w:val="00E21B36"/>
    <w:rsid w:val="00E21CDB"/>
    <w:rsid w:val="00E21EA9"/>
    <w:rsid w:val="00E220C1"/>
    <w:rsid w:val="00E222C8"/>
    <w:rsid w:val="00E2242E"/>
    <w:rsid w:val="00E22661"/>
    <w:rsid w:val="00E22700"/>
    <w:rsid w:val="00E2276D"/>
    <w:rsid w:val="00E22881"/>
    <w:rsid w:val="00E22FBB"/>
    <w:rsid w:val="00E23655"/>
    <w:rsid w:val="00E236B9"/>
    <w:rsid w:val="00E23A90"/>
    <w:rsid w:val="00E23E9E"/>
    <w:rsid w:val="00E2403E"/>
    <w:rsid w:val="00E241B3"/>
    <w:rsid w:val="00E242F9"/>
    <w:rsid w:val="00E24408"/>
    <w:rsid w:val="00E24593"/>
    <w:rsid w:val="00E2472B"/>
    <w:rsid w:val="00E2481A"/>
    <w:rsid w:val="00E2495B"/>
    <w:rsid w:val="00E24A77"/>
    <w:rsid w:val="00E24AF4"/>
    <w:rsid w:val="00E24C27"/>
    <w:rsid w:val="00E24C32"/>
    <w:rsid w:val="00E24D86"/>
    <w:rsid w:val="00E24D93"/>
    <w:rsid w:val="00E24EC1"/>
    <w:rsid w:val="00E2514C"/>
    <w:rsid w:val="00E25226"/>
    <w:rsid w:val="00E25308"/>
    <w:rsid w:val="00E259AA"/>
    <w:rsid w:val="00E259AB"/>
    <w:rsid w:val="00E25ACB"/>
    <w:rsid w:val="00E25AF1"/>
    <w:rsid w:val="00E25B3C"/>
    <w:rsid w:val="00E25BE6"/>
    <w:rsid w:val="00E25C51"/>
    <w:rsid w:val="00E26128"/>
    <w:rsid w:val="00E26203"/>
    <w:rsid w:val="00E26770"/>
    <w:rsid w:val="00E269D8"/>
    <w:rsid w:val="00E26C9B"/>
    <w:rsid w:val="00E26CA5"/>
    <w:rsid w:val="00E26D2D"/>
    <w:rsid w:val="00E26E3D"/>
    <w:rsid w:val="00E2793C"/>
    <w:rsid w:val="00E27A4F"/>
    <w:rsid w:val="00E27A62"/>
    <w:rsid w:val="00E27AD0"/>
    <w:rsid w:val="00E27CC0"/>
    <w:rsid w:val="00E27D18"/>
    <w:rsid w:val="00E27D78"/>
    <w:rsid w:val="00E300B9"/>
    <w:rsid w:val="00E30315"/>
    <w:rsid w:val="00E304A4"/>
    <w:rsid w:val="00E306DC"/>
    <w:rsid w:val="00E3090B"/>
    <w:rsid w:val="00E30C93"/>
    <w:rsid w:val="00E310BF"/>
    <w:rsid w:val="00E31BDC"/>
    <w:rsid w:val="00E31DF7"/>
    <w:rsid w:val="00E31FD4"/>
    <w:rsid w:val="00E321F1"/>
    <w:rsid w:val="00E325EE"/>
    <w:rsid w:val="00E327B5"/>
    <w:rsid w:val="00E328C8"/>
    <w:rsid w:val="00E3335B"/>
    <w:rsid w:val="00E33420"/>
    <w:rsid w:val="00E3381E"/>
    <w:rsid w:val="00E3384B"/>
    <w:rsid w:val="00E33DD4"/>
    <w:rsid w:val="00E33F0A"/>
    <w:rsid w:val="00E33F4E"/>
    <w:rsid w:val="00E34205"/>
    <w:rsid w:val="00E3444A"/>
    <w:rsid w:val="00E34638"/>
    <w:rsid w:val="00E34696"/>
    <w:rsid w:val="00E3478F"/>
    <w:rsid w:val="00E348DC"/>
    <w:rsid w:val="00E34ABC"/>
    <w:rsid w:val="00E34B5D"/>
    <w:rsid w:val="00E34BBB"/>
    <w:rsid w:val="00E34C58"/>
    <w:rsid w:val="00E35691"/>
    <w:rsid w:val="00E356FE"/>
    <w:rsid w:val="00E35731"/>
    <w:rsid w:val="00E35CD6"/>
    <w:rsid w:val="00E35D1E"/>
    <w:rsid w:val="00E3638C"/>
    <w:rsid w:val="00E3685D"/>
    <w:rsid w:val="00E3693F"/>
    <w:rsid w:val="00E36C89"/>
    <w:rsid w:val="00E36E13"/>
    <w:rsid w:val="00E373F2"/>
    <w:rsid w:val="00E3755C"/>
    <w:rsid w:val="00E376FF"/>
    <w:rsid w:val="00E378C9"/>
    <w:rsid w:val="00E37A64"/>
    <w:rsid w:val="00E37F95"/>
    <w:rsid w:val="00E40121"/>
    <w:rsid w:val="00E402C9"/>
    <w:rsid w:val="00E40507"/>
    <w:rsid w:val="00E408AD"/>
    <w:rsid w:val="00E40913"/>
    <w:rsid w:val="00E40CD8"/>
    <w:rsid w:val="00E41172"/>
    <w:rsid w:val="00E411C2"/>
    <w:rsid w:val="00E4146E"/>
    <w:rsid w:val="00E4160E"/>
    <w:rsid w:val="00E419F6"/>
    <w:rsid w:val="00E41B3E"/>
    <w:rsid w:val="00E41BFD"/>
    <w:rsid w:val="00E41C0D"/>
    <w:rsid w:val="00E41E59"/>
    <w:rsid w:val="00E41E9D"/>
    <w:rsid w:val="00E421C5"/>
    <w:rsid w:val="00E42410"/>
    <w:rsid w:val="00E42730"/>
    <w:rsid w:val="00E42837"/>
    <w:rsid w:val="00E428BF"/>
    <w:rsid w:val="00E42B23"/>
    <w:rsid w:val="00E42B35"/>
    <w:rsid w:val="00E42C12"/>
    <w:rsid w:val="00E42C59"/>
    <w:rsid w:val="00E42CA1"/>
    <w:rsid w:val="00E42CE7"/>
    <w:rsid w:val="00E42D0D"/>
    <w:rsid w:val="00E42D87"/>
    <w:rsid w:val="00E42E28"/>
    <w:rsid w:val="00E42EF7"/>
    <w:rsid w:val="00E42F3B"/>
    <w:rsid w:val="00E431E1"/>
    <w:rsid w:val="00E43430"/>
    <w:rsid w:val="00E43456"/>
    <w:rsid w:val="00E43472"/>
    <w:rsid w:val="00E434B7"/>
    <w:rsid w:val="00E43603"/>
    <w:rsid w:val="00E437D3"/>
    <w:rsid w:val="00E43991"/>
    <w:rsid w:val="00E43D06"/>
    <w:rsid w:val="00E44425"/>
    <w:rsid w:val="00E44657"/>
    <w:rsid w:val="00E448E6"/>
    <w:rsid w:val="00E44FD8"/>
    <w:rsid w:val="00E45354"/>
    <w:rsid w:val="00E45743"/>
    <w:rsid w:val="00E4594E"/>
    <w:rsid w:val="00E45B2E"/>
    <w:rsid w:val="00E45C7C"/>
    <w:rsid w:val="00E45CB6"/>
    <w:rsid w:val="00E45DE1"/>
    <w:rsid w:val="00E462F5"/>
    <w:rsid w:val="00E465D4"/>
    <w:rsid w:val="00E46977"/>
    <w:rsid w:val="00E469F9"/>
    <w:rsid w:val="00E46C0F"/>
    <w:rsid w:val="00E46DD7"/>
    <w:rsid w:val="00E47073"/>
    <w:rsid w:val="00E471A1"/>
    <w:rsid w:val="00E471BF"/>
    <w:rsid w:val="00E47265"/>
    <w:rsid w:val="00E47423"/>
    <w:rsid w:val="00E47450"/>
    <w:rsid w:val="00E474D4"/>
    <w:rsid w:val="00E475F3"/>
    <w:rsid w:val="00E477A2"/>
    <w:rsid w:val="00E47B36"/>
    <w:rsid w:val="00E50061"/>
    <w:rsid w:val="00E502F8"/>
    <w:rsid w:val="00E503AC"/>
    <w:rsid w:val="00E50468"/>
    <w:rsid w:val="00E507C2"/>
    <w:rsid w:val="00E50A26"/>
    <w:rsid w:val="00E5171D"/>
    <w:rsid w:val="00E51BFA"/>
    <w:rsid w:val="00E51EB6"/>
    <w:rsid w:val="00E51F74"/>
    <w:rsid w:val="00E52228"/>
    <w:rsid w:val="00E522FC"/>
    <w:rsid w:val="00E52411"/>
    <w:rsid w:val="00E5254B"/>
    <w:rsid w:val="00E52CAC"/>
    <w:rsid w:val="00E52E99"/>
    <w:rsid w:val="00E531E0"/>
    <w:rsid w:val="00E5339A"/>
    <w:rsid w:val="00E5339B"/>
    <w:rsid w:val="00E53654"/>
    <w:rsid w:val="00E53A82"/>
    <w:rsid w:val="00E53AB7"/>
    <w:rsid w:val="00E53F2B"/>
    <w:rsid w:val="00E53FD6"/>
    <w:rsid w:val="00E54129"/>
    <w:rsid w:val="00E5462F"/>
    <w:rsid w:val="00E54685"/>
    <w:rsid w:val="00E54C48"/>
    <w:rsid w:val="00E551CD"/>
    <w:rsid w:val="00E554CD"/>
    <w:rsid w:val="00E555FD"/>
    <w:rsid w:val="00E55B79"/>
    <w:rsid w:val="00E560EC"/>
    <w:rsid w:val="00E5620C"/>
    <w:rsid w:val="00E563ED"/>
    <w:rsid w:val="00E56474"/>
    <w:rsid w:val="00E564AD"/>
    <w:rsid w:val="00E56544"/>
    <w:rsid w:val="00E56572"/>
    <w:rsid w:val="00E56CC9"/>
    <w:rsid w:val="00E56E89"/>
    <w:rsid w:val="00E57069"/>
    <w:rsid w:val="00E57351"/>
    <w:rsid w:val="00E574C2"/>
    <w:rsid w:val="00E579AB"/>
    <w:rsid w:val="00E57E45"/>
    <w:rsid w:val="00E602DE"/>
    <w:rsid w:val="00E604E9"/>
    <w:rsid w:val="00E6075E"/>
    <w:rsid w:val="00E609A4"/>
    <w:rsid w:val="00E60BE1"/>
    <w:rsid w:val="00E60C65"/>
    <w:rsid w:val="00E60D17"/>
    <w:rsid w:val="00E60D8D"/>
    <w:rsid w:val="00E60F7F"/>
    <w:rsid w:val="00E616F7"/>
    <w:rsid w:val="00E6192C"/>
    <w:rsid w:val="00E61EC6"/>
    <w:rsid w:val="00E6243B"/>
    <w:rsid w:val="00E624A6"/>
    <w:rsid w:val="00E62570"/>
    <w:rsid w:val="00E62589"/>
    <w:rsid w:val="00E62CB9"/>
    <w:rsid w:val="00E62FF8"/>
    <w:rsid w:val="00E630FA"/>
    <w:rsid w:val="00E6330B"/>
    <w:rsid w:val="00E63409"/>
    <w:rsid w:val="00E6349B"/>
    <w:rsid w:val="00E6375A"/>
    <w:rsid w:val="00E63A3A"/>
    <w:rsid w:val="00E63CB9"/>
    <w:rsid w:val="00E63D33"/>
    <w:rsid w:val="00E63DC6"/>
    <w:rsid w:val="00E640E5"/>
    <w:rsid w:val="00E642A4"/>
    <w:rsid w:val="00E64345"/>
    <w:rsid w:val="00E643D8"/>
    <w:rsid w:val="00E646AB"/>
    <w:rsid w:val="00E649BD"/>
    <w:rsid w:val="00E64A42"/>
    <w:rsid w:val="00E64B58"/>
    <w:rsid w:val="00E64D72"/>
    <w:rsid w:val="00E64D79"/>
    <w:rsid w:val="00E64FD9"/>
    <w:rsid w:val="00E655E8"/>
    <w:rsid w:val="00E65789"/>
    <w:rsid w:val="00E65882"/>
    <w:rsid w:val="00E65D63"/>
    <w:rsid w:val="00E66422"/>
    <w:rsid w:val="00E6654C"/>
    <w:rsid w:val="00E66811"/>
    <w:rsid w:val="00E6686C"/>
    <w:rsid w:val="00E66A8A"/>
    <w:rsid w:val="00E66ADC"/>
    <w:rsid w:val="00E66D39"/>
    <w:rsid w:val="00E66DDB"/>
    <w:rsid w:val="00E670FA"/>
    <w:rsid w:val="00E6731F"/>
    <w:rsid w:val="00E67576"/>
    <w:rsid w:val="00E67CDC"/>
    <w:rsid w:val="00E700E7"/>
    <w:rsid w:val="00E703A9"/>
    <w:rsid w:val="00E70570"/>
    <w:rsid w:val="00E70571"/>
    <w:rsid w:val="00E70700"/>
    <w:rsid w:val="00E7071A"/>
    <w:rsid w:val="00E70838"/>
    <w:rsid w:val="00E7085C"/>
    <w:rsid w:val="00E7088D"/>
    <w:rsid w:val="00E709B5"/>
    <w:rsid w:val="00E70A3E"/>
    <w:rsid w:val="00E70D12"/>
    <w:rsid w:val="00E70E2B"/>
    <w:rsid w:val="00E70EC7"/>
    <w:rsid w:val="00E710B4"/>
    <w:rsid w:val="00E7120B"/>
    <w:rsid w:val="00E7187A"/>
    <w:rsid w:val="00E71BD8"/>
    <w:rsid w:val="00E71DEA"/>
    <w:rsid w:val="00E72009"/>
    <w:rsid w:val="00E720A3"/>
    <w:rsid w:val="00E72274"/>
    <w:rsid w:val="00E72286"/>
    <w:rsid w:val="00E72A31"/>
    <w:rsid w:val="00E72A7A"/>
    <w:rsid w:val="00E72C37"/>
    <w:rsid w:val="00E72E40"/>
    <w:rsid w:val="00E72E7C"/>
    <w:rsid w:val="00E73000"/>
    <w:rsid w:val="00E730DE"/>
    <w:rsid w:val="00E736DA"/>
    <w:rsid w:val="00E73733"/>
    <w:rsid w:val="00E73918"/>
    <w:rsid w:val="00E746F0"/>
    <w:rsid w:val="00E74755"/>
    <w:rsid w:val="00E7486B"/>
    <w:rsid w:val="00E7492D"/>
    <w:rsid w:val="00E74DF3"/>
    <w:rsid w:val="00E75212"/>
    <w:rsid w:val="00E752FB"/>
    <w:rsid w:val="00E755F6"/>
    <w:rsid w:val="00E759F4"/>
    <w:rsid w:val="00E75B6F"/>
    <w:rsid w:val="00E76118"/>
    <w:rsid w:val="00E761E1"/>
    <w:rsid w:val="00E763A1"/>
    <w:rsid w:val="00E763E5"/>
    <w:rsid w:val="00E7642F"/>
    <w:rsid w:val="00E765CC"/>
    <w:rsid w:val="00E766B6"/>
    <w:rsid w:val="00E7673D"/>
    <w:rsid w:val="00E76BD7"/>
    <w:rsid w:val="00E76CD8"/>
    <w:rsid w:val="00E76D22"/>
    <w:rsid w:val="00E76E27"/>
    <w:rsid w:val="00E76ED3"/>
    <w:rsid w:val="00E76F4F"/>
    <w:rsid w:val="00E772ED"/>
    <w:rsid w:val="00E774D3"/>
    <w:rsid w:val="00E7752A"/>
    <w:rsid w:val="00E7752C"/>
    <w:rsid w:val="00E77550"/>
    <w:rsid w:val="00E777F9"/>
    <w:rsid w:val="00E77937"/>
    <w:rsid w:val="00E77961"/>
    <w:rsid w:val="00E77AB4"/>
    <w:rsid w:val="00E77B2F"/>
    <w:rsid w:val="00E77E4B"/>
    <w:rsid w:val="00E80065"/>
    <w:rsid w:val="00E8059C"/>
    <w:rsid w:val="00E80638"/>
    <w:rsid w:val="00E80833"/>
    <w:rsid w:val="00E80919"/>
    <w:rsid w:val="00E80F6A"/>
    <w:rsid w:val="00E80FD6"/>
    <w:rsid w:val="00E81170"/>
    <w:rsid w:val="00E81313"/>
    <w:rsid w:val="00E8165A"/>
    <w:rsid w:val="00E817E4"/>
    <w:rsid w:val="00E8193F"/>
    <w:rsid w:val="00E819A1"/>
    <w:rsid w:val="00E81BC8"/>
    <w:rsid w:val="00E81DEB"/>
    <w:rsid w:val="00E82069"/>
    <w:rsid w:val="00E82243"/>
    <w:rsid w:val="00E8234C"/>
    <w:rsid w:val="00E82431"/>
    <w:rsid w:val="00E82565"/>
    <w:rsid w:val="00E8256B"/>
    <w:rsid w:val="00E825C4"/>
    <w:rsid w:val="00E825F7"/>
    <w:rsid w:val="00E8260B"/>
    <w:rsid w:val="00E830A6"/>
    <w:rsid w:val="00E83205"/>
    <w:rsid w:val="00E8340C"/>
    <w:rsid w:val="00E834C2"/>
    <w:rsid w:val="00E83841"/>
    <w:rsid w:val="00E838BA"/>
    <w:rsid w:val="00E83914"/>
    <w:rsid w:val="00E83CBB"/>
    <w:rsid w:val="00E83E37"/>
    <w:rsid w:val="00E84334"/>
    <w:rsid w:val="00E8442D"/>
    <w:rsid w:val="00E847B9"/>
    <w:rsid w:val="00E84834"/>
    <w:rsid w:val="00E84A27"/>
    <w:rsid w:val="00E84D7C"/>
    <w:rsid w:val="00E85258"/>
    <w:rsid w:val="00E85571"/>
    <w:rsid w:val="00E8564A"/>
    <w:rsid w:val="00E85AC8"/>
    <w:rsid w:val="00E85B72"/>
    <w:rsid w:val="00E85E00"/>
    <w:rsid w:val="00E8603F"/>
    <w:rsid w:val="00E87551"/>
    <w:rsid w:val="00E87615"/>
    <w:rsid w:val="00E8764A"/>
    <w:rsid w:val="00E87762"/>
    <w:rsid w:val="00E8782D"/>
    <w:rsid w:val="00E878FB"/>
    <w:rsid w:val="00E87ADE"/>
    <w:rsid w:val="00E87BD9"/>
    <w:rsid w:val="00E87DF7"/>
    <w:rsid w:val="00E87E85"/>
    <w:rsid w:val="00E9030B"/>
    <w:rsid w:val="00E90371"/>
    <w:rsid w:val="00E90845"/>
    <w:rsid w:val="00E908DA"/>
    <w:rsid w:val="00E90C81"/>
    <w:rsid w:val="00E91179"/>
    <w:rsid w:val="00E915E8"/>
    <w:rsid w:val="00E91624"/>
    <w:rsid w:val="00E91800"/>
    <w:rsid w:val="00E91D72"/>
    <w:rsid w:val="00E92141"/>
    <w:rsid w:val="00E9214F"/>
    <w:rsid w:val="00E92385"/>
    <w:rsid w:val="00E924CF"/>
    <w:rsid w:val="00E92A25"/>
    <w:rsid w:val="00E92B79"/>
    <w:rsid w:val="00E92BFB"/>
    <w:rsid w:val="00E92C74"/>
    <w:rsid w:val="00E92C81"/>
    <w:rsid w:val="00E92FA0"/>
    <w:rsid w:val="00E92FD3"/>
    <w:rsid w:val="00E930AF"/>
    <w:rsid w:val="00E932FE"/>
    <w:rsid w:val="00E93987"/>
    <w:rsid w:val="00E93A0F"/>
    <w:rsid w:val="00E942F8"/>
    <w:rsid w:val="00E945FA"/>
    <w:rsid w:val="00E948A6"/>
    <w:rsid w:val="00E948EA"/>
    <w:rsid w:val="00E950D6"/>
    <w:rsid w:val="00E953B9"/>
    <w:rsid w:val="00E953D2"/>
    <w:rsid w:val="00E95860"/>
    <w:rsid w:val="00E959D9"/>
    <w:rsid w:val="00E95A6E"/>
    <w:rsid w:val="00E95AED"/>
    <w:rsid w:val="00E95D18"/>
    <w:rsid w:val="00E95EF8"/>
    <w:rsid w:val="00E95F60"/>
    <w:rsid w:val="00E9636C"/>
    <w:rsid w:val="00E965A6"/>
    <w:rsid w:val="00E965B1"/>
    <w:rsid w:val="00E96901"/>
    <w:rsid w:val="00E96A63"/>
    <w:rsid w:val="00E96C8B"/>
    <w:rsid w:val="00E96D84"/>
    <w:rsid w:val="00E96E86"/>
    <w:rsid w:val="00E96EFB"/>
    <w:rsid w:val="00E974D4"/>
    <w:rsid w:val="00E9755E"/>
    <w:rsid w:val="00E97B0F"/>
    <w:rsid w:val="00E97BBB"/>
    <w:rsid w:val="00E97FA0"/>
    <w:rsid w:val="00EA0CD9"/>
    <w:rsid w:val="00EA0D65"/>
    <w:rsid w:val="00EA0F6B"/>
    <w:rsid w:val="00EA0FE3"/>
    <w:rsid w:val="00EA1172"/>
    <w:rsid w:val="00EA1552"/>
    <w:rsid w:val="00EA17BE"/>
    <w:rsid w:val="00EA1C46"/>
    <w:rsid w:val="00EA1F2B"/>
    <w:rsid w:val="00EA2079"/>
    <w:rsid w:val="00EA2661"/>
    <w:rsid w:val="00EA2761"/>
    <w:rsid w:val="00EA29CA"/>
    <w:rsid w:val="00EA2B74"/>
    <w:rsid w:val="00EA2FE1"/>
    <w:rsid w:val="00EA348F"/>
    <w:rsid w:val="00EA3565"/>
    <w:rsid w:val="00EA3A0B"/>
    <w:rsid w:val="00EA3C3E"/>
    <w:rsid w:val="00EA3D65"/>
    <w:rsid w:val="00EA3ECA"/>
    <w:rsid w:val="00EA3FB7"/>
    <w:rsid w:val="00EA46C5"/>
    <w:rsid w:val="00EA4839"/>
    <w:rsid w:val="00EA49BA"/>
    <w:rsid w:val="00EA4A63"/>
    <w:rsid w:val="00EA4D2E"/>
    <w:rsid w:val="00EA4F3C"/>
    <w:rsid w:val="00EA5176"/>
    <w:rsid w:val="00EA5658"/>
    <w:rsid w:val="00EA5724"/>
    <w:rsid w:val="00EA5885"/>
    <w:rsid w:val="00EA595A"/>
    <w:rsid w:val="00EA59EB"/>
    <w:rsid w:val="00EA59F0"/>
    <w:rsid w:val="00EA5A7F"/>
    <w:rsid w:val="00EA5BF8"/>
    <w:rsid w:val="00EA5E00"/>
    <w:rsid w:val="00EA5EF3"/>
    <w:rsid w:val="00EA6756"/>
    <w:rsid w:val="00EA6B88"/>
    <w:rsid w:val="00EA6C6F"/>
    <w:rsid w:val="00EA6EFC"/>
    <w:rsid w:val="00EA7760"/>
    <w:rsid w:val="00EA79AD"/>
    <w:rsid w:val="00EA7B36"/>
    <w:rsid w:val="00EA7BFD"/>
    <w:rsid w:val="00EA7DB2"/>
    <w:rsid w:val="00EB0312"/>
    <w:rsid w:val="00EB04DD"/>
    <w:rsid w:val="00EB04F2"/>
    <w:rsid w:val="00EB0698"/>
    <w:rsid w:val="00EB137D"/>
    <w:rsid w:val="00EB154F"/>
    <w:rsid w:val="00EB16FE"/>
    <w:rsid w:val="00EB1747"/>
    <w:rsid w:val="00EB19DA"/>
    <w:rsid w:val="00EB1DE8"/>
    <w:rsid w:val="00EB1DFE"/>
    <w:rsid w:val="00EB1F2F"/>
    <w:rsid w:val="00EB21EC"/>
    <w:rsid w:val="00EB2D5B"/>
    <w:rsid w:val="00EB2DD7"/>
    <w:rsid w:val="00EB2ECB"/>
    <w:rsid w:val="00EB30C6"/>
    <w:rsid w:val="00EB3175"/>
    <w:rsid w:val="00EB3335"/>
    <w:rsid w:val="00EB33AD"/>
    <w:rsid w:val="00EB36C1"/>
    <w:rsid w:val="00EB3828"/>
    <w:rsid w:val="00EB3955"/>
    <w:rsid w:val="00EB3D29"/>
    <w:rsid w:val="00EB3DD1"/>
    <w:rsid w:val="00EB414B"/>
    <w:rsid w:val="00EB4342"/>
    <w:rsid w:val="00EB43EE"/>
    <w:rsid w:val="00EB477B"/>
    <w:rsid w:val="00EB4792"/>
    <w:rsid w:val="00EB48EA"/>
    <w:rsid w:val="00EB492E"/>
    <w:rsid w:val="00EB4B3B"/>
    <w:rsid w:val="00EB4EA8"/>
    <w:rsid w:val="00EB4F7E"/>
    <w:rsid w:val="00EB517F"/>
    <w:rsid w:val="00EB523B"/>
    <w:rsid w:val="00EB56DA"/>
    <w:rsid w:val="00EB5776"/>
    <w:rsid w:val="00EB5989"/>
    <w:rsid w:val="00EB5AF7"/>
    <w:rsid w:val="00EB5C48"/>
    <w:rsid w:val="00EB5E48"/>
    <w:rsid w:val="00EB62D9"/>
    <w:rsid w:val="00EB682C"/>
    <w:rsid w:val="00EB6A5B"/>
    <w:rsid w:val="00EB6AA2"/>
    <w:rsid w:val="00EB6F27"/>
    <w:rsid w:val="00EB7520"/>
    <w:rsid w:val="00EB768F"/>
    <w:rsid w:val="00EB76C0"/>
    <w:rsid w:val="00EB78B5"/>
    <w:rsid w:val="00EB791F"/>
    <w:rsid w:val="00EC09BF"/>
    <w:rsid w:val="00EC0A76"/>
    <w:rsid w:val="00EC0B11"/>
    <w:rsid w:val="00EC0D76"/>
    <w:rsid w:val="00EC1246"/>
    <w:rsid w:val="00EC130E"/>
    <w:rsid w:val="00EC152D"/>
    <w:rsid w:val="00EC16A6"/>
    <w:rsid w:val="00EC16B0"/>
    <w:rsid w:val="00EC1C14"/>
    <w:rsid w:val="00EC1D95"/>
    <w:rsid w:val="00EC22A1"/>
    <w:rsid w:val="00EC23C9"/>
    <w:rsid w:val="00EC24F4"/>
    <w:rsid w:val="00EC2AB8"/>
    <w:rsid w:val="00EC2B5D"/>
    <w:rsid w:val="00EC2B91"/>
    <w:rsid w:val="00EC2DB4"/>
    <w:rsid w:val="00EC32C5"/>
    <w:rsid w:val="00EC36C0"/>
    <w:rsid w:val="00EC3938"/>
    <w:rsid w:val="00EC4050"/>
    <w:rsid w:val="00EC40D3"/>
    <w:rsid w:val="00EC423F"/>
    <w:rsid w:val="00EC4280"/>
    <w:rsid w:val="00EC4311"/>
    <w:rsid w:val="00EC4395"/>
    <w:rsid w:val="00EC446A"/>
    <w:rsid w:val="00EC4667"/>
    <w:rsid w:val="00EC4772"/>
    <w:rsid w:val="00EC48EF"/>
    <w:rsid w:val="00EC4FBD"/>
    <w:rsid w:val="00EC4FC1"/>
    <w:rsid w:val="00EC5376"/>
    <w:rsid w:val="00EC53C2"/>
    <w:rsid w:val="00EC55FC"/>
    <w:rsid w:val="00EC5880"/>
    <w:rsid w:val="00EC58C2"/>
    <w:rsid w:val="00EC5C6C"/>
    <w:rsid w:val="00EC5FF8"/>
    <w:rsid w:val="00EC5FFB"/>
    <w:rsid w:val="00EC6518"/>
    <w:rsid w:val="00EC696D"/>
    <w:rsid w:val="00EC6999"/>
    <w:rsid w:val="00EC6A5F"/>
    <w:rsid w:val="00EC6C2F"/>
    <w:rsid w:val="00EC6C4D"/>
    <w:rsid w:val="00EC6CEB"/>
    <w:rsid w:val="00EC6F32"/>
    <w:rsid w:val="00EC7147"/>
    <w:rsid w:val="00EC71EA"/>
    <w:rsid w:val="00EC725A"/>
    <w:rsid w:val="00EC7730"/>
    <w:rsid w:val="00EC7883"/>
    <w:rsid w:val="00EC7D96"/>
    <w:rsid w:val="00ED047D"/>
    <w:rsid w:val="00ED0791"/>
    <w:rsid w:val="00ED0D77"/>
    <w:rsid w:val="00ED0DA4"/>
    <w:rsid w:val="00ED13E2"/>
    <w:rsid w:val="00ED16AF"/>
    <w:rsid w:val="00ED170C"/>
    <w:rsid w:val="00ED1D0A"/>
    <w:rsid w:val="00ED2A2B"/>
    <w:rsid w:val="00ED2D26"/>
    <w:rsid w:val="00ED2E43"/>
    <w:rsid w:val="00ED33F0"/>
    <w:rsid w:val="00ED3712"/>
    <w:rsid w:val="00ED371E"/>
    <w:rsid w:val="00ED3916"/>
    <w:rsid w:val="00ED3B5F"/>
    <w:rsid w:val="00ED3D69"/>
    <w:rsid w:val="00ED4215"/>
    <w:rsid w:val="00ED4A04"/>
    <w:rsid w:val="00ED4DF6"/>
    <w:rsid w:val="00ED4E09"/>
    <w:rsid w:val="00ED53E8"/>
    <w:rsid w:val="00ED56F4"/>
    <w:rsid w:val="00ED5AF9"/>
    <w:rsid w:val="00ED5CF0"/>
    <w:rsid w:val="00ED63C9"/>
    <w:rsid w:val="00ED68EB"/>
    <w:rsid w:val="00ED6B52"/>
    <w:rsid w:val="00ED6DB9"/>
    <w:rsid w:val="00ED6EE4"/>
    <w:rsid w:val="00ED6FEF"/>
    <w:rsid w:val="00ED7002"/>
    <w:rsid w:val="00ED73D8"/>
    <w:rsid w:val="00ED7707"/>
    <w:rsid w:val="00ED773F"/>
    <w:rsid w:val="00ED7775"/>
    <w:rsid w:val="00ED7996"/>
    <w:rsid w:val="00ED7E86"/>
    <w:rsid w:val="00ED7FF7"/>
    <w:rsid w:val="00EE0025"/>
    <w:rsid w:val="00EE023F"/>
    <w:rsid w:val="00EE0779"/>
    <w:rsid w:val="00EE0828"/>
    <w:rsid w:val="00EE08A3"/>
    <w:rsid w:val="00EE0911"/>
    <w:rsid w:val="00EE0E71"/>
    <w:rsid w:val="00EE0F03"/>
    <w:rsid w:val="00EE0F72"/>
    <w:rsid w:val="00EE10C1"/>
    <w:rsid w:val="00EE11B7"/>
    <w:rsid w:val="00EE124C"/>
    <w:rsid w:val="00EE1457"/>
    <w:rsid w:val="00EE159C"/>
    <w:rsid w:val="00EE17B6"/>
    <w:rsid w:val="00EE21BE"/>
    <w:rsid w:val="00EE2DBE"/>
    <w:rsid w:val="00EE2DD0"/>
    <w:rsid w:val="00EE2EC0"/>
    <w:rsid w:val="00EE2F73"/>
    <w:rsid w:val="00EE30B5"/>
    <w:rsid w:val="00EE3CAF"/>
    <w:rsid w:val="00EE3CC4"/>
    <w:rsid w:val="00EE3F0C"/>
    <w:rsid w:val="00EE4735"/>
    <w:rsid w:val="00EE4833"/>
    <w:rsid w:val="00EE4FAC"/>
    <w:rsid w:val="00EE50FF"/>
    <w:rsid w:val="00EE56F4"/>
    <w:rsid w:val="00EE5720"/>
    <w:rsid w:val="00EE5A43"/>
    <w:rsid w:val="00EE5A83"/>
    <w:rsid w:val="00EE5AC2"/>
    <w:rsid w:val="00EE644E"/>
    <w:rsid w:val="00EE66CE"/>
    <w:rsid w:val="00EE6793"/>
    <w:rsid w:val="00EE7BF3"/>
    <w:rsid w:val="00EE7EF2"/>
    <w:rsid w:val="00EF0083"/>
    <w:rsid w:val="00EF01CA"/>
    <w:rsid w:val="00EF04AD"/>
    <w:rsid w:val="00EF04DE"/>
    <w:rsid w:val="00EF056D"/>
    <w:rsid w:val="00EF0732"/>
    <w:rsid w:val="00EF088C"/>
    <w:rsid w:val="00EF0B50"/>
    <w:rsid w:val="00EF0B7C"/>
    <w:rsid w:val="00EF0E7C"/>
    <w:rsid w:val="00EF1565"/>
    <w:rsid w:val="00EF185D"/>
    <w:rsid w:val="00EF1A37"/>
    <w:rsid w:val="00EF1BC9"/>
    <w:rsid w:val="00EF1E84"/>
    <w:rsid w:val="00EF2077"/>
    <w:rsid w:val="00EF21E1"/>
    <w:rsid w:val="00EF233A"/>
    <w:rsid w:val="00EF2353"/>
    <w:rsid w:val="00EF2542"/>
    <w:rsid w:val="00EF258F"/>
    <w:rsid w:val="00EF259C"/>
    <w:rsid w:val="00EF2859"/>
    <w:rsid w:val="00EF2A24"/>
    <w:rsid w:val="00EF2ABC"/>
    <w:rsid w:val="00EF2FA1"/>
    <w:rsid w:val="00EF3025"/>
    <w:rsid w:val="00EF303F"/>
    <w:rsid w:val="00EF32E5"/>
    <w:rsid w:val="00EF355F"/>
    <w:rsid w:val="00EF356F"/>
    <w:rsid w:val="00EF3752"/>
    <w:rsid w:val="00EF3A4B"/>
    <w:rsid w:val="00EF42E6"/>
    <w:rsid w:val="00EF42FD"/>
    <w:rsid w:val="00EF43E3"/>
    <w:rsid w:val="00EF45A2"/>
    <w:rsid w:val="00EF463C"/>
    <w:rsid w:val="00EF4907"/>
    <w:rsid w:val="00EF4CAC"/>
    <w:rsid w:val="00EF4FD4"/>
    <w:rsid w:val="00EF5034"/>
    <w:rsid w:val="00EF50F3"/>
    <w:rsid w:val="00EF50F5"/>
    <w:rsid w:val="00EF511B"/>
    <w:rsid w:val="00EF513C"/>
    <w:rsid w:val="00EF5329"/>
    <w:rsid w:val="00EF54F5"/>
    <w:rsid w:val="00EF55CC"/>
    <w:rsid w:val="00EF55F4"/>
    <w:rsid w:val="00EF58E9"/>
    <w:rsid w:val="00EF5C6C"/>
    <w:rsid w:val="00EF5F6B"/>
    <w:rsid w:val="00EF5FCE"/>
    <w:rsid w:val="00EF6048"/>
    <w:rsid w:val="00EF62F9"/>
    <w:rsid w:val="00EF6494"/>
    <w:rsid w:val="00EF6A87"/>
    <w:rsid w:val="00EF71CD"/>
    <w:rsid w:val="00EF7543"/>
    <w:rsid w:val="00EF76ED"/>
    <w:rsid w:val="00EF76FA"/>
    <w:rsid w:val="00EF774B"/>
    <w:rsid w:val="00EF77F5"/>
    <w:rsid w:val="00EF7930"/>
    <w:rsid w:val="00EF7967"/>
    <w:rsid w:val="00EF79BB"/>
    <w:rsid w:val="00EF7A6D"/>
    <w:rsid w:val="00F005D8"/>
    <w:rsid w:val="00F00B11"/>
    <w:rsid w:val="00F00B69"/>
    <w:rsid w:val="00F00D42"/>
    <w:rsid w:val="00F00DE3"/>
    <w:rsid w:val="00F01451"/>
    <w:rsid w:val="00F015BD"/>
    <w:rsid w:val="00F016A6"/>
    <w:rsid w:val="00F01791"/>
    <w:rsid w:val="00F01B6A"/>
    <w:rsid w:val="00F01C7A"/>
    <w:rsid w:val="00F01D5F"/>
    <w:rsid w:val="00F027BB"/>
    <w:rsid w:val="00F0283A"/>
    <w:rsid w:val="00F0284D"/>
    <w:rsid w:val="00F02A57"/>
    <w:rsid w:val="00F02EC2"/>
    <w:rsid w:val="00F02F39"/>
    <w:rsid w:val="00F0316D"/>
    <w:rsid w:val="00F03193"/>
    <w:rsid w:val="00F039B3"/>
    <w:rsid w:val="00F03CBF"/>
    <w:rsid w:val="00F03D68"/>
    <w:rsid w:val="00F03EAD"/>
    <w:rsid w:val="00F0451B"/>
    <w:rsid w:val="00F04545"/>
    <w:rsid w:val="00F0455C"/>
    <w:rsid w:val="00F04729"/>
    <w:rsid w:val="00F049E2"/>
    <w:rsid w:val="00F051A6"/>
    <w:rsid w:val="00F0543F"/>
    <w:rsid w:val="00F05A2A"/>
    <w:rsid w:val="00F05B0E"/>
    <w:rsid w:val="00F05E74"/>
    <w:rsid w:val="00F0673C"/>
    <w:rsid w:val="00F0686F"/>
    <w:rsid w:val="00F068F5"/>
    <w:rsid w:val="00F06B58"/>
    <w:rsid w:val="00F06BD4"/>
    <w:rsid w:val="00F07177"/>
    <w:rsid w:val="00F07319"/>
    <w:rsid w:val="00F07842"/>
    <w:rsid w:val="00F078CA"/>
    <w:rsid w:val="00F1011F"/>
    <w:rsid w:val="00F101AB"/>
    <w:rsid w:val="00F1031E"/>
    <w:rsid w:val="00F103E9"/>
    <w:rsid w:val="00F103F4"/>
    <w:rsid w:val="00F10423"/>
    <w:rsid w:val="00F1043F"/>
    <w:rsid w:val="00F10743"/>
    <w:rsid w:val="00F10782"/>
    <w:rsid w:val="00F1086A"/>
    <w:rsid w:val="00F10F73"/>
    <w:rsid w:val="00F1103B"/>
    <w:rsid w:val="00F113A6"/>
    <w:rsid w:val="00F1140A"/>
    <w:rsid w:val="00F11472"/>
    <w:rsid w:val="00F11686"/>
    <w:rsid w:val="00F1183D"/>
    <w:rsid w:val="00F11932"/>
    <w:rsid w:val="00F11ACE"/>
    <w:rsid w:val="00F11C9F"/>
    <w:rsid w:val="00F11D15"/>
    <w:rsid w:val="00F12293"/>
    <w:rsid w:val="00F12378"/>
    <w:rsid w:val="00F125B0"/>
    <w:rsid w:val="00F126C6"/>
    <w:rsid w:val="00F1284B"/>
    <w:rsid w:val="00F12AC8"/>
    <w:rsid w:val="00F12BEB"/>
    <w:rsid w:val="00F13496"/>
    <w:rsid w:val="00F135C8"/>
    <w:rsid w:val="00F1360A"/>
    <w:rsid w:val="00F13818"/>
    <w:rsid w:val="00F13EBC"/>
    <w:rsid w:val="00F13EC6"/>
    <w:rsid w:val="00F13EF8"/>
    <w:rsid w:val="00F13FA8"/>
    <w:rsid w:val="00F13FF4"/>
    <w:rsid w:val="00F142CE"/>
    <w:rsid w:val="00F142D6"/>
    <w:rsid w:val="00F145C8"/>
    <w:rsid w:val="00F14B11"/>
    <w:rsid w:val="00F14BD6"/>
    <w:rsid w:val="00F14CE7"/>
    <w:rsid w:val="00F150CB"/>
    <w:rsid w:val="00F15227"/>
    <w:rsid w:val="00F1525F"/>
    <w:rsid w:val="00F1530D"/>
    <w:rsid w:val="00F15897"/>
    <w:rsid w:val="00F15BE7"/>
    <w:rsid w:val="00F15C6B"/>
    <w:rsid w:val="00F1608A"/>
    <w:rsid w:val="00F16237"/>
    <w:rsid w:val="00F169F6"/>
    <w:rsid w:val="00F16A0A"/>
    <w:rsid w:val="00F174A0"/>
    <w:rsid w:val="00F176A4"/>
    <w:rsid w:val="00F1778A"/>
    <w:rsid w:val="00F17819"/>
    <w:rsid w:val="00F17E49"/>
    <w:rsid w:val="00F17E66"/>
    <w:rsid w:val="00F17E76"/>
    <w:rsid w:val="00F20BE3"/>
    <w:rsid w:val="00F20DFA"/>
    <w:rsid w:val="00F21032"/>
    <w:rsid w:val="00F21398"/>
    <w:rsid w:val="00F215F3"/>
    <w:rsid w:val="00F21E20"/>
    <w:rsid w:val="00F21E2F"/>
    <w:rsid w:val="00F22098"/>
    <w:rsid w:val="00F221C8"/>
    <w:rsid w:val="00F221E6"/>
    <w:rsid w:val="00F2246A"/>
    <w:rsid w:val="00F225F9"/>
    <w:rsid w:val="00F2291E"/>
    <w:rsid w:val="00F22A02"/>
    <w:rsid w:val="00F22BEF"/>
    <w:rsid w:val="00F22C37"/>
    <w:rsid w:val="00F22CD9"/>
    <w:rsid w:val="00F22CE8"/>
    <w:rsid w:val="00F22E06"/>
    <w:rsid w:val="00F22F5C"/>
    <w:rsid w:val="00F22F9F"/>
    <w:rsid w:val="00F2301D"/>
    <w:rsid w:val="00F230BB"/>
    <w:rsid w:val="00F23373"/>
    <w:rsid w:val="00F2347B"/>
    <w:rsid w:val="00F23568"/>
    <w:rsid w:val="00F23822"/>
    <w:rsid w:val="00F23D7C"/>
    <w:rsid w:val="00F24052"/>
    <w:rsid w:val="00F2475E"/>
    <w:rsid w:val="00F24AC6"/>
    <w:rsid w:val="00F24BBF"/>
    <w:rsid w:val="00F24C18"/>
    <w:rsid w:val="00F24C7B"/>
    <w:rsid w:val="00F24E9C"/>
    <w:rsid w:val="00F252BD"/>
    <w:rsid w:val="00F253DC"/>
    <w:rsid w:val="00F25AAE"/>
    <w:rsid w:val="00F25BD6"/>
    <w:rsid w:val="00F25FA2"/>
    <w:rsid w:val="00F260B7"/>
    <w:rsid w:val="00F262D3"/>
    <w:rsid w:val="00F26697"/>
    <w:rsid w:val="00F26753"/>
    <w:rsid w:val="00F269EC"/>
    <w:rsid w:val="00F26A89"/>
    <w:rsid w:val="00F26B8D"/>
    <w:rsid w:val="00F26BFE"/>
    <w:rsid w:val="00F26C45"/>
    <w:rsid w:val="00F26C4B"/>
    <w:rsid w:val="00F26C54"/>
    <w:rsid w:val="00F26DDE"/>
    <w:rsid w:val="00F26FFF"/>
    <w:rsid w:val="00F2735A"/>
    <w:rsid w:val="00F27729"/>
    <w:rsid w:val="00F27B19"/>
    <w:rsid w:val="00F27B63"/>
    <w:rsid w:val="00F27CC2"/>
    <w:rsid w:val="00F30610"/>
    <w:rsid w:val="00F306D7"/>
    <w:rsid w:val="00F31012"/>
    <w:rsid w:val="00F311D9"/>
    <w:rsid w:val="00F318F2"/>
    <w:rsid w:val="00F319AE"/>
    <w:rsid w:val="00F31FF6"/>
    <w:rsid w:val="00F3227C"/>
    <w:rsid w:val="00F32670"/>
    <w:rsid w:val="00F3284E"/>
    <w:rsid w:val="00F32BE2"/>
    <w:rsid w:val="00F3331E"/>
    <w:rsid w:val="00F33409"/>
    <w:rsid w:val="00F337B6"/>
    <w:rsid w:val="00F339A4"/>
    <w:rsid w:val="00F33A80"/>
    <w:rsid w:val="00F33B2F"/>
    <w:rsid w:val="00F343A5"/>
    <w:rsid w:val="00F343D8"/>
    <w:rsid w:val="00F3442F"/>
    <w:rsid w:val="00F34689"/>
    <w:rsid w:val="00F34827"/>
    <w:rsid w:val="00F34A91"/>
    <w:rsid w:val="00F34AD9"/>
    <w:rsid w:val="00F34B64"/>
    <w:rsid w:val="00F34BD5"/>
    <w:rsid w:val="00F34F47"/>
    <w:rsid w:val="00F35149"/>
    <w:rsid w:val="00F353D7"/>
    <w:rsid w:val="00F35483"/>
    <w:rsid w:val="00F35B47"/>
    <w:rsid w:val="00F35DF1"/>
    <w:rsid w:val="00F35E74"/>
    <w:rsid w:val="00F362FF"/>
    <w:rsid w:val="00F36982"/>
    <w:rsid w:val="00F36B4F"/>
    <w:rsid w:val="00F36CCD"/>
    <w:rsid w:val="00F36E0A"/>
    <w:rsid w:val="00F36FED"/>
    <w:rsid w:val="00F371C7"/>
    <w:rsid w:val="00F3731D"/>
    <w:rsid w:val="00F37596"/>
    <w:rsid w:val="00F379CF"/>
    <w:rsid w:val="00F37D77"/>
    <w:rsid w:val="00F37E86"/>
    <w:rsid w:val="00F400BB"/>
    <w:rsid w:val="00F406BB"/>
    <w:rsid w:val="00F4078D"/>
    <w:rsid w:val="00F408A4"/>
    <w:rsid w:val="00F409CF"/>
    <w:rsid w:val="00F40AF8"/>
    <w:rsid w:val="00F40B40"/>
    <w:rsid w:val="00F40B6C"/>
    <w:rsid w:val="00F41042"/>
    <w:rsid w:val="00F410F9"/>
    <w:rsid w:val="00F41147"/>
    <w:rsid w:val="00F4114F"/>
    <w:rsid w:val="00F41420"/>
    <w:rsid w:val="00F4160A"/>
    <w:rsid w:val="00F41A64"/>
    <w:rsid w:val="00F41CB9"/>
    <w:rsid w:val="00F41F4D"/>
    <w:rsid w:val="00F42151"/>
    <w:rsid w:val="00F42BE5"/>
    <w:rsid w:val="00F42D71"/>
    <w:rsid w:val="00F42EB2"/>
    <w:rsid w:val="00F42FD3"/>
    <w:rsid w:val="00F430BC"/>
    <w:rsid w:val="00F4327E"/>
    <w:rsid w:val="00F4385D"/>
    <w:rsid w:val="00F43955"/>
    <w:rsid w:val="00F43BBB"/>
    <w:rsid w:val="00F43C46"/>
    <w:rsid w:val="00F43C50"/>
    <w:rsid w:val="00F43DE8"/>
    <w:rsid w:val="00F43DFD"/>
    <w:rsid w:val="00F4401E"/>
    <w:rsid w:val="00F440E8"/>
    <w:rsid w:val="00F44346"/>
    <w:rsid w:val="00F443E8"/>
    <w:rsid w:val="00F448C4"/>
    <w:rsid w:val="00F44932"/>
    <w:rsid w:val="00F44B5D"/>
    <w:rsid w:val="00F45250"/>
    <w:rsid w:val="00F45304"/>
    <w:rsid w:val="00F4539E"/>
    <w:rsid w:val="00F4541D"/>
    <w:rsid w:val="00F4542D"/>
    <w:rsid w:val="00F4592E"/>
    <w:rsid w:val="00F45D0F"/>
    <w:rsid w:val="00F45EEF"/>
    <w:rsid w:val="00F461A8"/>
    <w:rsid w:val="00F46206"/>
    <w:rsid w:val="00F465DD"/>
    <w:rsid w:val="00F46624"/>
    <w:rsid w:val="00F46B65"/>
    <w:rsid w:val="00F46E6E"/>
    <w:rsid w:val="00F4719B"/>
    <w:rsid w:val="00F471B0"/>
    <w:rsid w:val="00F472D8"/>
    <w:rsid w:val="00F47488"/>
    <w:rsid w:val="00F47AD2"/>
    <w:rsid w:val="00F47BA1"/>
    <w:rsid w:val="00F47C3B"/>
    <w:rsid w:val="00F47F83"/>
    <w:rsid w:val="00F50117"/>
    <w:rsid w:val="00F501BB"/>
    <w:rsid w:val="00F502A2"/>
    <w:rsid w:val="00F5062A"/>
    <w:rsid w:val="00F50861"/>
    <w:rsid w:val="00F50BE4"/>
    <w:rsid w:val="00F50E67"/>
    <w:rsid w:val="00F50FC7"/>
    <w:rsid w:val="00F5112C"/>
    <w:rsid w:val="00F515AE"/>
    <w:rsid w:val="00F51837"/>
    <w:rsid w:val="00F51942"/>
    <w:rsid w:val="00F51D97"/>
    <w:rsid w:val="00F51DC1"/>
    <w:rsid w:val="00F51E69"/>
    <w:rsid w:val="00F520C0"/>
    <w:rsid w:val="00F52430"/>
    <w:rsid w:val="00F52970"/>
    <w:rsid w:val="00F52BE1"/>
    <w:rsid w:val="00F5339C"/>
    <w:rsid w:val="00F535D9"/>
    <w:rsid w:val="00F53A04"/>
    <w:rsid w:val="00F53D7E"/>
    <w:rsid w:val="00F53DD6"/>
    <w:rsid w:val="00F5420E"/>
    <w:rsid w:val="00F5422A"/>
    <w:rsid w:val="00F54505"/>
    <w:rsid w:val="00F545EC"/>
    <w:rsid w:val="00F54674"/>
    <w:rsid w:val="00F54770"/>
    <w:rsid w:val="00F54A38"/>
    <w:rsid w:val="00F54F66"/>
    <w:rsid w:val="00F55140"/>
    <w:rsid w:val="00F55451"/>
    <w:rsid w:val="00F5548C"/>
    <w:rsid w:val="00F55504"/>
    <w:rsid w:val="00F55548"/>
    <w:rsid w:val="00F55767"/>
    <w:rsid w:val="00F55A1F"/>
    <w:rsid w:val="00F55EF7"/>
    <w:rsid w:val="00F55F91"/>
    <w:rsid w:val="00F56012"/>
    <w:rsid w:val="00F5609A"/>
    <w:rsid w:val="00F560FE"/>
    <w:rsid w:val="00F56209"/>
    <w:rsid w:val="00F56408"/>
    <w:rsid w:val="00F56487"/>
    <w:rsid w:val="00F5666A"/>
    <w:rsid w:val="00F568D1"/>
    <w:rsid w:val="00F56BB3"/>
    <w:rsid w:val="00F56F3B"/>
    <w:rsid w:val="00F570A5"/>
    <w:rsid w:val="00F5729A"/>
    <w:rsid w:val="00F5732D"/>
    <w:rsid w:val="00F57791"/>
    <w:rsid w:val="00F57E62"/>
    <w:rsid w:val="00F57E6B"/>
    <w:rsid w:val="00F6026F"/>
    <w:rsid w:val="00F608C8"/>
    <w:rsid w:val="00F6095C"/>
    <w:rsid w:val="00F60BEE"/>
    <w:rsid w:val="00F60CDD"/>
    <w:rsid w:val="00F60EDD"/>
    <w:rsid w:val="00F6120F"/>
    <w:rsid w:val="00F6143E"/>
    <w:rsid w:val="00F61670"/>
    <w:rsid w:val="00F61AB0"/>
    <w:rsid w:val="00F620E6"/>
    <w:rsid w:val="00F62392"/>
    <w:rsid w:val="00F62769"/>
    <w:rsid w:val="00F62BA9"/>
    <w:rsid w:val="00F62E8E"/>
    <w:rsid w:val="00F630D1"/>
    <w:rsid w:val="00F63AD4"/>
    <w:rsid w:val="00F63B78"/>
    <w:rsid w:val="00F63F24"/>
    <w:rsid w:val="00F6429A"/>
    <w:rsid w:val="00F643DE"/>
    <w:rsid w:val="00F64656"/>
    <w:rsid w:val="00F6465B"/>
    <w:rsid w:val="00F64738"/>
    <w:rsid w:val="00F64AA4"/>
    <w:rsid w:val="00F64B53"/>
    <w:rsid w:val="00F64DEA"/>
    <w:rsid w:val="00F64F14"/>
    <w:rsid w:val="00F65015"/>
    <w:rsid w:val="00F6556A"/>
    <w:rsid w:val="00F655EC"/>
    <w:rsid w:val="00F65852"/>
    <w:rsid w:val="00F65AD6"/>
    <w:rsid w:val="00F65C58"/>
    <w:rsid w:val="00F65C8A"/>
    <w:rsid w:val="00F65F53"/>
    <w:rsid w:val="00F6657D"/>
    <w:rsid w:val="00F665BA"/>
    <w:rsid w:val="00F665DA"/>
    <w:rsid w:val="00F66755"/>
    <w:rsid w:val="00F669AC"/>
    <w:rsid w:val="00F66BA6"/>
    <w:rsid w:val="00F66D39"/>
    <w:rsid w:val="00F67760"/>
    <w:rsid w:val="00F6781F"/>
    <w:rsid w:val="00F67B2D"/>
    <w:rsid w:val="00F67BF4"/>
    <w:rsid w:val="00F67FDC"/>
    <w:rsid w:val="00F70430"/>
    <w:rsid w:val="00F707E4"/>
    <w:rsid w:val="00F70BA8"/>
    <w:rsid w:val="00F70CA5"/>
    <w:rsid w:val="00F70ED8"/>
    <w:rsid w:val="00F70F5F"/>
    <w:rsid w:val="00F70FB1"/>
    <w:rsid w:val="00F711AA"/>
    <w:rsid w:val="00F71776"/>
    <w:rsid w:val="00F7181A"/>
    <w:rsid w:val="00F71B36"/>
    <w:rsid w:val="00F71C10"/>
    <w:rsid w:val="00F71CA2"/>
    <w:rsid w:val="00F72204"/>
    <w:rsid w:val="00F72466"/>
    <w:rsid w:val="00F724A4"/>
    <w:rsid w:val="00F7297B"/>
    <w:rsid w:val="00F72A8A"/>
    <w:rsid w:val="00F72AD2"/>
    <w:rsid w:val="00F72E14"/>
    <w:rsid w:val="00F73029"/>
    <w:rsid w:val="00F736E3"/>
    <w:rsid w:val="00F736FB"/>
    <w:rsid w:val="00F73882"/>
    <w:rsid w:val="00F738B6"/>
    <w:rsid w:val="00F73A20"/>
    <w:rsid w:val="00F73C0D"/>
    <w:rsid w:val="00F74024"/>
    <w:rsid w:val="00F74958"/>
    <w:rsid w:val="00F749B4"/>
    <w:rsid w:val="00F74F39"/>
    <w:rsid w:val="00F75015"/>
    <w:rsid w:val="00F7505F"/>
    <w:rsid w:val="00F75104"/>
    <w:rsid w:val="00F751CF"/>
    <w:rsid w:val="00F75601"/>
    <w:rsid w:val="00F75759"/>
    <w:rsid w:val="00F75F1B"/>
    <w:rsid w:val="00F760D5"/>
    <w:rsid w:val="00F763B1"/>
    <w:rsid w:val="00F766A8"/>
    <w:rsid w:val="00F76753"/>
    <w:rsid w:val="00F76896"/>
    <w:rsid w:val="00F76AA7"/>
    <w:rsid w:val="00F76E31"/>
    <w:rsid w:val="00F76F1F"/>
    <w:rsid w:val="00F77017"/>
    <w:rsid w:val="00F77091"/>
    <w:rsid w:val="00F776B3"/>
    <w:rsid w:val="00F777A9"/>
    <w:rsid w:val="00F77B2D"/>
    <w:rsid w:val="00F77D20"/>
    <w:rsid w:val="00F77DA8"/>
    <w:rsid w:val="00F77F3C"/>
    <w:rsid w:val="00F8021F"/>
    <w:rsid w:val="00F803E5"/>
    <w:rsid w:val="00F8044D"/>
    <w:rsid w:val="00F8063E"/>
    <w:rsid w:val="00F81480"/>
    <w:rsid w:val="00F816C7"/>
    <w:rsid w:val="00F81712"/>
    <w:rsid w:val="00F81763"/>
    <w:rsid w:val="00F819E4"/>
    <w:rsid w:val="00F81ADF"/>
    <w:rsid w:val="00F81C66"/>
    <w:rsid w:val="00F81E44"/>
    <w:rsid w:val="00F81F96"/>
    <w:rsid w:val="00F8232F"/>
    <w:rsid w:val="00F82428"/>
    <w:rsid w:val="00F824CD"/>
    <w:rsid w:val="00F829A9"/>
    <w:rsid w:val="00F82ABE"/>
    <w:rsid w:val="00F82C3E"/>
    <w:rsid w:val="00F82D2E"/>
    <w:rsid w:val="00F82F27"/>
    <w:rsid w:val="00F82FA4"/>
    <w:rsid w:val="00F832BC"/>
    <w:rsid w:val="00F83531"/>
    <w:rsid w:val="00F83997"/>
    <w:rsid w:val="00F83B42"/>
    <w:rsid w:val="00F83BCB"/>
    <w:rsid w:val="00F83FCC"/>
    <w:rsid w:val="00F8419C"/>
    <w:rsid w:val="00F8454E"/>
    <w:rsid w:val="00F84579"/>
    <w:rsid w:val="00F84842"/>
    <w:rsid w:val="00F8489B"/>
    <w:rsid w:val="00F849FF"/>
    <w:rsid w:val="00F84D10"/>
    <w:rsid w:val="00F851DC"/>
    <w:rsid w:val="00F852F5"/>
    <w:rsid w:val="00F853F2"/>
    <w:rsid w:val="00F8542F"/>
    <w:rsid w:val="00F8586B"/>
    <w:rsid w:val="00F858E5"/>
    <w:rsid w:val="00F85A0C"/>
    <w:rsid w:val="00F85D5E"/>
    <w:rsid w:val="00F85F06"/>
    <w:rsid w:val="00F860B5"/>
    <w:rsid w:val="00F862D5"/>
    <w:rsid w:val="00F8657B"/>
    <w:rsid w:val="00F866E6"/>
    <w:rsid w:val="00F86932"/>
    <w:rsid w:val="00F86BC3"/>
    <w:rsid w:val="00F8756F"/>
    <w:rsid w:val="00F875BB"/>
    <w:rsid w:val="00F87634"/>
    <w:rsid w:val="00F87686"/>
    <w:rsid w:val="00F876D5"/>
    <w:rsid w:val="00F877CA"/>
    <w:rsid w:val="00F87AF0"/>
    <w:rsid w:val="00F87BE0"/>
    <w:rsid w:val="00F90030"/>
    <w:rsid w:val="00F903F0"/>
    <w:rsid w:val="00F904A5"/>
    <w:rsid w:val="00F906EA"/>
    <w:rsid w:val="00F906FF"/>
    <w:rsid w:val="00F90A6C"/>
    <w:rsid w:val="00F90D51"/>
    <w:rsid w:val="00F90E18"/>
    <w:rsid w:val="00F912A7"/>
    <w:rsid w:val="00F91651"/>
    <w:rsid w:val="00F9174A"/>
    <w:rsid w:val="00F918B8"/>
    <w:rsid w:val="00F91C73"/>
    <w:rsid w:val="00F91D6F"/>
    <w:rsid w:val="00F92200"/>
    <w:rsid w:val="00F922B4"/>
    <w:rsid w:val="00F92301"/>
    <w:rsid w:val="00F928E9"/>
    <w:rsid w:val="00F92AD5"/>
    <w:rsid w:val="00F92D06"/>
    <w:rsid w:val="00F93006"/>
    <w:rsid w:val="00F93A7C"/>
    <w:rsid w:val="00F93BFF"/>
    <w:rsid w:val="00F93C6C"/>
    <w:rsid w:val="00F93CA1"/>
    <w:rsid w:val="00F93CB2"/>
    <w:rsid w:val="00F9467E"/>
    <w:rsid w:val="00F94C2F"/>
    <w:rsid w:val="00F94C37"/>
    <w:rsid w:val="00F94C4F"/>
    <w:rsid w:val="00F94DBE"/>
    <w:rsid w:val="00F951CA"/>
    <w:rsid w:val="00F95575"/>
    <w:rsid w:val="00F95A27"/>
    <w:rsid w:val="00F95A7C"/>
    <w:rsid w:val="00F95D09"/>
    <w:rsid w:val="00F96291"/>
    <w:rsid w:val="00F9635B"/>
    <w:rsid w:val="00F963E5"/>
    <w:rsid w:val="00F96454"/>
    <w:rsid w:val="00F9656E"/>
    <w:rsid w:val="00F96607"/>
    <w:rsid w:val="00F967C7"/>
    <w:rsid w:val="00F969F3"/>
    <w:rsid w:val="00F96AE3"/>
    <w:rsid w:val="00F96B7C"/>
    <w:rsid w:val="00F96FAD"/>
    <w:rsid w:val="00F97079"/>
    <w:rsid w:val="00F97927"/>
    <w:rsid w:val="00FA00FD"/>
    <w:rsid w:val="00FA011F"/>
    <w:rsid w:val="00FA01EC"/>
    <w:rsid w:val="00FA022A"/>
    <w:rsid w:val="00FA03D5"/>
    <w:rsid w:val="00FA0454"/>
    <w:rsid w:val="00FA0639"/>
    <w:rsid w:val="00FA06AA"/>
    <w:rsid w:val="00FA06FD"/>
    <w:rsid w:val="00FA085A"/>
    <w:rsid w:val="00FA088A"/>
    <w:rsid w:val="00FA09E4"/>
    <w:rsid w:val="00FA0C96"/>
    <w:rsid w:val="00FA0E46"/>
    <w:rsid w:val="00FA0E8B"/>
    <w:rsid w:val="00FA0F34"/>
    <w:rsid w:val="00FA0FD0"/>
    <w:rsid w:val="00FA114E"/>
    <w:rsid w:val="00FA11CD"/>
    <w:rsid w:val="00FA1573"/>
    <w:rsid w:val="00FA17E9"/>
    <w:rsid w:val="00FA1C1E"/>
    <w:rsid w:val="00FA1CC0"/>
    <w:rsid w:val="00FA1E1F"/>
    <w:rsid w:val="00FA1FAD"/>
    <w:rsid w:val="00FA1FE5"/>
    <w:rsid w:val="00FA2632"/>
    <w:rsid w:val="00FA2634"/>
    <w:rsid w:val="00FA2743"/>
    <w:rsid w:val="00FA27AA"/>
    <w:rsid w:val="00FA294F"/>
    <w:rsid w:val="00FA2C16"/>
    <w:rsid w:val="00FA2D7A"/>
    <w:rsid w:val="00FA3444"/>
    <w:rsid w:val="00FA3C7B"/>
    <w:rsid w:val="00FA41B3"/>
    <w:rsid w:val="00FA4918"/>
    <w:rsid w:val="00FA4B2A"/>
    <w:rsid w:val="00FA5921"/>
    <w:rsid w:val="00FA59FA"/>
    <w:rsid w:val="00FA5A42"/>
    <w:rsid w:val="00FA5ABA"/>
    <w:rsid w:val="00FA5B3B"/>
    <w:rsid w:val="00FA6113"/>
    <w:rsid w:val="00FA620C"/>
    <w:rsid w:val="00FA62B3"/>
    <w:rsid w:val="00FA642F"/>
    <w:rsid w:val="00FA647E"/>
    <w:rsid w:val="00FA64D2"/>
    <w:rsid w:val="00FA65F9"/>
    <w:rsid w:val="00FA67E2"/>
    <w:rsid w:val="00FA6858"/>
    <w:rsid w:val="00FA69F8"/>
    <w:rsid w:val="00FA6CD0"/>
    <w:rsid w:val="00FA6E79"/>
    <w:rsid w:val="00FA7250"/>
    <w:rsid w:val="00FA7434"/>
    <w:rsid w:val="00FA758D"/>
    <w:rsid w:val="00FA7D5A"/>
    <w:rsid w:val="00FA7FBC"/>
    <w:rsid w:val="00FB03FE"/>
    <w:rsid w:val="00FB04ED"/>
    <w:rsid w:val="00FB05F1"/>
    <w:rsid w:val="00FB07A9"/>
    <w:rsid w:val="00FB0B53"/>
    <w:rsid w:val="00FB0BEC"/>
    <w:rsid w:val="00FB0C73"/>
    <w:rsid w:val="00FB0D36"/>
    <w:rsid w:val="00FB0DF5"/>
    <w:rsid w:val="00FB0E80"/>
    <w:rsid w:val="00FB10B7"/>
    <w:rsid w:val="00FB16ED"/>
    <w:rsid w:val="00FB1AE1"/>
    <w:rsid w:val="00FB1FBB"/>
    <w:rsid w:val="00FB224B"/>
    <w:rsid w:val="00FB23D4"/>
    <w:rsid w:val="00FB2CD3"/>
    <w:rsid w:val="00FB2DE0"/>
    <w:rsid w:val="00FB2E07"/>
    <w:rsid w:val="00FB3132"/>
    <w:rsid w:val="00FB34EE"/>
    <w:rsid w:val="00FB39F8"/>
    <w:rsid w:val="00FB3D60"/>
    <w:rsid w:val="00FB3D77"/>
    <w:rsid w:val="00FB3E2C"/>
    <w:rsid w:val="00FB3E7C"/>
    <w:rsid w:val="00FB3F9A"/>
    <w:rsid w:val="00FB42D5"/>
    <w:rsid w:val="00FB43FC"/>
    <w:rsid w:val="00FB48F6"/>
    <w:rsid w:val="00FB4B57"/>
    <w:rsid w:val="00FB4DF0"/>
    <w:rsid w:val="00FB4DFC"/>
    <w:rsid w:val="00FB5272"/>
    <w:rsid w:val="00FB58C6"/>
    <w:rsid w:val="00FB5908"/>
    <w:rsid w:val="00FB5AD8"/>
    <w:rsid w:val="00FB5E35"/>
    <w:rsid w:val="00FB6155"/>
    <w:rsid w:val="00FB72A1"/>
    <w:rsid w:val="00FB7669"/>
    <w:rsid w:val="00FB7815"/>
    <w:rsid w:val="00FB785F"/>
    <w:rsid w:val="00FB7AB9"/>
    <w:rsid w:val="00FB7D4C"/>
    <w:rsid w:val="00FB7DD0"/>
    <w:rsid w:val="00FC018E"/>
    <w:rsid w:val="00FC04B6"/>
    <w:rsid w:val="00FC0735"/>
    <w:rsid w:val="00FC08E2"/>
    <w:rsid w:val="00FC0B39"/>
    <w:rsid w:val="00FC0D02"/>
    <w:rsid w:val="00FC0F2B"/>
    <w:rsid w:val="00FC10AC"/>
    <w:rsid w:val="00FC1252"/>
    <w:rsid w:val="00FC15A5"/>
    <w:rsid w:val="00FC1759"/>
    <w:rsid w:val="00FC18CC"/>
    <w:rsid w:val="00FC190E"/>
    <w:rsid w:val="00FC1B6E"/>
    <w:rsid w:val="00FC208D"/>
    <w:rsid w:val="00FC23FA"/>
    <w:rsid w:val="00FC246D"/>
    <w:rsid w:val="00FC2683"/>
    <w:rsid w:val="00FC2984"/>
    <w:rsid w:val="00FC2B08"/>
    <w:rsid w:val="00FC2DAC"/>
    <w:rsid w:val="00FC31B9"/>
    <w:rsid w:val="00FC3319"/>
    <w:rsid w:val="00FC335D"/>
    <w:rsid w:val="00FC33DD"/>
    <w:rsid w:val="00FC355D"/>
    <w:rsid w:val="00FC35F7"/>
    <w:rsid w:val="00FC380C"/>
    <w:rsid w:val="00FC3960"/>
    <w:rsid w:val="00FC3AB0"/>
    <w:rsid w:val="00FC3D55"/>
    <w:rsid w:val="00FC3FD8"/>
    <w:rsid w:val="00FC406E"/>
    <w:rsid w:val="00FC4318"/>
    <w:rsid w:val="00FC4386"/>
    <w:rsid w:val="00FC4441"/>
    <w:rsid w:val="00FC450C"/>
    <w:rsid w:val="00FC4AED"/>
    <w:rsid w:val="00FC4D40"/>
    <w:rsid w:val="00FC4DCC"/>
    <w:rsid w:val="00FC509B"/>
    <w:rsid w:val="00FC516A"/>
    <w:rsid w:val="00FC51AC"/>
    <w:rsid w:val="00FC5703"/>
    <w:rsid w:val="00FC5A34"/>
    <w:rsid w:val="00FC5E97"/>
    <w:rsid w:val="00FC5F7D"/>
    <w:rsid w:val="00FC6098"/>
    <w:rsid w:val="00FC60CB"/>
    <w:rsid w:val="00FC60E1"/>
    <w:rsid w:val="00FC6441"/>
    <w:rsid w:val="00FC66D6"/>
    <w:rsid w:val="00FC66E4"/>
    <w:rsid w:val="00FC6E51"/>
    <w:rsid w:val="00FC6FB9"/>
    <w:rsid w:val="00FC7076"/>
    <w:rsid w:val="00FC723B"/>
    <w:rsid w:val="00FC72A3"/>
    <w:rsid w:val="00FC756D"/>
    <w:rsid w:val="00FC7A90"/>
    <w:rsid w:val="00FC7C84"/>
    <w:rsid w:val="00FC7E7E"/>
    <w:rsid w:val="00FC7EAF"/>
    <w:rsid w:val="00FD00A4"/>
    <w:rsid w:val="00FD0699"/>
    <w:rsid w:val="00FD06AE"/>
    <w:rsid w:val="00FD0871"/>
    <w:rsid w:val="00FD09B7"/>
    <w:rsid w:val="00FD0ADC"/>
    <w:rsid w:val="00FD0BA6"/>
    <w:rsid w:val="00FD1E13"/>
    <w:rsid w:val="00FD202D"/>
    <w:rsid w:val="00FD22F7"/>
    <w:rsid w:val="00FD2360"/>
    <w:rsid w:val="00FD2546"/>
    <w:rsid w:val="00FD258C"/>
    <w:rsid w:val="00FD296E"/>
    <w:rsid w:val="00FD2D1E"/>
    <w:rsid w:val="00FD2DE4"/>
    <w:rsid w:val="00FD2ED5"/>
    <w:rsid w:val="00FD30A9"/>
    <w:rsid w:val="00FD30E0"/>
    <w:rsid w:val="00FD328F"/>
    <w:rsid w:val="00FD3A4D"/>
    <w:rsid w:val="00FD3B3A"/>
    <w:rsid w:val="00FD3DCB"/>
    <w:rsid w:val="00FD40A0"/>
    <w:rsid w:val="00FD40C3"/>
    <w:rsid w:val="00FD4607"/>
    <w:rsid w:val="00FD4738"/>
    <w:rsid w:val="00FD49CC"/>
    <w:rsid w:val="00FD4A1B"/>
    <w:rsid w:val="00FD4F1B"/>
    <w:rsid w:val="00FD5188"/>
    <w:rsid w:val="00FD52E6"/>
    <w:rsid w:val="00FD5398"/>
    <w:rsid w:val="00FD5502"/>
    <w:rsid w:val="00FD5A2F"/>
    <w:rsid w:val="00FD5DD3"/>
    <w:rsid w:val="00FD62EA"/>
    <w:rsid w:val="00FD6547"/>
    <w:rsid w:val="00FD68A2"/>
    <w:rsid w:val="00FD6979"/>
    <w:rsid w:val="00FD73EC"/>
    <w:rsid w:val="00FD747C"/>
    <w:rsid w:val="00FD7564"/>
    <w:rsid w:val="00FD7C63"/>
    <w:rsid w:val="00FE0018"/>
    <w:rsid w:val="00FE034A"/>
    <w:rsid w:val="00FE035C"/>
    <w:rsid w:val="00FE0692"/>
    <w:rsid w:val="00FE0885"/>
    <w:rsid w:val="00FE0A8E"/>
    <w:rsid w:val="00FE1741"/>
    <w:rsid w:val="00FE1950"/>
    <w:rsid w:val="00FE1ABB"/>
    <w:rsid w:val="00FE1BA6"/>
    <w:rsid w:val="00FE1C63"/>
    <w:rsid w:val="00FE1C8E"/>
    <w:rsid w:val="00FE1E7F"/>
    <w:rsid w:val="00FE227D"/>
    <w:rsid w:val="00FE22B3"/>
    <w:rsid w:val="00FE2362"/>
    <w:rsid w:val="00FE274C"/>
    <w:rsid w:val="00FE2996"/>
    <w:rsid w:val="00FE3142"/>
    <w:rsid w:val="00FE359E"/>
    <w:rsid w:val="00FE3844"/>
    <w:rsid w:val="00FE39EE"/>
    <w:rsid w:val="00FE3A13"/>
    <w:rsid w:val="00FE3C9E"/>
    <w:rsid w:val="00FE3D94"/>
    <w:rsid w:val="00FE3E0A"/>
    <w:rsid w:val="00FE3F83"/>
    <w:rsid w:val="00FE40C2"/>
    <w:rsid w:val="00FE418B"/>
    <w:rsid w:val="00FE47D2"/>
    <w:rsid w:val="00FE4864"/>
    <w:rsid w:val="00FE493C"/>
    <w:rsid w:val="00FE4EAE"/>
    <w:rsid w:val="00FE4ED8"/>
    <w:rsid w:val="00FE500C"/>
    <w:rsid w:val="00FE51FC"/>
    <w:rsid w:val="00FE5290"/>
    <w:rsid w:val="00FE5B77"/>
    <w:rsid w:val="00FE5CCC"/>
    <w:rsid w:val="00FE5F8B"/>
    <w:rsid w:val="00FE63DD"/>
    <w:rsid w:val="00FE6479"/>
    <w:rsid w:val="00FE64BC"/>
    <w:rsid w:val="00FE6B7D"/>
    <w:rsid w:val="00FE705E"/>
    <w:rsid w:val="00FE7063"/>
    <w:rsid w:val="00FE70BE"/>
    <w:rsid w:val="00FE7120"/>
    <w:rsid w:val="00FE7709"/>
    <w:rsid w:val="00FE771B"/>
    <w:rsid w:val="00FE7844"/>
    <w:rsid w:val="00FE7A88"/>
    <w:rsid w:val="00FE7B1D"/>
    <w:rsid w:val="00FE7BE7"/>
    <w:rsid w:val="00FF042D"/>
    <w:rsid w:val="00FF0694"/>
    <w:rsid w:val="00FF09EC"/>
    <w:rsid w:val="00FF0B8A"/>
    <w:rsid w:val="00FF0CC2"/>
    <w:rsid w:val="00FF0D2C"/>
    <w:rsid w:val="00FF117B"/>
    <w:rsid w:val="00FF1290"/>
    <w:rsid w:val="00FF1326"/>
    <w:rsid w:val="00FF13DC"/>
    <w:rsid w:val="00FF1805"/>
    <w:rsid w:val="00FF1863"/>
    <w:rsid w:val="00FF1864"/>
    <w:rsid w:val="00FF1926"/>
    <w:rsid w:val="00FF1AEE"/>
    <w:rsid w:val="00FF1B99"/>
    <w:rsid w:val="00FF1D6B"/>
    <w:rsid w:val="00FF1D85"/>
    <w:rsid w:val="00FF2068"/>
    <w:rsid w:val="00FF2119"/>
    <w:rsid w:val="00FF29C5"/>
    <w:rsid w:val="00FF2A0F"/>
    <w:rsid w:val="00FF2D43"/>
    <w:rsid w:val="00FF2F77"/>
    <w:rsid w:val="00FF3927"/>
    <w:rsid w:val="00FF3AE3"/>
    <w:rsid w:val="00FF3AFC"/>
    <w:rsid w:val="00FF3BAF"/>
    <w:rsid w:val="00FF4111"/>
    <w:rsid w:val="00FF434B"/>
    <w:rsid w:val="00FF43C7"/>
    <w:rsid w:val="00FF44CF"/>
    <w:rsid w:val="00FF46DB"/>
    <w:rsid w:val="00FF47EC"/>
    <w:rsid w:val="00FF4FC8"/>
    <w:rsid w:val="00FF57BD"/>
    <w:rsid w:val="00FF5AA3"/>
    <w:rsid w:val="00FF5BD5"/>
    <w:rsid w:val="00FF5C03"/>
    <w:rsid w:val="00FF6069"/>
    <w:rsid w:val="00FF642F"/>
    <w:rsid w:val="00FF64D7"/>
    <w:rsid w:val="00FF67AE"/>
    <w:rsid w:val="00FF6BDB"/>
    <w:rsid w:val="00FF6D54"/>
    <w:rsid w:val="00FF7013"/>
    <w:rsid w:val="00FF7938"/>
    <w:rsid w:val="00FF7EE5"/>
    <w:rsid w:val="00FF7FD2"/>
    <w:rsid w:val="029A4F0F"/>
    <w:rsid w:val="151ED096"/>
    <w:rsid w:val="2CE41883"/>
    <w:rsid w:val="2DBA80BE"/>
    <w:rsid w:val="33063C10"/>
    <w:rsid w:val="35E57F80"/>
    <w:rsid w:val="4EC0B0E5"/>
    <w:rsid w:val="51DE94BE"/>
    <w:rsid w:val="51EFDB54"/>
    <w:rsid w:val="5A0AA2A7"/>
    <w:rsid w:val="60B1BD9C"/>
    <w:rsid w:val="61FF322C"/>
    <w:rsid w:val="68F0636B"/>
    <w:rsid w:val="69275552"/>
    <w:rsid w:val="73C5C9C7"/>
    <w:rsid w:val="7A68C75F"/>
    <w:rsid w:val="7BB3FD7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80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qFormat="1"/>
    <w:lsdException w:name="annotation text" w:semiHidden="1"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A41"/>
    <w:pPr>
      <w:spacing w:after="120"/>
    </w:pPr>
    <w:rPr>
      <w:rFonts w:asciiTheme="minorHAnsi" w:eastAsiaTheme="minorHAnsi" w:hAnsiTheme="minorHAnsi" w:cstheme="minorBidi"/>
      <w:sz w:val="16"/>
      <w:szCs w:val="22"/>
      <w:lang w:eastAsia="en-US"/>
    </w:rPr>
  </w:style>
  <w:style w:type="paragraph" w:styleId="Heading1">
    <w:name w:val="heading 1"/>
    <w:next w:val="Normal"/>
    <w:link w:val="Heading1Char"/>
    <w:uiPriority w:val="1"/>
    <w:qFormat/>
    <w:rsid w:val="00061FF2"/>
    <w:pPr>
      <w:widowControl w:val="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CB2439"/>
    <w:pPr>
      <w:pageBreakBefore/>
      <w:numPr>
        <w:numId w:val="6"/>
      </w:numPr>
      <w:spacing w:after="240"/>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rsid w:val="00ED13E2"/>
    <w:pPr>
      <w:keepNext/>
      <w:keepLines/>
      <w:outlineLvl w:val="2"/>
    </w:pPr>
    <w:rPr>
      <w:rFonts w:ascii="Calibri" w:eastAsia="Times New Roman" w:hAnsi="Calibri"/>
      <w:b/>
      <w:bCs/>
      <w:color w:val="083A42" w:themeColor="background2"/>
      <w:sz w:val="36"/>
      <w:szCs w:val="24"/>
      <w:lang w:eastAsia="en-US"/>
    </w:rPr>
  </w:style>
  <w:style w:type="paragraph" w:styleId="Heading4">
    <w:name w:val="heading 4"/>
    <w:next w:val="Normal"/>
    <w:link w:val="Heading4Char"/>
    <w:uiPriority w:val="5"/>
    <w:qFormat/>
    <w:rsid w:val="002729C4"/>
    <w:pPr>
      <w:keepNext/>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26"/>
    <w:pPr>
      <w:tabs>
        <w:tab w:val="center" w:pos="4820"/>
      </w:tabs>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061FF2"/>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CB2439"/>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sid w:val="00ED13E2"/>
    <w:rPr>
      <w:rFonts w:ascii="Calibri" w:eastAsia="Times New Roman" w:hAnsi="Calibri"/>
      <w:b/>
      <w:bCs/>
      <w:color w:val="083A42" w:themeColor="background2"/>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pPr>
      <w:keepNext/>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contextualSpacing/>
    </w:pPr>
    <w:rPr>
      <w:rFonts w:ascii="Calibri" w:hAnsi="Calibri"/>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1516C0"/>
    <w:pPr>
      <w:spacing w:before="480"/>
    </w:pPr>
    <w:rPr>
      <w:rFonts w:ascii="Calibri" w:eastAsiaTheme="minorEastAsia" w:hAnsi="Calibri" w:cstheme="minorBidi"/>
      <w:bCs/>
      <w:color w:val="197C7D"/>
      <w:sz w:val="32"/>
      <w:szCs w:val="28"/>
      <w:lang w:eastAsia="ja-JP"/>
    </w:rPr>
  </w:style>
  <w:style w:type="paragraph" w:styleId="TOC1">
    <w:name w:val="toc 1"/>
    <w:basedOn w:val="Normal"/>
    <w:next w:val="Normal"/>
    <w:uiPriority w:val="39"/>
    <w:unhideWhenUsed/>
    <w:qFormat/>
    <w:rsid w:val="00C800EE"/>
    <w:pPr>
      <w:tabs>
        <w:tab w:val="left" w:pos="426"/>
        <w:tab w:val="right" w:leader="dot" w:pos="9072"/>
      </w:tabs>
      <w:spacing w:before="120"/>
    </w:pPr>
    <w:rPr>
      <w:b/>
      <w:noProof/>
    </w:rPr>
  </w:style>
  <w:style w:type="paragraph" w:styleId="TOC2">
    <w:name w:val="toc 2"/>
    <w:basedOn w:val="Normal"/>
    <w:next w:val="Normal"/>
    <w:uiPriority w:val="39"/>
    <w:unhideWhenUsed/>
    <w:qFormat/>
    <w:pPr>
      <w:tabs>
        <w:tab w:val="right" w:leader="dot" w:pos="9060"/>
      </w:tabs>
      <w:spacing w:before="120"/>
      <w:ind w:firstLine="425"/>
    </w:pPr>
    <w:rPr>
      <w:noProof/>
    </w:rPr>
  </w:style>
  <w:style w:type="paragraph" w:styleId="TOC3">
    <w:name w:val="toc 3"/>
    <w:basedOn w:val="Normal"/>
    <w:next w:val="Normal"/>
    <w:uiPriority w:val="39"/>
    <w:unhideWhenUsed/>
    <w:qFormat/>
    <w:pPr>
      <w:tabs>
        <w:tab w:val="right" w:leader="dot" w:pos="9072"/>
      </w:tabs>
      <w:spacing w:before="120"/>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15"/>
      </w:numPr>
      <w:spacing w:before="120"/>
    </w:pPr>
  </w:style>
  <w:style w:type="paragraph" w:styleId="TableofFigures">
    <w:name w:val="table of figures"/>
    <w:basedOn w:val="Normal"/>
    <w:next w:val="Normal"/>
    <w:uiPriority w:val="99"/>
    <w:pPr>
      <w:spacing w:before="120"/>
    </w:pPr>
  </w:style>
  <w:style w:type="paragraph" w:styleId="ListBullet2">
    <w:name w:val="List Bullet 2"/>
    <w:basedOn w:val="Normal"/>
    <w:uiPriority w:val="8"/>
    <w:qFormat/>
    <w:rsid w:val="00123033"/>
    <w:pPr>
      <w:numPr>
        <w:ilvl w:val="1"/>
        <w:numId w:val="3"/>
      </w:numPr>
      <w:spacing w:before="120"/>
      <w:contextualSpacing/>
    </w:pPr>
  </w:style>
  <w:style w:type="paragraph" w:styleId="ListNumber">
    <w:name w:val="List Number"/>
    <w:basedOn w:val="Normal"/>
    <w:uiPriority w:val="9"/>
    <w:qFormat/>
    <w:rsid w:val="00123033"/>
    <w:pPr>
      <w:numPr>
        <w:numId w:val="13"/>
      </w:numPr>
      <w:tabs>
        <w:tab w:val="left" w:pos="142"/>
      </w:tabs>
      <w:spacing w:before="120"/>
    </w:pPr>
  </w:style>
  <w:style w:type="paragraph" w:styleId="ListNumber2">
    <w:name w:val="List Number 2"/>
    <w:uiPriority w:val="99"/>
    <w:qFormat/>
    <w:rsid w:val="00884E3A"/>
    <w:pPr>
      <w:numPr>
        <w:ilvl w:val="1"/>
        <w:numId w:val="8"/>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99"/>
    <w:qFormat/>
    <w:rsid w:val="00884E3A"/>
    <w:pPr>
      <w:numPr>
        <w:ilvl w:val="2"/>
        <w:numId w:val="8"/>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p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Pr>
      <w:rFonts w:asciiTheme="minorHAnsi" w:eastAsia="Calibri" w:hAnsiTheme="minorHAnsi" w:cstheme="minorBidi"/>
      <w:color w:val="000000"/>
      <w:sz w:val="21"/>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pPr>
    <w:rPr>
      <w:rFonts w:ascii="Tahoma" w:hAnsi="Tahoma" w:cs="Tahoma"/>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aliases w:val="ALTS FOOTNOTE,(NECG) Footnote Text,Footnote text,AR Footnote Text,Footnote Text Char2,Footnote Text Char Char1,Footnote Text Char1 Char Char,Footnote Text Char Char Char Char,Footnote Text Char1 Char Char Char Char,Footnote Text Char Char"/>
    <w:basedOn w:val="Normal"/>
    <w:link w:val="FootnoteTextChar"/>
    <w:uiPriority w:val="99"/>
    <w:unhideWhenUsed/>
    <w:qFormat/>
    <w:rsid w:val="00123033"/>
    <w:pPr>
      <w:spacing w:after="60"/>
    </w:pPr>
    <w:rPr>
      <w:sz w:val="20"/>
      <w:szCs w:val="20"/>
    </w:rPr>
  </w:style>
  <w:style w:type="character" w:customStyle="1" w:styleId="FootnoteTextChar">
    <w:name w:val="Footnote Text Char"/>
    <w:aliases w:val="ALTS FOOTNOTE Char,(NECG) Footnote Text Char,Footnote text Char,AR Footnote Text Char,Footnote Text Char2 Char,Footnote Text Char Char1 Char,Footnote Text Char1 Char Char Char,Footnote Text Char Char Char Char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aliases w:val="Appel note de bas de p,Appel note de bas de p + 11 pt,Italic,Footnote,Appel note de bas de p1,Appel note de bas de p2,Appel note de bas de p3,Footnote Reference/,Style 12,(NECG) Footnote Reference,Style 124,o,fr,Style 3,Appel n"/>
    <w:basedOn w:val="DefaultParagraphFont"/>
    <w:uiPriority w:val="99"/>
    <w:unhideWhenUsed/>
    <w:rPr>
      <w:vertAlign w:val="superscript"/>
    </w:rPr>
  </w:style>
  <w:style w:type="paragraph" w:styleId="EndnoteText">
    <w:name w:val="endnote text"/>
    <w:basedOn w:val="Normal"/>
    <w:link w:val="EndnoteTextChar"/>
    <w:uiPriority w:val="99"/>
    <w:unhideWhenUsed/>
    <w:rsid w:val="00123033"/>
    <w:pPr>
      <w:spacing w:after="60"/>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3"/>
      </w:numPr>
    </w:pPr>
  </w:style>
  <w:style w:type="paragraph" w:styleId="Title">
    <w:name w:val="Title"/>
    <w:basedOn w:val="Heading1"/>
    <w:next w:val="Normal"/>
    <w:link w:val="TitleChar"/>
    <w:uiPriority w:val="10"/>
    <w:qFormat/>
    <w:pPr>
      <w:spacing w:before="360"/>
    </w:pPr>
    <w:rPr>
      <w:rFonts w:eastAsiaTheme="majorEastAsia" w:cstheme="majorBidi"/>
      <w:b w:val="0"/>
      <w:szCs w:val="52"/>
    </w:rPr>
  </w:style>
  <w:style w:type="character" w:customStyle="1" w:styleId="TitleChar">
    <w:name w:val="Title Char"/>
    <w:basedOn w:val="DefaultParagraphFont"/>
    <w:link w:val="Title"/>
    <w:uiPriority w:val="10"/>
    <w:rsid w:val="00F22CD9"/>
    <w:rPr>
      <w:rFonts w:ascii="Calibri" w:eastAsiaTheme="majorEastAsia" w:hAnsi="Calibri" w:cstheme="majorBidi"/>
      <w:bCs/>
      <w:color w:val="083A42"/>
      <w:spacing w:val="5"/>
      <w:kern w:val="28"/>
      <w:sz w:val="72"/>
      <w:szCs w:val="52"/>
      <w:lang w:eastAsia="en-US"/>
    </w:rPr>
  </w:style>
  <w:style w:type="paragraph" w:customStyle="1" w:styleId="TOCHeading2">
    <w:name w:val="TOC Heading 2"/>
    <w:next w:val="Normal"/>
    <w:qFormat/>
    <w:rsid w:val="00D60EB8"/>
    <w:pPr>
      <w:spacing w:before="120" w:after="120"/>
    </w:pPr>
    <w:rPr>
      <w:rFonts w:asciiTheme="minorHAnsi" w:eastAsiaTheme="minorHAnsi" w:hAnsiTheme="minorHAnsi" w:cstheme="minorHAnsi"/>
      <w:b/>
      <w:bCs/>
      <w:color w:val="007878"/>
      <w:sz w:val="28"/>
      <w:szCs w:val="18"/>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7"/>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9"/>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aliases w:val="Bulletr List Paragraph,FooterText,L,List Paragraph1,List Paragraph11,List Paragraph2,List Paragraph21,Listeafsnit1,NFP GP Bulleted List,Paragraphe de liste1,Parágrafo da Lista1,Párrafo de lista1,Recommendation,bullet point list,numbered,列"/>
    <w:basedOn w:val="Normal"/>
    <w:link w:val="ListParagraphChar"/>
    <w:uiPriority w:val="34"/>
    <w:qFormat/>
    <w:rsid w:val="006C261F"/>
    <w:pPr>
      <w:spacing w:after="0"/>
      <w:ind w:left="720"/>
    </w:pPr>
    <w:rPr>
      <w:rFonts w:ascii="Calibri" w:hAnsi="Calibri" w:cs="Calibri"/>
    </w:rPr>
  </w:style>
  <w:style w:type="table" w:styleId="PlainTable1">
    <w:name w:val="Plain Table 1"/>
    <w:basedOn w:val="TableNormal"/>
    <w:uiPriority w:val="41"/>
    <w:rsid w:val="00A95475"/>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List11">
    <w:name w:val="List11"/>
    <w:basedOn w:val="NoList"/>
    <w:uiPriority w:val="99"/>
    <w:rsid w:val="00E07DB2"/>
  </w:style>
  <w:style w:type="paragraph" w:customStyle="1" w:styleId="paragraph">
    <w:name w:val="paragraph"/>
    <w:basedOn w:val="Normal"/>
    <w:rsid w:val="00AF07D1"/>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AF07D1"/>
  </w:style>
  <w:style w:type="character" w:customStyle="1" w:styleId="eop">
    <w:name w:val="eop"/>
    <w:basedOn w:val="DefaultParagraphFont"/>
    <w:rsid w:val="00AF07D1"/>
  </w:style>
  <w:style w:type="character" w:customStyle="1" w:styleId="ListParagraphChar">
    <w:name w:val="List Paragraph Char"/>
    <w:aliases w:val="Bulletr List Paragraph Char,FooterText Char,L Char,List Paragraph1 Char,List Paragraph11 Char,List Paragraph2 Char,List Paragraph21 Char,Listeafsnit1 Char,NFP GP Bulleted List Char,Paragraphe de liste1 Char,Parágrafo da Lista1 Char"/>
    <w:basedOn w:val="DefaultParagraphFont"/>
    <w:link w:val="ListParagraph"/>
    <w:uiPriority w:val="34"/>
    <w:qFormat/>
    <w:locked/>
    <w:rsid w:val="00223458"/>
    <w:rPr>
      <w:rFonts w:ascii="Calibri" w:eastAsiaTheme="minorHAnsi" w:hAnsi="Calibri" w:cs="Calibri"/>
      <w:sz w:val="22"/>
      <w:szCs w:val="22"/>
      <w:lang w:eastAsia="en-US"/>
    </w:rPr>
  </w:style>
  <w:style w:type="character" w:customStyle="1" w:styleId="ui-provider">
    <w:name w:val="ui-provider"/>
    <w:basedOn w:val="DefaultParagraphFont"/>
    <w:rsid w:val="00384224"/>
  </w:style>
  <w:style w:type="character" w:customStyle="1" w:styleId="Hyperlink1">
    <w:name w:val="Hyperlink1"/>
    <w:basedOn w:val="DefaultParagraphFont"/>
    <w:uiPriority w:val="99"/>
    <w:unhideWhenUsed/>
    <w:rsid w:val="00C30B45"/>
    <w:rPr>
      <w:color w:val="0070AE"/>
      <w:u w:val="single"/>
    </w:rPr>
  </w:style>
  <w:style w:type="paragraph" w:styleId="ListNumber4">
    <w:name w:val="List Number 4"/>
    <w:basedOn w:val="Normal"/>
    <w:uiPriority w:val="99"/>
    <w:rsid w:val="003918CA"/>
    <w:pPr>
      <w:ind w:left="1476" w:hanging="369"/>
    </w:pPr>
    <w:rPr>
      <w:rFonts w:ascii="Arial" w:eastAsia="Calibri" w:hAnsi="Arial" w:cs="Times New Roman"/>
    </w:rPr>
  </w:style>
  <w:style w:type="paragraph" w:styleId="ListNumber5">
    <w:name w:val="List Number 5"/>
    <w:basedOn w:val="Normal"/>
    <w:uiPriority w:val="99"/>
    <w:rsid w:val="003918CA"/>
    <w:pPr>
      <w:ind w:left="1845" w:hanging="369"/>
    </w:pPr>
    <w:rPr>
      <w:rFonts w:ascii="Arial" w:eastAsia="Calibri" w:hAnsi="Arial" w:cs="Times New Roman"/>
    </w:rPr>
  </w:style>
  <w:style w:type="paragraph" w:styleId="Revision">
    <w:name w:val="Revision"/>
    <w:hidden/>
    <w:uiPriority w:val="99"/>
    <w:semiHidden/>
    <w:rsid w:val="00176971"/>
    <w:rPr>
      <w:rFonts w:asciiTheme="minorHAnsi" w:eastAsiaTheme="minorHAnsi" w:hAnsiTheme="minorHAnsi" w:cstheme="minorBidi"/>
      <w:sz w:val="22"/>
      <w:szCs w:val="22"/>
      <w:lang w:eastAsia="en-US"/>
    </w:rPr>
  </w:style>
  <w:style w:type="paragraph" w:styleId="BodyText">
    <w:name w:val="Body Text"/>
    <w:basedOn w:val="Normal"/>
    <w:link w:val="BodyTextChar"/>
    <w:uiPriority w:val="99"/>
    <w:semiHidden/>
    <w:unhideWhenUsed/>
    <w:rsid w:val="008C3355"/>
  </w:style>
  <w:style w:type="character" w:customStyle="1" w:styleId="BodyTextChar">
    <w:name w:val="Body Text Char"/>
    <w:basedOn w:val="DefaultParagraphFont"/>
    <w:link w:val="BodyText"/>
    <w:uiPriority w:val="99"/>
    <w:semiHidden/>
    <w:rsid w:val="008C3355"/>
    <w:rPr>
      <w:rFonts w:asciiTheme="minorHAnsi" w:eastAsiaTheme="minorHAnsi" w:hAnsiTheme="minorHAnsi" w:cstheme="minorBidi"/>
      <w:sz w:val="21"/>
      <w:szCs w:val="22"/>
      <w:lang w:eastAsia="en-US"/>
    </w:rPr>
  </w:style>
  <w:style w:type="paragraph" w:customStyle="1" w:styleId="Default">
    <w:name w:val="Default"/>
    <w:rsid w:val="00FC208D"/>
    <w:pPr>
      <w:autoSpaceDE w:val="0"/>
      <w:autoSpaceDN w:val="0"/>
      <w:adjustRightInd w:val="0"/>
    </w:pPr>
    <w:rPr>
      <w:rFonts w:ascii="Calibri" w:hAnsi="Calibri" w:cs="Calibri"/>
      <w:color w:val="000000"/>
      <w:sz w:val="24"/>
      <w:szCs w:val="24"/>
    </w:rPr>
  </w:style>
  <w:style w:type="paragraph" w:styleId="NoSpacing">
    <w:name w:val="No Spacing"/>
    <w:link w:val="NoSpacingChar"/>
    <w:uiPriority w:val="1"/>
    <w:qFormat/>
    <w:rsid w:val="005C1F57"/>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5C1F57"/>
    <w:rPr>
      <w:rFonts w:asciiTheme="minorHAnsi" w:eastAsiaTheme="minorEastAsia" w:hAnsiTheme="minorHAnsi" w:cstheme="minorBidi"/>
      <w:sz w:val="22"/>
      <w:szCs w:val="22"/>
      <w:lang w:val="en-US" w:eastAsia="en-US"/>
    </w:rPr>
  </w:style>
  <w:style w:type="character" w:customStyle="1" w:styleId="cf01">
    <w:name w:val="cf01"/>
    <w:basedOn w:val="DefaultParagraphFont"/>
    <w:rsid w:val="00023448"/>
    <w:rPr>
      <w:rFonts w:ascii="Segoe UI" w:hAnsi="Segoe UI" w:cs="Segoe UI" w:hint="default"/>
      <w:sz w:val="18"/>
      <w:szCs w:val="18"/>
    </w:rPr>
  </w:style>
  <w:style w:type="paragraph" w:customStyle="1" w:styleId="pf0">
    <w:name w:val="pf0"/>
    <w:basedOn w:val="Normal"/>
    <w:rsid w:val="0068690C"/>
    <w:pPr>
      <w:spacing w:before="100" w:beforeAutospacing="1" w:after="100" w:afterAutospacing="1"/>
    </w:pPr>
    <w:rPr>
      <w:rFonts w:ascii="Times New Roman" w:eastAsia="Times New Roman" w:hAnsi="Times New Roman" w:cs="Times New Roman"/>
      <w:sz w:val="24"/>
      <w:szCs w:val="24"/>
      <w:lang w:eastAsia="en-AU"/>
    </w:rPr>
  </w:style>
  <w:style w:type="table" w:styleId="ListTable3">
    <w:name w:val="List Table 3"/>
    <w:basedOn w:val="TableNormal"/>
    <w:uiPriority w:val="48"/>
    <w:rsid w:val="00B95158"/>
    <w:rPr>
      <w:rFonts w:asciiTheme="minorHAnsi" w:eastAsiaTheme="minorHAnsi" w:hAnsiTheme="minorHAnsi" w:cstheme="minorBidi"/>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line-clamp-1">
    <w:name w:val="line-clamp-1"/>
    <w:basedOn w:val="DefaultParagraphFont"/>
    <w:rsid w:val="0041383D"/>
  </w:style>
  <w:style w:type="character" w:styleId="Mention">
    <w:name w:val="Mention"/>
    <w:basedOn w:val="DefaultParagraphFont"/>
    <w:uiPriority w:val="99"/>
    <w:unhideWhenUsed/>
    <w:rPr>
      <w:color w:val="2B579A"/>
      <w:shd w:val="clear" w:color="auto" w:fill="E6E6E6"/>
    </w:rPr>
  </w:style>
  <w:style w:type="table" w:styleId="PlainTable4">
    <w:name w:val="Plain Table 4"/>
    <w:basedOn w:val="TableNormal"/>
    <w:uiPriority w:val="44"/>
    <w:rsid w:val="00DA5FAD"/>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body">
    <w:name w:val="Table body"/>
    <w:basedOn w:val="Normal"/>
    <w:qFormat/>
    <w:rsid w:val="00B04DC4"/>
    <w:pPr>
      <w:spacing w:before="60" w:after="60"/>
    </w:pPr>
    <w:rPr>
      <w:rFonts w:ascii="Calibri" w:hAnsi="Calibri" w:cs="Calibri"/>
      <w:color w:val="000000" w:themeColor="text1"/>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35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pyright@dcceew.gov.au" TargetMode="External"/><Relationship Id="rId18" Type="http://schemas.openxmlformats.org/officeDocument/2006/relationships/header" Target="header2.xml"/><Relationship Id="rId26" Type="http://schemas.openxmlformats.org/officeDocument/2006/relationships/hyperlink" Target="https://www.industry.gov.au/publications/critical-minerals-strategy-2023-2030" TargetMode="External"/><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eader" Target="header1.xml"/><Relationship Id="rId25" Type="http://schemas.openxmlformats.org/officeDocument/2006/relationships/hyperlink" Target="https://www.dcceew.gov.au/environment/protection/waste/sustainable-procurement/environmentally-sustainable-procurement-policy" TargetMode="Externa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s://www.dcceew.gov.au" TargetMode="External"/><Relationship Id="rId20" Type="http://schemas.openxmlformats.org/officeDocument/2006/relationships/footer" Target="foot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dcceew.gov.au/publications" TargetMode="External"/><Relationship Id="rId23" Type="http://schemas.openxmlformats.org/officeDocument/2006/relationships/image" Target="media/image3.pn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hyperlink" Target="https://naif.gov.au/" TargetMode="External"/><Relationship Id="rId30" Type="http://schemas.openxmlformats.org/officeDocument/2006/relationships/footer" Target="footer4.xml"/><Relationship Id="rId35" Type="http://schemas.openxmlformats.org/officeDocument/2006/relationships/theme" Target="theme/theme1.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13" Type="http://schemas.openxmlformats.org/officeDocument/2006/relationships/hyperlink" Target="https://www.dfat.gov.au/trade/trade-and-investment-data-information-and-publications/foreign-investment-statistics/statistics-on-who-invests-in-australia" TargetMode="External"/><Relationship Id="rId18" Type="http://schemas.openxmlformats.org/officeDocument/2006/relationships/hyperlink" Target="https://techcouncil.com.au/newsroom/turning-australia-into-a-regional-tech-hub/" TargetMode="External"/><Relationship Id="rId26" Type="http://schemas.openxmlformats.org/officeDocument/2006/relationships/hyperlink" Target="https://www.commbank.com.au/content/dam/commbank-assets/business/industries/CommBank-Consumer-Insight-Report-Executive-Summary.pdf" TargetMode="External"/><Relationship Id="rId39" Type="http://schemas.openxmlformats.org/officeDocument/2006/relationships/hyperlink" Target="https://www.infrastructure.gov.au/department/media/publications" TargetMode="External"/><Relationship Id="rId21" Type="http://schemas.openxmlformats.org/officeDocument/2006/relationships/hyperlink" Target="https://www.dfat.gov.au/southeastasiaeconomicstrategy" TargetMode="External"/><Relationship Id="rId34" Type="http://schemas.openxmlformats.org/officeDocument/2006/relationships/hyperlink" Target="https://www.energy.nsw.gov.au/sites/default/files/2023-02/NZP_Circular_Design_Guide_2023_0.pdf" TargetMode="External"/><Relationship Id="rId42" Type="http://schemas.openxmlformats.org/officeDocument/2006/relationships/hyperlink" Target="https://www.agriculture.gov.au/abares/products/insights/snapshot-of-australian-agriculture" TargetMode="External"/><Relationship Id="rId47" Type="http://schemas.openxmlformats.org/officeDocument/2006/relationships/hyperlink" Target="https://treasury.gov.au/sites/default/files/2024-06/p2024-534717-gr.pdf" TargetMode="External"/><Relationship Id="rId50" Type="http://schemas.openxmlformats.org/officeDocument/2006/relationships/hyperlink" Target="https://www.asbfeo.gov.au/sites/default/files/2023-12/Small%20Business%20Matters_June%202023_1.pdf" TargetMode="External"/><Relationship Id="rId55" Type="http://schemas.openxmlformats.org/officeDocument/2006/relationships/hyperlink" Target="https://circular-cities-and-regions.ec.europa.eu/support-materials/papers-and-reports/city-governments-and-their-role-enabling-circular-economy" TargetMode="External"/><Relationship Id="rId7" Type="http://schemas.openxmlformats.org/officeDocument/2006/relationships/hyperlink" Target="https://www.mea.gov.in/Images/CPV/G20-New-Delhi-Leaders-Declaration.pdf" TargetMode="External"/><Relationship Id="rId2" Type="http://schemas.openxmlformats.org/officeDocument/2006/relationships/hyperlink" Target="https://research.csiro.au/circulareconomy/material-flow-report/" TargetMode="External"/><Relationship Id="rId16" Type="http://schemas.openxmlformats.org/officeDocument/2006/relationships/hyperlink" Target="https://www.wipo.int/global_innovation_index/en/2023/" TargetMode="External"/><Relationship Id="rId29" Type="http://schemas.openxmlformats.org/officeDocument/2006/relationships/hyperlink" Target="https://research.csiro.au/circulareconomy/australias-circular-economy-comparative-and-competitive-advantages/" TargetMode="External"/><Relationship Id="rId11" Type="http://schemas.openxmlformats.org/officeDocument/2006/relationships/hyperlink" Target="https://www.marketsandmarkets.com/Market-Reports/green-technology-and-sustainability-market-224421448.html" TargetMode="External"/><Relationship Id="rId24" Type="http://schemas.openxmlformats.org/officeDocument/2006/relationships/hyperlink" Target="https://www.cefc.com.au/where-we-invest/" TargetMode="External"/><Relationship Id="rId32" Type="http://schemas.openxmlformats.org/officeDocument/2006/relationships/hyperlink" Target="https://worldgbc.org/" TargetMode="External"/><Relationship Id="rId37" Type="http://schemas.openxmlformats.org/officeDocument/2006/relationships/hyperlink" Target="https://www.cefc.com.au/document?file=/media/ovrkk5l3/australian-buildings-and-infrastructure-opportunities-for-cutting-embodied-carbon.pdf" TargetMode="External"/><Relationship Id="rId40" Type="http://schemas.openxmlformats.org/officeDocument/2006/relationships/hyperlink" Target="https://www.infrastructureaustralia.gov.au/publications/2023-infrastructure-market-capacity-report" TargetMode="External"/><Relationship Id="rId45" Type="http://schemas.openxmlformats.org/officeDocument/2006/relationships/hyperlink" Target="https://www.dcceew.gov.au/environment/protection/waste/publications/national-food-waste-strategy" TargetMode="External"/><Relationship Id="rId53" Type="http://schemas.openxmlformats.org/officeDocument/2006/relationships/hyperlink" Target="https://portal.ga.gov.au/persona/minesatlas" TargetMode="External"/><Relationship Id="rId5" Type="http://schemas.openxmlformats.org/officeDocument/2006/relationships/hyperlink" Target="https://www.dcceew.gov.au/environment/protection/waste/publications/commercial-industrial-waste-recycling-australia" TargetMode="External"/><Relationship Id="rId10" Type="http://schemas.openxmlformats.org/officeDocument/2006/relationships/hyperlink" Target="https://www.abs.gov.au/statistics/economy/national-accounts/australian-national-accounts-national-income-expenditure-and-product/latest-release" TargetMode="External"/><Relationship Id="rId19" Type="http://schemas.openxmlformats.org/officeDocument/2006/relationships/hyperlink" Target="https://www.wipo.int/global_innovation_index/en/2023/" TargetMode="External"/><Relationship Id="rId31" Type="http://schemas.openxmlformats.org/officeDocument/2006/relationships/hyperlink" Target="https://www.ellenmacarthurfoundation.org/news/an-introduction-to-circular-design" TargetMode="External"/><Relationship Id="rId44" Type="http://schemas.openxmlformats.org/officeDocument/2006/relationships/hyperlink" Target="https://www.agriculture.gov.au/about/news/latest-crop-loss-waste-data-reflects-australian-resilience-innovation" TargetMode="External"/><Relationship Id="rId52" Type="http://schemas.openxmlformats.org/officeDocument/2006/relationships/hyperlink" Target="https://www.mriwa.wa.gov.au/minerals-research-advancing-western-australia/focus-areas/alternative-use-of-tailings-and-waste/" TargetMode="External"/><Relationship Id="rId4" Type="http://schemas.openxmlformats.org/officeDocument/2006/relationships/hyperlink" Target="https://www.dcceew.gov.au/environment/protection/waste/national-waste-reports/2022" TargetMode="External"/><Relationship Id="rId9" Type="http://schemas.openxmlformats.org/officeDocument/2006/relationships/hyperlink" Target="https://www.abs.gov.au/statistics/economy/international-trade" TargetMode="External"/><Relationship Id="rId14" Type="http://schemas.openxmlformats.org/officeDocument/2006/relationships/hyperlink" Target="https://www.undp.org/publications/building-circularity-nationally-determined-contributions-practical-toolbox" TargetMode="External"/><Relationship Id="rId22" Type="http://schemas.openxmlformats.org/officeDocument/2006/relationships/hyperlink" Target="https://www.dfat.gov.au/sites/default/files/invested-southeast-asia-economic-strategy-2040.pdf" TargetMode="External"/><Relationship Id="rId27" Type="http://schemas.openxmlformats.org/officeDocument/2006/relationships/hyperlink" Target="https://hlw.org.au/news/recycling-good-for-the-environment-good-for-the-economy" TargetMode="External"/><Relationship Id="rId30" Type="http://schemas.openxmlformats.org/officeDocument/2006/relationships/hyperlink" Target="https://www.abs.gov.au/statistics/economy/international-trade/international-trade-goods/latest-release" TargetMode="External"/><Relationship Id="rId35" Type="http://schemas.openxmlformats.org/officeDocument/2006/relationships/hyperlink" Target="https://new.gbca.org.au/green-star/exploring-green-star/green-star-focus/" TargetMode="External"/><Relationship Id="rId43" Type="http://schemas.openxmlformats.org/officeDocument/2006/relationships/hyperlink" Target="https://www.foodbank.org.au/food-waste-facts-in-australia/?state=nsw-act" TargetMode="External"/><Relationship Id="rId48" Type="http://schemas.openxmlformats.org/officeDocument/2006/relationships/hyperlink" Target="https://www.globenewswire.com/news-release/2024/05/29/2889777/28124/en/Global-Sustainable-Aviation-Fuel-SAF-Market-Outlook-2030-with-Neste-World-Energy-Gevo-Aemetis-and-SkyNRG-Dominating-the-25-Billion-Industry.html" TargetMode="External"/><Relationship Id="rId8" Type="http://schemas.openxmlformats.org/officeDocument/2006/relationships/hyperlink" Target="https://www.g20.org/pt-br/noticias/g20-alcanca-consenso-sobre-clima-e-sustentabilidade" TargetMode="External"/><Relationship Id="rId51" Type="http://schemas.openxmlformats.org/officeDocument/2006/relationships/hyperlink" Target="https://www.dcceew.gov.au/sites/default/files/documents/national-waste-report-2022.pdf" TargetMode="External"/><Relationship Id="rId3" Type="http://schemas.openxmlformats.org/officeDocument/2006/relationships/hyperlink" Target="https://www.oecd.org/en/data/indicators/material-productivity.html?oecdcontrol-9202e3bf52-var3=2022&amp;oecdcontrol-55ac510757-chartId=0556259c16" TargetMode="External"/><Relationship Id="rId12" Type="http://schemas.openxmlformats.org/officeDocument/2006/relationships/hyperlink" Target="https://www.aph.gov.au/Parliamentary_Business/Committees/Joint/Joint_Standing_Committee_on_Trade_and_Investment_Growth/GreenEnergySuperpower" TargetMode="External"/><Relationship Id="rId17" Type="http://schemas.openxmlformats.org/officeDocument/2006/relationships/hyperlink" Target="https://www.industry.gov.au/publications/national-quantum-strategy" TargetMode="External"/><Relationship Id="rId25" Type="http://schemas.openxmlformats.org/officeDocument/2006/relationships/hyperlink" Target="https://www.commbank.com.au/content/dam/commbank-assets/business/industries/CommBank-Consumer-Insight-Report-Executive-Summary.pdf" TargetMode="External"/><Relationship Id="rId33" Type="http://schemas.openxmlformats.org/officeDocument/2006/relationships/hyperlink" Target="https://www.dcceew.gov.au/environment/protection/waste/national-waste-reports/2022" TargetMode="External"/><Relationship Id="rId38" Type="http://schemas.openxmlformats.org/officeDocument/2006/relationships/hyperlink" Target="https://www.fortunebusinessinsights.com/green-steel-market-108711" TargetMode="External"/><Relationship Id="rId46" Type="http://schemas.openxmlformats.org/officeDocument/2006/relationships/hyperlink" Target="https://insidesmallbusiness.com.au/latest-news/offbeat-harvest-leverages-imperfect-produce-to-solve-food-waste-issue" TargetMode="External"/><Relationship Id="rId20" Type="http://schemas.openxmlformats.org/officeDocument/2006/relationships/hyperlink" Target="https://www.heritage.org/index/" TargetMode="External"/><Relationship Id="rId41" Type="http://schemas.openxmlformats.org/officeDocument/2006/relationships/hyperlink" Target="https://www.energy.nsw.gov.au/sites/default/files/2023-02/NZP_Circular_Design_Guide_2023_0.pdf" TargetMode="External"/><Relationship Id="rId54" Type="http://schemas.openxmlformats.org/officeDocument/2006/relationships/hyperlink" Target="https://www.cefc.com.au/media/media-release/billion-dollar-recycling-and-resource-recovery-industry-to-turn-trash-into-treasure/" TargetMode="External"/><Relationship Id="rId1" Type="http://schemas.openxmlformats.org/officeDocument/2006/relationships/hyperlink" Target="https://datatopics.worldbank.org/what-a-waste/" TargetMode="External"/><Relationship Id="rId6" Type="http://schemas.openxmlformats.org/officeDocument/2006/relationships/hyperlink" Target="https://www.unido.org/sites/default/files/unido-publications/2024-05/UNIDO_National%20circular%20economy%20roadmaps_v07.pdf" TargetMode="External"/><Relationship Id="rId15" Type="http://schemas.openxmlformats.org/officeDocument/2006/relationships/hyperlink" Target="https://emf.thirdlight.com/link/29wifcw68gx1-yw31dj/@/preview/1?o" TargetMode="External"/><Relationship Id="rId23" Type="http://schemas.openxmlformats.org/officeDocument/2006/relationships/hyperlink" Target="https://www.cefc.com.au/who-we-are/about-us/purpose-and-values/" TargetMode="External"/><Relationship Id="rId28" Type="http://schemas.openxmlformats.org/officeDocument/2006/relationships/hyperlink" Target="https://www.dcceew.gov.au/environment/protection/waste/packaging" TargetMode="External"/><Relationship Id="rId36" Type="http://schemas.openxmlformats.org/officeDocument/2006/relationships/hyperlink" Target="https://www.nabers.gov.au" TargetMode="External"/><Relationship Id="rId49" Type="http://schemas.openxmlformats.org/officeDocument/2006/relationships/hyperlink" Target="https://www.bcg.com/publications/2021/the-benefits-of-plant-based-meats"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GPS.XSL" StyleName="Harvard - AGP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39B2A5-A51D-4BDA-9023-EBF5B2C4599F}">
  <ds:schemaRefs>
    <ds:schemaRef ds:uri="http://schemas.openxmlformats.org/officeDocument/2006/bibliography"/>
  </ds:schemaRefs>
</ds:datastoreItem>
</file>

<file path=customXml/itemProps2.xml><?xml version="1.0" encoding="utf-8"?>
<ds:datastoreItem xmlns:ds="http://schemas.openxmlformats.org/officeDocument/2006/customXml" ds:itemID="{7C612C2E-E861-47C6-A476-F74510E83D97}"/>
</file>

<file path=customXml/itemProps3.xml><?xml version="1.0" encoding="utf-8"?>
<ds:datastoreItem xmlns:ds="http://schemas.openxmlformats.org/officeDocument/2006/customXml" ds:itemID="{A20F523B-2FFC-40F3-B39A-ADDEF982901D}">
  <ds:schemaRefs>
    <ds:schemaRef ds:uri="http://purl.org/dc/dcmitype/"/>
    <ds:schemaRef ds:uri="http://schemas.openxmlformats.org/package/2006/metadata/core-properties"/>
    <ds:schemaRef ds:uri="263e80a3-83eb-403e-a237-b3125a65bc88"/>
    <ds:schemaRef ds:uri="a6e86820-684a-4c77-a2e2-d773523b5b34"/>
    <ds:schemaRef ds:uri="http://schemas.microsoft.com/office/2006/documentManagement/types"/>
    <ds:schemaRef ds:uri="http://www.w3.org/XML/1998/namespace"/>
    <ds:schemaRef ds:uri="http://purl.org/dc/terms/"/>
    <ds:schemaRef ds:uri="a95247a4-6a6b-40fb-87b6-0fb2f012c536"/>
    <ds:schemaRef ds:uri="http://schemas.microsoft.com/office/2006/metadata/properties"/>
    <ds:schemaRef ds:uri="http://schemas.microsoft.com/office/infopath/2007/PartnerControls"/>
    <ds:schemaRef ds:uri="d81c2681-db7b-4a56-9abd-a3238a78f6b2"/>
    <ds:schemaRef ds:uri="http://schemas.microsoft.com/sharepoint/v3"/>
    <ds:schemaRef ds:uri="http://purl.org/dc/elements/1.1/"/>
  </ds:schemaRefs>
</ds:datastoreItem>
</file>

<file path=customXml/itemProps4.xml><?xml version="1.0" encoding="utf-8"?>
<ds:datastoreItem xmlns:ds="http://schemas.openxmlformats.org/officeDocument/2006/customXml" ds:itemID="{76D7AB2F-FA26-4BFD-A91B-D6EDFA66329E}">
  <ds:schemaRefs>
    <ds:schemaRef ds:uri="http://schemas.microsoft.com/sharepoint/v3/contenttype/form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43</Pages>
  <Words>15549</Words>
  <Characters>88631</Characters>
  <Application>Microsoft Office Word</Application>
  <DocSecurity>4</DocSecurity>
  <Lines>738</Lines>
  <Paragraphs>207</Paragraphs>
  <ScaleCrop>false</ScaleCrop>
  <HeadingPairs>
    <vt:vector size="2" baseType="variant">
      <vt:variant>
        <vt:lpstr>Title</vt:lpstr>
      </vt:variant>
      <vt:variant>
        <vt:i4>1</vt:i4>
      </vt:variant>
    </vt:vector>
  </HeadingPairs>
  <TitlesOfParts>
    <vt:vector size="1" baseType="lpstr">
      <vt:lpstr>Australia's Circular Economy Framework</vt:lpstr>
    </vt:vector>
  </TitlesOfParts>
  <Manager/>
  <Company/>
  <LinksUpToDate>false</LinksUpToDate>
  <CharactersWithSpaces>103973</CharactersWithSpaces>
  <SharedDoc>false</SharedDoc>
  <HLinks>
    <vt:vector size="546" baseType="variant">
      <vt:variant>
        <vt:i4>4784221</vt:i4>
      </vt:variant>
      <vt:variant>
        <vt:i4>195</vt:i4>
      </vt:variant>
      <vt:variant>
        <vt:i4>0</vt:i4>
      </vt:variant>
      <vt:variant>
        <vt:i4>5</vt:i4>
      </vt:variant>
      <vt:variant>
        <vt:lpwstr>https://naif.gov.au/</vt:lpwstr>
      </vt:variant>
      <vt:variant>
        <vt:lpwstr/>
      </vt:variant>
      <vt:variant>
        <vt:i4>2031689</vt:i4>
      </vt:variant>
      <vt:variant>
        <vt:i4>192</vt:i4>
      </vt:variant>
      <vt:variant>
        <vt:i4>0</vt:i4>
      </vt:variant>
      <vt:variant>
        <vt:i4>5</vt:i4>
      </vt:variant>
      <vt:variant>
        <vt:lpwstr>https://www.industry.gov.au/publications/critical-minerals-strategy-2023-2030</vt:lpwstr>
      </vt:variant>
      <vt:variant>
        <vt:lpwstr/>
      </vt:variant>
      <vt:variant>
        <vt:i4>5570589</vt:i4>
      </vt:variant>
      <vt:variant>
        <vt:i4>189</vt:i4>
      </vt:variant>
      <vt:variant>
        <vt:i4>0</vt:i4>
      </vt:variant>
      <vt:variant>
        <vt:i4>5</vt:i4>
      </vt:variant>
      <vt:variant>
        <vt:lpwstr>https://www.dcceew.gov.au/environment/protection/waste/sustainable-procurement/environmentally-sustainable-procurement-policy</vt:lpwstr>
      </vt:variant>
      <vt:variant>
        <vt:lpwstr/>
      </vt:variant>
      <vt:variant>
        <vt:i4>1114166</vt:i4>
      </vt:variant>
      <vt:variant>
        <vt:i4>182</vt:i4>
      </vt:variant>
      <vt:variant>
        <vt:i4>0</vt:i4>
      </vt:variant>
      <vt:variant>
        <vt:i4>5</vt:i4>
      </vt:variant>
      <vt:variant>
        <vt:lpwstr/>
      </vt:variant>
      <vt:variant>
        <vt:lpwstr>_Toc182923746</vt:lpwstr>
      </vt:variant>
      <vt:variant>
        <vt:i4>1114166</vt:i4>
      </vt:variant>
      <vt:variant>
        <vt:i4>176</vt:i4>
      </vt:variant>
      <vt:variant>
        <vt:i4>0</vt:i4>
      </vt:variant>
      <vt:variant>
        <vt:i4>5</vt:i4>
      </vt:variant>
      <vt:variant>
        <vt:lpwstr/>
      </vt:variant>
      <vt:variant>
        <vt:lpwstr>_Toc182923745</vt:lpwstr>
      </vt:variant>
      <vt:variant>
        <vt:i4>1114166</vt:i4>
      </vt:variant>
      <vt:variant>
        <vt:i4>170</vt:i4>
      </vt:variant>
      <vt:variant>
        <vt:i4>0</vt:i4>
      </vt:variant>
      <vt:variant>
        <vt:i4>5</vt:i4>
      </vt:variant>
      <vt:variant>
        <vt:lpwstr/>
      </vt:variant>
      <vt:variant>
        <vt:lpwstr>_Toc182923744</vt:lpwstr>
      </vt:variant>
      <vt:variant>
        <vt:i4>1114166</vt:i4>
      </vt:variant>
      <vt:variant>
        <vt:i4>164</vt:i4>
      </vt:variant>
      <vt:variant>
        <vt:i4>0</vt:i4>
      </vt:variant>
      <vt:variant>
        <vt:i4>5</vt:i4>
      </vt:variant>
      <vt:variant>
        <vt:lpwstr/>
      </vt:variant>
      <vt:variant>
        <vt:lpwstr>_Toc182923743</vt:lpwstr>
      </vt:variant>
      <vt:variant>
        <vt:i4>1114166</vt:i4>
      </vt:variant>
      <vt:variant>
        <vt:i4>158</vt:i4>
      </vt:variant>
      <vt:variant>
        <vt:i4>0</vt:i4>
      </vt:variant>
      <vt:variant>
        <vt:i4>5</vt:i4>
      </vt:variant>
      <vt:variant>
        <vt:lpwstr/>
      </vt:variant>
      <vt:variant>
        <vt:lpwstr>_Toc182923742</vt:lpwstr>
      </vt:variant>
      <vt:variant>
        <vt:i4>1114166</vt:i4>
      </vt:variant>
      <vt:variant>
        <vt:i4>152</vt:i4>
      </vt:variant>
      <vt:variant>
        <vt:i4>0</vt:i4>
      </vt:variant>
      <vt:variant>
        <vt:i4>5</vt:i4>
      </vt:variant>
      <vt:variant>
        <vt:lpwstr/>
      </vt:variant>
      <vt:variant>
        <vt:lpwstr>_Toc182923741</vt:lpwstr>
      </vt:variant>
      <vt:variant>
        <vt:i4>1114166</vt:i4>
      </vt:variant>
      <vt:variant>
        <vt:i4>146</vt:i4>
      </vt:variant>
      <vt:variant>
        <vt:i4>0</vt:i4>
      </vt:variant>
      <vt:variant>
        <vt:i4>5</vt:i4>
      </vt:variant>
      <vt:variant>
        <vt:lpwstr/>
      </vt:variant>
      <vt:variant>
        <vt:lpwstr>_Toc182923740</vt:lpwstr>
      </vt:variant>
      <vt:variant>
        <vt:i4>1441846</vt:i4>
      </vt:variant>
      <vt:variant>
        <vt:i4>140</vt:i4>
      </vt:variant>
      <vt:variant>
        <vt:i4>0</vt:i4>
      </vt:variant>
      <vt:variant>
        <vt:i4>5</vt:i4>
      </vt:variant>
      <vt:variant>
        <vt:lpwstr/>
      </vt:variant>
      <vt:variant>
        <vt:lpwstr>_Toc182923739</vt:lpwstr>
      </vt:variant>
      <vt:variant>
        <vt:i4>1441846</vt:i4>
      </vt:variant>
      <vt:variant>
        <vt:i4>134</vt:i4>
      </vt:variant>
      <vt:variant>
        <vt:i4>0</vt:i4>
      </vt:variant>
      <vt:variant>
        <vt:i4>5</vt:i4>
      </vt:variant>
      <vt:variant>
        <vt:lpwstr/>
      </vt:variant>
      <vt:variant>
        <vt:lpwstr>_Toc182923738</vt:lpwstr>
      </vt:variant>
      <vt:variant>
        <vt:i4>1441846</vt:i4>
      </vt:variant>
      <vt:variant>
        <vt:i4>128</vt:i4>
      </vt:variant>
      <vt:variant>
        <vt:i4>0</vt:i4>
      </vt:variant>
      <vt:variant>
        <vt:i4>5</vt:i4>
      </vt:variant>
      <vt:variant>
        <vt:lpwstr/>
      </vt:variant>
      <vt:variant>
        <vt:lpwstr>_Toc182923737</vt:lpwstr>
      </vt:variant>
      <vt:variant>
        <vt:i4>1441846</vt:i4>
      </vt:variant>
      <vt:variant>
        <vt:i4>122</vt:i4>
      </vt:variant>
      <vt:variant>
        <vt:i4>0</vt:i4>
      </vt:variant>
      <vt:variant>
        <vt:i4>5</vt:i4>
      </vt:variant>
      <vt:variant>
        <vt:lpwstr/>
      </vt:variant>
      <vt:variant>
        <vt:lpwstr>_Toc182923736</vt:lpwstr>
      </vt:variant>
      <vt:variant>
        <vt:i4>1441846</vt:i4>
      </vt:variant>
      <vt:variant>
        <vt:i4>116</vt:i4>
      </vt:variant>
      <vt:variant>
        <vt:i4>0</vt:i4>
      </vt:variant>
      <vt:variant>
        <vt:i4>5</vt:i4>
      </vt:variant>
      <vt:variant>
        <vt:lpwstr/>
      </vt:variant>
      <vt:variant>
        <vt:lpwstr>_Toc182923735</vt:lpwstr>
      </vt:variant>
      <vt:variant>
        <vt:i4>1441846</vt:i4>
      </vt:variant>
      <vt:variant>
        <vt:i4>110</vt:i4>
      </vt:variant>
      <vt:variant>
        <vt:i4>0</vt:i4>
      </vt:variant>
      <vt:variant>
        <vt:i4>5</vt:i4>
      </vt:variant>
      <vt:variant>
        <vt:lpwstr/>
      </vt:variant>
      <vt:variant>
        <vt:lpwstr>_Toc182923734</vt:lpwstr>
      </vt:variant>
      <vt:variant>
        <vt:i4>1441846</vt:i4>
      </vt:variant>
      <vt:variant>
        <vt:i4>104</vt:i4>
      </vt:variant>
      <vt:variant>
        <vt:i4>0</vt:i4>
      </vt:variant>
      <vt:variant>
        <vt:i4>5</vt:i4>
      </vt:variant>
      <vt:variant>
        <vt:lpwstr/>
      </vt:variant>
      <vt:variant>
        <vt:lpwstr>_Toc182923733</vt:lpwstr>
      </vt:variant>
      <vt:variant>
        <vt:i4>1441846</vt:i4>
      </vt:variant>
      <vt:variant>
        <vt:i4>98</vt:i4>
      </vt:variant>
      <vt:variant>
        <vt:i4>0</vt:i4>
      </vt:variant>
      <vt:variant>
        <vt:i4>5</vt:i4>
      </vt:variant>
      <vt:variant>
        <vt:lpwstr/>
      </vt:variant>
      <vt:variant>
        <vt:lpwstr>_Toc182923732</vt:lpwstr>
      </vt:variant>
      <vt:variant>
        <vt:i4>1441846</vt:i4>
      </vt:variant>
      <vt:variant>
        <vt:i4>92</vt:i4>
      </vt:variant>
      <vt:variant>
        <vt:i4>0</vt:i4>
      </vt:variant>
      <vt:variant>
        <vt:i4>5</vt:i4>
      </vt:variant>
      <vt:variant>
        <vt:lpwstr/>
      </vt:variant>
      <vt:variant>
        <vt:lpwstr>_Toc182923731</vt:lpwstr>
      </vt:variant>
      <vt:variant>
        <vt:i4>1441846</vt:i4>
      </vt:variant>
      <vt:variant>
        <vt:i4>86</vt:i4>
      </vt:variant>
      <vt:variant>
        <vt:i4>0</vt:i4>
      </vt:variant>
      <vt:variant>
        <vt:i4>5</vt:i4>
      </vt:variant>
      <vt:variant>
        <vt:lpwstr/>
      </vt:variant>
      <vt:variant>
        <vt:lpwstr>_Toc182923730</vt:lpwstr>
      </vt:variant>
      <vt:variant>
        <vt:i4>1507382</vt:i4>
      </vt:variant>
      <vt:variant>
        <vt:i4>80</vt:i4>
      </vt:variant>
      <vt:variant>
        <vt:i4>0</vt:i4>
      </vt:variant>
      <vt:variant>
        <vt:i4>5</vt:i4>
      </vt:variant>
      <vt:variant>
        <vt:lpwstr/>
      </vt:variant>
      <vt:variant>
        <vt:lpwstr>_Toc182923729</vt:lpwstr>
      </vt:variant>
      <vt:variant>
        <vt:i4>1507382</vt:i4>
      </vt:variant>
      <vt:variant>
        <vt:i4>74</vt:i4>
      </vt:variant>
      <vt:variant>
        <vt:i4>0</vt:i4>
      </vt:variant>
      <vt:variant>
        <vt:i4>5</vt:i4>
      </vt:variant>
      <vt:variant>
        <vt:lpwstr/>
      </vt:variant>
      <vt:variant>
        <vt:lpwstr>_Toc182923728</vt:lpwstr>
      </vt:variant>
      <vt:variant>
        <vt:i4>1507382</vt:i4>
      </vt:variant>
      <vt:variant>
        <vt:i4>68</vt:i4>
      </vt:variant>
      <vt:variant>
        <vt:i4>0</vt:i4>
      </vt:variant>
      <vt:variant>
        <vt:i4>5</vt:i4>
      </vt:variant>
      <vt:variant>
        <vt:lpwstr/>
      </vt:variant>
      <vt:variant>
        <vt:lpwstr>_Toc182923727</vt:lpwstr>
      </vt:variant>
      <vt:variant>
        <vt:i4>1507382</vt:i4>
      </vt:variant>
      <vt:variant>
        <vt:i4>62</vt:i4>
      </vt:variant>
      <vt:variant>
        <vt:i4>0</vt:i4>
      </vt:variant>
      <vt:variant>
        <vt:i4>5</vt:i4>
      </vt:variant>
      <vt:variant>
        <vt:lpwstr/>
      </vt:variant>
      <vt:variant>
        <vt:lpwstr>_Toc182923726</vt:lpwstr>
      </vt:variant>
      <vt:variant>
        <vt:i4>1507382</vt:i4>
      </vt:variant>
      <vt:variant>
        <vt:i4>56</vt:i4>
      </vt:variant>
      <vt:variant>
        <vt:i4>0</vt:i4>
      </vt:variant>
      <vt:variant>
        <vt:i4>5</vt:i4>
      </vt:variant>
      <vt:variant>
        <vt:lpwstr/>
      </vt:variant>
      <vt:variant>
        <vt:lpwstr>_Toc182923725</vt:lpwstr>
      </vt:variant>
      <vt:variant>
        <vt:i4>1507382</vt:i4>
      </vt:variant>
      <vt:variant>
        <vt:i4>50</vt:i4>
      </vt:variant>
      <vt:variant>
        <vt:i4>0</vt:i4>
      </vt:variant>
      <vt:variant>
        <vt:i4>5</vt:i4>
      </vt:variant>
      <vt:variant>
        <vt:lpwstr/>
      </vt:variant>
      <vt:variant>
        <vt:lpwstr>_Toc182923724</vt:lpwstr>
      </vt:variant>
      <vt:variant>
        <vt:i4>1507382</vt:i4>
      </vt:variant>
      <vt:variant>
        <vt:i4>44</vt:i4>
      </vt:variant>
      <vt:variant>
        <vt:i4>0</vt:i4>
      </vt:variant>
      <vt:variant>
        <vt:i4>5</vt:i4>
      </vt:variant>
      <vt:variant>
        <vt:lpwstr/>
      </vt:variant>
      <vt:variant>
        <vt:lpwstr>_Toc182923723</vt:lpwstr>
      </vt:variant>
      <vt:variant>
        <vt:i4>1507382</vt:i4>
      </vt:variant>
      <vt:variant>
        <vt:i4>38</vt:i4>
      </vt:variant>
      <vt:variant>
        <vt:i4>0</vt:i4>
      </vt:variant>
      <vt:variant>
        <vt:i4>5</vt:i4>
      </vt:variant>
      <vt:variant>
        <vt:lpwstr/>
      </vt:variant>
      <vt:variant>
        <vt:lpwstr>_Toc182923722</vt:lpwstr>
      </vt:variant>
      <vt:variant>
        <vt:i4>1507382</vt:i4>
      </vt:variant>
      <vt:variant>
        <vt:i4>32</vt:i4>
      </vt:variant>
      <vt:variant>
        <vt:i4>0</vt:i4>
      </vt:variant>
      <vt:variant>
        <vt:i4>5</vt:i4>
      </vt:variant>
      <vt:variant>
        <vt:lpwstr/>
      </vt:variant>
      <vt:variant>
        <vt:lpwstr>_Toc182923721</vt:lpwstr>
      </vt:variant>
      <vt:variant>
        <vt:i4>1507382</vt:i4>
      </vt:variant>
      <vt:variant>
        <vt:i4>26</vt:i4>
      </vt:variant>
      <vt:variant>
        <vt:i4>0</vt:i4>
      </vt:variant>
      <vt:variant>
        <vt:i4>5</vt:i4>
      </vt:variant>
      <vt:variant>
        <vt:lpwstr/>
      </vt:variant>
      <vt:variant>
        <vt:lpwstr>_Toc182923720</vt:lpwstr>
      </vt:variant>
      <vt:variant>
        <vt:i4>1310774</vt:i4>
      </vt:variant>
      <vt:variant>
        <vt:i4>20</vt:i4>
      </vt:variant>
      <vt:variant>
        <vt:i4>0</vt:i4>
      </vt:variant>
      <vt:variant>
        <vt:i4>5</vt:i4>
      </vt:variant>
      <vt:variant>
        <vt:lpwstr/>
      </vt:variant>
      <vt:variant>
        <vt:lpwstr>_Toc182923719</vt:lpwstr>
      </vt:variant>
      <vt:variant>
        <vt:i4>1310774</vt:i4>
      </vt:variant>
      <vt:variant>
        <vt:i4>14</vt:i4>
      </vt:variant>
      <vt:variant>
        <vt:i4>0</vt:i4>
      </vt:variant>
      <vt:variant>
        <vt:i4>5</vt:i4>
      </vt:variant>
      <vt:variant>
        <vt:lpwstr/>
      </vt:variant>
      <vt:variant>
        <vt:lpwstr>_Toc182923718</vt:lpwstr>
      </vt:variant>
      <vt:variant>
        <vt:i4>6684728</vt:i4>
      </vt:variant>
      <vt:variant>
        <vt:i4>9</vt:i4>
      </vt:variant>
      <vt:variant>
        <vt:i4>0</vt:i4>
      </vt:variant>
      <vt:variant>
        <vt:i4>5</vt:i4>
      </vt:variant>
      <vt:variant>
        <vt:lpwstr>https://www.dcceew.gov.au/</vt:lpwstr>
      </vt:variant>
      <vt:variant>
        <vt:lpwstr/>
      </vt:variant>
      <vt:variant>
        <vt:i4>7602213</vt:i4>
      </vt:variant>
      <vt:variant>
        <vt:i4>6</vt:i4>
      </vt:variant>
      <vt:variant>
        <vt:i4>0</vt:i4>
      </vt:variant>
      <vt:variant>
        <vt:i4>5</vt:i4>
      </vt:variant>
      <vt:variant>
        <vt:lpwstr>https://www.dcceew.gov.au/publications</vt:lpwstr>
      </vt:variant>
      <vt:variant>
        <vt:lpwstr/>
      </vt:variant>
      <vt:variant>
        <vt:i4>6815772</vt:i4>
      </vt:variant>
      <vt:variant>
        <vt:i4>3</vt:i4>
      </vt:variant>
      <vt:variant>
        <vt:i4>0</vt:i4>
      </vt:variant>
      <vt:variant>
        <vt:i4>5</vt:i4>
      </vt:variant>
      <vt:variant>
        <vt:lpwstr>mailto:copyright@dcceew.gov.au</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3801141</vt:i4>
      </vt:variant>
      <vt:variant>
        <vt:i4>162</vt:i4>
      </vt:variant>
      <vt:variant>
        <vt:i4>0</vt:i4>
      </vt:variant>
      <vt:variant>
        <vt:i4>5</vt:i4>
      </vt:variant>
      <vt:variant>
        <vt:lpwstr>https://circular-cities-and-regions.ec.europa.eu/support-materials/papers-and-reports/city-governments-and-their-role-enabling-circular-economy</vt:lpwstr>
      </vt:variant>
      <vt:variant>
        <vt:lpwstr/>
      </vt:variant>
      <vt:variant>
        <vt:i4>4456519</vt:i4>
      </vt:variant>
      <vt:variant>
        <vt:i4>159</vt:i4>
      </vt:variant>
      <vt:variant>
        <vt:i4>0</vt:i4>
      </vt:variant>
      <vt:variant>
        <vt:i4>5</vt:i4>
      </vt:variant>
      <vt:variant>
        <vt:lpwstr>https://www.cefc.com.au/media/media-release/billion-dollar-recycling-and-resource-recovery-industry-to-turn-trash-into-treasure/</vt:lpwstr>
      </vt:variant>
      <vt:variant>
        <vt:lpwstr/>
      </vt:variant>
      <vt:variant>
        <vt:i4>7471205</vt:i4>
      </vt:variant>
      <vt:variant>
        <vt:i4>156</vt:i4>
      </vt:variant>
      <vt:variant>
        <vt:i4>0</vt:i4>
      </vt:variant>
      <vt:variant>
        <vt:i4>5</vt:i4>
      </vt:variant>
      <vt:variant>
        <vt:lpwstr>https://portal.ga.gov.au/persona/minesatlas</vt:lpwstr>
      </vt:variant>
      <vt:variant>
        <vt:lpwstr/>
      </vt:variant>
      <vt:variant>
        <vt:i4>4259841</vt:i4>
      </vt:variant>
      <vt:variant>
        <vt:i4>153</vt:i4>
      </vt:variant>
      <vt:variant>
        <vt:i4>0</vt:i4>
      </vt:variant>
      <vt:variant>
        <vt:i4>5</vt:i4>
      </vt:variant>
      <vt:variant>
        <vt:lpwstr>https://www.mriwa.wa.gov.au/minerals-research-advancing-western-australia/focus-areas/alternative-use-of-tailings-and-waste/</vt:lpwstr>
      </vt:variant>
      <vt:variant>
        <vt:lpwstr>:~:text=The%20residual%20mineral%20fraction%20in,carbon%20capture%20(mineral%20carbonation).</vt:lpwstr>
      </vt:variant>
      <vt:variant>
        <vt:i4>2556020</vt:i4>
      </vt:variant>
      <vt:variant>
        <vt:i4>150</vt:i4>
      </vt:variant>
      <vt:variant>
        <vt:i4>0</vt:i4>
      </vt:variant>
      <vt:variant>
        <vt:i4>5</vt:i4>
      </vt:variant>
      <vt:variant>
        <vt:lpwstr>https://www.dcceew.gov.au/sites/default/files/documents/national-waste-report-2022.pdf</vt:lpwstr>
      </vt:variant>
      <vt:variant>
        <vt:lpwstr/>
      </vt:variant>
      <vt:variant>
        <vt:i4>1245250</vt:i4>
      </vt:variant>
      <vt:variant>
        <vt:i4>147</vt:i4>
      </vt:variant>
      <vt:variant>
        <vt:i4>0</vt:i4>
      </vt:variant>
      <vt:variant>
        <vt:i4>5</vt:i4>
      </vt:variant>
      <vt:variant>
        <vt:lpwstr>https://www.asbfeo.gov.au/sites/default/files/2023-12/Small Business Matters_June 2023_1.pdf</vt:lpwstr>
      </vt:variant>
      <vt:variant>
        <vt:lpwstr/>
      </vt:variant>
      <vt:variant>
        <vt:i4>7471136</vt:i4>
      </vt:variant>
      <vt:variant>
        <vt:i4>144</vt:i4>
      </vt:variant>
      <vt:variant>
        <vt:i4>0</vt:i4>
      </vt:variant>
      <vt:variant>
        <vt:i4>5</vt:i4>
      </vt:variant>
      <vt:variant>
        <vt:lpwstr>https://www.bcg.com/publications/2021/the-benefits-of-plant-based-meats</vt:lpwstr>
      </vt:variant>
      <vt:variant>
        <vt:lpwstr/>
      </vt:variant>
      <vt:variant>
        <vt:i4>7340078</vt:i4>
      </vt:variant>
      <vt:variant>
        <vt:i4>141</vt:i4>
      </vt:variant>
      <vt:variant>
        <vt:i4>0</vt:i4>
      </vt:variant>
      <vt:variant>
        <vt:i4>5</vt:i4>
      </vt:variant>
      <vt:variant>
        <vt:lpwstr>https://www.globenewswire.com/news-release/2024/05/29/2889777/28124/en/Global-Sustainable-Aviation-Fuel-SAF-Market-Outlook-2030-with-Neste-World-Energy-Gevo-Aemetis-and-SkyNRG-Dominating-the-25-Billion-Industry.html</vt:lpwstr>
      </vt:variant>
      <vt:variant>
        <vt:lpwstr>:~:text=Global%20SAF%20production%20is%20expected,of%20the%20global%20production%20share.</vt:lpwstr>
      </vt:variant>
      <vt:variant>
        <vt:i4>4063284</vt:i4>
      </vt:variant>
      <vt:variant>
        <vt:i4>138</vt:i4>
      </vt:variant>
      <vt:variant>
        <vt:i4>0</vt:i4>
      </vt:variant>
      <vt:variant>
        <vt:i4>5</vt:i4>
      </vt:variant>
      <vt:variant>
        <vt:lpwstr>https://treasury.gov.au/sites/default/files/2024-06/p2024-534717-gr.pdf</vt:lpwstr>
      </vt:variant>
      <vt:variant>
        <vt:lpwstr/>
      </vt:variant>
      <vt:variant>
        <vt:i4>5636115</vt:i4>
      </vt:variant>
      <vt:variant>
        <vt:i4>135</vt:i4>
      </vt:variant>
      <vt:variant>
        <vt:i4>0</vt:i4>
      </vt:variant>
      <vt:variant>
        <vt:i4>5</vt:i4>
      </vt:variant>
      <vt:variant>
        <vt:lpwstr>https://insidesmallbusiness.com.au/latest-news/offbeat-harvest-leverages-imperfect-produce-to-solve-food-waste-issue</vt:lpwstr>
      </vt:variant>
      <vt:variant>
        <vt:lpwstr/>
      </vt:variant>
      <vt:variant>
        <vt:i4>786433</vt:i4>
      </vt:variant>
      <vt:variant>
        <vt:i4>132</vt:i4>
      </vt:variant>
      <vt:variant>
        <vt:i4>0</vt:i4>
      </vt:variant>
      <vt:variant>
        <vt:i4>5</vt:i4>
      </vt:variant>
      <vt:variant>
        <vt:lpwstr>https://www.dcceew.gov.au/environment/protection/waste/publications/national-food-waste-strategy</vt:lpwstr>
      </vt:variant>
      <vt:variant>
        <vt:lpwstr/>
      </vt:variant>
      <vt:variant>
        <vt:i4>3080307</vt:i4>
      </vt:variant>
      <vt:variant>
        <vt:i4>129</vt:i4>
      </vt:variant>
      <vt:variant>
        <vt:i4>0</vt:i4>
      </vt:variant>
      <vt:variant>
        <vt:i4>5</vt:i4>
      </vt:variant>
      <vt:variant>
        <vt:lpwstr>https://www.agriculture.gov.au/about/news/latest-crop-loss-waste-data-reflects-australian-resilience-innovation</vt:lpwstr>
      </vt:variant>
      <vt:variant>
        <vt:lpwstr/>
      </vt:variant>
      <vt:variant>
        <vt:i4>655450</vt:i4>
      </vt:variant>
      <vt:variant>
        <vt:i4>126</vt:i4>
      </vt:variant>
      <vt:variant>
        <vt:i4>0</vt:i4>
      </vt:variant>
      <vt:variant>
        <vt:i4>5</vt:i4>
      </vt:variant>
      <vt:variant>
        <vt:lpwstr>https://www.foodbank.org.au/food-waste-facts-in-australia/?state=nsw-act</vt:lpwstr>
      </vt:variant>
      <vt:variant>
        <vt:lpwstr/>
      </vt:variant>
      <vt:variant>
        <vt:i4>7208997</vt:i4>
      </vt:variant>
      <vt:variant>
        <vt:i4>123</vt:i4>
      </vt:variant>
      <vt:variant>
        <vt:i4>0</vt:i4>
      </vt:variant>
      <vt:variant>
        <vt:i4>5</vt:i4>
      </vt:variant>
      <vt:variant>
        <vt:lpwstr>https://www.agriculture.gov.au/abares/products/insights/snapshot-of-australian-agriculture</vt:lpwstr>
      </vt:variant>
      <vt:variant>
        <vt:lpwstr/>
      </vt:variant>
      <vt:variant>
        <vt:i4>4522025</vt:i4>
      </vt:variant>
      <vt:variant>
        <vt:i4>120</vt:i4>
      </vt:variant>
      <vt:variant>
        <vt:i4>0</vt:i4>
      </vt:variant>
      <vt:variant>
        <vt:i4>5</vt:i4>
      </vt:variant>
      <vt:variant>
        <vt:lpwstr>https://www.energy.nsw.gov.au/sites/default/files/2023-02/NZP_Circular_Design_Guide_2023_0.pdf</vt:lpwstr>
      </vt:variant>
      <vt:variant>
        <vt:lpwstr/>
      </vt:variant>
      <vt:variant>
        <vt:i4>6881405</vt:i4>
      </vt:variant>
      <vt:variant>
        <vt:i4>117</vt:i4>
      </vt:variant>
      <vt:variant>
        <vt:i4>0</vt:i4>
      </vt:variant>
      <vt:variant>
        <vt:i4>5</vt:i4>
      </vt:variant>
      <vt:variant>
        <vt:lpwstr>https://www.infrastructureaustralia.gov.au/publications/2023-infrastructure-market-capacity-report</vt:lpwstr>
      </vt:variant>
      <vt:variant>
        <vt:lpwstr/>
      </vt:variant>
      <vt:variant>
        <vt:i4>7143483</vt:i4>
      </vt:variant>
      <vt:variant>
        <vt:i4>114</vt:i4>
      </vt:variant>
      <vt:variant>
        <vt:i4>0</vt:i4>
      </vt:variant>
      <vt:variant>
        <vt:i4>5</vt:i4>
      </vt:variant>
      <vt:variant>
        <vt:lpwstr>https://www.infrastructure.gov.au/department/media/publications</vt:lpwstr>
      </vt:variant>
      <vt:variant>
        <vt:lpwstr/>
      </vt:variant>
      <vt:variant>
        <vt:i4>1441818</vt:i4>
      </vt:variant>
      <vt:variant>
        <vt:i4>111</vt:i4>
      </vt:variant>
      <vt:variant>
        <vt:i4>0</vt:i4>
      </vt:variant>
      <vt:variant>
        <vt:i4>5</vt:i4>
      </vt:variant>
      <vt:variant>
        <vt:lpwstr>https://www.fortunebusinessinsights.com/green-steel-market-108711</vt:lpwstr>
      </vt:variant>
      <vt:variant>
        <vt:lpwstr/>
      </vt:variant>
      <vt:variant>
        <vt:i4>3735672</vt:i4>
      </vt:variant>
      <vt:variant>
        <vt:i4>108</vt:i4>
      </vt:variant>
      <vt:variant>
        <vt:i4>0</vt:i4>
      </vt:variant>
      <vt:variant>
        <vt:i4>5</vt:i4>
      </vt:variant>
      <vt:variant>
        <vt:lpwstr>https://www.cefc.com.au/document?file=/media/ovrkk5l3/australian-buildings-and-infrastructure-opportunities-for-cutting-embodied-carbon.pdf</vt:lpwstr>
      </vt:variant>
      <vt:variant>
        <vt:lpwstr/>
      </vt:variant>
      <vt:variant>
        <vt:i4>6291492</vt:i4>
      </vt:variant>
      <vt:variant>
        <vt:i4>105</vt:i4>
      </vt:variant>
      <vt:variant>
        <vt:i4>0</vt:i4>
      </vt:variant>
      <vt:variant>
        <vt:i4>5</vt:i4>
      </vt:variant>
      <vt:variant>
        <vt:lpwstr>https://www.nabers.gov.au/</vt:lpwstr>
      </vt:variant>
      <vt:variant>
        <vt:lpwstr/>
      </vt:variant>
      <vt:variant>
        <vt:i4>4980827</vt:i4>
      </vt:variant>
      <vt:variant>
        <vt:i4>102</vt:i4>
      </vt:variant>
      <vt:variant>
        <vt:i4>0</vt:i4>
      </vt:variant>
      <vt:variant>
        <vt:i4>5</vt:i4>
      </vt:variant>
      <vt:variant>
        <vt:lpwstr>https://new.gbca.org.au/green-star/exploring-green-star/green-star-focus/</vt:lpwstr>
      </vt:variant>
      <vt:variant>
        <vt:lpwstr/>
      </vt:variant>
      <vt:variant>
        <vt:i4>4522025</vt:i4>
      </vt:variant>
      <vt:variant>
        <vt:i4>99</vt:i4>
      </vt:variant>
      <vt:variant>
        <vt:i4>0</vt:i4>
      </vt:variant>
      <vt:variant>
        <vt:i4>5</vt:i4>
      </vt:variant>
      <vt:variant>
        <vt:lpwstr>https://www.energy.nsw.gov.au/sites/default/files/2023-02/NZP_Circular_Design_Guide_2023_0.pdf</vt:lpwstr>
      </vt:variant>
      <vt:variant>
        <vt:lpwstr/>
      </vt:variant>
      <vt:variant>
        <vt:i4>7536698</vt:i4>
      </vt:variant>
      <vt:variant>
        <vt:i4>96</vt:i4>
      </vt:variant>
      <vt:variant>
        <vt:i4>0</vt:i4>
      </vt:variant>
      <vt:variant>
        <vt:i4>5</vt:i4>
      </vt:variant>
      <vt:variant>
        <vt:lpwstr>https://www.dcceew.gov.au/environment/protection/waste/national-waste-reports/2022</vt:lpwstr>
      </vt:variant>
      <vt:variant>
        <vt:lpwstr/>
      </vt:variant>
      <vt:variant>
        <vt:i4>1966111</vt:i4>
      </vt:variant>
      <vt:variant>
        <vt:i4>93</vt:i4>
      </vt:variant>
      <vt:variant>
        <vt:i4>0</vt:i4>
      </vt:variant>
      <vt:variant>
        <vt:i4>5</vt:i4>
      </vt:variant>
      <vt:variant>
        <vt:lpwstr>https://worldgbc.org/</vt:lpwstr>
      </vt:variant>
      <vt:variant>
        <vt:lpwstr/>
      </vt:variant>
      <vt:variant>
        <vt:i4>655382</vt:i4>
      </vt:variant>
      <vt:variant>
        <vt:i4>90</vt:i4>
      </vt:variant>
      <vt:variant>
        <vt:i4>0</vt:i4>
      </vt:variant>
      <vt:variant>
        <vt:i4>5</vt:i4>
      </vt:variant>
      <vt:variant>
        <vt:lpwstr>https://www.ellenmacarthurfoundation.org/news/an-introduction-to-circular-design</vt:lpwstr>
      </vt:variant>
      <vt:variant>
        <vt:lpwstr>:~:text=In%20fact%2C%2080%25%20of%20a,and%20materials%2C%20and%20regenerate%20nature.</vt:lpwstr>
      </vt:variant>
      <vt:variant>
        <vt:i4>7340086</vt:i4>
      </vt:variant>
      <vt:variant>
        <vt:i4>87</vt:i4>
      </vt:variant>
      <vt:variant>
        <vt:i4>0</vt:i4>
      </vt:variant>
      <vt:variant>
        <vt:i4>5</vt:i4>
      </vt:variant>
      <vt:variant>
        <vt:lpwstr>https://www.abs.gov.au/statistics/economy/international-trade/international-trade-goods/latest-release</vt:lpwstr>
      </vt:variant>
      <vt:variant>
        <vt:lpwstr/>
      </vt:variant>
      <vt:variant>
        <vt:i4>4456466</vt:i4>
      </vt:variant>
      <vt:variant>
        <vt:i4>84</vt:i4>
      </vt:variant>
      <vt:variant>
        <vt:i4>0</vt:i4>
      </vt:variant>
      <vt:variant>
        <vt:i4>5</vt:i4>
      </vt:variant>
      <vt:variant>
        <vt:lpwstr>https://research.csiro.au/circulareconomy/australias-circular-economy-comparative-and-competitive-advantages/</vt:lpwstr>
      </vt:variant>
      <vt:variant>
        <vt:lpwstr/>
      </vt:variant>
      <vt:variant>
        <vt:i4>6094929</vt:i4>
      </vt:variant>
      <vt:variant>
        <vt:i4>81</vt:i4>
      </vt:variant>
      <vt:variant>
        <vt:i4>0</vt:i4>
      </vt:variant>
      <vt:variant>
        <vt:i4>5</vt:i4>
      </vt:variant>
      <vt:variant>
        <vt:lpwstr>https://www.dcceew.gov.au/environment/protection/waste/packaging</vt:lpwstr>
      </vt:variant>
      <vt:variant>
        <vt:lpwstr/>
      </vt:variant>
      <vt:variant>
        <vt:i4>2883694</vt:i4>
      </vt:variant>
      <vt:variant>
        <vt:i4>78</vt:i4>
      </vt:variant>
      <vt:variant>
        <vt:i4>0</vt:i4>
      </vt:variant>
      <vt:variant>
        <vt:i4>5</vt:i4>
      </vt:variant>
      <vt:variant>
        <vt:lpwstr>https://hlw.org.au/news/recycling-good-for-the-environment-good-for-the-economy</vt:lpwstr>
      </vt:variant>
      <vt:variant>
        <vt:lpwstr>gsc.tab=0</vt:lpwstr>
      </vt:variant>
      <vt:variant>
        <vt:i4>4718605</vt:i4>
      </vt:variant>
      <vt:variant>
        <vt:i4>75</vt:i4>
      </vt:variant>
      <vt:variant>
        <vt:i4>0</vt:i4>
      </vt:variant>
      <vt:variant>
        <vt:i4>5</vt:i4>
      </vt:variant>
      <vt:variant>
        <vt:lpwstr>https://www.chiefscientist.gov.au/news-and-media/australias-circular-economy-opportunity</vt:lpwstr>
      </vt:variant>
      <vt:variant>
        <vt:lpwstr/>
      </vt:variant>
      <vt:variant>
        <vt:i4>7602237</vt:i4>
      </vt:variant>
      <vt:variant>
        <vt:i4>72</vt:i4>
      </vt:variant>
      <vt:variant>
        <vt:i4>0</vt:i4>
      </vt:variant>
      <vt:variant>
        <vt:i4>5</vt:i4>
      </vt:variant>
      <vt:variant>
        <vt:lpwstr>https://www.commbank.com.au/content/dam/commbank-assets/business/industries/CommBank-Consumer-Insight-Report-Executive-Summary.pdf</vt:lpwstr>
      </vt:variant>
      <vt:variant>
        <vt:lpwstr/>
      </vt:variant>
      <vt:variant>
        <vt:i4>7602237</vt:i4>
      </vt:variant>
      <vt:variant>
        <vt:i4>69</vt:i4>
      </vt:variant>
      <vt:variant>
        <vt:i4>0</vt:i4>
      </vt:variant>
      <vt:variant>
        <vt:i4>5</vt:i4>
      </vt:variant>
      <vt:variant>
        <vt:lpwstr>https://www.commbank.com.au/content/dam/commbank-assets/business/industries/CommBank-Consumer-Insight-Report-Executive-Summary.pdf</vt:lpwstr>
      </vt:variant>
      <vt:variant>
        <vt:lpwstr/>
      </vt:variant>
      <vt:variant>
        <vt:i4>2031629</vt:i4>
      </vt:variant>
      <vt:variant>
        <vt:i4>66</vt:i4>
      </vt:variant>
      <vt:variant>
        <vt:i4>0</vt:i4>
      </vt:variant>
      <vt:variant>
        <vt:i4>5</vt:i4>
      </vt:variant>
      <vt:variant>
        <vt:lpwstr>https://www.cefc.com.au/where-we-invest/</vt:lpwstr>
      </vt:variant>
      <vt:variant>
        <vt:lpwstr/>
      </vt:variant>
      <vt:variant>
        <vt:i4>7667835</vt:i4>
      </vt:variant>
      <vt:variant>
        <vt:i4>63</vt:i4>
      </vt:variant>
      <vt:variant>
        <vt:i4>0</vt:i4>
      </vt:variant>
      <vt:variant>
        <vt:i4>5</vt:i4>
      </vt:variant>
      <vt:variant>
        <vt:lpwstr>https://www.cefc.com.au/who-we-are/about-us/purpose-and-values/</vt:lpwstr>
      </vt:variant>
      <vt:variant>
        <vt:lpwstr/>
      </vt:variant>
      <vt:variant>
        <vt:i4>2949155</vt:i4>
      </vt:variant>
      <vt:variant>
        <vt:i4>60</vt:i4>
      </vt:variant>
      <vt:variant>
        <vt:i4>0</vt:i4>
      </vt:variant>
      <vt:variant>
        <vt:i4>5</vt:i4>
      </vt:variant>
      <vt:variant>
        <vt:lpwstr>https://www.dfat.gov.au/sites/default/files/invested-southeast-asia-economic-strategy-2040.pdf</vt:lpwstr>
      </vt:variant>
      <vt:variant>
        <vt:lpwstr/>
      </vt:variant>
      <vt:variant>
        <vt:i4>1966149</vt:i4>
      </vt:variant>
      <vt:variant>
        <vt:i4>57</vt:i4>
      </vt:variant>
      <vt:variant>
        <vt:i4>0</vt:i4>
      </vt:variant>
      <vt:variant>
        <vt:i4>5</vt:i4>
      </vt:variant>
      <vt:variant>
        <vt:lpwstr>https://www.dfat.gov.au/southeastasiaeconomicstrategy</vt:lpwstr>
      </vt:variant>
      <vt:variant>
        <vt:lpwstr/>
      </vt:variant>
      <vt:variant>
        <vt:i4>3997745</vt:i4>
      </vt:variant>
      <vt:variant>
        <vt:i4>54</vt:i4>
      </vt:variant>
      <vt:variant>
        <vt:i4>0</vt:i4>
      </vt:variant>
      <vt:variant>
        <vt:i4>5</vt:i4>
      </vt:variant>
      <vt:variant>
        <vt:lpwstr>https://www.heritage.org/index/</vt:lpwstr>
      </vt:variant>
      <vt:variant>
        <vt:lpwstr/>
      </vt:variant>
      <vt:variant>
        <vt:i4>4063285</vt:i4>
      </vt:variant>
      <vt:variant>
        <vt:i4>51</vt:i4>
      </vt:variant>
      <vt:variant>
        <vt:i4>0</vt:i4>
      </vt:variant>
      <vt:variant>
        <vt:i4>5</vt:i4>
      </vt:variant>
      <vt:variant>
        <vt:lpwstr>https://www.wipo.int/global_innovation_index/en/2023/</vt:lpwstr>
      </vt:variant>
      <vt:variant>
        <vt:lpwstr/>
      </vt:variant>
      <vt:variant>
        <vt:i4>6815779</vt:i4>
      </vt:variant>
      <vt:variant>
        <vt:i4>48</vt:i4>
      </vt:variant>
      <vt:variant>
        <vt:i4>0</vt:i4>
      </vt:variant>
      <vt:variant>
        <vt:i4>5</vt:i4>
      </vt:variant>
      <vt:variant>
        <vt:lpwstr>https://techcouncil.com.au/newsroom/turning-australia-into-a-regional-tech-hub/</vt:lpwstr>
      </vt:variant>
      <vt:variant>
        <vt:lpwstr/>
      </vt:variant>
      <vt:variant>
        <vt:i4>6291573</vt:i4>
      </vt:variant>
      <vt:variant>
        <vt:i4>45</vt:i4>
      </vt:variant>
      <vt:variant>
        <vt:i4>0</vt:i4>
      </vt:variant>
      <vt:variant>
        <vt:i4>5</vt:i4>
      </vt:variant>
      <vt:variant>
        <vt:lpwstr>https://www.industry.gov.au/publications/national-quantum-strategy</vt:lpwstr>
      </vt:variant>
      <vt:variant>
        <vt:lpwstr/>
      </vt:variant>
      <vt:variant>
        <vt:i4>4063285</vt:i4>
      </vt:variant>
      <vt:variant>
        <vt:i4>42</vt:i4>
      </vt:variant>
      <vt:variant>
        <vt:i4>0</vt:i4>
      </vt:variant>
      <vt:variant>
        <vt:i4>5</vt:i4>
      </vt:variant>
      <vt:variant>
        <vt:lpwstr>https://www.wipo.int/global_innovation_index/en/2023/</vt:lpwstr>
      </vt:variant>
      <vt:variant>
        <vt:lpwstr/>
      </vt:variant>
      <vt:variant>
        <vt:i4>1572920</vt:i4>
      </vt:variant>
      <vt:variant>
        <vt:i4>39</vt:i4>
      </vt:variant>
      <vt:variant>
        <vt:i4>0</vt:i4>
      </vt:variant>
      <vt:variant>
        <vt:i4>5</vt:i4>
      </vt:variant>
      <vt:variant>
        <vt:lpwstr>https://emf.thirdlight.com/link/29wifcw68gx1-yw31dj/@/preview/1?o</vt:lpwstr>
      </vt:variant>
      <vt:variant>
        <vt:lpwstr/>
      </vt:variant>
      <vt:variant>
        <vt:i4>4849724</vt:i4>
      </vt:variant>
      <vt:variant>
        <vt:i4>36</vt:i4>
      </vt:variant>
      <vt:variant>
        <vt:i4>0</vt:i4>
      </vt:variant>
      <vt:variant>
        <vt:i4>5</vt:i4>
      </vt:variant>
      <vt:variant>
        <vt:lpwstr>https://www.dfat.gov.au/trade/trade-and-investment-data-information-and-publications/foreign-investment-statistics/statistics-on-who-invests-in-australia</vt:lpwstr>
      </vt:variant>
      <vt:variant>
        <vt:lpwstr>_edna</vt:lpwstr>
      </vt:variant>
      <vt:variant>
        <vt:i4>3145849</vt:i4>
      </vt:variant>
      <vt:variant>
        <vt:i4>33</vt:i4>
      </vt:variant>
      <vt:variant>
        <vt:i4>0</vt:i4>
      </vt:variant>
      <vt:variant>
        <vt:i4>5</vt:i4>
      </vt:variant>
      <vt:variant>
        <vt:lpwstr>https://www.aph.gov.au/Parliamentary_Business/Committees/Joint/Joint_Standing_Committee_on_Trade_and_Investment_Growth/GreenEnergySuperpower</vt:lpwstr>
      </vt:variant>
      <vt:variant>
        <vt:lpwstr/>
      </vt:variant>
      <vt:variant>
        <vt:i4>3932278</vt:i4>
      </vt:variant>
      <vt:variant>
        <vt:i4>30</vt:i4>
      </vt:variant>
      <vt:variant>
        <vt:i4>0</vt:i4>
      </vt:variant>
      <vt:variant>
        <vt:i4>5</vt:i4>
      </vt:variant>
      <vt:variant>
        <vt:lpwstr>https://www.marketsandmarkets.com/Market-Reports/green-technology-and-sustainability-market-224421448.html</vt:lpwstr>
      </vt:variant>
      <vt:variant>
        <vt:lpwstr/>
      </vt:variant>
      <vt:variant>
        <vt:i4>4784135</vt:i4>
      </vt:variant>
      <vt:variant>
        <vt:i4>27</vt:i4>
      </vt:variant>
      <vt:variant>
        <vt:i4>0</vt:i4>
      </vt:variant>
      <vt:variant>
        <vt:i4>5</vt:i4>
      </vt:variant>
      <vt:variant>
        <vt:lpwstr>https://www.abs.gov.au/statistics/economy/national-accounts/australian-national-accounts-national-income-expenditure-and-product/latest-release</vt:lpwstr>
      </vt:variant>
      <vt:variant>
        <vt:lpwstr>data-downloads</vt:lpwstr>
      </vt:variant>
      <vt:variant>
        <vt:i4>1572872</vt:i4>
      </vt:variant>
      <vt:variant>
        <vt:i4>24</vt:i4>
      </vt:variant>
      <vt:variant>
        <vt:i4>0</vt:i4>
      </vt:variant>
      <vt:variant>
        <vt:i4>5</vt:i4>
      </vt:variant>
      <vt:variant>
        <vt:lpwstr>https://www.abs.gov.au/statistics/economy/international-trade</vt:lpwstr>
      </vt:variant>
      <vt:variant>
        <vt:lpwstr/>
      </vt:variant>
      <vt:variant>
        <vt:i4>8060963</vt:i4>
      </vt:variant>
      <vt:variant>
        <vt:i4>21</vt:i4>
      </vt:variant>
      <vt:variant>
        <vt:i4>0</vt:i4>
      </vt:variant>
      <vt:variant>
        <vt:i4>5</vt:i4>
      </vt:variant>
      <vt:variant>
        <vt:lpwstr>https://www.g20.org/pt-br/noticias/g20-alcanca-consenso-sobre-clima-e-sustentabilidade</vt:lpwstr>
      </vt:variant>
      <vt:variant>
        <vt:lpwstr/>
      </vt:variant>
      <vt:variant>
        <vt:i4>3276851</vt:i4>
      </vt:variant>
      <vt:variant>
        <vt:i4>18</vt:i4>
      </vt:variant>
      <vt:variant>
        <vt:i4>0</vt:i4>
      </vt:variant>
      <vt:variant>
        <vt:i4>5</vt:i4>
      </vt:variant>
      <vt:variant>
        <vt:lpwstr>https://www.mea.gov.in/Images/CPV/G20-New-Delhi-Leaders-Declaration.pdf</vt:lpwstr>
      </vt:variant>
      <vt:variant>
        <vt:lpwstr/>
      </vt:variant>
      <vt:variant>
        <vt:i4>4128893</vt:i4>
      </vt:variant>
      <vt:variant>
        <vt:i4>15</vt:i4>
      </vt:variant>
      <vt:variant>
        <vt:i4>0</vt:i4>
      </vt:variant>
      <vt:variant>
        <vt:i4>5</vt:i4>
      </vt:variant>
      <vt:variant>
        <vt:lpwstr>https://www.unido.org/sites/default/files/unido-publications/2024-05/UNIDO_National circular economy roadmaps_v07.pdf</vt:lpwstr>
      </vt:variant>
      <vt:variant>
        <vt:lpwstr/>
      </vt:variant>
      <vt:variant>
        <vt:i4>2359423</vt:i4>
      </vt:variant>
      <vt:variant>
        <vt:i4>12</vt:i4>
      </vt:variant>
      <vt:variant>
        <vt:i4>0</vt:i4>
      </vt:variant>
      <vt:variant>
        <vt:i4>5</vt:i4>
      </vt:variant>
      <vt:variant>
        <vt:lpwstr>https://www.dcceew.gov.au/environment/protection/waste/publications/commercial-industrial-waste-recycling-australia</vt:lpwstr>
      </vt:variant>
      <vt:variant>
        <vt:lpwstr/>
      </vt:variant>
      <vt:variant>
        <vt:i4>7536698</vt:i4>
      </vt:variant>
      <vt:variant>
        <vt:i4>9</vt:i4>
      </vt:variant>
      <vt:variant>
        <vt:i4>0</vt:i4>
      </vt:variant>
      <vt:variant>
        <vt:i4>5</vt:i4>
      </vt:variant>
      <vt:variant>
        <vt:lpwstr>https://www.dcceew.gov.au/environment/protection/waste/national-waste-reports/2022</vt:lpwstr>
      </vt:variant>
      <vt:variant>
        <vt:lpwstr/>
      </vt:variant>
      <vt:variant>
        <vt:i4>524364</vt:i4>
      </vt:variant>
      <vt:variant>
        <vt:i4>6</vt:i4>
      </vt:variant>
      <vt:variant>
        <vt:i4>0</vt:i4>
      </vt:variant>
      <vt:variant>
        <vt:i4>5</vt:i4>
      </vt:variant>
      <vt:variant>
        <vt:lpwstr>https://www.oecd.org/en/data/indicators/material-productivity.html?oecdcontrol-9202e3bf52-var3=2022&amp;oecdcontrol-55ac510757-chartId=0556259c16</vt:lpwstr>
      </vt:variant>
      <vt:variant>
        <vt:lpwstr/>
      </vt:variant>
      <vt:variant>
        <vt:i4>2097250</vt:i4>
      </vt:variant>
      <vt:variant>
        <vt:i4>3</vt:i4>
      </vt:variant>
      <vt:variant>
        <vt:i4>0</vt:i4>
      </vt:variant>
      <vt:variant>
        <vt:i4>5</vt:i4>
      </vt:variant>
      <vt:variant>
        <vt:lpwstr>https://research.csiro.au/circulareconomy/material-flow-report/</vt:lpwstr>
      </vt:variant>
      <vt:variant>
        <vt:lpwstr/>
      </vt:variant>
      <vt:variant>
        <vt:i4>2818169</vt:i4>
      </vt:variant>
      <vt:variant>
        <vt:i4>0</vt:i4>
      </vt:variant>
      <vt:variant>
        <vt:i4>0</vt:i4>
      </vt:variant>
      <vt:variant>
        <vt:i4>5</vt:i4>
      </vt:variant>
      <vt:variant>
        <vt:lpwstr>https://datatopics.worldbank.org/what-a-waste/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Australia's Circular Economy Framework</dc:title>
  <dc:subject/>
  <dc:creator/>
  <cp:keywords/>
  <dc:description/>
  <cp:lastModifiedBy/>
  <cp:revision>1</cp:revision>
  <dcterms:created xsi:type="dcterms:W3CDTF">2024-12-19T00:50:00Z</dcterms:created>
  <dcterms:modified xsi:type="dcterms:W3CDTF">2024-12-19T00:50:00Z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BNET_SECURITY_CLASSIFICATION">
    <vt:lpwstr>PROTECTED CABINET</vt:lpwstr>
  </property>
  <property fmtid="{D5CDD505-2E9C-101B-9397-08002B2CF9AE}" pid="3" name="MediaServiceImageTags">
    <vt:lpwstr/>
  </property>
  <property fmtid="{D5CDD505-2E9C-101B-9397-08002B2CF9AE}" pid="4" name="ContentTypeId">
    <vt:lpwstr>0x010100D001B2BE74D025469E1D0E28F10DD2C8</vt:lpwstr>
  </property>
  <property fmtid="{D5CDD505-2E9C-101B-9397-08002B2CF9AE}" pid="5" name="CABNET_PRINT_LINE">
    <vt:lpwstr>&lt;ITEM NUMBER&gt; &lt;CABNET_USER&gt; &lt;PRINT_DATE_TIME&gt; &lt;PRINT_NUMBER&gt;</vt:lpwstr>
  </property>
</Properties>
</file>