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539781646"/>
        <w:docPartObj>
          <w:docPartGallery w:val="Cover Pages"/>
          <w:docPartUnique/>
        </w:docPartObj>
      </w:sdtPr>
      <w:sdtEndPr>
        <w:rPr>
          <w:rFonts w:cstheme="minorBidi"/>
        </w:rPr>
      </w:sdtEndPr>
      <w:sdtContent>
        <w:p w14:paraId="231DECE1" w14:textId="688AED94" w:rsidR="009C4E8F" w:rsidRPr="004B520E" w:rsidRDefault="008125CE" w:rsidP="00247B42">
          <w:pPr>
            <w:pStyle w:val="BodyText"/>
          </w:pPr>
          <w:r w:rsidRPr="004B520E">
            <w:rPr>
              <w:noProof/>
            </w:rPr>
            <w:drawing>
              <wp:anchor distT="0" distB="0" distL="114300" distR="114300" simplePos="0" relativeHeight="251658242" behindDoc="0" locked="0" layoutInCell="1" allowOverlap="1" wp14:anchorId="5FA67517" wp14:editId="66C2CE46">
                <wp:simplePos x="0" y="0"/>
                <wp:positionH relativeFrom="page">
                  <wp:posOffset>0</wp:posOffset>
                </wp:positionH>
                <wp:positionV relativeFrom="page">
                  <wp:posOffset>-4198</wp:posOffset>
                </wp:positionV>
                <wp:extent cx="7653600" cy="4305600"/>
                <wp:effectExtent l="0" t="0" r="5080" b="0"/>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a:ext>
                          </a:extLst>
                        </a:blip>
                        <a:stretch>
                          <a:fillRect/>
                        </a:stretch>
                      </pic:blipFill>
                      <pic:spPr>
                        <a:xfrm>
                          <a:off x="0" y="0"/>
                          <a:ext cx="7653600" cy="4305600"/>
                        </a:xfrm>
                        <a:prstGeom prst="rect">
                          <a:avLst/>
                        </a:prstGeom>
                      </pic:spPr>
                    </pic:pic>
                  </a:graphicData>
                </a:graphic>
                <wp14:sizeRelH relativeFrom="margin">
                  <wp14:pctWidth>0</wp14:pctWidth>
                </wp14:sizeRelH>
                <wp14:sizeRelV relativeFrom="margin">
                  <wp14:pctHeight>0</wp14:pctHeight>
                </wp14:sizeRelV>
              </wp:anchor>
            </w:drawing>
          </w:r>
        </w:p>
        <w:p w14:paraId="28F49F33" w14:textId="6F5BB305" w:rsidR="00B1712D" w:rsidRDefault="00000000" w:rsidP="004D088E">
          <w:pPr>
            <w:pStyle w:val="CoverTitle"/>
            <w:ind w:right="1558"/>
          </w:pPr>
          <w:sdt>
            <w:sdtPr>
              <w:alias w:val="Title"/>
              <w:tag w:val=""/>
              <w:id w:val="-353969258"/>
              <w:placeholder>
                <w:docPart w:val="2DC8892E27CF3C44B69D38359D0819DF"/>
              </w:placeholder>
              <w:dataBinding w:prefixMappings="xmlns:ns0='http://purl.org/dc/elements/1.1/' xmlns:ns1='http://schemas.openxmlformats.org/package/2006/metadata/core-properties' " w:xpath="/ns1:coreProperties[1]/ns0:title[1]" w:storeItemID="{6C3C8BC8-F283-45AE-878A-BAB7291924A1}"/>
              <w:text/>
            </w:sdtPr>
            <w:sdtContent>
              <w:r w:rsidR="004D088E">
                <w:t>Commonwealth environmental water sustaining Murray–Darling Basin ecosystems: 10-year (2014–24) retrospective</w:t>
              </w:r>
            </w:sdtContent>
          </w:sdt>
        </w:p>
        <w:p w14:paraId="4543794A" w14:textId="04893DE1" w:rsidR="00833504" w:rsidRPr="004B520E" w:rsidRDefault="00EB20EE" w:rsidP="005702B8">
          <w:pPr>
            <w:pStyle w:val="CoverSubtitle"/>
          </w:pPr>
          <w:r w:rsidRPr="004B520E">
            <w:t xml:space="preserve">Commonwealth Environmental Water </w:t>
          </w:r>
          <w:r w:rsidR="008C578A" w:rsidRPr="004B520E">
            <w:t>Holder’s</w:t>
          </w:r>
          <w:r w:rsidR="005702B8" w:rsidRPr="004B520E">
            <w:t xml:space="preserve"> </w:t>
          </w:r>
          <w:r w:rsidR="006E6CD6" w:rsidRPr="004B520E">
            <w:t>Science Program</w:t>
          </w:r>
          <w:r w:rsidR="006A572F" w:rsidRPr="004B520E">
            <w:t>:</w:t>
          </w:r>
          <w:r w:rsidR="005371E4" w:rsidRPr="004B520E">
            <w:br/>
          </w:r>
          <w:r w:rsidR="008C578A" w:rsidRPr="004B520E">
            <w:t xml:space="preserve">Flow </w:t>
          </w:r>
          <w:r w:rsidRPr="004B520E">
            <w:t>Monitoring, Evaluation and Research Program</w:t>
          </w:r>
          <w:r w:rsidR="008C3CA0" w:rsidRPr="004B520E">
            <w:t xml:space="preserve"> (Flow-MER)</w:t>
          </w:r>
          <w:r w:rsidR="0067040C">
            <w:br/>
            <w:t>Basin-scale Synthesis</w:t>
          </w:r>
        </w:p>
        <w:p w14:paraId="3A64A02A" w14:textId="58A2FE13" w:rsidR="000A3EFE" w:rsidRPr="004B520E" w:rsidRDefault="000A3EFE" w:rsidP="005702B8">
          <w:pPr>
            <w:pStyle w:val="CoverSubtitle"/>
          </w:pPr>
        </w:p>
        <w:p w14:paraId="4CCCB46F" w14:textId="15013C1A" w:rsidR="00014EBE" w:rsidRPr="004B520E" w:rsidRDefault="00014EBE" w:rsidP="00A06FEB">
          <w:pPr>
            <w:pStyle w:val="BodyText"/>
          </w:pPr>
          <w:r w:rsidRPr="004B520E">
            <w:rPr>
              <w:b/>
              <w:bCs/>
              <w:noProof/>
              <w:color w:val="FF0000"/>
            </w:rPr>
            <mc:AlternateContent>
              <mc:Choice Requires="wps">
                <w:drawing>
                  <wp:anchor distT="0" distB="0" distL="114300" distR="114300" simplePos="0" relativeHeight="251658240" behindDoc="1" locked="1" layoutInCell="1" allowOverlap="1" wp14:anchorId="30FDF1AE" wp14:editId="60DC5C87">
                    <wp:simplePos x="0" y="0"/>
                    <wp:positionH relativeFrom="page">
                      <wp:align>left</wp:align>
                    </wp:positionH>
                    <wp:positionV relativeFrom="page">
                      <wp:posOffset>10296525</wp:posOffset>
                    </wp:positionV>
                    <wp:extent cx="7560310" cy="393700"/>
                    <wp:effectExtent l="0" t="0" r="2540" b="6350"/>
                    <wp:wrapNone/>
                    <wp:docPr id="57" name="Rectangl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1B6FC5C8" id="Rectangle 57" o:spid="_x0000_s1026" alt="&quot;&quot;" style="position:absolute;margin-left:0;margin-top:810.75pt;width:595.3pt;height:31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" fillcolor="#01528b" stroked="f">
                    <w10:wrap anchorx="page" anchory="page"/>
                    <w10:anchorlock/>
                  </v:rect>
                </w:pict>
              </mc:Fallback>
            </mc:AlternateContent>
          </w:r>
          <w:r w:rsidR="00244943" w:rsidRPr="004B520E">
            <w:t>June</w:t>
          </w:r>
          <w:r w:rsidR="00623F2B" w:rsidRPr="004B520E">
            <w:t xml:space="preserve"> </w:t>
          </w:r>
          <w:r w:rsidR="008C578A" w:rsidRPr="004B520E">
            <w:t>202</w:t>
          </w:r>
          <w:r w:rsidR="00244943" w:rsidRPr="004B520E">
            <w:t>5</w:t>
          </w:r>
        </w:p>
        <w:p w14:paraId="6432DD3D" w14:textId="26B818F9" w:rsidR="00014EBE" w:rsidRPr="004B520E" w:rsidRDefault="0080491F">
          <w:r w:rsidRPr="004B520E">
            <w:rPr>
              <w:noProof/>
            </w:rPr>
            <w:drawing>
              <wp:anchor distT="0" distB="0" distL="114300" distR="114300" simplePos="0" relativeHeight="251658243" behindDoc="0" locked="0" layoutInCell="1" allowOverlap="1" wp14:anchorId="7D61ECFB" wp14:editId="23089614">
                <wp:simplePos x="0" y="0"/>
                <wp:positionH relativeFrom="margin">
                  <wp:posOffset>86360</wp:posOffset>
                </wp:positionH>
                <wp:positionV relativeFrom="bottomMargin">
                  <wp:posOffset>-459956</wp:posOffset>
                </wp:positionV>
                <wp:extent cx="5950585" cy="497205"/>
                <wp:effectExtent l="0" t="0" r="0" b="0"/>
                <wp:wrapSquare wrapText="bothSides"/>
                <wp:docPr id="433756901" name="Picture 4337569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56901" name="Picture 433756901">
                          <a:extLst>
                            <a:ext uri="{C183D7F6-B498-43B3-948B-1728B52AA6E4}">
                              <adec:decorative xmlns:adec="http://schemas.microsoft.com/office/drawing/2017/decorative" val="1"/>
                            </a:ext>
                          </a:extLst>
                        </pic:cNvPr>
                        <pic:cNvPicPr/>
                      </pic:nvPicPr>
                      <pic:blipFill>
                        <a:blip r:embed="rId14"/>
                        <a:stretch>
                          <a:fillRect/>
                        </a:stretch>
                      </pic:blipFill>
                      <pic:spPr>
                        <a:xfrm>
                          <a:off x="0" y="0"/>
                          <a:ext cx="5950585" cy="497205"/>
                        </a:xfrm>
                        <a:prstGeom prst="rect">
                          <a:avLst/>
                        </a:prstGeom>
                      </pic:spPr>
                    </pic:pic>
                  </a:graphicData>
                </a:graphic>
                <wp14:sizeRelH relativeFrom="margin">
                  <wp14:pctWidth>0</wp14:pctWidth>
                </wp14:sizeRelH>
                <wp14:sizeRelV relativeFrom="margin">
                  <wp14:pctHeight>0</wp14:pctHeight>
                </wp14:sizeRelV>
              </wp:anchor>
            </w:drawing>
          </w:r>
          <w:r w:rsidR="00014EBE" w:rsidRPr="004B520E">
            <w:br w:type="page"/>
          </w:r>
        </w:p>
      </w:sdtContent>
    </w:sdt>
    <w:p w14:paraId="65B675F0" w14:textId="77777777" w:rsidR="00EB335A" w:rsidRPr="00547F3F" w:rsidRDefault="00EB335A" w:rsidP="009B365E">
      <w:pPr>
        <w:pStyle w:val="VersoPageHeading"/>
      </w:pPr>
      <w:r w:rsidRPr="00547F3F">
        <w:lastRenderedPageBreak/>
        <w:t>Acknowledgement of Country</w:t>
      </w:r>
    </w:p>
    <w:p w14:paraId="23D75DDE" w14:textId="4F8CB52D" w:rsidR="00EB335A" w:rsidRPr="004B520E" w:rsidRDefault="00EB335A" w:rsidP="00EB335A">
      <w:pPr>
        <w:pStyle w:val="VersoPageText"/>
        <w:rPr>
          <w:highlight w:val="yellow"/>
        </w:rPr>
      </w:pPr>
      <w:r w:rsidRPr="004B520E">
        <w:t>The Flow-MER team acknowledges the Traditional Owners of the lands and waters of Australia, and in particular the Traditional Owners of the lands and waters of the Murray–Darling Basin. The river and its tributaries are known by many names including; Millewa (Ngarrindjeri name for the main Murray channel in South Australia), Baarka (Barkindji; Darling River, inland New South Wales (NSW)), Warring (Taungurung; Goulburn River, Victoria), Kolety (Wamba Wamba; Edwards River, inland NSW), Kalari (Wiradjuri; Lachlan River, inland NSW), Murrumbidjeri (Wiradjuri; Murrumbidgee River, inland NSW) and Guwayda (Kamilaroi; Gwydir River, northern NSW), amongst others. While the European names will be used here, the authors recognise the important associations and history of the Indigenous names for rivers and streams in the Murray</w:t>
      </w:r>
      <w:r w:rsidR="00BA506A" w:rsidRPr="004B520E">
        <w:rPr>
          <w:rFonts w:ascii="Tahoma" w:hAnsi="Tahoma" w:cs="Tahoma"/>
        </w:rPr>
        <w:t>–</w:t>
      </w:r>
      <w:r w:rsidRPr="004B520E">
        <w:t>Darling Basin. We express our respect for Elders, past present and emerging amongst the Nations of the Murray–Darling Basin.</w:t>
      </w:r>
    </w:p>
    <w:p w14:paraId="7C0C2288" w14:textId="3D60544A" w:rsidR="00A943B2" w:rsidRPr="00547F3F" w:rsidRDefault="00A943B2" w:rsidP="00547F3F">
      <w:pPr>
        <w:pStyle w:val="VersoPageHeading"/>
      </w:pPr>
      <w:r w:rsidRPr="00547F3F">
        <w:t>Citation</w:t>
      </w:r>
    </w:p>
    <w:p w14:paraId="359D1EE6" w14:textId="1C2CB2BE" w:rsidR="00E72A48" w:rsidRDefault="008C578A" w:rsidP="006B19FF">
      <w:pPr>
        <w:pStyle w:val="VersoPageText"/>
      </w:pPr>
      <w:r w:rsidRPr="004B520E">
        <w:t>Flett</w:t>
      </w:r>
      <w:r w:rsidR="00A810A6" w:rsidRPr="004B520E">
        <w:t xml:space="preserve"> D</w:t>
      </w:r>
      <w:r w:rsidRPr="004B520E">
        <w:t xml:space="preserve">, </w:t>
      </w:r>
      <w:r w:rsidR="00CC6DB8" w:rsidRPr="004B520E">
        <w:t>Cuddy</w:t>
      </w:r>
      <w:r w:rsidR="00795E2E" w:rsidRPr="004B520E">
        <w:t xml:space="preserve"> SM</w:t>
      </w:r>
      <w:r w:rsidR="004B48DF" w:rsidRPr="004B520E">
        <w:t xml:space="preserve">, </w:t>
      </w:r>
      <w:r w:rsidR="00B9691A" w:rsidRPr="004B520E">
        <w:t>Brooks</w:t>
      </w:r>
      <w:r w:rsidR="00795E2E" w:rsidRPr="004B520E">
        <w:t xml:space="preserve"> S</w:t>
      </w:r>
      <w:r w:rsidR="00B9691A" w:rsidRPr="004B520E">
        <w:t>, Dyer</w:t>
      </w:r>
      <w:r w:rsidR="00795E2E" w:rsidRPr="004B520E">
        <w:t xml:space="preserve"> F</w:t>
      </w:r>
      <w:r w:rsidR="00B9691A" w:rsidRPr="004B520E">
        <w:t xml:space="preserve">, </w:t>
      </w:r>
      <w:r w:rsidR="00D82FF0" w:rsidRPr="004B520E">
        <w:t>Egger</w:t>
      </w:r>
      <w:r w:rsidR="00795E2E" w:rsidRPr="004B520E">
        <w:t xml:space="preserve"> F</w:t>
      </w:r>
      <w:r w:rsidR="00D82FF0" w:rsidRPr="004B520E">
        <w:t xml:space="preserve">, </w:t>
      </w:r>
      <w:r w:rsidR="009C328C">
        <w:t xml:space="preserve">Giling D, </w:t>
      </w:r>
      <w:r w:rsidR="00983D14" w:rsidRPr="004B520E">
        <w:t>Hladyz</w:t>
      </w:r>
      <w:r w:rsidR="00795E2E" w:rsidRPr="004B520E">
        <w:t xml:space="preserve"> S</w:t>
      </w:r>
      <w:r w:rsidR="00983D14" w:rsidRPr="004B520E">
        <w:t xml:space="preserve">, </w:t>
      </w:r>
      <w:r w:rsidR="002F3780">
        <w:t>Mathwin R</w:t>
      </w:r>
      <w:r w:rsidR="00216D35" w:rsidRPr="004B520E">
        <w:t xml:space="preserve">, </w:t>
      </w:r>
      <w:r w:rsidR="00B9691A" w:rsidRPr="004B520E">
        <w:t>McIner</w:t>
      </w:r>
      <w:r w:rsidR="00913BFE" w:rsidRPr="004B520E">
        <w:t>ne</w:t>
      </w:r>
      <w:r w:rsidR="00B9691A" w:rsidRPr="004B520E">
        <w:t>y</w:t>
      </w:r>
      <w:r w:rsidR="00795E2E" w:rsidRPr="004B520E">
        <w:t xml:space="preserve"> P</w:t>
      </w:r>
      <w:r w:rsidR="00B9691A" w:rsidRPr="004B520E">
        <w:t>,</w:t>
      </w:r>
      <w:r w:rsidR="009639B9" w:rsidRPr="004B520E">
        <w:t xml:space="preserve"> </w:t>
      </w:r>
      <w:r w:rsidR="001A24C3" w:rsidRPr="004B520E">
        <w:t xml:space="preserve">Nolan, M, </w:t>
      </w:r>
      <w:r w:rsidR="009639B9" w:rsidRPr="004B520E">
        <w:t>Sengupta</w:t>
      </w:r>
      <w:r w:rsidR="00795E2E" w:rsidRPr="004B520E">
        <w:t xml:space="preserve"> A</w:t>
      </w:r>
      <w:r w:rsidR="009639B9" w:rsidRPr="004B520E">
        <w:t xml:space="preserve">, </w:t>
      </w:r>
      <w:r w:rsidR="00216D35" w:rsidRPr="004B520E">
        <w:t>Tonkin</w:t>
      </w:r>
      <w:r w:rsidR="00760B45" w:rsidRPr="004B520E">
        <w:t> </w:t>
      </w:r>
      <w:r w:rsidR="00795E2E" w:rsidRPr="004B520E">
        <w:t>Z</w:t>
      </w:r>
      <w:r w:rsidR="00216D35" w:rsidRPr="004B520E">
        <w:t xml:space="preserve">, </w:t>
      </w:r>
      <w:r w:rsidR="00B150FF" w:rsidRPr="004B520E">
        <w:t>Wassens</w:t>
      </w:r>
      <w:r w:rsidR="006A2F41">
        <w:t> </w:t>
      </w:r>
      <w:r w:rsidR="00760B45" w:rsidRPr="004B520E">
        <w:t>S</w:t>
      </w:r>
      <w:r w:rsidR="003123A6" w:rsidRPr="004B520E">
        <w:t>, Weber</w:t>
      </w:r>
      <w:r w:rsidR="00760B45" w:rsidRPr="004B520E">
        <w:t xml:space="preserve"> T</w:t>
      </w:r>
      <w:r w:rsidR="00AA76D9" w:rsidRPr="004B520E">
        <w:t xml:space="preserve"> (</w:t>
      </w:r>
      <w:r w:rsidRPr="004B520E">
        <w:t>202</w:t>
      </w:r>
      <w:r w:rsidR="00244943" w:rsidRPr="004B520E">
        <w:t>5</w:t>
      </w:r>
      <w:r w:rsidR="00AA76D9" w:rsidRPr="004B520E">
        <w:t>)</w:t>
      </w:r>
      <w:r w:rsidR="008F79F6" w:rsidRPr="004B520E">
        <w:t xml:space="preserve"> </w:t>
      </w:r>
      <w:sdt>
        <w:sdtPr>
          <w:alias w:val="Title"/>
          <w:tag w:val=""/>
          <w:id w:val="556201472"/>
          <w:placeholder>
            <w:docPart w:val="535FAC6218CBF34EAAAE2DB568EBFE49"/>
          </w:placeholder>
          <w:dataBinding w:prefixMappings="xmlns:ns0='http://purl.org/dc/elements/1.1/' xmlns:ns1='http://schemas.openxmlformats.org/package/2006/metadata/core-properties' " w:xpath="/ns1:coreProperties[1]/ns0:title[1]" w:storeItemID="{6C3C8BC8-F283-45AE-878A-BAB7291924A1}"/>
          <w:text/>
        </w:sdtPr>
        <w:sdtContent>
          <w:r w:rsidR="004D088E">
            <w:t>Commonwealth environmental water sustaining Murray–Darling Basin ecosystems: 10-year (2014–24) retrospective</w:t>
          </w:r>
        </w:sdtContent>
      </w:sdt>
      <w:r w:rsidR="00A943B2" w:rsidRPr="004B520E">
        <w:t xml:space="preserve">. </w:t>
      </w:r>
      <w:r w:rsidR="00706F5F" w:rsidRPr="004B520E">
        <w:t xml:space="preserve">Commonwealth Environmental Water </w:t>
      </w:r>
      <w:r w:rsidR="00881B98" w:rsidRPr="004B520E">
        <w:t>Holder</w:t>
      </w:r>
      <w:r w:rsidR="00706F5F" w:rsidRPr="004B520E">
        <w:t xml:space="preserve"> (CEW</w:t>
      </w:r>
      <w:r w:rsidR="00881B98" w:rsidRPr="004B520E">
        <w:t>H</w:t>
      </w:r>
      <w:r w:rsidR="00706F5F" w:rsidRPr="004B520E">
        <w:t>)</w:t>
      </w:r>
      <w:r w:rsidR="00A943B2" w:rsidRPr="004B520E">
        <w:t xml:space="preserve">, </w:t>
      </w:r>
      <w:r w:rsidR="00D356B6" w:rsidRPr="004B520E">
        <w:t xml:space="preserve">Department of </w:t>
      </w:r>
      <w:r w:rsidR="00881B98" w:rsidRPr="004B520E">
        <w:t>Climate Change, Energy, the Environment and Water, Aust</w:t>
      </w:r>
      <w:r w:rsidR="00A943B2" w:rsidRPr="004B520E">
        <w:t>ralia</w:t>
      </w:r>
      <w:r w:rsidR="008A69FC" w:rsidRPr="004B520E">
        <w:t>.</w:t>
      </w:r>
    </w:p>
    <w:p w14:paraId="68E080E0" w14:textId="7DDFBE0F" w:rsidR="00B9691A" w:rsidRPr="004B520E" w:rsidRDefault="00B9691A" w:rsidP="007B7FC3">
      <w:pPr>
        <w:pStyle w:val="VersoPageText"/>
      </w:pPr>
      <w:r w:rsidRPr="004B520E">
        <w:t xml:space="preserve">[Citation is in alphabetical order after the first </w:t>
      </w:r>
      <w:r w:rsidR="00913BFE" w:rsidRPr="004B520E">
        <w:t>2</w:t>
      </w:r>
      <w:r w:rsidRPr="004B520E">
        <w:t xml:space="preserve"> authors]</w:t>
      </w:r>
      <w:r w:rsidR="003F12F0">
        <w:t xml:space="preserve">. </w:t>
      </w:r>
      <w:r w:rsidR="00BD463E">
        <w:t xml:space="preserve">Copilot was used to </w:t>
      </w:r>
      <w:r w:rsidR="006263B9">
        <w:t>assist with drafting of the content.</w:t>
      </w:r>
    </w:p>
    <w:p w14:paraId="55843AA3" w14:textId="41EC098C" w:rsidR="00B9691A" w:rsidRPr="00334FF4" w:rsidRDefault="00B9691A" w:rsidP="00547F3F">
      <w:pPr>
        <w:pStyle w:val="VersoPageHeading"/>
      </w:pPr>
      <w:r w:rsidRPr="00334FF4">
        <w:t>Acknowledgement</w:t>
      </w:r>
      <w:r w:rsidR="00EB335A" w:rsidRPr="00334FF4">
        <w:t xml:space="preserve"> of contributors</w:t>
      </w:r>
    </w:p>
    <w:p w14:paraId="382830E3" w14:textId="00B7F082" w:rsidR="004424E7" w:rsidRDefault="004424E7" w:rsidP="007B7FC3">
      <w:pPr>
        <w:pStyle w:val="VersoPageText"/>
      </w:pPr>
      <w:r w:rsidRPr="004B520E">
        <w:t xml:space="preserve">We take this opportunity to thank </w:t>
      </w:r>
      <w:r w:rsidR="006F6E71" w:rsidRPr="004B520E">
        <w:t xml:space="preserve">all </w:t>
      </w:r>
      <w:r w:rsidR="005577D2" w:rsidRPr="004B520E">
        <w:t>contributors to Flow-MER</w:t>
      </w:r>
      <w:r w:rsidR="006F6E71" w:rsidRPr="004B520E">
        <w:t xml:space="preserve">. Their data collection, analyses and reporting have provided the foundations for this synthesis report. We would like to thank </w:t>
      </w:r>
      <w:r w:rsidR="00D82FF0" w:rsidRPr="004B520E">
        <w:t>Jane Thomas</w:t>
      </w:r>
      <w:r w:rsidR="005577D2" w:rsidRPr="004B520E">
        <w:t xml:space="preserve"> </w:t>
      </w:r>
      <w:r w:rsidR="006F6E71" w:rsidRPr="004B520E">
        <w:t xml:space="preserve">of CSIRO whose input </w:t>
      </w:r>
      <w:r w:rsidR="007466D6" w:rsidRPr="004B520E">
        <w:t xml:space="preserve">in terms of </w:t>
      </w:r>
      <w:r w:rsidR="00D82FF0" w:rsidRPr="004B520E">
        <w:t>editing</w:t>
      </w:r>
      <w:r w:rsidR="001A24C3" w:rsidRPr="004B520E">
        <w:t xml:space="preserve"> and formatting</w:t>
      </w:r>
      <w:r w:rsidR="007466D6" w:rsidRPr="004B520E">
        <w:t xml:space="preserve"> </w:t>
      </w:r>
      <w:r w:rsidRPr="004B520E">
        <w:t xml:space="preserve">greatly improved the </w:t>
      </w:r>
      <w:r w:rsidR="006F6E71" w:rsidRPr="004B520E">
        <w:t xml:space="preserve">quality and </w:t>
      </w:r>
      <w:r w:rsidRPr="004B520E">
        <w:t>readability of the report</w:t>
      </w:r>
      <w:r w:rsidR="002F3780">
        <w:t xml:space="preserve"> as well as Jill S</w:t>
      </w:r>
      <w:r w:rsidR="0019139D">
        <w:t>h</w:t>
      </w:r>
      <w:r w:rsidR="002F3780">
        <w:t>arkey for formatting assistance</w:t>
      </w:r>
      <w:r w:rsidRPr="004B520E">
        <w:t>. A final thank</w:t>
      </w:r>
      <w:r w:rsidR="008E0D49" w:rsidRPr="004B520E">
        <w:t>s</w:t>
      </w:r>
      <w:r w:rsidRPr="004B520E">
        <w:t xml:space="preserve"> to </w:t>
      </w:r>
      <w:r w:rsidR="00126C26" w:rsidRPr="004B520E">
        <w:t xml:space="preserve">the </w:t>
      </w:r>
      <w:r w:rsidR="00244943" w:rsidRPr="004B520E">
        <w:t xml:space="preserve">Selected Area teams, </w:t>
      </w:r>
      <w:r w:rsidR="00126C26" w:rsidRPr="004B520E">
        <w:t>members of the Flow-MER2.0 Independent Advisory Group</w:t>
      </w:r>
      <w:r w:rsidR="008F79F6" w:rsidRPr="004B520E">
        <w:t xml:space="preserve"> </w:t>
      </w:r>
      <w:r w:rsidR="008E0D49" w:rsidRPr="004B520E">
        <w:t xml:space="preserve">and </w:t>
      </w:r>
      <w:r w:rsidR="00CB04EC" w:rsidRPr="004B520E">
        <w:t xml:space="preserve">Officers of the </w:t>
      </w:r>
      <w:r w:rsidR="008E0D49" w:rsidRPr="004B520E">
        <w:t>C</w:t>
      </w:r>
      <w:r w:rsidR="00D142F8" w:rsidRPr="004B520E">
        <w:t>ommonwealth Environmental Water</w:t>
      </w:r>
      <w:r w:rsidR="00A97B83" w:rsidRPr="004B520E">
        <w:t xml:space="preserve"> Holder</w:t>
      </w:r>
      <w:r w:rsidR="002C6D4A" w:rsidRPr="004B520E">
        <w:t xml:space="preserve"> </w:t>
      </w:r>
      <w:r w:rsidRPr="004B520E">
        <w:t xml:space="preserve">for </w:t>
      </w:r>
      <w:r w:rsidR="008E0D49" w:rsidRPr="004B520E">
        <w:t xml:space="preserve">their </w:t>
      </w:r>
      <w:r w:rsidRPr="004B520E">
        <w:t>review</w:t>
      </w:r>
      <w:r w:rsidR="008E0D49" w:rsidRPr="004B520E">
        <w:t>s.</w:t>
      </w:r>
    </w:p>
    <w:p w14:paraId="0D08260A" w14:textId="77777777" w:rsidR="009254D9" w:rsidRPr="005821CB" w:rsidRDefault="009254D9" w:rsidP="00547F3F">
      <w:pPr>
        <w:pStyle w:val="VersoPageHeading"/>
      </w:pPr>
      <w:r w:rsidRPr="005821CB">
        <w:t>Basin-scale Flow-MER partnership</w:t>
      </w:r>
    </w:p>
    <w:p w14:paraId="0CA7FF50" w14:textId="3D938B05" w:rsidR="009254D9" w:rsidRDefault="009254D9" w:rsidP="009254D9">
      <w:pPr>
        <w:pStyle w:val="VersoPageText"/>
      </w:pPr>
      <w:r w:rsidRPr="004B520E">
        <w:t xml:space="preserve">Basin-scale </w:t>
      </w:r>
      <w:r>
        <w:t xml:space="preserve">evaluation in </w:t>
      </w:r>
      <w:r w:rsidRPr="004B520E">
        <w:t xml:space="preserve">Flow-MER </w:t>
      </w:r>
      <w:r w:rsidR="00554B06">
        <w:t xml:space="preserve">was </w:t>
      </w:r>
      <w:r w:rsidRPr="004B520E">
        <w:t xml:space="preserve">led by CSIRO in partnership with the University of Canberra. Collaborators on the 2023–24 evaluation </w:t>
      </w:r>
      <w:r w:rsidRPr="008B6390">
        <w:t>include</w:t>
      </w:r>
      <w:r w:rsidR="00554B06">
        <w:t>d</w:t>
      </w:r>
      <w:r w:rsidRPr="004B520E">
        <w:t xml:space="preserve"> Alluvium, Arthur Rylah Institute, </w:t>
      </w:r>
      <w:r w:rsidRPr="000B73AA">
        <w:t>Charles</w:t>
      </w:r>
      <w:r w:rsidRPr="004B520E">
        <w:t xml:space="preserve"> Sturt University, South Australian Research &amp; Development Institute, NSW Department of Primary Industries, Australian River Restoration Centre and Brooks Ecology &amp; Technology.</w:t>
      </w:r>
    </w:p>
    <w:p w14:paraId="091A7128" w14:textId="229B30B9" w:rsidR="009254D9" w:rsidRPr="004B520E" w:rsidRDefault="009254D9" w:rsidP="009254D9">
      <w:pPr>
        <w:pStyle w:val="VersoPageText"/>
      </w:pPr>
      <w:r w:rsidRPr="004B520E">
        <w:t>2025 is the final year of this phase of Flow-MER</w:t>
      </w:r>
      <w:r w:rsidR="00554B06">
        <w:t xml:space="preserve"> (2019 –2025)</w:t>
      </w:r>
      <w:r w:rsidR="004B68AB">
        <w:t xml:space="preserve"> which was the successor of the Long Term Intervention Monitoring Program (LTIM)</w:t>
      </w:r>
      <w:r w:rsidRPr="004B520E">
        <w:t xml:space="preserve">. The next 5-year phase commenced on 1 July 2025 and is led by CSIRO in partnership with the One Basin Cooperative Research Centre. Information on the new phase of Flow-MER can be found at the </w:t>
      </w:r>
      <w:hyperlink r:id="rId15">
        <w:r w:rsidRPr="00DA3613">
          <w:rPr>
            <w:rStyle w:val="Hyperlink"/>
            <w:sz w:val="20"/>
          </w:rPr>
          <w:t>CEWH's science programs website</w:t>
        </w:r>
      </w:hyperlink>
    </w:p>
    <w:p w14:paraId="66762C9B" w14:textId="6D3F66B7" w:rsidR="00A943B2" w:rsidRPr="004B520E" w:rsidRDefault="00A943B2" w:rsidP="00547F3F">
      <w:pPr>
        <w:pStyle w:val="VersoPageHeading"/>
      </w:pPr>
      <w:r w:rsidRPr="004B520E">
        <w:t>Copyright</w:t>
      </w:r>
    </w:p>
    <w:p w14:paraId="4EC863B0" w14:textId="07C23476" w:rsidR="00541F35" w:rsidRPr="004B520E" w:rsidRDefault="00E92DA8" w:rsidP="007B7FC3">
      <w:pPr>
        <w:pStyle w:val="VersoPageText"/>
      </w:pPr>
      <w:r w:rsidRPr="004B520E">
        <w:rPr>
          <w:noProof/>
        </w:rPr>
        <w:drawing>
          <wp:inline distT="0" distB="0" distL="0" distR="0" wp14:anchorId="16E777C4" wp14:editId="48EA68A7">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14FB18F5" w:rsidRPr="004B520E">
        <w:t xml:space="preserve"> © Commonwealth of Australia </w:t>
      </w:r>
      <w:r w:rsidR="006A1913" w:rsidRPr="004B520E">
        <w:t>202</w:t>
      </w:r>
      <w:r w:rsidR="006A1913">
        <w:t>5</w:t>
      </w:r>
      <w:r w:rsidRPr="004B520E">
        <w:br/>
      </w:r>
      <w:r w:rsidR="14FB18F5" w:rsidRPr="004B520E">
        <w:t xml:space="preserve">With the exception of the Commonwealth Coat of Arms, partner logos and where otherwise noted, all material in this publication is provided under a Creative Commons Attribution 4.0 International Licence </w:t>
      </w:r>
      <w:hyperlink r:id="rId17" w:history="1">
        <w:hyperlink r:id="rId18" w:tooltip="Creative Commons website" w:history="1">
          <w:r w:rsidR="14FB18F5" w:rsidRPr="004B520E">
            <w:rPr>
              <w:rStyle w:val="Hyperlink"/>
              <w:rFonts w:cs="Calibri Light"/>
            </w:rPr>
            <w:t>https://creativecommons.org/licenses/by/4.0/</w:t>
          </w:r>
        </w:hyperlink>
      </w:hyperlink>
      <w:r w:rsidR="14FB18F5" w:rsidRPr="004B520E">
        <w:t>. The Flow</w:t>
      </w:r>
      <w:r w:rsidR="14FB18F5" w:rsidRPr="004B520E">
        <w:noBreakHyphen/>
        <w:t>MER Program requests attribution as ‘© Commonwealth of Australia (Flow</w:t>
      </w:r>
      <w:r w:rsidR="14FB18F5" w:rsidRPr="004B520E">
        <w:noBreakHyphen/>
        <w:t>MER Program</w:t>
      </w:r>
      <w:r w:rsidR="007729EC" w:rsidRPr="004B520E">
        <w:t>).’</w:t>
      </w:r>
    </w:p>
    <w:p w14:paraId="326F0ED8" w14:textId="7AF32A16" w:rsidR="00251847" w:rsidRPr="004B520E" w:rsidRDefault="00251847" w:rsidP="00547F3F">
      <w:pPr>
        <w:pStyle w:val="VersoPageHeading"/>
      </w:pPr>
      <w:r w:rsidRPr="004B520E">
        <w:t>Document history</w:t>
      </w:r>
    </w:p>
    <w:tbl>
      <w:tblPr>
        <w:tblStyle w:val="TableFlow-Mer0"/>
        <w:tblW w:w="9526" w:type="dxa"/>
        <w:tblLook w:val="0420" w:firstRow="1" w:lastRow="0" w:firstColumn="0" w:lastColumn="0" w:noHBand="0" w:noVBand="1"/>
      </w:tblPr>
      <w:tblGrid>
        <w:gridCol w:w="1447"/>
        <w:gridCol w:w="8079"/>
      </w:tblGrid>
      <w:tr w:rsidR="0053175B" w:rsidRPr="004B520E" w14:paraId="2A64935F" w14:textId="77777777" w:rsidTr="00806A64">
        <w:trPr>
          <w:cnfStyle w:val="100000000000" w:firstRow="1" w:lastRow="0" w:firstColumn="0" w:lastColumn="0" w:oddVBand="0" w:evenVBand="0" w:oddHBand="0" w:evenHBand="0" w:firstRowFirstColumn="0" w:firstRowLastColumn="0" w:lastRowFirstColumn="0" w:lastRowLastColumn="0"/>
          <w:tblHeader/>
        </w:trPr>
        <w:tc>
          <w:tcPr>
            <w:tcW w:w="1447" w:type="dxa"/>
          </w:tcPr>
          <w:p w14:paraId="4AD99EF5" w14:textId="217F26AF" w:rsidR="0053175B" w:rsidRPr="004B520E" w:rsidRDefault="0053175B" w:rsidP="005821CB">
            <w:pPr>
              <w:pStyle w:val="ColumnHeading"/>
            </w:pPr>
            <w:r w:rsidRPr="004B520E">
              <w:t>Date</w:t>
            </w:r>
          </w:p>
        </w:tc>
        <w:tc>
          <w:tcPr>
            <w:tcW w:w="8079" w:type="dxa"/>
          </w:tcPr>
          <w:p w14:paraId="19B4065B" w14:textId="3156A44D" w:rsidR="0053175B" w:rsidRPr="004B520E" w:rsidRDefault="0053175B" w:rsidP="005821CB">
            <w:pPr>
              <w:pStyle w:val="ColumnHeading"/>
            </w:pPr>
            <w:r w:rsidRPr="004B520E">
              <w:t>Document stage</w:t>
            </w:r>
          </w:p>
        </w:tc>
      </w:tr>
    </w:tbl>
    <w:tbl>
      <w:tblPr>
        <w:tblStyle w:val="TableCSIRO"/>
        <w:tblW w:w="0" w:type="auto"/>
        <w:tblLook w:val="0400" w:firstRow="0" w:lastRow="0" w:firstColumn="0" w:lastColumn="0" w:noHBand="0" w:noVBand="1"/>
      </w:tblPr>
      <w:tblGrid>
        <w:gridCol w:w="1447"/>
        <w:gridCol w:w="8078"/>
      </w:tblGrid>
      <w:tr w:rsidR="00096D47" w:rsidRPr="004B68AB" w14:paraId="72748C8B" w14:textId="77777777" w:rsidTr="00C572BA">
        <w:trPr>
          <w:cnfStyle w:val="000000100000" w:firstRow="0" w:lastRow="0" w:firstColumn="0" w:lastColumn="0" w:oddVBand="0" w:evenVBand="0" w:oddHBand="1" w:evenHBand="0" w:firstRowFirstColumn="0" w:firstRowLastColumn="0" w:lastRowFirstColumn="0" w:lastRowLastColumn="0"/>
        </w:trPr>
        <w:tc>
          <w:tcPr>
            <w:tcW w:w="1447" w:type="dxa"/>
          </w:tcPr>
          <w:p w14:paraId="4B2DF5C2" w14:textId="4D1D0047" w:rsidR="00096D47" w:rsidRPr="004B68AB" w:rsidRDefault="00244943" w:rsidP="004B68AB">
            <w:pPr>
              <w:pStyle w:val="TableText"/>
            </w:pPr>
            <w:r w:rsidRPr="004B68AB">
              <w:t>16 May</w:t>
            </w:r>
            <w:r w:rsidR="006D0B90" w:rsidRPr="004B68AB">
              <w:t xml:space="preserve"> 202</w:t>
            </w:r>
            <w:r w:rsidRPr="004B68AB">
              <w:t>5</w:t>
            </w:r>
          </w:p>
        </w:tc>
        <w:tc>
          <w:tcPr>
            <w:tcW w:w="8078" w:type="dxa"/>
          </w:tcPr>
          <w:p w14:paraId="3D39EE37" w14:textId="3E8D515C" w:rsidR="00096D47" w:rsidRPr="004B68AB" w:rsidRDefault="00244943" w:rsidP="004B68AB">
            <w:pPr>
              <w:pStyle w:val="TableText"/>
            </w:pPr>
            <w:r w:rsidRPr="004B68AB">
              <w:t xml:space="preserve">Preparation of first draft following submission </w:t>
            </w:r>
            <w:r w:rsidR="00B539B9" w:rsidRPr="004B68AB">
              <w:t xml:space="preserve">of </w:t>
            </w:r>
            <w:r w:rsidRPr="004B68AB">
              <w:t xml:space="preserve">draft </w:t>
            </w:r>
            <w:r w:rsidR="00B539B9" w:rsidRPr="004B68AB">
              <w:t>evaluation reports</w:t>
            </w:r>
            <w:r w:rsidRPr="004B68AB">
              <w:t xml:space="preserve"> to the CEWH</w:t>
            </w:r>
          </w:p>
        </w:tc>
      </w:tr>
      <w:tr w:rsidR="00096D47" w:rsidRPr="004B68AB" w14:paraId="25479D34" w14:textId="77777777" w:rsidTr="00244943">
        <w:tc>
          <w:tcPr>
            <w:tcW w:w="1447" w:type="dxa"/>
          </w:tcPr>
          <w:p w14:paraId="7C40A528" w14:textId="73699881" w:rsidR="00096D47" w:rsidRPr="004B68AB" w:rsidRDefault="003536D9" w:rsidP="004B68AB">
            <w:pPr>
              <w:pStyle w:val="TableText"/>
            </w:pPr>
            <w:r>
              <w:t>12 June</w:t>
            </w:r>
            <w:r w:rsidR="009A25DA" w:rsidRPr="004B68AB">
              <w:t xml:space="preserve"> 202</w:t>
            </w:r>
            <w:r w:rsidR="00244943" w:rsidRPr="004B68AB">
              <w:t>5</w:t>
            </w:r>
          </w:p>
        </w:tc>
        <w:tc>
          <w:tcPr>
            <w:tcW w:w="8078" w:type="dxa"/>
          </w:tcPr>
          <w:p w14:paraId="570CE8B0" w14:textId="221F50DA" w:rsidR="00096D47" w:rsidRPr="004B68AB" w:rsidRDefault="009A25DA" w:rsidP="004B68AB">
            <w:pPr>
              <w:pStyle w:val="TableText"/>
            </w:pPr>
            <w:r w:rsidRPr="004B68AB">
              <w:t xml:space="preserve">Draft </w:t>
            </w:r>
            <w:r w:rsidR="003536D9">
              <w:t xml:space="preserve">report </w:t>
            </w:r>
            <w:r w:rsidRPr="004B68AB">
              <w:t>delivered to CEWH for review</w:t>
            </w:r>
          </w:p>
        </w:tc>
      </w:tr>
      <w:tr w:rsidR="00096D47" w:rsidRPr="004B68AB" w14:paraId="7015E6B2" w14:textId="77777777" w:rsidTr="00C572BA">
        <w:trPr>
          <w:cnfStyle w:val="000000100000" w:firstRow="0" w:lastRow="0" w:firstColumn="0" w:lastColumn="0" w:oddVBand="0" w:evenVBand="0" w:oddHBand="1" w:evenHBand="0" w:firstRowFirstColumn="0" w:firstRowLastColumn="0" w:lastRowFirstColumn="0" w:lastRowLastColumn="0"/>
        </w:trPr>
        <w:tc>
          <w:tcPr>
            <w:tcW w:w="1447" w:type="dxa"/>
          </w:tcPr>
          <w:p w14:paraId="476691A2" w14:textId="6AAE28A2" w:rsidR="00096D47" w:rsidRPr="004B68AB" w:rsidRDefault="009B365E" w:rsidP="004B68AB">
            <w:pPr>
              <w:pStyle w:val="TableText"/>
            </w:pPr>
            <w:r>
              <w:t>8</w:t>
            </w:r>
            <w:r w:rsidR="003536D9">
              <w:t xml:space="preserve">–21 </w:t>
            </w:r>
            <w:r w:rsidR="00547F3F">
              <w:t>July</w:t>
            </w:r>
            <w:r>
              <w:t xml:space="preserve"> 2025</w:t>
            </w:r>
          </w:p>
        </w:tc>
        <w:tc>
          <w:tcPr>
            <w:tcW w:w="8078" w:type="dxa"/>
          </w:tcPr>
          <w:p w14:paraId="44EDC11A" w14:textId="5E17322A" w:rsidR="00096D47" w:rsidRPr="004B68AB" w:rsidRDefault="009A25DA" w:rsidP="004B68AB">
            <w:pPr>
              <w:pStyle w:val="TableText"/>
            </w:pPr>
            <w:r w:rsidRPr="004B68AB">
              <w:t xml:space="preserve">Response to review </w:t>
            </w:r>
            <w:r w:rsidR="006D0B90" w:rsidRPr="004B68AB">
              <w:t>period</w:t>
            </w:r>
          </w:p>
        </w:tc>
      </w:tr>
      <w:tr w:rsidR="00351D37" w:rsidRPr="004B68AB" w14:paraId="280949C9" w14:textId="77777777" w:rsidTr="00244943">
        <w:tc>
          <w:tcPr>
            <w:tcW w:w="1447" w:type="dxa"/>
          </w:tcPr>
          <w:p w14:paraId="2F5A88AB" w14:textId="64AC7CE9" w:rsidR="00351D37" w:rsidRPr="004B68AB" w:rsidRDefault="00FE2416" w:rsidP="004B68AB">
            <w:pPr>
              <w:pStyle w:val="TableText"/>
            </w:pPr>
            <w:r>
              <w:t>20</w:t>
            </w:r>
            <w:r w:rsidR="00163189">
              <w:t xml:space="preserve"> August</w:t>
            </w:r>
            <w:r w:rsidR="00756C17">
              <w:t xml:space="preserve"> 2025</w:t>
            </w:r>
          </w:p>
        </w:tc>
        <w:tc>
          <w:tcPr>
            <w:tcW w:w="8078" w:type="dxa"/>
          </w:tcPr>
          <w:p w14:paraId="3F39D0BA" w14:textId="56C8F8C6" w:rsidR="00351D37" w:rsidRPr="004B68AB" w:rsidRDefault="00756C17" w:rsidP="004B68AB">
            <w:pPr>
              <w:pStyle w:val="TableText"/>
            </w:pPr>
            <w:r>
              <w:t xml:space="preserve">Final </w:t>
            </w:r>
            <w:r w:rsidR="00FE2416">
              <w:t xml:space="preserve">version of </w:t>
            </w:r>
            <w:r>
              <w:t xml:space="preserve">report </w:t>
            </w:r>
            <w:r w:rsidR="003536D9">
              <w:t xml:space="preserve">(this report) </w:t>
            </w:r>
            <w:r>
              <w:t>delivered to CEWH</w:t>
            </w:r>
            <w:r w:rsidR="00C646F7">
              <w:t xml:space="preserve"> </w:t>
            </w:r>
          </w:p>
        </w:tc>
      </w:tr>
      <w:tr w:rsidR="00756C17" w:rsidRPr="004B68AB" w14:paraId="598AB9A2" w14:textId="77777777" w:rsidTr="00244943">
        <w:trPr>
          <w:cnfStyle w:val="000000100000" w:firstRow="0" w:lastRow="0" w:firstColumn="0" w:lastColumn="0" w:oddVBand="0" w:evenVBand="0" w:oddHBand="1" w:evenHBand="0" w:firstRowFirstColumn="0" w:firstRowLastColumn="0" w:lastRowFirstColumn="0" w:lastRowLastColumn="0"/>
        </w:trPr>
        <w:tc>
          <w:tcPr>
            <w:tcW w:w="1447" w:type="dxa"/>
          </w:tcPr>
          <w:p w14:paraId="7BE7CA53" w14:textId="3FBD8650" w:rsidR="00756C17" w:rsidRDefault="00756C17" w:rsidP="004B68AB">
            <w:pPr>
              <w:pStyle w:val="TableText"/>
            </w:pPr>
          </w:p>
        </w:tc>
        <w:tc>
          <w:tcPr>
            <w:tcW w:w="8078" w:type="dxa"/>
          </w:tcPr>
          <w:p w14:paraId="0649D55B" w14:textId="6DBF112D" w:rsidR="00756C17" w:rsidRDefault="00756C17" w:rsidP="004B68AB">
            <w:pPr>
              <w:pStyle w:val="TableText"/>
            </w:pPr>
            <w:r w:rsidRPr="004B68AB">
              <w:t>Approved final report for publication</w:t>
            </w:r>
          </w:p>
        </w:tc>
      </w:tr>
    </w:tbl>
    <w:p w14:paraId="51EF6E55" w14:textId="55630532" w:rsidR="00683D2C" w:rsidRPr="004B520E" w:rsidRDefault="00683D2C" w:rsidP="00547F3F">
      <w:pPr>
        <w:pStyle w:val="VersoPageHeading"/>
      </w:pPr>
      <w:bookmarkStart w:id="0" w:name="_Hlk106190826"/>
      <w:r>
        <w:t>Cover</w:t>
      </w:r>
    </w:p>
    <w:p w14:paraId="5E9A1C49" w14:textId="3A0D40F9" w:rsidR="00E92DA8" w:rsidRPr="004B520E" w:rsidRDefault="00BE3340" w:rsidP="007B7FC3">
      <w:pPr>
        <w:pStyle w:val="VersoPageText"/>
        <w:rPr>
          <w:rStyle w:val="Hyperlink"/>
        </w:rPr>
      </w:pPr>
      <w:r w:rsidRPr="004B520E">
        <w:t>Artist: Nina Rupena</w:t>
      </w:r>
      <w:r w:rsidR="00623F2B" w:rsidRPr="004B520E">
        <w:t>.</w:t>
      </w:r>
      <w:r w:rsidR="00835402" w:rsidRPr="004B520E">
        <w:t xml:space="preserve"> </w:t>
      </w:r>
      <w:hyperlink r:id="rId19" w:history="1">
        <w:r w:rsidR="00CC6DB8" w:rsidRPr="004B520E">
          <w:rPr>
            <w:rStyle w:val="Hyperlink"/>
            <w:rFonts w:cs="Calibri Light"/>
          </w:rPr>
          <w:t>http://www.ninarupena.studio/</w:t>
        </w:r>
      </w:hyperlink>
    </w:p>
    <w:bookmarkEnd w:id="0"/>
    <w:p w14:paraId="6DA04AFF" w14:textId="0D3F22A1" w:rsidR="00A943B2" w:rsidRPr="004B520E" w:rsidRDefault="00A943B2" w:rsidP="00547F3F">
      <w:pPr>
        <w:pStyle w:val="VersoPageHeading"/>
      </w:pPr>
      <w:r w:rsidRPr="004B520E">
        <w:t>Important disclaimer</w:t>
      </w:r>
    </w:p>
    <w:p w14:paraId="3969FD31" w14:textId="77777777" w:rsidR="00A943B2" w:rsidRPr="004B520E" w:rsidRDefault="00497E6A" w:rsidP="007B7FC3">
      <w:pPr>
        <w:pStyle w:val="VersoPageText"/>
      </w:pPr>
      <w:r w:rsidRPr="004B520E">
        <w:t>T</w:t>
      </w:r>
      <w:r w:rsidR="00A943B2" w:rsidRPr="004B520E">
        <w:t xml:space="preserve">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w:t>
      </w:r>
      <w:r w:rsidRPr="004B520E">
        <w:t>the Flow-MER Program</w:t>
      </w:r>
      <w:r w:rsidR="00A943B2" w:rsidRPr="004B520E">
        <w:t xml:space="preserve"> (including its </w:t>
      </w:r>
      <w:r w:rsidRPr="004B520E">
        <w:t>partners and collaborators</w:t>
      </w:r>
      <w:r w:rsidR="00A943B2" w:rsidRPr="004B520E">
        <w:t>)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580D9315" w14:textId="2880161C" w:rsidR="004B48DF" w:rsidRPr="004B520E" w:rsidRDefault="00497E6A" w:rsidP="007B7FC3">
      <w:pPr>
        <w:pStyle w:val="VersoPageText"/>
        <w:rPr>
          <w:rStyle w:val="Hyperlink"/>
          <w:szCs w:val="18"/>
        </w:rPr>
      </w:pPr>
      <w:r w:rsidRPr="004B520E">
        <w:t>The Flow-MER</w:t>
      </w:r>
      <w:r w:rsidR="002F6753" w:rsidRPr="004B520E">
        <w:t xml:space="preserve"> is committed to providing web accessible content wherever possible. If you are having difficulties with accessing this document</w:t>
      </w:r>
      <w:r w:rsidR="00236175" w:rsidRPr="004B520E">
        <w:t>,</w:t>
      </w:r>
      <w:r w:rsidR="002F6753" w:rsidRPr="004B520E">
        <w:t xml:space="preserve"> please contact </w:t>
      </w:r>
      <w:hyperlink r:id="rId20" w:history="1">
        <w:r w:rsidR="00F20AE4">
          <w:rPr>
            <w:rStyle w:val="Hyperlink"/>
            <w:szCs w:val="18"/>
          </w:rPr>
          <w:t>ewater@dcceew.gov.au</w:t>
        </w:r>
      </w:hyperlink>
      <w:r w:rsidR="008D73C9" w:rsidRPr="004B520E">
        <w:rPr>
          <w:rStyle w:val="Hyperlink"/>
          <w:szCs w:val="18"/>
        </w:rPr>
        <w:t>.</w:t>
      </w:r>
    </w:p>
    <w:p w14:paraId="7F030AAA" w14:textId="77777777" w:rsidR="00D07D6F" w:rsidRPr="004B520E" w:rsidRDefault="00D07D6F" w:rsidP="007B7FC3">
      <w:pPr>
        <w:pStyle w:val="VersoPageText"/>
      </w:pPr>
    </w:p>
    <w:p w14:paraId="542C0BA1" w14:textId="77777777" w:rsidR="004B48DF" w:rsidRPr="004B520E" w:rsidRDefault="004B48DF" w:rsidP="00A06FEB">
      <w:pPr>
        <w:pStyle w:val="BodyText"/>
        <w:sectPr w:rsidR="004B48DF" w:rsidRPr="004B520E" w:rsidSect="005821CB">
          <w:headerReference w:type="even" r:id="rId21"/>
          <w:headerReference w:type="default" r:id="rId22"/>
          <w:footerReference w:type="even" r:id="rId23"/>
          <w:footerReference w:type="default" r:id="rId24"/>
          <w:headerReference w:type="first" r:id="rId25"/>
          <w:footerReference w:type="first" r:id="rId26"/>
          <w:type w:val="oddPage"/>
          <w:pgSz w:w="11906" w:h="16838" w:code="9"/>
          <w:pgMar w:top="1134" w:right="1134" w:bottom="1134" w:left="1134" w:header="510" w:footer="624" w:gutter="0"/>
          <w:pgNumType w:fmt="lowerRoman" w:start="1"/>
          <w:cols w:space="284"/>
          <w:titlePg/>
          <w:docGrid w:linePitch="360"/>
        </w:sectPr>
      </w:pPr>
    </w:p>
    <w:p w14:paraId="6B2B8F77" w14:textId="3BA73BA5" w:rsidR="00E03957" w:rsidRDefault="005A0CD0" w:rsidP="00113FC9">
      <w:pPr>
        <w:pStyle w:val="Heading1notnumbered"/>
        <w:rPr>
          <w:smallCaps/>
        </w:rPr>
      </w:pPr>
      <w:bookmarkStart w:id="1" w:name="_Toc203682247"/>
      <w:bookmarkStart w:id="2" w:name="_Toc204606862"/>
      <w:bookmarkStart w:id="3" w:name="_Toc168579806"/>
      <w:bookmarkStart w:id="4" w:name="_Toc172283595"/>
      <w:bookmarkStart w:id="5" w:name="_Toc172290924"/>
      <w:r>
        <w:lastRenderedPageBreak/>
        <w:t xml:space="preserve">Executive summary: Ten years </w:t>
      </w:r>
      <w:r w:rsidR="00B619B8">
        <w:t xml:space="preserve">of sustaining and revitalising </w:t>
      </w:r>
      <w:r w:rsidR="00674DD0">
        <w:t>water-dependent ecosystems of the Basin</w:t>
      </w:r>
      <w:bookmarkEnd w:id="1"/>
      <w:bookmarkEnd w:id="2"/>
    </w:p>
    <w:p w14:paraId="335A13BB" w14:textId="23EB3459" w:rsidR="002D63C5" w:rsidRDefault="00674DD0" w:rsidP="005A0CD0">
      <w:pPr>
        <w:pStyle w:val="BodyText"/>
      </w:pPr>
      <w:r>
        <w:t xml:space="preserve">The delivery of Commonwealth environmental water has sustained </w:t>
      </w:r>
      <w:r w:rsidRPr="00167080">
        <w:t>life in</w:t>
      </w:r>
      <w:r>
        <w:t xml:space="preserve"> the Basin’s </w:t>
      </w:r>
      <w:r w:rsidRPr="00167080">
        <w:t xml:space="preserve">floodplain–wetland ecosystems and </w:t>
      </w:r>
      <w:r>
        <w:t xml:space="preserve">contributed to rebuilding the Basin’s </w:t>
      </w:r>
      <w:r w:rsidRPr="00167080">
        <w:t>rich biodiversity.</w:t>
      </w:r>
      <w:r>
        <w:t xml:space="preserve"> </w:t>
      </w:r>
      <w:r w:rsidR="002D63C5" w:rsidRPr="00167080">
        <w:t>Over the past decade</w:t>
      </w:r>
      <w:r w:rsidR="00E425CF">
        <w:t xml:space="preserve"> (2014–24)</w:t>
      </w:r>
      <w:r w:rsidR="002D63C5" w:rsidRPr="00167080">
        <w:t xml:space="preserve">, the </w:t>
      </w:r>
      <w:r w:rsidR="002D63C5">
        <w:t xml:space="preserve">Commonwealth Environmental Water Holder (CEWH) has delivered </w:t>
      </w:r>
      <w:r w:rsidR="002D63C5" w:rsidRPr="00167080">
        <w:t xml:space="preserve">water </w:t>
      </w:r>
      <w:r w:rsidR="002D63C5">
        <w:t xml:space="preserve">to </w:t>
      </w:r>
      <w:r w:rsidR="00B95447">
        <w:t>protect</w:t>
      </w:r>
      <w:r w:rsidR="00073B1F">
        <w:t xml:space="preserve"> and restore hydrological regimes and connectivity within and between water-dependent ecosystems of the </w:t>
      </w:r>
      <w:r w:rsidR="002D63C5" w:rsidRPr="00167080">
        <w:t>Basin</w:t>
      </w:r>
      <w:r w:rsidR="002D63C5">
        <w:t>. Delivery has been informed by annual planning and</w:t>
      </w:r>
      <w:r w:rsidR="00DB7D68">
        <w:t xml:space="preserve">, where and when possible, </w:t>
      </w:r>
      <w:r w:rsidR="002D63C5">
        <w:t xml:space="preserve">in partnership with </w:t>
      </w:r>
      <w:r w:rsidR="0069739F">
        <w:t>other environmental water holders.</w:t>
      </w:r>
      <w:r w:rsidR="002D63C5">
        <w:t xml:space="preserve"> </w:t>
      </w:r>
      <w:r w:rsidR="002D63C5" w:rsidRPr="00167080">
        <w:t>This executive summary</w:t>
      </w:r>
      <w:r w:rsidR="002D63C5">
        <w:t xml:space="preserve"> synthesises t</w:t>
      </w:r>
      <w:r w:rsidR="002D63C5" w:rsidRPr="00167080">
        <w:t xml:space="preserve">he key outcomes, trends, and strategic lessons learned from </w:t>
      </w:r>
      <w:r w:rsidR="00600894">
        <w:t>10</w:t>
      </w:r>
      <w:r w:rsidR="002D63C5" w:rsidRPr="00167080">
        <w:t xml:space="preserve"> years of dedicated stewardship, with a focus on vegetation, fish, waterbirds, and other fauna</w:t>
      </w:r>
      <w:r w:rsidR="002D63C5">
        <w:t>.</w:t>
      </w:r>
      <w:r w:rsidR="00E9620A">
        <w:t xml:space="preserve"> A </w:t>
      </w:r>
      <w:r w:rsidR="00A449EA">
        <w:t xml:space="preserve">second part synthesises the key outcomes for 2023–24, the final </w:t>
      </w:r>
      <w:r w:rsidR="005973B6">
        <w:t xml:space="preserve">evaluation </w:t>
      </w:r>
      <w:r w:rsidR="00A449EA">
        <w:t xml:space="preserve">year of this </w:t>
      </w:r>
      <w:r w:rsidR="005973B6">
        <w:t>phase of the Flow-MER program.</w:t>
      </w:r>
    </w:p>
    <w:p w14:paraId="2930107B" w14:textId="62A9D332" w:rsidR="00B55B62" w:rsidRPr="006F414D" w:rsidRDefault="001204CC" w:rsidP="00113FC9">
      <w:pPr>
        <w:pStyle w:val="Heading2notnumbered"/>
      </w:pPr>
      <w:bookmarkStart w:id="6" w:name="_Toc203682248"/>
      <w:bookmarkStart w:id="7" w:name="_Toc204606863"/>
      <w:r w:rsidRPr="006F414D">
        <w:t>Basin-scale e</w:t>
      </w:r>
      <w:r w:rsidR="0001088A" w:rsidRPr="006F414D">
        <w:t xml:space="preserve">valuation </w:t>
      </w:r>
      <w:r w:rsidR="00425803" w:rsidRPr="006F414D">
        <w:t xml:space="preserve">– a decade of </w:t>
      </w:r>
      <w:r w:rsidR="00F97E75">
        <w:t xml:space="preserve">environmental outcomes from the delivery of </w:t>
      </w:r>
      <w:r w:rsidR="00B219BF">
        <w:t xml:space="preserve">Commonwealth </w:t>
      </w:r>
      <w:bookmarkEnd w:id="6"/>
      <w:r w:rsidR="00B219BF">
        <w:t>environmental water</w:t>
      </w:r>
      <w:bookmarkEnd w:id="7"/>
    </w:p>
    <w:p w14:paraId="6A256AE1" w14:textId="1EDE69C9" w:rsidR="00D47E0B" w:rsidRDefault="0001088A">
      <w:pPr>
        <w:pStyle w:val="BodyText"/>
      </w:pPr>
      <w:r>
        <w:t xml:space="preserve">Every year since 1 July 2014, </w:t>
      </w:r>
      <w:r w:rsidR="005A0CD0" w:rsidRPr="004B520E">
        <w:t xml:space="preserve">Basin-scale </w:t>
      </w:r>
      <w:r w:rsidR="0013643C">
        <w:t xml:space="preserve">teams </w:t>
      </w:r>
      <w:r>
        <w:t xml:space="preserve">have </w:t>
      </w:r>
      <w:r w:rsidR="005A0CD0" w:rsidRPr="004B520E">
        <w:t>evaluat</w:t>
      </w:r>
      <w:r w:rsidR="0013643C">
        <w:t>e</w:t>
      </w:r>
      <w:r w:rsidR="005973B6">
        <w:t>d</w:t>
      </w:r>
      <w:r w:rsidR="0013643C">
        <w:t xml:space="preserve"> environmental outcomes for </w:t>
      </w:r>
      <w:r w:rsidR="004C3E05">
        <w:t xml:space="preserve">6 Basin themes – </w:t>
      </w:r>
      <w:r w:rsidR="0074076F">
        <w:t xml:space="preserve">hydrology, vegetation, fish, food webs and water quality, </w:t>
      </w:r>
      <w:r w:rsidR="0080297F">
        <w:t xml:space="preserve">and </w:t>
      </w:r>
      <w:r w:rsidR="0074076F">
        <w:t>ecosystem and species biodiversity (</w:t>
      </w:r>
      <w:r w:rsidR="0074076F">
        <w:fldChar w:fldCharType="begin"/>
      </w:r>
      <w:r w:rsidR="0074076F">
        <w:instrText xml:space="preserve"> REF _Ref203664023 \h </w:instrText>
      </w:r>
      <w:r w:rsidR="0080297F">
        <w:instrText xml:space="preserve"> \* MERGEFORMAT </w:instrText>
      </w:r>
      <w:r w:rsidR="0074076F">
        <w:fldChar w:fldCharType="separate"/>
      </w:r>
      <w:r w:rsidR="00C43C1D">
        <w:t>Figure 1</w:t>
      </w:r>
      <w:r w:rsidR="0074076F">
        <w:fldChar w:fldCharType="end"/>
      </w:r>
      <w:r w:rsidR="0074076F">
        <w:t xml:space="preserve">) </w:t>
      </w:r>
      <w:r w:rsidR="004C3E05">
        <w:t xml:space="preserve">– </w:t>
      </w:r>
      <w:r w:rsidR="0080297F">
        <w:t xml:space="preserve">using data </w:t>
      </w:r>
      <w:r w:rsidR="005A0CD0" w:rsidRPr="004B520E">
        <w:t>provided by the CEWH’s Science Program</w:t>
      </w:r>
      <w:r w:rsidR="00B74C88">
        <w:t xml:space="preserve"> and </w:t>
      </w:r>
      <w:r w:rsidR="005A0CD0" w:rsidRPr="004B520E">
        <w:t xml:space="preserve">monitoring data </w:t>
      </w:r>
      <w:r w:rsidR="009202AE">
        <w:t xml:space="preserve">from </w:t>
      </w:r>
      <w:r w:rsidR="00BA6907">
        <w:t xml:space="preserve">the </w:t>
      </w:r>
      <w:r w:rsidR="005A0CD0" w:rsidRPr="004B520E">
        <w:t xml:space="preserve">7 </w:t>
      </w:r>
      <w:r w:rsidR="005A0CD0" w:rsidRPr="000B73AA">
        <w:t>Selected</w:t>
      </w:r>
      <w:r w:rsidR="005A0CD0" w:rsidRPr="004B520E">
        <w:t xml:space="preserve"> Areas</w:t>
      </w:r>
      <w:r w:rsidR="007A67BE">
        <w:t xml:space="preserve"> established by the CEWH</w:t>
      </w:r>
      <w:r w:rsidR="00773F7E">
        <w:t xml:space="preserve"> </w:t>
      </w:r>
      <w:r w:rsidR="00B74C88">
        <w:t>to monitor environmental outcomes</w:t>
      </w:r>
      <w:r w:rsidR="004866CA">
        <w:t xml:space="preserve"> </w:t>
      </w:r>
      <w:r w:rsidR="00773F7E">
        <w:t>(</w:t>
      </w:r>
      <w:r w:rsidR="004866CA">
        <w:fldChar w:fldCharType="begin"/>
      </w:r>
      <w:r w:rsidR="004866CA">
        <w:instrText xml:space="preserve"> REF _Ref203664023 \h  \* MERGEFORMAT </w:instrText>
      </w:r>
      <w:r w:rsidR="004866CA">
        <w:fldChar w:fldCharType="separate"/>
      </w:r>
      <w:r w:rsidR="00C43C1D">
        <w:t>Figure 1</w:t>
      </w:r>
      <w:r w:rsidR="004866CA">
        <w:fldChar w:fldCharType="end"/>
      </w:r>
      <w:r w:rsidR="00773F7E">
        <w:t>).</w:t>
      </w:r>
      <w:r w:rsidR="00525E8C">
        <w:t xml:space="preserve"> Detailed findings and supporting evidence are</w:t>
      </w:r>
      <w:r w:rsidR="00525E8C">
        <w:rPr>
          <w:rFonts w:cs="Calibri"/>
        </w:rPr>
        <w:t xml:space="preserve"> </w:t>
      </w:r>
      <w:r w:rsidR="00525E8C" w:rsidRPr="00125873">
        <w:t>presented in 6</w:t>
      </w:r>
      <w:r w:rsidR="00525E8C">
        <w:t xml:space="preserve"> </w:t>
      </w:r>
      <w:r w:rsidR="00525E8C" w:rsidRPr="00125873">
        <w:t>thematic evaluation reports</w:t>
      </w:r>
      <w:r w:rsidR="00525E8C">
        <w:t xml:space="preserve"> and </w:t>
      </w:r>
      <w:r w:rsidR="00525E8C" w:rsidRPr="00125873">
        <w:t>7</w:t>
      </w:r>
      <w:r w:rsidR="00525E8C">
        <w:t> </w:t>
      </w:r>
      <w:r w:rsidR="00525E8C" w:rsidRPr="00125873">
        <w:t>Selected Area</w:t>
      </w:r>
      <w:r w:rsidR="00525E8C">
        <w:t xml:space="preserve"> report</w:t>
      </w:r>
      <w:r w:rsidR="00525E8C" w:rsidRPr="00125873">
        <w:t>s (</w:t>
      </w:r>
      <w:r w:rsidR="00525E8C">
        <w:t xml:space="preserve">Basin-scale thematic evaluations and Area-scale evaluations are </w:t>
      </w:r>
      <w:r w:rsidR="00525E8C" w:rsidRPr="00125873">
        <w:t>reported separately)</w:t>
      </w:r>
      <w:r w:rsidR="00525E8C">
        <w:t>.</w:t>
      </w:r>
    </w:p>
    <w:p w14:paraId="3D010DE2" w14:textId="039D757E" w:rsidR="00BE174F" w:rsidRDefault="00821933" w:rsidP="00821933">
      <w:pPr>
        <w:pStyle w:val="Caption"/>
      </w:pPr>
      <w:bookmarkStart w:id="8" w:name="_Ref203664023"/>
      <w:bookmarkStart w:id="9" w:name="_Toc206528477"/>
      <w:r>
        <w:t>Figure</w:t>
      </w:r>
      <w:r w:rsidR="006A2F41">
        <w:t> </w:t>
      </w:r>
      <w:r>
        <w:fldChar w:fldCharType="begin"/>
      </w:r>
      <w:r>
        <w:instrText>SEQ Figure \* ARABIC</w:instrText>
      </w:r>
      <w:r>
        <w:fldChar w:fldCharType="separate"/>
      </w:r>
      <w:r w:rsidR="00C43C1D">
        <w:rPr>
          <w:noProof/>
        </w:rPr>
        <w:t>1</w:t>
      </w:r>
      <w:r>
        <w:fldChar w:fldCharType="end"/>
      </w:r>
      <w:bookmarkEnd w:id="8"/>
      <w:r>
        <w:t xml:space="preserve"> The </w:t>
      </w:r>
      <w:r w:rsidR="001200E5">
        <w:t>6</w:t>
      </w:r>
      <w:r>
        <w:t xml:space="preserve"> </w:t>
      </w:r>
      <w:r w:rsidR="00C75293">
        <w:t xml:space="preserve">Flow-MER </w:t>
      </w:r>
      <w:r>
        <w:t>evaluation themes</w:t>
      </w:r>
      <w:r w:rsidR="0027537E">
        <w:t xml:space="preserve">; and </w:t>
      </w:r>
      <w:r w:rsidR="008B0EBC">
        <w:t xml:space="preserve">map showing the location and extent of the </w:t>
      </w:r>
      <w:r w:rsidR="0027537E">
        <w:t>7 Selected Areas established for long-term monitoring of the impacts of environmental watering under the Long Term Intervention Monitoring Project and Flow-MER (</w:t>
      </w:r>
      <w:r w:rsidR="009D5FDB">
        <w:t>10</w:t>
      </w:r>
      <w:r w:rsidR="008B5B83">
        <w:t xml:space="preserve"> years, </w:t>
      </w:r>
      <w:r w:rsidR="0027537E">
        <w:t xml:space="preserve">2014–15 to </w:t>
      </w:r>
      <w:r w:rsidR="00E07181">
        <w:t>2023–24</w:t>
      </w:r>
      <w:r w:rsidR="0027537E">
        <w:t>)</w:t>
      </w:r>
      <w:bookmarkEnd w:id="9"/>
    </w:p>
    <w:p w14:paraId="404E833A" w14:textId="0A58DE38" w:rsidR="00865333" w:rsidRDefault="00865333" w:rsidP="00865333">
      <w:pPr>
        <w:pStyle w:val="BodyText"/>
      </w:pPr>
      <w:r w:rsidRPr="00865333">
        <w:rPr>
          <w:noProof/>
        </w:rPr>
        <w:drawing>
          <wp:inline distT="0" distB="0" distL="0" distR="0" wp14:anchorId="0E51BC79" wp14:editId="348A122B">
            <wp:extent cx="5310554" cy="3559469"/>
            <wp:effectExtent l="0" t="0" r="4445" b="3175"/>
            <wp:docPr id="19024791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79140" name="Pictur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5320542" cy="3566164"/>
                    </a:xfrm>
                    <a:prstGeom prst="rect">
                      <a:avLst/>
                    </a:prstGeom>
                  </pic:spPr>
                </pic:pic>
              </a:graphicData>
            </a:graphic>
          </wp:inline>
        </w:drawing>
      </w:r>
    </w:p>
    <w:p w14:paraId="32154905" w14:textId="0D060E3A" w:rsidR="00A63C08" w:rsidRDefault="00A63C08" w:rsidP="00772682">
      <w:pPr>
        <w:pStyle w:val="Heading3notnumberedBOXEDBLUE"/>
      </w:pPr>
      <w:r>
        <w:lastRenderedPageBreak/>
        <w:t xml:space="preserve">Vegetation: </w:t>
      </w:r>
      <w:r w:rsidR="000E7F65">
        <w:t>Sustaining diversity and cultural heritage</w:t>
      </w:r>
    </w:p>
    <w:p w14:paraId="4F978662" w14:textId="77777777" w:rsidR="00BF180F" w:rsidRDefault="00BF180F" w:rsidP="00BF180F">
      <w:pPr>
        <w:pStyle w:val="BodyText"/>
      </w:pPr>
      <w:r w:rsidRPr="00E010DC">
        <w:t>A decade of environmental water delivery has underpinned the health, resilience, and diversity of floodplain and wetland vegetation communities across the Basin. By maintaining appropriate inundation regimes, environmental water has supported a mosaic of habitats essential for a wide range of plant species, including submerged and amphibious varieties.</w:t>
      </w:r>
    </w:p>
    <w:p w14:paraId="7106ABA1" w14:textId="184FB4E8" w:rsidR="00A63C08" w:rsidRDefault="00A63C08" w:rsidP="006F067F">
      <w:pPr>
        <w:pStyle w:val="ListBullet"/>
      </w:pPr>
      <w:r w:rsidRPr="003536D9">
        <w:rPr>
          <w:rStyle w:val="Bold"/>
        </w:rPr>
        <w:t xml:space="preserve">Inundation </w:t>
      </w:r>
      <w:r w:rsidR="00077037" w:rsidRPr="003536D9">
        <w:rPr>
          <w:rStyle w:val="Bold"/>
        </w:rPr>
        <w:t>r</w:t>
      </w:r>
      <w:r w:rsidRPr="003536D9">
        <w:rPr>
          <w:rStyle w:val="Bold"/>
        </w:rPr>
        <w:t>egimes</w:t>
      </w:r>
      <w:r w:rsidRPr="009B365E">
        <w:rPr>
          <w:rStyle w:val="Bold"/>
        </w:rPr>
        <w:t>:</w:t>
      </w:r>
      <w:r>
        <w:t xml:space="preserve"> </w:t>
      </w:r>
      <w:r w:rsidR="003536D9">
        <w:t xml:space="preserve">Commonwealth </w:t>
      </w:r>
      <w:r>
        <w:t xml:space="preserve">environmental water has preserved natural </w:t>
      </w:r>
      <w:r w:rsidR="004156D7">
        <w:t xml:space="preserve">wetting and drying cycles </w:t>
      </w:r>
      <w:r>
        <w:t xml:space="preserve">and flow of inundation across key floodplain–wetland sites. By mimicking natural cycles, these actions have </w:t>
      </w:r>
      <w:r w:rsidR="40FE4E89">
        <w:t xml:space="preserve">sustained </w:t>
      </w:r>
      <w:r>
        <w:t>species diversity and community composition at the Basin scale.</w:t>
      </w:r>
    </w:p>
    <w:p w14:paraId="27F325C4" w14:textId="32CF9054" w:rsidR="00A63C08" w:rsidRDefault="004131AC">
      <w:pPr>
        <w:pStyle w:val="ListBullet"/>
      </w:pPr>
      <w:r w:rsidRPr="009B365E">
        <w:rPr>
          <w:rStyle w:val="Bold"/>
        </w:rPr>
        <w:t xml:space="preserve">Enhanced </w:t>
      </w:r>
      <w:r w:rsidR="004156D7" w:rsidRPr="009B365E">
        <w:rPr>
          <w:rStyle w:val="Bold"/>
        </w:rPr>
        <w:t>v</w:t>
      </w:r>
      <w:r w:rsidRPr="009B365E">
        <w:rPr>
          <w:rStyle w:val="Bold"/>
        </w:rPr>
        <w:t xml:space="preserve">egetation </w:t>
      </w:r>
      <w:r w:rsidR="004156D7" w:rsidRPr="009B365E">
        <w:rPr>
          <w:rStyle w:val="Bold"/>
        </w:rPr>
        <w:t>c</w:t>
      </w:r>
      <w:r w:rsidRPr="009B365E">
        <w:rPr>
          <w:rStyle w:val="Bold"/>
        </w:rPr>
        <w:t>over:</w:t>
      </w:r>
      <w:r>
        <w:t xml:space="preserve"> Strategic reductions in the duration of dry phases in floodplain–wetland complexes have fostered greater vegetation cover and diversity, promoting ecological resilience. </w:t>
      </w:r>
      <w:r w:rsidR="00A63C08">
        <w:t>This has benefited not only widespread plant communities but also specialised submerged and amphibious species that are integral to ecosystem function.</w:t>
      </w:r>
    </w:p>
    <w:p w14:paraId="35FCA7CC" w14:textId="28B7057B" w:rsidR="00A63C08" w:rsidRDefault="00A63C08" w:rsidP="006F067F">
      <w:pPr>
        <w:pStyle w:val="ListBullet"/>
      </w:pPr>
      <w:r w:rsidRPr="009B365E">
        <w:rPr>
          <w:rStyle w:val="Bold"/>
        </w:rPr>
        <w:t xml:space="preserve">Supporting </w:t>
      </w:r>
      <w:r w:rsidR="00796C20" w:rsidRPr="009B365E">
        <w:rPr>
          <w:rStyle w:val="Bold"/>
        </w:rPr>
        <w:t>c</w:t>
      </w:r>
      <w:r w:rsidRPr="009B365E">
        <w:rPr>
          <w:rStyle w:val="Bold"/>
        </w:rPr>
        <w:t xml:space="preserve">ulturally </w:t>
      </w:r>
      <w:r w:rsidR="00796C20" w:rsidRPr="009B365E">
        <w:rPr>
          <w:rStyle w:val="Bold"/>
        </w:rPr>
        <w:t>s</w:t>
      </w:r>
      <w:r w:rsidRPr="009B365E">
        <w:rPr>
          <w:rStyle w:val="Bold"/>
        </w:rPr>
        <w:t xml:space="preserve">ignificant </w:t>
      </w:r>
      <w:r w:rsidR="004131AC" w:rsidRPr="009B365E">
        <w:rPr>
          <w:rStyle w:val="Bold"/>
        </w:rPr>
        <w:t>s</w:t>
      </w:r>
      <w:r w:rsidR="00796C20" w:rsidRPr="009B365E">
        <w:rPr>
          <w:rStyle w:val="Bold"/>
        </w:rPr>
        <w:t>p</w:t>
      </w:r>
      <w:r w:rsidRPr="009B365E">
        <w:rPr>
          <w:rStyle w:val="Bold"/>
        </w:rPr>
        <w:t>ecies</w:t>
      </w:r>
      <w:r>
        <w:t xml:space="preserve">: </w:t>
      </w:r>
      <w:r w:rsidR="003536D9">
        <w:t xml:space="preserve">Some of the plant species shown to be supported by Commonwealth </w:t>
      </w:r>
      <w:r w:rsidR="00CD5E95">
        <w:t xml:space="preserve">environmental water </w:t>
      </w:r>
      <w:r w:rsidR="003536D9">
        <w:t xml:space="preserve">are known to be important for cultural practices, paving </w:t>
      </w:r>
      <w:r w:rsidR="002C1023">
        <w:t>the way for working with Aboriginal people to support species of cultural importance.</w:t>
      </w:r>
    </w:p>
    <w:p w14:paraId="6BB4C5CA" w14:textId="1C2D1701" w:rsidR="00A63C08" w:rsidRDefault="00A63C08" w:rsidP="00113FC9">
      <w:pPr>
        <w:pStyle w:val="Heading4"/>
      </w:pPr>
      <w:r>
        <w:t xml:space="preserve">Key </w:t>
      </w:r>
      <w:r w:rsidR="003948C7">
        <w:t>l</w:t>
      </w:r>
      <w:r>
        <w:t xml:space="preserve">essons and </w:t>
      </w:r>
      <w:r w:rsidR="003948C7">
        <w:t>s</w:t>
      </w:r>
      <w:r>
        <w:t xml:space="preserve">trategic </w:t>
      </w:r>
      <w:r w:rsidR="003948C7">
        <w:t>d</w:t>
      </w:r>
      <w:r>
        <w:t>irections</w:t>
      </w:r>
    </w:p>
    <w:p w14:paraId="1114BFBC" w14:textId="6C363CFA" w:rsidR="00A63C08" w:rsidRDefault="001073B9" w:rsidP="003F12F0">
      <w:pPr>
        <w:pStyle w:val="ListBullet"/>
      </w:pPr>
      <w:r>
        <w:t>C</w:t>
      </w:r>
      <w:r w:rsidR="00A63C08">
        <w:t>ollaboration with Aboriginal communities is vital for integrating traditional knowledge and identifying culturally important plant species that benefit from environmental water.</w:t>
      </w:r>
    </w:p>
    <w:p w14:paraId="640C51C2" w14:textId="77777777" w:rsidR="00A63C08" w:rsidRDefault="00A63C08" w:rsidP="003F12F0">
      <w:pPr>
        <w:pStyle w:val="ListBullet"/>
      </w:pPr>
      <w:r>
        <w:t>Adaptive management—responding to annual and decadal shifts in climate and hydrology—remains essential for maintaining vegetation health in the face of future uncertainty.</w:t>
      </w:r>
    </w:p>
    <w:p w14:paraId="47A95DBC" w14:textId="15F7E2CE" w:rsidR="00A63C08" w:rsidRDefault="00A63C08" w:rsidP="006F414D">
      <w:pPr>
        <w:pStyle w:val="Heading3notnumberedBOXEDBLUE"/>
      </w:pPr>
      <w:r>
        <w:t xml:space="preserve">Fish: Strengthening </w:t>
      </w:r>
      <w:r w:rsidR="00421239">
        <w:t>p</w:t>
      </w:r>
      <w:r>
        <w:t xml:space="preserve">opulations </w:t>
      </w:r>
      <w:r w:rsidR="00421239">
        <w:t>u</w:t>
      </w:r>
      <w:r>
        <w:t xml:space="preserve">nder </w:t>
      </w:r>
      <w:r w:rsidR="00421239">
        <w:t>c</w:t>
      </w:r>
      <w:r>
        <w:t xml:space="preserve">hanging </w:t>
      </w:r>
      <w:r w:rsidR="00421239">
        <w:t>c</w:t>
      </w:r>
      <w:r>
        <w:t>limates</w:t>
      </w:r>
    </w:p>
    <w:p w14:paraId="477DE278" w14:textId="11735F43" w:rsidR="00A63C08" w:rsidRDefault="00A63C08" w:rsidP="003F12F0">
      <w:pPr>
        <w:pStyle w:val="BodyText"/>
      </w:pPr>
      <w:r>
        <w:t xml:space="preserve">Native fish populations have responded positively to environmental water management, particularly through the mitigation of low flow periods and the strategic augmentation of daily flows. These interventions have been pivotal during climate transitions, including recovery </w:t>
      </w:r>
      <w:r w:rsidR="003536D9">
        <w:t>from drier periods</w:t>
      </w:r>
      <w:r>
        <w:t>.</w:t>
      </w:r>
    </w:p>
    <w:p w14:paraId="4365E205" w14:textId="233DDBA6" w:rsidR="00A63C08" w:rsidRDefault="00A63C08" w:rsidP="0082182F">
      <w:pPr>
        <w:pStyle w:val="ListBullet"/>
      </w:pPr>
      <w:r w:rsidRPr="003536D9">
        <w:rPr>
          <w:b/>
          <w:bCs/>
        </w:rPr>
        <w:t xml:space="preserve">Mitigating </w:t>
      </w:r>
      <w:r w:rsidR="00421239" w:rsidRPr="003536D9">
        <w:rPr>
          <w:b/>
          <w:bCs/>
        </w:rPr>
        <w:t>l</w:t>
      </w:r>
      <w:r w:rsidRPr="003536D9">
        <w:rPr>
          <w:b/>
          <w:bCs/>
        </w:rPr>
        <w:t xml:space="preserve">ow </w:t>
      </w:r>
      <w:r w:rsidR="00421239" w:rsidRPr="003536D9">
        <w:rPr>
          <w:b/>
          <w:bCs/>
        </w:rPr>
        <w:t>f</w:t>
      </w:r>
      <w:r w:rsidR="00452A03" w:rsidRPr="003536D9">
        <w:rPr>
          <w:b/>
          <w:bCs/>
        </w:rPr>
        <w:t>l</w:t>
      </w:r>
      <w:r w:rsidRPr="003536D9">
        <w:rPr>
          <w:b/>
          <w:bCs/>
        </w:rPr>
        <w:t>ows</w:t>
      </w:r>
      <w:r>
        <w:t xml:space="preserve">: </w:t>
      </w:r>
      <w:r w:rsidR="003536D9">
        <w:t xml:space="preserve">Commonwealth </w:t>
      </w:r>
      <w:r>
        <w:t>environmental water has reduced the frequency and duration of low flow days, supporting fish survival, growth, and recruitment even during adverse conditions.</w:t>
      </w:r>
    </w:p>
    <w:p w14:paraId="369CBE25" w14:textId="7AFDACFE" w:rsidR="00A63C08" w:rsidRDefault="00430521" w:rsidP="0082182F">
      <w:pPr>
        <w:pStyle w:val="ListBullet"/>
      </w:pPr>
      <w:r w:rsidRPr="003536D9">
        <w:rPr>
          <w:b/>
          <w:bCs/>
        </w:rPr>
        <w:t xml:space="preserve">Responding to </w:t>
      </w:r>
      <w:r w:rsidR="00421239" w:rsidRPr="003536D9">
        <w:rPr>
          <w:b/>
          <w:bCs/>
        </w:rPr>
        <w:t>n</w:t>
      </w:r>
      <w:r w:rsidR="00A63C08" w:rsidRPr="003536D9">
        <w:rPr>
          <w:b/>
          <w:bCs/>
        </w:rPr>
        <w:t xml:space="preserve">atural </w:t>
      </w:r>
      <w:r w:rsidR="00421239" w:rsidRPr="003536D9">
        <w:rPr>
          <w:b/>
          <w:bCs/>
        </w:rPr>
        <w:t>e</w:t>
      </w:r>
      <w:r w:rsidR="00A63C08" w:rsidRPr="003536D9">
        <w:rPr>
          <w:b/>
          <w:bCs/>
        </w:rPr>
        <w:t>vents</w:t>
      </w:r>
      <w:r w:rsidR="00A63C08">
        <w:t xml:space="preserve">: In wetter and flood years, </w:t>
      </w:r>
      <w:r w:rsidR="002B2722">
        <w:t xml:space="preserve">Commonwealth </w:t>
      </w:r>
      <w:r w:rsidR="00A63C08">
        <w:t>environmental water deliveries have built on natural inundation, providing dilution flows that reduce hypoxic events and fish deaths, and facilitating the dispersal of migratory species. Post-flood, adaptive hydrograph management has maximised spawning and recruitment opportunities.</w:t>
      </w:r>
    </w:p>
    <w:p w14:paraId="36377399" w14:textId="7CB0FB8C" w:rsidR="00A63C08" w:rsidRDefault="00A63C08" w:rsidP="0082182F">
      <w:pPr>
        <w:pStyle w:val="ListBullet"/>
      </w:pPr>
      <w:r w:rsidRPr="003536D9">
        <w:rPr>
          <w:b/>
          <w:bCs/>
        </w:rPr>
        <w:t xml:space="preserve">Enhancing </w:t>
      </w:r>
      <w:r w:rsidR="00421239" w:rsidRPr="003536D9">
        <w:rPr>
          <w:b/>
          <w:bCs/>
        </w:rPr>
        <w:t>re</w:t>
      </w:r>
      <w:r w:rsidRPr="003536D9">
        <w:rPr>
          <w:b/>
          <w:bCs/>
        </w:rPr>
        <w:t>silience</w:t>
      </w:r>
      <w:r>
        <w:t>: These strategies have fostered fish populations that are better able to withstand climatic variability, supporting long-term recovery and sustainability.</w:t>
      </w:r>
    </w:p>
    <w:p w14:paraId="085A8C7A" w14:textId="29AC0C32" w:rsidR="00A63C08" w:rsidRDefault="00A63C08" w:rsidP="00113FC9">
      <w:pPr>
        <w:pStyle w:val="Heading4"/>
      </w:pPr>
      <w:r>
        <w:t xml:space="preserve">Key </w:t>
      </w:r>
      <w:r w:rsidR="0082182F">
        <w:t>l</w:t>
      </w:r>
      <w:r>
        <w:t xml:space="preserve">essons and </w:t>
      </w:r>
      <w:r w:rsidR="0082182F">
        <w:t>s</w:t>
      </w:r>
      <w:r>
        <w:t xml:space="preserve">trategic </w:t>
      </w:r>
      <w:r w:rsidR="0082182F">
        <w:t>d</w:t>
      </w:r>
      <w:r>
        <w:t>irections</w:t>
      </w:r>
    </w:p>
    <w:p w14:paraId="14CBDA46" w14:textId="1CAD8FA7" w:rsidR="00A63C08" w:rsidRDefault="16EB7F83" w:rsidP="0082182F">
      <w:pPr>
        <w:pStyle w:val="ListBullet"/>
      </w:pPr>
      <w:r>
        <w:t xml:space="preserve">Flexibility in </w:t>
      </w:r>
      <w:r w:rsidR="003536D9">
        <w:t xml:space="preserve">environmental </w:t>
      </w:r>
      <w:r>
        <w:t xml:space="preserve">water management is crucial during climatic transitions, allowing for both the mitigation of stress in dry years and the optimisation of </w:t>
      </w:r>
      <w:r w:rsidR="00D84711">
        <w:t>conditions that support recovery</w:t>
      </w:r>
      <w:r w:rsidR="006070BD">
        <w:t xml:space="preserve"> through </w:t>
      </w:r>
      <w:r w:rsidR="4139A80B">
        <w:t xml:space="preserve">dispersal and </w:t>
      </w:r>
      <w:r>
        <w:t xml:space="preserve">recruitment </w:t>
      </w:r>
      <w:r w:rsidR="315C9CC1">
        <w:t xml:space="preserve">opportunities </w:t>
      </w:r>
      <w:r>
        <w:t>during wet cycles.</w:t>
      </w:r>
    </w:p>
    <w:p w14:paraId="6B815A83" w14:textId="1C195483" w:rsidR="00A63C08" w:rsidRDefault="16EB7F83" w:rsidP="0082182F">
      <w:pPr>
        <w:pStyle w:val="ListBullet"/>
      </w:pPr>
      <w:r>
        <w:t xml:space="preserve">Long-term monitoring </w:t>
      </w:r>
      <w:r w:rsidR="006070BD">
        <w:t>and expansion of spatial coverage are</w:t>
      </w:r>
      <w:r>
        <w:t xml:space="preserve"> needed to track population trends and inform future adaptive management, ensuring continued benefits for native fish.</w:t>
      </w:r>
    </w:p>
    <w:p w14:paraId="5C7A3E70" w14:textId="765282C3" w:rsidR="00A63C08" w:rsidRDefault="00A63C08" w:rsidP="006F414D">
      <w:pPr>
        <w:pStyle w:val="Heading3notnumberedBOXEDBLUE"/>
      </w:pPr>
      <w:r>
        <w:lastRenderedPageBreak/>
        <w:t xml:space="preserve">Waterbirds and Other Fauna: </w:t>
      </w:r>
      <w:r w:rsidR="00995C8A">
        <w:t xml:space="preserve">Targeted support for iconic and </w:t>
      </w:r>
      <w:r w:rsidR="00452A03">
        <w:t>t</w:t>
      </w:r>
      <w:r>
        <w:t xml:space="preserve">hreatened </w:t>
      </w:r>
      <w:r w:rsidR="00452A03">
        <w:t>s</w:t>
      </w:r>
      <w:r>
        <w:t>pecies</w:t>
      </w:r>
    </w:p>
    <w:p w14:paraId="4F8C26A0" w14:textId="5382A702" w:rsidR="005729E6" w:rsidRDefault="00A63C08" w:rsidP="003536D9">
      <w:pPr>
        <w:pStyle w:val="BodyText"/>
      </w:pPr>
      <w:r w:rsidRPr="00167080">
        <w:t>The delivery of Commonwealth environmental water has benefit</w:t>
      </w:r>
      <w:r w:rsidR="00FA2372">
        <w:t>ed</w:t>
      </w:r>
      <w:r w:rsidRPr="00167080">
        <w:t xml:space="preserve"> waterbirds and a diverse array of other fauna, by targeting critical habitats and addressing the needs of conservation-significant species.</w:t>
      </w:r>
      <w:r w:rsidR="005729E6">
        <w:t xml:space="preserve"> </w:t>
      </w:r>
      <w:r w:rsidR="005729E6" w:rsidRPr="00E010DC">
        <w:t xml:space="preserve">By maintaining and restoring critical habitats, environmental water delivery </w:t>
      </w:r>
      <w:r w:rsidR="00A70876">
        <w:t xml:space="preserve">has supported </w:t>
      </w:r>
      <w:r w:rsidR="005729E6" w:rsidRPr="00E010DC">
        <w:t>waterbird populations</w:t>
      </w:r>
      <w:r w:rsidR="00E85691">
        <w:t xml:space="preserve"> and threatened</w:t>
      </w:r>
      <w:r w:rsidR="005729E6" w:rsidRPr="00E010DC">
        <w:t xml:space="preserve"> </w:t>
      </w:r>
      <w:r w:rsidR="00402339">
        <w:t>species</w:t>
      </w:r>
      <w:r w:rsidR="005729E6" w:rsidRPr="00E010DC">
        <w:t xml:space="preserve">, </w:t>
      </w:r>
      <w:r w:rsidR="00E85691">
        <w:t>ensuring</w:t>
      </w:r>
      <w:r w:rsidR="005729E6" w:rsidRPr="00E010DC">
        <w:t xml:space="preserve"> the Basin </w:t>
      </w:r>
      <w:r w:rsidR="00247D67">
        <w:t>maintains refugia for a</w:t>
      </w:r>
      <w:r w:rsidR="005729E6" w:rsidRPr="00E010DC">
        <w:t xml:space="preserve"> wide spectrum of fauna.</w:t>
      </w:r>
    </w:p>
    <w:p w14:paraId="78D41329" w14:textId="1433DC55" w:rsidR="00A63C08" w:rsidRDefault="00580290" w:rsidP="0082182F">
      <w:pPr>
        <w:pStyle w:val="ListBullet"/>
      </w:pPr>
      <w:r w:rsidRPr="003536D9">
        <w:rPr>
          <w:b/>
          <w:bCs/>
        </w:rPr>
        <w:t>I</w:t>
      </w:r>
      <w:r w:rsidR="00A63C08" w:rsidRPr="003536D9">
        <w:rPr>
          <w:b/>
          <w:bCs/>
        </w:rPr>
        <w:t xml:space="preserve">dentification of </w:t>
      </w:r>
      <w:r w:rsidR="00452A03" w:rsidRPr="003536D9">
        <w:rPr>
          <w:b/>
          <w:bCs/>
        </w:rPr>
        <w:t>w</w:t>
      </w:r>
      <w:r w:rsidR="00A63C08" w:rsidRPr="003536D9">
        <w:rPr>
          <w:b/>
          <w:bCs/>
        </w:rPr>
        <w:t xml:space="preserve">ater </w:t>
      </w:r>
      <w:r w:rsidR="00452A03" w:rsidRPr="003536D9">
        <w:rPr>
          <w:b/>
          <w:bCs/>
        </w:rPr>
        <w:t>n</w:t>
      </w:r>
      <w:r w:rsidR="00A63C08" w:rsidRPr="003536D9">
        <w:rPr>
          <w:b/>
          <w:bCs/>
        </w:rPr>
        <w:t>eeds</w:t>
      </w:r>
      <w:r w:rsidR="00A63C08">
        <w:t xml:space="preserve">: </w:t>
      </w:r>
      <w:r w:rsidR="003536D9">
        <w:t xml:space="preserve">Commonwealth environmental water has been delivered to support the </w:t>
      </w:r>
      <w:r w:rsidR="00A63C08">
        <w:t>needs of listed threatened and migratory species.</w:t>
      </w:r>
    </w:p>
    <w:p w14:paraId="7AF0008E" w14:textId="78319DFB" w:rsidR="00A63C08" w:rsidRDefault="00A63C08" w:rsidP="0082182F">
      <w:pPr>
        <w:pStyle w:val="ListBullet"/>
      </w:pPr>
      <w:r w:rsidRPr="003536D9">
        <w:rPr>
          <w:b/>
          <w:bCs/>
        </w:rPr>
        <w:t xml:space="preserve">Improved </w:t>
      </w:r>
      <w:r w:rsidR="00F15B8A" w:rsidRPr="003536D9">
        <w:rPr>
          <w:b/>
          <w:bCs/>
        </w:rPr>
        <w:t xml:space="preserve">water delivery </w:t>
      </w:r>
      <w:r w:rsidRPr="003536D9">
        <w:rPr>
          <w:b/>
          <w:bCs/>
        </w:rPr>
        <w:t xml:space="preserve">for </w:t>
      </w:r>
      <w:r w:rsidR="004B4994" w:rsidRPr="003536D9">
        <w:rPr>
          <w:b/>
          <w:bCs/>
        </w:rPr>
        <w:t>w</w:t>
      </w:r>
      <w:r w:rsidRPr="003536D9">
        <w:rPr>
          <w:b/>
          <w:bCs/>
        </w:rPr>
        <w:t>aterbirds</w:t>
      </w:r>
      <w:r>
        <w:t xml:space="preserve">: Many waterbirds are highly mobile, and their survival—especially in early life stages—depends on the availability of foraging habitats. Better coordination </w:t>
      </w:r>
      <w:r w:rsidR="00F15B8A">
        <w:t xml:space="preserve">of water delivery across </w:t>
      </w:r>
      <w:r w:rsidR="004B4994">
        <w:t xml:space="preserve">Basin </w:t>
      </w:r>
      <w:r>
        <w:t xml:space="preserve">valleys has </w:t>
      </w:r>
      <w:r w:rsidR="00F15B8A">
        <w:t xml:space="preserve">supported habitat for </w:t>
      </w:r>
      <w:r w:rsidR="0029199F">
        <w:t>waterbird breeding and foraging</w:t>
      </w:r>
      <w:r>
        <w:t>, particularly in dry years when refuges are critical</w:t>
      </w:r>
      <w:r w:rsidR="0029199F">
        <w:t xml:space="preserve"> and for large-scale breeding events in wetter times</w:t>
      </w:r>
      <w:r>
        <w:t>.</w:t>
      </w:r>
    </w:p>
    <w:p w14:paraId="645240BE" w14:textId="4D9EC362" w:rsidR="00A63C08" w:rsidRDefault="00890BA4" w:rsidP="0082182F">
      <w:pPr>
        <w:pStyle w:val="ListBullet"/>
      </w:pPr>
      <w:r w:rsidRPr="003536D9">
        <w:rPr>
          <w:b/>
          <w:bCs/>
        </w:rPr>
        <w:t>Water for</w:t>
      </w:r>
      <w:r w:rsidR="00A63C08" w:rsidRPr="003536D9">
        <w:rPr>
          <w:b/>
          <w:bCs/>
        </w:rPr>
        <w:t xml:space="preserve"> </w:t>
      </w:r>
      <w:r w:rsidR="004B4994" w:rsidRPr="003536D9">
        <w:rPr>
          <w:b/>
          <w:bCs/>
        </w:rPr>
        <w:t>c</w:t>
      </w:r>
      <w:r w:rsidR="00A63C08" w:rsidRPr="003536D9">
        <w:rPr>
          <w:b/>
          <w:bCs/>
        </w:rPr>
        <w:t>onservation-</w:t>
      </w:r>
      <w:r w:rsidR="004B4994" w:rsidRPr="003536D9">
        <w:rPr>
          <w:b/>
          <w:bCs/>
        </w:rPr>
        <w:t>s</w:t>
      </w:r>
      <w:r w:rsidR="00A63C08" w:rsidRPr="003536D9">
        <w:rPr>
          <w:b/>
          <w:bCs/>
        </w:rPr>
        <w:t xml:space="preserve">ignificant </w:t>
      </w:r>
      <w:r w:rsidR="004B4994" w:rsidRPr="003536D9">
        <w:rPr>
          <w:b/>
          <w:bCs/>
        </w:rPr>
        <w:t>f</w:t>
      </w:r>
      <w:r w:rsidR="00A63C08" w:rsidRPr="003536D9">
        <w:rPr>
          <w:b/>
          <w:bCs/>
        </w:rPr>
        <w:t>auna</w:t>
      </w:r>
      <w:r w:rsidR="00A63C08">
        <w:t>: Enhanced monitoring of species such as the</w:t>
      </w:r>
      <w:r>
        <w:t xml:space="preserve"> </w:t>
      </w:r>
      <w:r w:rsidR="00C96E56">
        <w:t>south</w:t>
      </w:r>
      <w:r w:rsidR="0030557F">
        <w:t>ern bell frog,</w:t>
      </w:r>
      <w:r w:rsidR="00A63C08">
        <w:t xml:space="preserve"> platypus, large-footed myotis (southern myotis), and grey snake in frequently watered habitats has supported regional </w:t>
      </w:r>
      <w:r w:rsidR="0030557F">
        <w:t>water delivery</w:t>
      </w:r>
      <w:r w:rsidR="00A63C08">
        <w:t xml:space="preserve"> and adaptive management responses.</w:t>
      </w:r>
    </w:p>
    <w:p w14:paraId="428AAE49" w14:textId="5F3FDB1A" w:rsidR="00A63C08" w:rsidRDefault="00A63C08" w:rsidP="00113FC9">
      <w:pPr>
        <w:pStyle w:val="Heading4"/>
      </w:pPr>
      <w:r>
        <w:t xml:space="preserve">Key </w:t>
      </w:r>
      <w:r w:rsidR="004B4994">
        <w:t>l</w:t>
      </w:r>
      <w:r>
        <w:t xml:space="preserve">essons and </w:t>
      </w:r>
      <w:r w:rsidR="004B4994">
        <w:t>s</w:t>
      </w:r>
      <w:r>
        <w:t xml:space="preserve">trategic </w:t>
      </w:r>
      <w:r w:rsidR="004B4994">
        <w:t>d</w:t>
      </w:r>
      <w:r>
        <w:t>irections</w:t>
      </w:r>
    </w:p>
    <w:p w14:paraId="5D4D0A9F" w14:textId="77777777" w:rsidR="00A63C08" w:rsidRDefault="00A63C08" w:rsidP="004B4994">
      <w:pPr>
        <w:pStyle w:val="ListBullet"/>
      </w:pPr>
      <w:r>
        <w:t>Continued investment in mapping and monitoring habitat use by waterbirds and other fauna is required to close knowledge gaps and refine water delivery strategies.</w:t>
      </w:r>
    </w:p>
    <w:p w14:paraId="6F9D6960" w14:textId="77777777" w:rsidR="00A63C08" w:rsidRDefault="00A63C08" w:rsidP="004B4994">
      <w:pPr>
        <w:pStyle w:val="ListBullet"/>
      </w:pPr>
      <w:r>
        <w:t>Proactive management can secure refuge habitats during drought, sustaining populations through adverse conditions and supporting post-drought recovery.</w:t>
      </w:r>
    </w:p>
    <w:p w14:paraId="21068BDC" w14:textId="5329C812" w:rsidR="00D7205D" w:rsidRDefault="00CC21F4" w:rsidP="00C41A9A">
      <w:pPr>
        <w:pStyle w:val="Heading3notnumberedBOXEDBLUE"/>
      </w:pPr>
      <w:r>
        <w:t>Biod</w:t>
      </w:r>
      <w:r w:rsidR="00D7205D">
        <w:t>iversity</w:t>
      </w:r>
      <w:r w:rsidR="003439F0">
        <w:t xml:space="preserve">: </w:t>
      </w:r>
      <w:r w:rsidR="00C41A9A">
        <w:t>Protecting and restoring water-dependent ecosystems</w:t>
      </w:r>
      <w:r>
        <w:t xml:space="preserve"> and species</w:t>
      </w:r>
    </w:p>
    <w:p w14:paraId="1A32ED47" w14:textId="37ECE019" w:rsidR="002E6BC7" w:rsidRPr="002E6BC7" w:rsidRDefault="002E6BC7" w:rsidP="002E6BC7">
      <w:pPr>
        <w:pStyle w:val="BodyText"/>
      </w:pPr>
      <w:r w:rsidRPr="002E6BC7">
        <w:t xml:space="preserve">A key insight from a decade of Commonwealth environmental water delivery is its remarkable reach: 18,310 GL of water </w:t>
      </w:r>
      <w:r w:rsidR="003536D9">
        <w:t>supported</w:t>
      </w:r>
      <w:r w:rsidRPr="002E6BC7">
        <w:t xml:space="preserve"> a vast array of habitats—from lakes and wetlands to floodplains, rivers, and estuaries. This strategic and adaptive allocation ensured that </w:t>
      </w:r>
      <w:r w:rsidR="00BC1816">
        <w:t>representative</w:t>
      </w:r>
      <w:r w:rsidRPr="002E6BC7">
        <w:t xml:space="preserve"> ecosystem types are </w:t>
      </w:r>
      <w:r w:rsidR="00BC1816">
        <w:t xml:space="preserve">being </w:t>
      </w:r>
      <w:r w:rsidRPr="002E6BC7">
        <w:t xml:space="preserve">sustained, reflecting the program’s alignment with the diverse and specific needs of the Basin’s </w:t>
      </w:r>
      <w:r w:rsidR="003536D9">
        <w:t xml:space="preserve">aquatic </w:t>
      </w:r>
      <w:r w:rsidRPr="002E6BC7">
        <w:t>environments.</w:t>
      </w:r>
    </w:p>
    <w:p w14:paraId="58355AA3" w14:textId="7726B38B" w:rsidR="00334AD3" w:rsidRDefault="00800459" w:rsidP="00334AD3">
      <w:pPr>
        <w:pStyle w:val="ListBullet"/>
      </w:pPr>
      <w:r w:rsidRPr="003536D9">
        <w:rPr>
          <w:b/>
          <w:bCs/>
        </w:rPr>
        <w:t xml:space="preserve">Supporting </w:t>
      </w:r>
      <w:r w:rsidR="00334AD3" w:rsidRPr="003536D9">
        <w:rPr>
          <w:b/>
          <w:bCs/>
        </w:rPr>
        <w:t>diverse ecosystems</w:t>
      </w:r>
      <w:r w:rsidR="00334AD3">
        <w:t xml:space="preserve">: </w:t>
      </w:r>
      <w:r w:rsidR="003661E5">
        <w:t xml:space="preserve">The ecosystems watered </w:t>
      </w:r>
      <w:r w:rsidR="00334AD3">
        <w:t>represent 88% of the diversity of aquatic ecosystem types found in the Basin, according to the Australian National Aquatic Ecosystem (ANAE) classification.</w:t>
      </w:r>
    </w:p>
    <w:p w14:paraId="67D8E357" w14:textId="77777777" w:rsidR="007D1564" w:rsidRDefault="007D1564" w:rsidP="007D1564">
      <w:pPr>
        <w:pStyle w:val="ListBullet"/>
      </w:pPr>
      <w:r w:rsidRPr="003536D9">
        <w:rPr>
          <w:b/>
          <w:bCs/>
        </w:rPr>
        <w:t>Meeting environmental watering requirements</w:t>
      </w:r>
      <w:r>
        <w:t>: The frequency of Commonwealth environmental water delivery over the past 10 years broadly matches the expected requirements of ecosystem types:</w:t>
      </w:r>
    </w:p>
    <w:p w14:paraId="7C491B74" w14:textId="77777777" w:rsidR="007D1564" w:rsidRDefault="007D1564" w:rsidP="00292426">
      <w:pPr>
        <w:pStyle w:val="ListBullet2"/>
      </w:pPr>
      <w:r w:rsidRPr="00B93771">
        <w:t>More frequent support for permanent rivers, lakes, meadows, and permanent tall marshes</w:t>
      </w:r>
    </w:p>
    <w:p w14:paraId="1BAF3637" w14:textId="109BB276" w:rsidR="007D1564" w:rsidRDefault="007D1564" w:rsidP="00292426">
      <w:pPr>
        <w:pStyle w:val="ListBullet2"/>
      </w:pPr>
      <w:r w:rsidRPr="00B93771">
        <w:t>Less frequent inundation for temporary channels, intermittent swamps, and floodplains</w:t>
      </w:r>
      <w:r w:rsidR="00292426">
        <w:t>.</w:t>
      </w:r>
    </w:p>
    <w:p w14:paraId="1321D7A9" w14:textId="38C55559" w:rsidR="001D24C4" w:rsidRDefault="00B3010E" w:rsidP="00113FC9">
      <w:pPr>
        <w:pStyle w:val="Heading4"/>
        <w:rPr>
          <w:rStyle w:val="SubtleEmphasis"/>
        </w:rPr>
      </w:pPr>
      <w:r>
        <w:rPr>
          <w:rStyle w:val="SubtleEmphasis"/>
        </w:rPr>
        <w:t>Support for native plant species and habitat diversity</w:t>
      </w:r>
    </w:p>
    <w:p w14:paraId="1551D72F" w14:textId="38166AB2" w:rsidR="0035012E" w:rsidRDefault="00DB0D7D" w:rsidP="002316CF">
      <w:pPr>
        <w:pStyle w:val="BodyText"/>
        <w:rPr>
          <w:rStyle w:val="SubtleEmphasis"/>
          <w:i w:val="0"/>
          <w:iCs w:val="0"/>
          <w:color w:val="000000"/>
        </w:rPr>
      </w:pPr>
      <w:r w:rsidRPr="002316CF">
        <w:rPr>
          <w:rStyle w:val="SubtleEmphasis"/>
          <w:i w:val="0"/>
          <w:iCs w:val="0"/>
          <w:color w:val="000000"/>
        </w:rPr>
        <w:t>Commonwealth environmental water has supported submerged, amphibious and damp-loving plant species, native fish, waterbirds and a range of other fauna, including species of conservation significance</w:t>
      </w:r>
      <w:r w:rsidR="0035012E" w:rsidRPr="002316CF">
        <w:rPr>
          <w:rStyle w:val="SubtleEmphasis"/>
          <w:i w:val="0"/>
          <w:iCs w:val="0"/>
          <w:color w:val="000000"/>
        </w:rPr>
        <w:t>.</w:t>
      </w:r>
    </w:p>
    <w:p w14:paraId="5891877F" w14:textId="77777777" w:rsidR="002316CF" w:rsidRDefault="002316CF" w:rsidP="000C28FE">
      <w:pPr>
        <w:pStyle w:val="ListBullet"/>
      </w:pPr>
      <w:r>
        <w:t>More than 800 plant taxa (804) recorded since 2014, including 527 native groundcover species and 101 listed as rare or threatened.</w:t>
      </w:r>
    </w:p>
    <w:p w14:paraId="6207F511" w14:textId="3099359D" w:rsidR="002316CF" w:rsidRDefault="002316CF" w:rsidP="000C28FE">
      <w:pPr>
        <w:pStyle w:val="ListBullet"/>
      </w:pPr>
      <w:r>
        <w:lastRenderedPageBreak/>
        <w:t xml:space="preserve">10% (81 </w:t>
      </w:r>
      <w:r w:rsidR="003536D9">
        <w:t xml:space="preserve">plant </w:t>
      </w:r>
      <w:r>
        <w:t>species) only found at locations with increased wetness from environmental water, showing the importance of environmental flows for submerged, amphibious, and damp-loving species.</w:t>
      </w:r>
    </w:p>
    <w:p w14:paraId="5B76917E" w14:textId="77777777" w:rsidR="000C28FE" w:rsidRPr="00812718" w:rsidRDefault="000C28FE" w:rsidP="00113FC9">
      <w:pPr>
        <w:pStyle w:val="Heading4"/>
        <w:rPr>
          <w:rStyle w:val="SubtleEmphasis"/>
        </w:rPr>
      </w:pPr>
      <w:r w:rsidRPr="00812718">
        <w:rPr>
          <w:rStyle w:val="SubtleEmphasis"/>
        </w:rPr>
        <w:t>Enhancement of fauna diversity</w:t>
      </w:r>
    </w:p>
    <w:p w14:paraId="11B8D662" w14:textId="12CBDE04" w:rsidR="00812718" w:rsidRDefault="006D4846" w:rsidP="00DB6461">
      <w:pPr>
        <w:pStyle w:val="ListBullet"/>
      </w:pPr>
      <w:r w:rsidRPr="00013698">
        <w:t>26 listed water-dependent fish, crayfish, mammals, frogs and reptiles were reported from habitats that received Commonwealth environmental water on at least one occasion over the 10-year period.</w:t>
      </w:r>
    </w:p>
    <w:p w14:paraId="7B052CB1" w14:textId="77777777" w:rsidR="00812718" w:rsidRDefault="00812718" w:rsidP="00812718">
      <w:pPr>
        <w:pStyle w:val="ListBullet"/>
      </w:pPr>
      <w:r>
        <w:t>Environmental water contributed to the presence of southern bell frogs (Vulnerable, EPBC Act) and supported habitats for Macquarie turtles and other significant fauna.</w:t>
      </w:r>
    </w:p>
    <w:p w14:paraId="13D1D445" w14:textId="06688DC1" w:rsidR="00812718" w:rsidRPr="00812718" w:rsidRDefault="00812718" w:rsidP="00113FC9">
      <w:pPr>
        <w:pStyle w:val="Heading4"/>
        <w:rPr>
          <w:rStyle w:val="SubtleEmphasis"/>
        </w:rPr>
      </w:pPr>
      <w:r w:rsidRPr="00812718">
        <w:rPr>
          <w:rStyle w:val="SubtleEmphasis"/>
        </w:rPr>
        <w:t xml:space="preserve">Support for </w:t>
      </w:r>
      <w:r>
        <w:rPr>
          <w:rStyle w:val="SubtleEmphasis"/>
        </w:rPr>
        <w:t>w</w:t>
      </w:r>
      <w:r w:rsidRPr="00812718">
        <w:rPr>
          <w:rStyle w:val="SubtleEmphasis"/>
        </w:rPr>
        <w:t>aterbirds and</w:t>
      </w:r>
      <w:r>
        <w:rPr>
          <w:rStyle w:val="SubtleEmphasis"/>
        </w:rPr>
        <w:t xml:space="preserve"> b</w:t>
      </w:r>
      <w:r w:rsidRPr="00812718">
        <w:rPr>
          <w:rStyle w:val="SubtleEmphasis"/>
        </w:rPr>
        <w:t xml:space="preserve">reeding </w:t>
      </w:r>
      <w:r>
        <w:rPr>
          <w:rStyle w:val="SubtleEmphasis"/>
        </w:rPr>
        <w:t>e</w:t>
      </w:r>
      <w:r w:rsidRPr="00812718">
        <w:rPr>
          <w:rStyle w:val="SubtleEmphasis"/>
        </w:rPr>
        <w:t>vents</w:t>
      </w:r>
    </w:p>
    <w:p w14:paraId="70A9077E" w14:textId="77777777" w:rsidR="004C3555" w:rsidRDefault="004C3555" w:rsidP="004C3555">
      <w:pPr>
        <w:pStyle w:val="ListBullet"/>
      </w:pPr>
      <w:r>
        <w:t>Since 2014, 97 waterbird and raptor species recorded, including 59 threatened or migratory species.</w:t>
      </w:r>
    </w:p>
    <w:p w14:paraId="1F916C27" w14:textId="03ADFDA7" w:rsidR="004C3555" w:rsidRDefault="004C3555" w:rsidP="004C3555">
      <w:pPr>
        <w:pStyle w:val="ListBullet"/>
      </w:pPr>
      <w:r>
        <w:t xml:space="preserve">Extensive breeding events in 2022 and 2023, with Commonwealth </w:t>
      </w:r>
      <w:r w:rsidR="00373DCD">
        <w:t xml:space="preserve">environmental </w:t>
      </w:r>
      <w:r>
        <w:t>water extending inundation duration to aid breeding of species such as Australian ibis, pelicans, spoonbills, cormorants, herons, egrets, and the endangered Australasian bittern at 110 sites.</w:t>
      </w:r>
    </w:p>
    <w:p w14:paraId="7BC8ECD9" w14:textId="1A579EB1" w:rsidR="004C3555" w:rsidRPr="004C3555" w:rsidRDefault="004C3555" w:rsidP="00113FC9">
      <w:pPr>
        <w:pStyle w:val="Heading4"/>
        <w:rPr>
          <w:rStyle w:val="SubtleEmphasis"/>
        </w:rPr>
      </w:pPr>
      <w:r w:rsidRPr="004C3555">
        <w:rPr>
          <w:rStyle w:val="SubtleEmphasis"/>
        </w:rPr>
        <w:t xml:space="preserve">Sustaining </w:t>
      </w:r>
      <w:r>
        <w:rPr>
          <w:rStyle w:val="SubtleEmphasis"/>
        </w:rPr>
        <w:t>v</w:t>
      </w:r>
      <w:r w:rsidRPr="004C3555">
        <w:rPr>
          <w:rStyle w:val="SubtleEmphasis"/>
        </w:rPr>
        <w:t>egetation</w:t>
      </w:r>
      <w:r>
        <w:rPr>
          <w:rStyle w:val="SubtleEmphasis"/>
        </w:rPr>
        <w:t xml:space="preserve"> c</w:t>
      </w:r>
      <w:r w:rsidRPr="004C3555">
        <w:rPr>
          <w:rStyle w:val="SubtleEmphasis"/>
        </w:rPr>
        <w:t xml:space="preserve">ommunity </w:t>
      </w:r>
      <w:r>
        <w:rPr>
          <w:rStyle w:val="SubtleEmphasis"/>
        </w:rPr>
        <w:t>d</w:t>
      </w:r>
      <w:r w:rsidRPr="004C3555">
        <w:rPr>
          <w:rStyle w:val="SubtleEmphasis"/>
        </w:rPr>
        <w:t>iversity</w:t>
      </w:r>
    </w:p>
    <w:p w14:paraId="181916C2" w14:textId="77777777" w:rsidR="004C3555" w:rsidRDefault="004C3555" w:rsidP="004C3555">
      <w:pPr>
        <w:pStyle w:val="ListBullet"/>
      </w:pPr>
      <w:r>
        <w:t>Environmental water maintained characteristic wetland and floodplain plant communities, preventing reductions in species richness and resilience.</w:t>
      </w:r>
    </w:p>
    <w:p w14:paraId="158AD377" w14:textId="77777777" w:rsidR="004C3555" w:rsidRDefault="004C3555" w:rsidP="004C3555">
      <w:pPr>
        <w:pStyle w:val="ListBullet"/>
      </w:pPr>
      <w:r>
        <w:t>Locations receiving water displayed greater diversity and cover, particularly of submerged and amphibious species, compared to drier sites.</w:t>
      </w:r>
    </w:p>
    <w:p w14:paraId="22DC4F73" w14:textId="04E79D39" w:rsidR="004C3555" w:rsidRPr="004C3555" w:rsidRDefault="004C3555" w:rsidP="00113FC9">
      <w:pPr>
        <w:pStyle w:val="Heading4"/>
        <w:rPr>
          <w:rStyle w:val="SubtleEmphasis"/>
        </w:rPr>
      </w:pPr>
      <w:r w:rsidRPr="004C3555">
        <w:rPr>
          <w:rStyle w:val="SubtleEmphasis"/>
        </w:rPr>
        <w:t xml:space="preserve">Improvement of </w:t>
      </w:r>
      <w:r>
        <w:rPr>
          <w:rStyle w:val="SubtleEmphasis"/>
        </w:rPr>
        <w:t>n</w:t>
      </w:r>
      <w:r w:rsidRPr="004C3555">
        <w:rPr>
          <w:rStyle w:val="SubtleEmphasis"/>
        </w:rPr>
        <w:t xml:space="preserve">ative </w:t>
      </w:r>
      <w:r>
        <w:rPr>
          <w:rStyle w:val="SubtleEmphasis"/>
        </w:rPr>
        <w:t>f</w:t>
      </w:r>
      <w:r w:rsidRPr="004C3555">
        <w:rPr>
          <w:rStyle w:val="SubtleEmphasis"/>
        </w:rPr>
        <w:t xml:space="preserve">ish </w:t>
      </w:r>
      <w:r>
        <w:rPr>
          <w:rStyle w:val="SubtleEmphasis"/>
        </w:rPr>
        <w:t>p</w:t>
      </w:r>
      <w:r w:rsidRPr="004C3555">
        <w:rPr>
          <w:rStyle w:val="SubtleEmphasis"/>
        </w:rPr>
        <w:t>opulations</w:t>
      </w:r>
    </w:p>
    <w:p w14:paraId="78E0B9ED" w14:textId="38E74707" w:rsidR="004C3555" w:rsidRDefault="004C3555" w:rsidP="004C3555">
      <w:pPr>
        <w:pStyle w:val="ListBullet"/>
      </w:pPr>
      <w:r>
        <w:t>Environmental water increased fish spawning, recruitment, body condition, and movement for key species, notably Murray cod and golden perch.</w:t>
      </w:r>
    </w:p>
    <w:p w14:paraId="6049C06B" w14:textId="77777777" w:rsidR="004C3555" w:rsidRDefault="004C3555" w:rsidP="004C3555">
      <w:pPr>
        <w:pStyle w:val="ListBullet"/>
      </w:pPr>
      <w:r>
        <w:t>No loss of native species detected during the monitoring period, with 15 native fish species including 6 key freshwater species regularly observed.</w:t>
      </w:r>
    </w:p>
    <w:p w14:paraId="0867A483" w14:textId="77777777" w:rsidR="004C3555" w:rsidRDefault="004C3555" w:rsidP="004C3555">
      <w:pPr>
        <w:pStyle w:val="ListBullet"/>
      </w:pPr>
      <w:r>
        <w:t>Delivery of environmental water aided golden perch spawning migrations by providing connected flows across regions and at critical times.</w:t>
      </w:r>
    </w:p>
    <w:p w14:paraId="0B1EEEB0" w14:textId="4019F112" w:rsidR="004C3555" w:rsidRPr="004C3555" w:rsidRDefault="004C3555" w:rsidP="00113FC9">
      <w:pPr>
        <w:pStyle w:val="Heading4"/>
        <w:rPr>
          <w:rStyle w:val="SubtleEmphasis"/>
        </w:rPr>
      </w:pPr>
      <w:r w:rsidRPr="004C3555">
        <w:rPr>
          <w:rStyle w:val="SubtleEmphasis"/>
        </w:rPr>
        <w:t xml:space="preserve">Support for Ramsar </w:t>
      </w:r>
      <w:r w:rsidR="00090325">
        <w:rPr>
          <w:rStyle w:val="SubtleEmphasis"/>
        </w:rPr>
        <w:t>w</w:t>
      </w:r>
      <w:r w:rsidRPr="004C3555">
        <w:rPr>
          <w:rStyle w:val="SubtleEmphasis"/>
        </w:rPr>
        <w:t>etlands</w:t>
      </w:r>
    </w:p>
    <w:p w14:paraId="3CB79926" w14:textId="30DE8C08" w:rsidR="004C3555" w:rsidRDefault="004C3555" w:rsidP="004C3555">
      <w:pPr>
        <w:pStyle w:val="ListBullet"/>
      </w:pPr>
      <w:r>
        <w:t xml:space="preserve">All 11 Ramsar wetlands capable of receiving Commonwealth </w:t>
      </w:r>
      <w:r w:rsidR="003365C5">
        <w:t xml:space="preserve">environmental </w:t>
      </w:r>
      <w:r>
        <w:t xml:space="preserve">water have done so since 2014, with 8 receiving water in 2023–24, supporting 172,667 ha of 50 </w:t>
      </w:r>
      <w:r w:rsidR="00E4258B">
        <w:t xml:space="preserve">aquatic </w:t>
      </w:r>
      <w:r>
        <w:t>ecosystem types</w:t>
      </w:r>
      <w:r w:rsidR="00E4258B">
        <w:t xml:space="preserve"> (ANAE)</w:t>
      </w:r>
      <w:r>
        <w:t>.</w:t>
      </w:r>
    </w:p>
    <w:p w14:paraId="19310522" w14:textId="64AEE11A" w:rsidR="00CC21F4" w:rsidRPr="00CC21F4" w:rsidRDefault="004C3555">
      <w:pPr>
        <w:pStyle w:val="ListBullet"/>
      </w:pPr>
      <w:r>
        <w:t>Environmental water was crucial for waterbird breeding at sites like the Gwydir Wetlands</w:t>
      </w:r>
      <w:r w:rsidR="00E4258B">
        <w:t>, Narran Lakes and Macquarie Marshes</w:t>
      </w:r>
      <w:r>
        <w:t xml:space="preserve"> and contributed to the first simultaneous breeding event in 24 years across </w:t>
      </w:r>
      <w:r w:rsidR="00E4258B">
        <w:t xml:space="preserve">these </w:t>
      </w:r>
      <w:r>
        <w:t>Ramsar sites in 2021–22, with consecutive breeding events in 2022–23.</w:t>
      </w:r>
    </w:p>
    <w:p w14:paraId="5D5AD3E9" w14:textId="1E7F8708" w:rsidR="00DB0D7D" w:rsidRPr="00EC7704" w:rsidRDefault="00F71C65" w:rsidP="00EC7704">
      <w:pPr>
        <w:pStyle w:val="Heading3notnumberedBOXEDBLUE"/>
      </w:pPr>
      <w:r>
        <w:t xml:space="preserve">Hydrology: Restoring </w:t>
      </w:r>
      <w:r w:rsidR="001C0CB3">
        <w:t>natural flow regimes</w:t>
      </w:r>
    </w:p>
    <w:p w14:paraId="10CB2932" w14:textId="77777777" w:rsidR="00250726" w:rsidRDefault="00250726" w:rsidP="004B41B4">
      <w:pPr>
        <w:pStyle w:val="BodyText"/>
      </w:pPr>
      <w:r w:rsidRPr="00250726">
        <w:t>Commonwealth environmental water has played a critical role in restoring natural flow regimes and supporting river and floodplain ecosystems, particularly during dry periods.</w:t>
      </w:r>
    </w:p>
    <w:p w14:paraId="33AFB3A1" w14:textId="77777777" w:rsidR="00250726" w:rsidRDefault="00250726" w:rsidP="00C2111B">
      <w:pPr>
        <w:pStyle w:val="ListBullet"/>
      </w:pPr>
      <w:r>
        <w:t>Over the past decade, 28,549 km (54% of managed floodplain river length) received support from Commonwealth environmental water.</w:t>
      </w:r>
    </w:p>
    <w:p w14:paraId="2BF77BF1" w14:textId="2103A71A" w:rsidR="00250726" w:rsidRDefault="00250726" w:rsidP="00C2111B">
      <w:pPr>
        <w:pStyle w:val="ListBullet"/>
      </w:pPr>
      <w:r>
        <w:t xml:space="preserve">During drought years, up to 97% of flows in the Darling River </w:t>
      </w:r>
      <w:r w:rsidR="00AC761B">
        <w:t xml:space="preserve">(measured </w:t>
      </w:r>
      <w:r>
        <w:t>at Bourke</w:t>
      </w:r>
      <w:r w:rsidR="00AC761B">
        <w:t>)</w:t>
      </w:r>
      <w:r>
        <w:t xml:space="preserve"> were attributed to Commonwealth environmental water.</w:t>
      </w:r>
    </w:p>
    <w:p w14:paraId="41C8B4B9" w14:textId="552B92F3" w:rsidR="00250726" w:rsidRDefault="003536D9" w:rsidP="00C2111B">
      <w:pPr>
        <w:pStyle w:val="ListBullet"/>
      </w:pPr>
      <w:r>
        <w:lastRenderedPageBreak/>
        <w:t>Commonwealth environmental w</w:t>
      </w:r>
      <w:r w:rsidR="00250726">
        <w:t xml:space="preserve">ater delivery was essential in meeting </w:t>
      </w:r>
      <w:r w:rsidR="001C0CB3">
        <w:t>Basin</w:t>
      </w:r>
      <w:r w:rsidR="00250726">
        <w:t xml:space="preserve"> targets, </w:t>
      </w:r>
      <w:r w:rsidR="00397589">
        <w:t xml:space="preserve">achieving </w:t>
      </w:r>
      <w:r w:rsidR="00250726">
        <w:t>a 10% overall increase in flows in the Barwon Darling in 6 out of 10 years and a 30% increase in the Murray River during significant dry periods.</w:t>
      </w:r>
    </w:p>
    <w:p w14:paraId="64861C3D" w14:textId="65E949FF" w:rsidR="0027375B" w:rsidRPr="00250726" w:rsidRDefault="00250726" w:rsidP="00C2111B">
      <w:pPr>
        <w:pStyle w:val="ListBullet"/>
      </w:pPr>
      <w:r>
        <w:t>In drier years, Commonwealth environmental water provided up to 100% of flows at the barrages for the Coorong, Lower Lakes, and Murray Mouth, though barrage flow targets were often unmet in most years except during wetter periods.</w:t>
      </w:r>
    </w:p>
    <w:p w14:paraId="0097EFD2" w14:textId="77777777" w:rsidR="00EC7704" w:rsidRDefault="00EC7704" w:rsidP="00EC7704">
      <w:pPr>
        <w:pStyle w:val="Heading3notnumberedBOXEDBLUE"/>
      </w:pPr>
      <w:bookmarkStart w:id="10" w:name="_Toc178668823"/>
      <w:r>
        <w:t>Food webs</w:t>
      </w:r>
      <w:r w:rsidRPr="00CC21F4">
        <w:t xml:space="preserve">: </w:t>
      </w:r>
      <w:bookmarkEnd w:id="10"/>
      <w:r w:rsidRPr="00CC21F4">
        <w:t xml:space="preserve">Sustaining </w:t>
      </w:r>
      <w:r>
        <w:t>e</w:t>
      </w:r>
      <w:r w:rsidRPr="00CC21F4">
        <w:t xml:space="preserve">cosystem </w:t>
      </w:r>
      <w:r>
        <w:t>f</w:t>
      </w:r>
      <w:r w:rsidRPr="00CC21F4">
        <w:t xml:space="preserve">unction and </w:t>
      </w:r>
      <w:r>
        <w:t>p</w:t>
      </w:r>
      <w:r w:rsidRPr="00CC21F4">
        <w:t>roductivity</w:t>
      </w:r>
    </w:p>
    <w:p w14:paraId="5FD7FED7" w14:textId="63EC7E41" w:rsidR="00EC7704" w:rsidRPr="00C2111B" w:rsidRDefault="00EC7704" w:rsidP="00C2111B">
      <w:pPr>
        <w:pStyle w:val="BodyText"/>
      </w:pPr>
      <w:r w:rsidRPr="00C2111B">
        <w:t xml:space="preserve">Commonwealth environmental water </w:t>
      </w:r>
      <w:r w:rsidR="00962A59" w:rsidRPr="00C2111B">
        <w:t xml:space="preserve">plays a role in </w:t>
      </w:r>
      <w:r w:rsidRPr="00C2111B">
        <w:t xml:space="preserve">supporting ecosystem functions in </w:t>
      </w:r>
      <w:r w:rsidR="003536D9">
        <w:t>Basin</w:t>
      </w:r>
      <w:r w:rsidRPr="00C2111B">
        <w:t xml:space="preserve"> river systems, especially during dry periods</w:t>
      </w:r>
      <w:r w:rsidR="00C2111B" w:rsidRPr="00C2111B">
        <w:t xml:space="preserve">, </w:t>
      </w:r>
      <w:r w:rsidRPr="00C2111B">
        <w:t>influencing metabolic balance and carbon cycling in river ecosystems.</w:t>
      </w:r>
    </w:p>
    <w:p w14:paraId="65962902" w14:textId="24BB2C50" w:rsidR="00C2111B" w:rsidRPr="00F7351E" w:rsidRDefault="00F7351E" w:rsidP="008F5252">
      <w:pPr>
        <w:pStyle w:val="ListBullet"/>
      </w:pPr>
      <w:r>
        <w:t>The way the Lower Murray River produces and uses energy changed depending on how much water was flowing. Big floods in 2022 made the river use more energy than it produced, but when water levels dropped again in 2023–24, the river started making more of its own energy.</w:t>
      </w:r>
    </w:p>
    <w:p w14:paraId="4CB01442" w14:textId="77777777" w:rsidR="00C2111B" w:rsidRDefault="00C2111B" w:rsidP="00C2111B">
      <w:pPr>
        <w:pStyle w:val="ListBullet"/>
      </w:pPr>
      <w:r>
        <w:t>Primary production rates were mainly determined by seasonal and site-specific drivers, such as light, temperature, nutrients, and turbidity, independent of environmental water actions.</w:t>
      </w:r>
    </w:p>
    <w:p w14:paraId="06548E5A" w14:textId="349BE67D" w:rsidR="00DB0D7D" w:rsidRPr="00B90B57" w:rsidRDefault="00DB0D7D" w:rsidP="00E51FEA">
      <w:pPr>
        <w:pStyle w:val="Heading3notnumberedBOXEDBLUE"/>
      </w:pPr>
      <w:bookmarkStart w:id="11" w:name="_Toc178668824"/>
      <w:r w:rsidRPr="00B90B57">
        <w:t>Water quality</w:t>
      </w:r>
      <w:r w:rsidR="001E3E18">
        <w:t xml:space="preserve">: </w:t>
      </w:r>
      <w:r w:rsidRPr="00B90B57">
        <w:t>meet</w:t>
      </w:r>
      <w:r w:rsidR="00F7351E">
        <w:t>ing</w:t>
      </w:r>
      <w:r w:rsidRPr="00B90B57">
        <w:t xml:space="preserve"> targets for salt export, salinity and dissolved oxygen</w:t>
      </w:r>
      <w:bookmarkEnd w:id="11"/>
    </w:p>
    <w:p w14:paraId="20D04149" w14:textId="4DE137F7" w:rsidR="009258C3" w:rsidRDefault="009258C3" w:rsidP="00362E65">
      <w:pPr>
        <w:pStyle w:val="BodyText"/>
      </w:pPr>
      <w:r w:rsidRPr="009258C3">
        <w:t>Commonwealth environmental water has played a</w:t>
      </w:r>
      <w:r w:rsidR="00F14E35">
        <w:t>n important</w:t>
      </w:r>
      <w:r w:rsidRPr="009258C3">
        <w:t xml:space="preserve"> role in managing dissolved oxygen levels and salinity regimes in the Murray</w:t>
      </w:r>
      <w:r w:rsidR="00EE1EF9">
        <w:t>–</w:t>
      </w:r>
      <w:r w:rsidRPr="009258C3">
        <w:t>Darling Basin, particularly during dry years.</w:t>
      </w:r>
    </w:p>
    <w:p w14:paraId="356B4245" w14:textId="77777777" w:rsidR="009258C3" w:rsidRDefault="009258C3" w:rsidP="00362E65">
      <w:pPr>
        <w:pStyle w:val="ListBullet"/>
      </w:pPr>
      <w:r>
        <w:t>In low-flow years, Commonwealth environmental water sustained salt export, reduced salt import to the Coorong, and maintained dissolved oxygen concentrations above target thresholds by improving water mixing and flow velocity.</w:t>
      </w:r>
    </w:p>
    <w:p w14:paraId="35EACE05" w14:textId="77777777" w:rsidR="009258C3" w:rsidRDefault="009258C3" w:rsidP="00362E65">
      <w:pPr>
        <w:pStyle w:val="ListBullet"/>
      </w:pPr>
      <w:r>
        <w:t>Since 2014, environmental water delivery enabled an additional 4.4 million tonnes of salt to be exported and reduced salt import by over 28 million tonnes.</w:t>
      </w:r>
    </w:p>
    <w:p w14:paraId="2831452F" w14:textId="6B2CEF72" w:rsidR="009809BE" w:rsidRPr="009258C3" w:rsidRDefault="009258C3" w:rsidP="00362E65">
      <w:pPr>
        <w:pStyle w:val="ListBullet"/>
      </w:pPr>
      <w:r>
        <w:t>Salinity levels were kept below 800 µS/cm at Morgan and within potable water standards for the Murray River, resulting in water that was approximately 10% less saline due to environmental flows.</w:t>
      </w:r>
    </w:p>
    <w:p w14:paraId="70D7D808" w14:textId="4DF9D501" w:rsidR="002D405D" w:rsidRDefault="002D405D" w:rsidP="00113FC9">
      <w:pPr>
        <w:pStyle w:val="Heading2notnumbered"/>
      </w:pPr>
      <w:bookmarkStart w:id="12" w:name="_Toc204606864"/>
      <w:bookmarkStart w:id="13" w:name="_Toc203682249"/>
      <w:r>
        <w:t xml:space="preserve">Overarching </w:t>
      </w:r>
      <w:r w:rsidR="00D250C9">
        <w:t>t</w:t>
      </w:r>
      <w:r>
        <w:t>rends</w:t>
      </w:r>
      <w:r w:rsidR="00D250C9">
        <w:t xml:space="preserve"> and l</w:t>
      </w:r>
      <w:r>
        <w:t>essons</w:t>
      </w:r>
      <w:r w:rsidR="00D250C9">
        <w:t xml:space="preserve"> l</w:t>
      </w:r>
      <w:r>
        <w:t>earned</w:t>
      </w:r>
      <w:bookmarkEnd w:id="12"/>
      <w:bookmarkEnd w:id="13"/>
    </w:p>
    <w:p w14:paraId="23879D06" w14:textId="33D4AC04" w:rsidR="002D405D" w:rsidRDefault="002D405D" w:rsidP="002D405D">
      <w:pPr>
        <w:pStyle w:val="BodyText"/>
      </w:pPr>
      <w:r w:rsidRPr="00167080">
        <w:t xml:space="preserve">A decade of Commonwealth environmental water delivery has </w:t>
      </w:r>
      <w:r w:rsidR="003536D9">
        <w:t>shown</w:t>
      </w:r>
      <w:r w:rsidRPr="00167080">
        <w:t>:</w:t>
      </w:r>
    </w:p>
    <w:p w14:paraId="249FBB3C" w14:textId="65745CC5" w:rsidR="002D405D" w:rsidRDefault="002D405D" w:rsidP="002D405D">
      <w:pPr>
        <w:pStyle w:val="ListBullet"/>
      </w:pPr>
      <w:r>
        <w:t>Adaptive management is essential: The ability to respond flexibly to climatic variability</w:t>
      </w:r>
      <w:r w:rsidR="00332CB4">
        <w:t>, water management</w:t>
      </w:r>
      <w:r w:rsidR="008C2114">
        <w:t xml:space="preserve"> priorities</w:t>
      </w:r>
      <w:r w:rsidR="003A782D">
        <w:t xml:space="preserve"> </w:t>
      </w:r>
      <w:r>
        <w:t>and emerging knowledge underpin</w:t>
      </w:r>
      <w:r w:rsidR="008C2114">
        <w:t>s</w:t>
      </w:r>
      <w:r>
        <w:t xml:space="preserve"> the success of water delivery strategies.</w:t>
      </w:r>
    </w:p>
    <w:p w14:paraId="1EDEAE49" w14:textId="3375E547" w:rsidR="002D405D" w:rsidRDefault="002D405D" w:rsidP="002D405D">
      <w:pPr>
        <w:pStyle w:val="ListBullet"/>
      </w:pPr>
      <w:r>
        <w:t xml:space="preserve">Integration of science and Indigenous knowledge: Combining scientific monitoring with Indigenous knowledge systems </w:t>
      </w:r>
      <w:r w:rsidR="00572665">
        <w:t>enriches</w:t>
      </w:r>
      <w:r>
        <w:t xml:space="preserve"> understanding</w:t>
      </w:r>
      <w:r w:rsidR="00E12DDB">
        <w:t>,</w:t>
      </w:r>
      <w:r>
        <w:t xml:space="preserve"> </w:t>
      </w:r>
      <w:r w:rsidR="003536D9">
        <w:t>paving the way for</w:t>
      </w:r>
      <w:r>
        <w:t xml:space="preserve"> more holistic water management.</w:t>
      </w:r>
    </w:p>
    <w:p w14:paraId="5FD0F6EA" w14:textId="44A4E39B" w:rsidR="002D405D" w:rsidRDefault="002D405D" w:rsidP="002D405D">
      <w:pPr>
        <w:pStyle w:val="ListBullet"/>
      </w:pPr>
      <w:r>
        <w:t>Targeted watering of key sites: Prioritising floodplain–wetland locations</w:t>
      </w:r>
      <w:r w:rsidR="003536D9">
        <w:t>, important for</w:t>
      </w:r>
      <w:r>
        <w:t xml:space="preserve"> sustaining biodiversity</w:t>
      </w:r>
      <w:r w:rsidR="003536D9">
        <w:t>,</w:t>
      </w:r>
      <w:r>
        <w:t xml:space="preserve"> maximise</w:t>
      </w:r>
      <w:r w:rsidR="00572665">
        <w:t>s</w:t>
      </w:r>
      <w:r>
        <w:t xml:space="preserve"> the ecological return of environmental water investments.</w:t>
      </w:r>
    </w:p>
    <w:p w14:paraId="6E9D6B63" w14:textId="2DB655D6" w:rsidR="002D405D" w:rsidRDefault="002D405D" w:rsidP="002D405D">
      <w:pPr>
        <w:pStyle w:val="ListBullet"/>
      </w:pPr>
      <w:r>
        <w:t xml:space="preserve">Leveraging natural events: </w:t>
      </w:r>
      <w:r w:rsidR="005B25B2">
        <w:t>Responding to</w:t>
      </w:r>
      <w:r>
        <w:t xml:space="preserve"> wet and </w:t>
      </w:r>
      <w:r w:rsidR="005B25B2">
        <w:t>dry cycles amplifies</w:t>
      </w:r>
      <w:r>
        <w:t xml:space="preserve"> positive outcomes for fish, birds, and vegetation, while strategic interventions during dry periods maintain critical refuges.</w:t>
      </w:r>
    </w:p>
    <w:p w14:paraId="282DA2E3" w14:textId="45F43CDB" w:rsidR="002D405D" w:rsidRDefault="002D405D" w:rsidP="002D405D">
      <w:pPr>
        <w:pStyle w:val="ListBullet"/>
      </w:pPr>
      <w:r>
        <w:t>Closing knowledge gaps: Identifying ‘blind spots’ in ecological monitoring and investing in research enhanc</w:t>
      </w:r>
      <w:r w:rsidR="005B25B2">
        <w:t>e</w:t>
      </w:r>
      <w:r>
        <w:t xml:space="preserve"> </w:t>
      </w:r>
      <w:r w:rsidR="005B25B2">
        <w:t xml:space="preserve">our </w:t>
      </w:r>
      <w:r>
        <w:t>ability to address unmet needs of threatened species and habitats.</w:t>
      </w:r>
    </w:p>
    <w:p w14:paraId="1C5788E0" w14:textId="1D15F78A" w:rsidR="0051255C" w:rsidRDefault="00762ADC" w:rsidP="00113FC9">
      <w:pPr>
        <w:pStyle w:val="Heading1notnumbered"/>
      </w:pPr>
      <w:bookmarkStart w:id="14" w:name="_Toc203682250"/>
      <w:bookmarkStart w:id="15" w:name="_Toc204606865"/>
      <w:bookmarkStart w:id="16" w:name="_Toc178668825"/>
      <w:bookmarkStart w:id="17" w:name="_Toc200743741"/>
      <w:bookmarkStart w:id="18" w:name="_Toc200743840"/>
      <w:bookmarkStart w:id="19" w:name="_Hlk106863635"/>
      <w:bookmarkEnd w:id="3"/>
      <w:bookmarkEnd w:id="4"/>
      <w:bookmarkEnd w:id="5"/>
      <w:r>
        <w:lastRenderedPageBreak/>
        <w:t xml:space="preserve">Water </w:t>
      </w:r>
      <w:r w:rsidR="006E3A66">
        <w:t xml:space="preserve">years </w:t>
      </w:r>
      <w:r w:rsidR="007309D3">
        <w:t>2014–24</w:t>
      </w:r>
      <w:r w:rsidR="006E3A66">
        <w:t xml:space="preserve">: </w:t>
      </w:r>
      <w:r>
        <w:t xml:space="preserve">10-year </w:t>
      </w:r>
      <w:r w:rsidR="002D405D">
        <w:t>statistics</w:t>
      </w:r>
      <w:bookmarkEnd w:id="14"/>
      <w:bookmarkEnd w:id="15"/>
    </w:p>
    <w:p w14:paraId="1A47AD9F" w14:textId="77777777" w:rsidR="009E2F98" w:rsidRDefault="009E2F98" w:rsidP="009E2F98">
      <w:pPr>
        <w:pStyle w:val="BodyText"/>
        <w:rPr>
          <w:rFonts w:eastAsia="Times New Roman" w:cs="Calibri"/>
        </w:rPr>
      </w:pPr>
      <w:r>
        <w:t>The first 2 years (2014</w:t>
      </w:r>
      <w:r w:rsidRPr="004F5772">
        <w:t>–</w:t>
      </w:r>
      <w:r>
        <w:t>15 and 2015</w:t>
      </w:r>
      <w:r w:rsidRPr="004F5772">
        <w:t>–</w:t>
      </w:r>
      <w:r>
        <w:t>16) saw particularly dry conditions in the southern Basin. In 2016–17, there were wetter conditions in the southern Basin and along the headwaters of the New South Wales tributaries in the northern Basin. Conditions returned to dry over the period 2017–20 across the whole Basin. In 2020</w:t>
      </w:r>
      <w:r w:rsidRPr="31553B96">
        <w:rPr>
          <w:rFonts w:cs="Calibri"/>
        </w:rPr>
        <w:t>–</w:t>
      </w:r>
      <w:r>
        <w:t xml:space="preserve">23, conditions were wetter – average, above average and very much above average conditions were experienced across the Basin. In </w:t>
      </w:r>
      <w:r w:rsidRPr="31553B96">
        <w:rPr>
          <w:rFonts w:eastAsia="Times New Roman" w:cs="Calibri"/>
        </w:rPr>
        <w:t>2023–24</w:t>
      </w:r>
      <w:r>
        <w:rPr>
          <w:rFonts w:eastAsia="Times New Roman" w:cs="Calibri"/>
        </w:rPr>
        <w:t>,</w:t>
      </w:r>
      <w:r w:rsidRPr="31553B96">
        <w:rPr>
          <w:rFonts w:eastAsia="Times New Roman" w:cs="Calibri"/>
        </w:rPr>
        <w:t xml:space="preserve"> large areas of the Basin returned to more average rainfall conditions. </w:t>
      </w:r>
      <w:r>
        <w:rPr>
          <w:rFonts w:eastAsia="Times New Roman" w:cs="Calibri"/>
        </w:rPr>
        <w:t>However,</w:t>
      </w:r>
      <w:r w:rsidRPr="31553B96">
        <w:rPr>
          <w:rFonts w:eastAsia="Times New Roman" w:cs="Calibri"/>
        </w:rPr>
        <w:t xml:space="preserve"> some central areas of the Basin experienced above </w:t>
      </w:r>
      <w:r>
        <w:rPr>
          <w:rFonts w:eastAsia="Times New Roman" w:cs="Calibri"/>
        </w:rPr>
        <w:t xml:space="preserve">average </w:t>
      </w:r>
      <w:r w:rsidRPr="31553B96">
        <w:rPr>
          <w:rFonts w:eastAsia="Times New Roman" w:cs="Calibri"/>
        </w:rPr>
        <w:t>to very much above average rainfalls</w:t>
      </w:r>
      <w:r>
        <w:rPr>
          <w:rFonts w:eastAsia="Times New Roman" w:cs="Calibri"/>
        </w:rPr>
        <w:t>,</w:t>
      </w:r>
      <w:r w:rsidRPr="31553B96">
        <w:rPr>
          <w:rFonts w:eastAsia="Times New Roman" w:cs="Calibri"/>
        </w:rPr>
        <w:t xml:space="preserve"> wh</w:t>
      </w:r>
      <w:r>
        <w:rPr>
          <w:rFonts w:eastAsia="Times New Roman" w:cs="Calibri"/>
        </w:rPr>
        <w:t>ile</w:t>
      </w:r>
      <w:r w:rsidRPr="31553B96">
        <w:rPr>
          <w:rFonts w:eastAsia="Times New Roman" w:cs="Calibri"/>
        </w:rPr>
        <w:t xml:space="preserve"> other parts of the southern Basin became increasingly dry</w:t>
      </w:r>
      <w:r>
        <w:rPr>
          <w:rFonts w:eastAsia="Times New Roman" w:cs="Calibri"/>
        </w:rPr>
        <w:t xml:space="preserve"> – conditions in </w:t>
      </w:r>
      <w:r w:rsidRPr="31553B96">
        <w:rPr>
          <w:rFonts w:eastAsia="Times New Roman" w:cs="Calibri"/>
        </w:rPr>
        <w:t>both the headwaters and the South Australian sections of the River Murray chang</w:t>
      </w:r>
      <w:r>
        <w:rPr>
          <w:rFonts w:eastAsia="Times New Roman" w:cs="Calibri"/>
        </w:rPr>
        <w:t>ed</w:t>
      </w:r>
      <w:r w:rsidRPr="31553B96">
        <w:rPr>
          <w:rFonts w:eastAsia="Times New Roman" w:cs="Calibri"/>
        </w:rPr>
        <w:t xml:space="preserve"> from very much above average rainfall in 2022–23 to very much below average rainfall in 2023–24</w:t>
      </w:r>
      <w:r>
        <w:rPr>
          <w:rFonts w:eastAsia="Times New Roman" w:cs="Calibri"/>
        </w:rPr>
        <w:t>.</w:t>
      </w:r>
    </w:p>
    <w:p w14:paraId="2E6330B8" w14:textId="5993D2A8" w:rsidR="00822B90" w:rsidRPr="00822B90" w:rsidRDefault="00884144" w:rsidP="00884144">
      <w:pPr>
        <w:pStyle w:val="BodyText"/>
      </w:pPr>
      <w:r w:rsidRPr="00884144">
        <w:t xml:space="preserve">Flows over the 10 years </w:t>
      </w:r>
      <w:r w:rsidR="00D46D70">
        <w:t>were</w:t>
      </w:r>
      <w:r w:rsidRPr="00884144">
        <w:t xml:space="preserve"> close to or above the longer-term (24-year) average in the</w:t>
      </w:r>
      <w:r>
        <w:t xml:space="preserve"> </w:t>
      </w:r>
      <w:r w:rsidRPr="00884144">
        <w:t xml:space="preserve">northern </w:t>
      </w:r>
      <w:r w:rsidR="00D37814">
        <w:t xml:space="preserve">Basin </w:t>
      </w:r>
      <w:r w:rsidRPr="00884144">
        <w:t xml:space="preserve">and southern Basin, mostly due to 3 </w:t>
      </w:r>
      <w:r w:rsidR="00671C9D">
        <w:t>very wet years.</w:t>
      </w:r>
    </w:p>
    <w:p w14:paraId="0710252F" w14:textId="3911AADF" w:rsidR="00BB3B36" w:rsidRPr="00BB3B36" w:rsidRDefault="00BD1737" w:rsidP="00113FC9">
      <w:pPr>
        <w:pStyle w:val="Heading2notnumbered"/>
      </w:pPr>
      <w:bookmarkStart w:id="20" w:name="_Toc203682251"/>
      <w:bookmarkStart w:id="21" w:name="_Toc204606866"/>
      <w:r>
        <w:t>Commonwealth environmental w</w:t>
      </w:r>
      <w:r w:rsidR="00BB3B36">
        <w:t>ater delivery</w:t>
      </w:r>
      <w:bookmarkEnd w:id="20"/>
      <w:bookmarkEnd w:id="21"/>
    </w:p>
    <w:p w14:paraId="00009D0A" w14:textId="77777777" w:rsidR="00AA6575" w:rsidRDefault="00AA6575">
      <w:pPr>
        <w:pStyle w:val="ListBullet"/>
      </w:pPr>
      <w:r>
        <w:t xml:space="preserve">Over the 10-year period, 18,310 GL of Commonwealth environmental water were delivered to 56 ecosystem types representing 124,091 ha of lakes, 130,574 ha of wetlands, 191,599 ha of floodplain, 28,549 km of waterways and 23,768 ha of estuarine ecosystems. Delivery was via </w:t>
      </w:r>
      <w:r w:rsidR="00163C2C">
        <w:t xml:space="preserve">1,194 independent </w:t>
      </w:r>
      <w:r>
        <w:t>watering events.</w:t>
      </w:r>
    </w:p>
    <w:p w14:paraId="5048E9A3" w14:textId="1756A595" w:rsidR="00163C2C" w:rsidRDefault="00163C2C" w:rsidP="00163C2C">
      <w:pPr>
        <w:pStyle w:val="ListBullet"/>
      </w:pPr>
      <w:r>
        <w:t>Instream actions (base flow, freshes, and bankfull) delivered larger water volumes than wetland actions</w:t>
      </w:r>
      <w:r w:rsidR="001A13F8">
        <w:t>.</w:t>
      </w:r>
    </w:p>
    <w:p w14:paraId="1837E7F0" w14:textId="77777777" w:rsidR="00163C2C" w:rsidRDefault="00163C2C" w:rsidP="00163C2C">
      <w:pPr>
        <w:pStyle w:val="ListBullet"/>
      </w:pPr>
      <w:r>
        <w:t>By number, wetland actions were typically predominant, making up 46% of actions over the years.</w:t>
      </w:r>
    </w:p>
    <w:p w14:paraId="33C98DDF" w14:textId="1705512C" w:rsidR="00163C2C" w:rsidRDefault="00163C2C" w:rsidP="00163C2C">
      <w:pPr>
        <w:pStyle w:val="ListBullet"/>
      </w:pPr>
      <w:r>
        <w:t>Exceptions were in water years 2016–17 and 2023–24, when most actions comprised freshes and base flows, respectively.</w:t>
      </w:r>
    </w:p>
    <w:p w14:paraId="565479E1" w14:textId="197448C5" w:rsidR="00163C2C" w:rsidRPr="001F5826" w:rsidRDefault="00163C2C" w:rsidP="00163C2C">
      <w:pPr>
        <w:pStyle w:val="ListBullet"/>
      </w:pPr>
      <w:r>
        <w:t>The 2023–24 water year saw the highest allocation in volumes of C</w:t>
      </w:r>
      <w:r w:rsidR="005D0E1D">
        <w:t>ommonwealth environmental water</w:t>
      </w:r>
      <w:r>
        <w:t xml:space="preserve"> delivered compared to </w:t>
      </w:r>
      <w:r w:rsidR="00427E9F">
        <w:t xml:space="preserve">earlier </w:t>
      </w:r>
      <w:r>
        <w:t>years.</w:t>
      </w:r>
    </w:p>
    <w:p w14:paraId="7A0539D4" w14:textId="03493CF4" w:rsidR="007309D3" w:rsidRDefault="00C1791A" w:rsidP="006E3A66">
      <w:pPr>
        <w:pStyle w:val="ListBullet"/>
      </w:pPr>
      <w:r>
        <w:t>A</w:t>
      </w:r>
      <w:r w:rsidR="007309D3">
        <w:t>ll 11 of the 16 Ramsar Sites in the Basin able to receive Commonwealth environmental water were inundated</w:t>
      </w:r>
      <w:r w:rsidR="0000607A">
        <w:t xml:space="preserve"> </w:t>
      </w:r>
      <w:r w:rsidR="00BC7AFE">
        <w:t xml:space="preserve">in some years </w:t>
      </w:r>
      <w:r w:rsidR="0000607A">
        <w:t>during the 10-year period</w:t>
      </w:r>
      <w:r w:rsidR="007309D3">
        <w:t>.</w:t>
      </w:r>
    </w:p>
    <w:p w14:paraId="26A1A86E" w14:textId="60009AB3" w:rsidR="004C5F2F" w:rsidRPr="004B520E" w:rsidRDefault="004C5F2F" w:rsidP="004C5F2F">
      <w:pPr>
        <w:pStyle w:val="Heading2notnumbered"/>
      </w:pPr>
      <w:bookmarkStart w:id="22" w:name="_Toc204606867"/>
      <w:bookmarkStart w:id="23" w:name="_Toc203682252"/>
      <w:r>
        <w:t>Observations</w:t>
      </w:r>
      <w:bookmarkEnd w:id="22"/>
    </w:p>
    <w:p w14:paraId="509E4989" w14:textId="77777777" w:rsidR="00C0590A" w:rsidRPr="004B520E" w:rsidRDefault="00C0590A" w:rsidP="00C0590A">
      <w:pPr>
        <w:pStyle w:val="ListBullet"/>
        <w:rPr>
          <w:rStyle w:val="BodyTextChar"/>
        </w:rPr>
      </w:pPr>
      <w:r>
        <w:t xml:space="preserve">804 groundcover plant taxa were recorded at monitored floodplain, wetland and riverine locations since 2014, including 527 native and 221 exotic species. 77 of these taxa </w:t>
      </w:r>
      <w:r w:rsidRPr="43306F07">
        <w:rPr>
          <w:rStyle w:val="BodyTextChar"/>
        </w:rPr>
        <w:t>are known to be used by Aboriginal people, including 33 that require flooding to occur.</w:t>
      </w:r>
    </w:p>
    <w:p w14:paraId="722AAF14" w14:textId="77777777" w:rsidR="00C0590A" w:rsidRPr="004B520E" w:rsidRDefault="00C0590A" w:rsidP="00C0590A">
      <w:pPr>
        <w:pStyle w:val="ListBullet"/>
      </w:pPr>
      <w:r>
        <w:t>101 groundcover plant species that are listed as threatened were recorded at monitoring locations.</w:t>
      </w:r>
    </w:p>
    <w:p w14:paraId="237871CB" w14:textId="1D186B3C" w:rsidR="00C0590A" w:rsidRDefault="00C0590A" w:rsidP="00C0590A">
      <w:pPr>
        <w:pStyle w:val="ListBullet"/>
      </w:pPr>
      <w:r>
        <w:t>15 native fish species and 5 exotic fish species were detected during the 10-year monitoring program by instream river sampling of adult fish communities.</w:t>
      </w:r>
    </w:p>
    <w:p w14:paraId="474C147A" w14:textId="01A7F541" w:rsidR="00C0590A" w:rsidRPr="004B520E" w:rsidRDefault="00C0590A" w:rsidP="00C0590A">
      <w:pPr>
        <w:pStyle w:val="ListBullet"/>
      </w:pPr>
      <w:r>
        <w:t>Since 2014, 97 waterbird and raptor species have been reported – 59 of these are of conservation significance.</w:t>
      </w:r>
    </w:p>
    <w:p w14:paraId="7F3DC195" w14:textId="3E79F927" w:rsidR="00BB3B36" w:rsidRPr="004B520E" w:rsidRDefault="00BB3B36" w:rsidP="00113FC9">
      <w:pPr>
        <w:pStyle w:val="Heading2notnumbered"/>
      </w:pPr>
      <w:bookmarkStart w:id="24" w:name="_Toc204606868"/>
      <w:r>
        <w:lastRenderedPageBreak/>
        <w:t>Environmental outcomes</w:t>
      </w:r>
      <w:bookmarkEnd w:id="23"/>
      <w:bookmarkEnd w:id="24"/>
    </w:p>
    <w:p w14:paraId="35888276" w14:textId="637BB36A" w:rsidR="007309D3" w:rsidRPr="00F60AF5" w:rsidRDefault="007309D3" w:rsidP="43306F07">
      <w:pPr>
        <w:pStyle w:val="ListBullet"/>
        <w:rPr>
          <w:rFonts w:asciiTheme="minorHAnsi" w:hAnsiTheme="minorHAnsi" w:cstheme="minorBidi"/>
        </w:rPr>
      </w:pPr>
      <w:r>
        <w:t xml:space="preserve">Since 2014, Commonwealth environmental water resulted in the export of more than 4.3 million </w:t>
      </w:r>
      <w:r w:rsidRPr="43306F07">
        <w:rPr>
          <w:rFonts w:asciiTheme="minorHAnsi" w:hAnsiTheme="minorHAnsi" w:cstheme="minorBidi"/>
        </w:rPr>
        <w:t>tonnes of salt</w:t>
      </w:r>
      <w:r w:rsidR="00CA137D" w:rsidRPr="43306F07">
        <w:rPr>
          <w:rFonts w:asciiTheme="minorHAnsi" w:hAnsiTheme="minorHAnsi" w:cstheme="minorBidi"/>
        </w:rPr>
        <w:t xml:space="preserve"> (around 22% of the Basin Plan target)</w:t>
      </w:r>
      <w:r w:rsidRPr="43306F07">
        <w:rPr>
          <w:rFonts w:asciiTheme="minorHAnsi" w:hAnsiTheme="minorHAnsi" w:cstheme="minorBidi"/>
        </w:rPr>
        <w:t xml:space="preserve"> through the barrages and reduced import of salt through the Murray Mouth by almost 29 million tonnes.</w:t>
      </w:r>
    </w:p>
    <w:p w14:paraId="5101B9DD" w14:textId="4CD6A314" w:rsidR="007309D3" w:rsidRPr="00F60AF5" w:rsidRDefault="007309D3" w:rsidP="43306F07">
      <w:pPr>
        <w:pStyle w:val="ListBullet"/>
        <w:rPr>
          <w:rFonts w:asciiTheme="minorHAnsi" w:eastAsiaTheme="minorEastAsia" w:hAnsiTheme="minorHAnsi" w:cstheme="minorBidi"/>
          <w:color w:val="auto"/>
          <w:lang w:val="en-US"/>
        </w:rPr>
      </w:pPr>
      <w:r w:rsidRPr="43306F07">
        <w:rPr>
          <w:rFonts w:asciiTheme="minorHAnsi" w:hAnsiTheme="minorHAnsi" w:cstheme="minorBidi"/>
        </w:rPr>
        <w:t>Commonwealth environmental water was used to decrease the likelihood of, and support recovery from, widespread hypoxic events across the Basin.</w:t>
      </w:r>
      <w:r w:rsidR="00436CED" w:rsidRPr="43306F07">
        <w:rPr>
          <w:rFonts w:asciiTheme="minorHAnsi" w:eastAsiaTheme="minorEastAsia" w:hAnsiTheme="minorHAnsi" w:cstheme="minorBidi"/>
          <w:color w:val="auto"/>
          <w:lang w:val="en-US"/>
        </w:rPr>
        <w:t xml:space="preserve"> For example, anoxic events in 2016 and the subsequent delivery of ameliorating flows that included Commonwealth environmental water demonstrated the utility of targeted watering actions that are designed to improve water quality.</w:t>
      </w:r>
    </w:p>
    <w:p w14:paraId="4A443AB0" w14:textId="77777777" w:rsidR="007309D3" w:rsidRDefault="007309D3" w:rsidP="006E3A66">
      <w:pPr>
        <w:pStyle w:val="ListBullet"/>
      </w:pPr>
      <w:r w:rsidRPr="43306F07">
        <w:rPr>
          <w:rFonts w:asciiTheme="minorHAnsi" w:hAnsiTheme="minorHAnsi" w:cstheme="minorBidi"/>
        </w:rPr>
        <w:t>Without Commonwealth environmental water, 40% of floodplain–wetland monitoring locations would have experienced drier water regimes, resulting in less diversity and less cover of submerged,</w:t>
      </w:r>
      <w:r>
        <w:t xml:space="preserve"> amphibious and damp-loving plant species. Commonwealth environmental water is preventing a permanent transition to vegetation community assemblages typical of drier conditions.</w:t>
      </w:r>
    </w:p>
    <w:p w14:paraId="5BB6C31B" w14:textId="613B1EA4" w:rsidR="00683EF7" w:rsidRDefault="007309D3" w:rsidP="006E3A66">
      <w:pPr>
        <w:pStyle w:val="ListBullet"/>
      </w:pPr>
      <w:r>
        <w:t>Commonwealth environmental water contributed to increased fish spawning, recruitment, occurrence, population growth rates, body condition and improved community composition in some monitoring locations and for several species.</w:t>
      </w:r>
    </w:p>
    <w:p w14:paraId="13DD4B9D" w14:textId="6AFF6B76" w:rsidR="007309D3" w:rsidRPr="004B520E" w:rsidRDefault="0F98AEB9" w:rsidP="006E3A66">
      <w:pPr>
        <w:pStyle w:val="ListBullet"/>
      </w:pPr>
      <w:r>
        <w:t>Commonwealth environmental water delivery influence</w:t>
      </w:r>
      <w:r w:rsidR="60F2C73B">
        <w:t>d</w:t>
      </w:r>
      <w:r>
        <w:t xml:space="preserve"> fish movement. </w:t>
      </w:r>
      <w:r w:rsidR="003D7C69">
        <w:t xml:space="preserve">For example, the probability of </w:t>
      </w:r>
      <w:r w:rsidR="527AE235">
        <w:t>g</w:t>
      </w:r>
      <w:r w:rsidR="003D7C69">
        <w:t xml:space="preserve">olden </w:t>
      </w:r>
      <w:r w:rsidR="40AFC8ED">
        <w:t>p</w:t>
      </w:r>
      <w:r w:rsidR="003D7C69">
        <w:t xml:space="preserve">erch movement in the southern </w:t>
      </w:r>
      <w:r w:rsidR="00146380">
        <w:t>B</w:t>
      </w:r>
      <w:r w:rsidR="003D7C69">
        <w:t>asin was found to be higher in years with delivery of environmental water</w:t>
      </w:r>
      <w:r w:rsidR="00079E3C">
        <w:t xml:space="preserve"> (</w:t>
      </w:r>
      <w:r w:rsidR="64652F0F">
        <w:t xml:space="preserve">as predicted using a </w:t>
      </w:r>
      <w:r w:rsidR="00A71C89">
        <w:t>B</w:t>
      </w:r>
      <w:r w:rsidR="64652F0F">
        <w:t xml:space="preserve">asin scale </w:t>
      </w:r>
      <w:r w:rsidR="00A71C89">
        <w:t xml:space="preserve">fish </w:t>
      </w:r>
      <w:r w:rsidR="64652F0F">
        <w:t>movement model)</w:t>
      </w:r>
      <w:r w:rsidR="003D7C69">
        <w:t>.</w:t>
      </w:r>
    </w:p>
    <w:p w14:paraId="2BAA89B2" w14:textId="77777777" w:rsidR="007309D3" w:rsidRPr="004B520E" w:rsidRDefault="007309D3" w:rsidP="006E3A66">
      <w:pPr>
        <w:pStyle w:val="ListBullet"/>
      </w:pPr>
      <w:r>
        <w:t>Positive fish responses to the delivery of Commonwealth environmental water were primarily due to watering actions reducing the number of low flow days, increasing average daily flows and altering flow variability.</w:t>
      </w:r>
    </w:p>
    <w:p w14:paraId="3D8A041D" w14:textId="77E108CF" w:rsidR="007309D3" w:rsidRPr="004B520E" w:rsidRDefault="007309D3" w:rsidP="006E3A66">
      <w:pPr>
        <w:pStyle w:val="ListBullet"/>
      </w:pPr>
      <w:r>
        <w:t xml:space="preserve">Commonwealth environmental water had a significant influence on </w:t>
      </w:r>
      <w:r w:rsidR="002002B7">
        <w:t xml:space="preserve">restoring </w:t>
      </w:r>
      <w:r>
        <w:t>the presence of southern bell frogs (listed as Vulnerable under the EPBC Act).</w:t>
      </w:r>
      <w:r w:rsidR="00657BD2">
        <w:t xml:space="preserve"> Increasing the frequency of inundation of Commonwealth environmental water was shown to contribute to the persistence of sensitive </w:t>
      </w:r>
      <w:r w:rsidR="00B93364">
        <w:t xml:space="preserve">frog </w:t>
      </w:r>
      <w:r w:rsidR="00657BD2">
        <w:t>species including the southern bell frog which has low survival during dry periods.</w:t>
      </w:r>
    </w:p>
    <w:p w14:paraId="25BC0DF8" w14:textId="47566F0B" w:rsidR="007D7E46" w:rsidRPr="004B520E" w:rsidRDefault="00D279D9" w:rsidP="008D7763">
      <w:pPr>
        <w:pStyle w:val="Heading2notnumbered"/>
        <w:pageBreakBefore/>
      </w:pPr>
      <w:bookmarkStart w:id="25" w:name="_Toc168579810"/>
      <w:bookmarkStart w:id="26" w:name="_Toc172283599"/>
      <w:bookmarkStart w:id="27" w:name="_Toc172290928"/>
      <w:bookmarkStart w:id="28" w:name="_Toc178668829"/>
      <w:bookmarkStart w:id="29" w:name="_Toc200743743"/>
      <w:bookmarkStart w:id="30" w:name="_Toc200743842"/>
      <w:bookmarkStart w:id="31" w:name="_Toc203682253"/>
      <w:bookmarkStart w:id="32" w:name="_Toc204606869"/>
      <w:r>
        <w:lastRenderedPageBreak/>
        <w:t>S</w:t>
      </w:r>
      <w:r w:rsidR="007D7E46" w:rsidRPr="004B520E">
        <w:t>ummary metrics</w:t>
      </w:r>
      <w:bookmarkEnd w:id="25"/>
      <w:bookmarkEnd w:id="26"/>
      <w:bookmarkEnd w:id="27"/>
      <w:bookmarkEnd w:id="28"/>
      <w:bookmarkEnd w:id="29"/>
      <w:bookmarkEnd w:id="30"/>
      <w:bookmarkEnd w:id="31"/>
      <w:r w:rsidR="00C0590A">
        <w:t xml:space="preserve"> 2014–24</w:t>
      </w:r>
      <w:bookmarkEnd w:id="32"/>
    </w:p>
    <w:tbl>
      <w:tblPr>
        <w:tblStyle w:val="TableFlow-Mer0"/>
        <w:tblW w:w="9157" w:type="dxa"/>
        <w:tblLook w:val="0400" w:firstRow="0" w:lastRow="0" w:firstColumn="0" w:lastColumn="0" w:noHBand="0" w:noVBand="1"/>
      </w:tblPr>
      <w:tblGrid>
        <w:gridCol w:w="7684"/>
        <w:gridCol w:w="1473"/>
      </w:tblGrid>
      <w:tr w:rsidR="007D7E46" w:rsidRPr="00C0590A" w14:paraId="01E334AE"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shd w:val="clear" w:color="auto" w:fill="A4F6F4" w:themeFill="accent5" w:themeFillTint="66"/>
            <w:noWrap/>
            <w:hideMark/>
          </w:tcPr>
          <w:p w14:paraId="3A70ABB3" w14:textId="77777777" w:rsidR="007D7E46" w:rsidRPr="00C92F63" w:rsidRDefault="007D7E46" w:rsidP="00472553">
            <w:pPr>
              <w:pStyle w:val="RowHeading"/>
              <w:rPr>
                <w:bCs/>
                <w:sz w:val="20"/>
                <w:szCs w:val="20"/>
              </w:rPr>
            </w:pPr>
            <w:r w:rsidRPr="00C92F63">
              <w:rPr>
                <w:sz w:val="20"/>
                <w:szCs w:val="20"/>
              </w:rPr>
              <w:t>Hydrology</w:t>
            </w:r>
          </w:p>
        </w:tc>
        <w:tc>
          <w:tcPr>
            <w:tcW w:w="1473" w:type="dxa"/>
            <w:shd w:val="clear" w:color="auto" w:fill="A4F6F4" w:themeFill="accent5" w:themeFillTint="66"/>
          </w:tcPr>
          <w:p w14:paraId="0F77CC3F" w14:textId="77777777" w:rsidR="007D7E46" w:rsidRPr="00C92F63" w:rsidRDefault="007D7E46" w:rsidP="00472553">
            <w:pPr>
              <w:pStyle w:val="RowHeading"/>
              <w:rPr>
                <w:sz w:val="20"/>
                <w:szCs w:val="20"/>
              </w:rPr>
            </w:pPr>
          </w:p>
        </w:tc>
      </w:tr>
      <w:tr w:rsidR="007D7E46" w:rsidRPr="00C0590A" w14:paraId="500C5CC7" w14:textId="77777777" w:rsidTr="00472553">
        <w:trPr>
          <w:trHeight w:val="287"/>
        </w:trPr>
        <w:tc>
          <w:tcPr>
            <w:tcW w:w="7684" w:type="dxa"/>
            <w:noWrap/>
            <w:hideMark/>
          </w:tcPr>
          <w:p w14:paraId="046895A3" w14:textId="77777777" w:rsidR="007D7E46" w:rsidRPr="00C92F63" w:rsidRDefault="007D7E46">
            <w:pPr>
              <w:pStyle w:val="TableText"/>
              <w:rPr>
                <w:sz w:val="20"/>
                <w:szCs w:val="20"/>
              </w:rPr>
            </w:pPr>
            <w:r w:rsidRPr="00C92F63">
              <w:rPr>
                <w:sz w:val="20"/>
                <w:szCs w:val="20"/>
              </w:rPr>
              <w:t>Mean annual surface water runoff (GL) (10-year average)</w:t>
            </w:r>
          </w:p>
        </w:tc>
        <w:tc>
          <w:tcPr>
            <w:tcW w:w="1473" w:type="dxa"/>
            <w:noWrap/>
          </w:tcPr>
          <w:p w14:paraId="3B4137F4"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36,504</w:t>
            </w:r>
          </w:p>
        </w:tc>
      </w:tr>
      <w:tr w:rsidR="007D7E46" w:rsidRPr="00C0590A" w14:paraId="05BC05C0"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05502459" w14:textId="77777777" w:rsidR="007D7E46" w:rsidRPr="00C92F63" w:rsidRDefault="007D7E46">
            <w:pPr>
              <w:pStyle w:val="TableText"/>
              <w:rPr>
                <w:sz w:val="20"/>
                <w:szCs w:val="20"/>
              </w:rPr>
            </w:pPr>
            <w:r w:rsidRPr="00C92F63">
              <w:rPr>
                <w:sz w:val="20"/>
                <w:szCs w:val="20"/>
              </w:rPr>
              <w:t>Total Commonwealth environmental watering actions</w:t>
            </w:r>
          </w:p>
        </w:tc>
        <w:tc>
          <w:tcPr>
            <w:tcW w:w="1473" w:type="dxa"/>
            <w:noWrap/>
          </w:tcPr>
          <w:p w14:paraId="6E8F2CF1"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1,194</w:t>
            </w:r>
          </w:p>
        </w:tc>
      </w:tr>
      <w:tr w:rsidR="007D7E46" w:rsidRPr="00C0590A" w14:paraId="3C73DE3B" w14:textId="77777777" w:rsidTr="00472553">
        <w:trPr>
          <w:trHeight w:val="262"/>
        </w:trPr>
        <w:tc>
          <w:tcPr>
            <w:tcW w:w="7684" w:type="dxa"/>
            <w:noWrap/>
            <w:hideMark/>
          </w:tcPr>
          <w:p w14:paraId="19355551" w14:textId="77777777" w:rsidR="007D7E46" w:rsidRPr="00C92F63" w:rsidRDefault="007D7E46">
            <w:pPr>
              <w:pStyle w:val="TableText"/>
              <w:rPr>
                <w:sz w:val="20"/>
                <w:szCs w:val="20"/>
              </w:rPr>
            </w:pPr>
            <w:r w:rsidRPr="00C92F63">
              <w:rPr>
                <w:sz w:val="20"/>
                <w:szCs w:val="20"/>
              </w:rPr>
              <w:t>Total Commonwealth environmental water delivered (GL)</w:t>
            </w:r>
          </w:p>
        </w:tc>
        <w:tc>
          <w:tcPr>
            <w:tcW w:w="1473" w:type="dxa"/>
            <w:noWrap/>
          </w:tcPr>
          <w:p w14:paraId="2E16D19A"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18,310</w:t>
            </w:r>
          </w:p>
        </w:tc>
      </w:tr>
      <w:tr w:rsidR="007D7E46" w:rsidRPr="00C0590A" w14:paraId="5EBEF2DA"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44215CBE" w14:textId="77777777" w:rsidR="007D7E46" w:rsidRPr="00C92F63" w:rsidRDefault="007D7E46">
            <w:pPr>
              <w:pStyle w:val="TableText"/>
              <w:rPr>
                <w:sz w:val="20"/>
                <w:szCs w:val="20"/>
              </w:rPr>
            </w:pPr>
            <w:r w:rsidRPr="00C92F63">
              <w:rPr>
                <w:sz w:val="20"/>
                <w:szCs w:val="20"/>
              </w:rPr>
              <w:t>Commonwealth environmental water delivered in northern Basin (GL)</w:t>
            </w:r>
          </w:p>
        </w:tc>
        <w:tc>
          <w:tcPr>
            <w:tcW w:w="1473" w:type="dxa"/>
            <w:noWrap/>
          </w:tcPr>
          <w:p w14:paraId="4EEFC0A9"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1,953</w:t>
            </w:r>
          </w:p>
        </w:tc>
      </w:tr>
      <w:tr w:rsidR="007D7E46" w:rsidRPr="00C0590A" w14:paraId="290E3CFB" w14:textId="77777777" w:rsidTr="00472553">
        <w:trPr>
          <w:trHeight w:val="262"/>
        </w:trPr>
        <w:tc>
          <w:tcPr>
            <w:tcW w:w="7684" w:type="dxa"/>
            <w:noWrap/>
            <w:hideMark/>
          </w:tcPr>
          <w:p w14:paraId="5E777EC5" w14:textId="77777777" w:rsidR="007D7E46" w:rsidRPr="00C92F63" w:rsidRDefault="007D7E46">
            <w:pPr>
              <w:pStyle w:val="TableText"/>
              <w:rPr>
                <w:sz w:val="20"/>
                <w:szCs w:val="20"/>
              </w:rPr>
            </w:pPr>
            <w:r w:rsidRPr="00C92F63">
              <w:rPr>
                <w:sz w:val="20"/>
                <w:szCs w:val="20"/>
              </w:rPr>
              <w:t>Commonwealth environmental water delivered in southern Basin (GL)</w:t>
            </w:r>
          </w:p>
        </w:tc>
        <w:tc>
          <w:tcPr>
            <w:tcW w:w="1473" w:type="dxa"/>
            <w:noWrap/>
          </w:tcPr>
          <w:p w14:paraId="294722C9"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16,356</w:t>
            </w:r>
          </w:p>
        </w:tc>
      </w:tr>
      <w:tr w:rsidR="007D7E46" w:rsidRPr="00C0590A" w14:paraId="2C793EB1"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2246395C" w14:textId="77777777" w:rsidR="007D7E46" w:rsidRPr="00C92F63" w:rsidRDefault="007D7E46">
            <w:pPr>
              <w:pStyle w:val="TableText"/>
              <w:rPr>
                <w:sz w:val="20"/>
                <w:szCs w:val="20"/>
              </w:rPr>
            </w:pPr>
            <w:r w:rsidRPr="00C92F63">
              <w:rPr>
                <w:sz w:val="20"/>
                <w:szCs w:val="20"/>
              </w:rPr>
              <w:t>Number of valleys that received Commonwealth environmental water</w:t>
            </w:r>
          </w:p>
        </w:tc>
        <w:tc>
          <w:tcPr>
            <w:tcW w:w="1473" w:type="dxa"/>
            <w:noWrap/>
          </w:tcPr>
          <w:p w14:paraId="7B133F88"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20</w:t>
            </w:r>
          </w:p>
        </w:tc>
      </w:tr>
      <w:tr w:rsidR="007D7E46" w:rsidRPr="00C0590A" w14:paraId="4A2CB2A1" w14:textId="77777777" w:rsidTr="00472553">
        <w:trPr>
          <w:trHeight w:val="262"/>
        </w:trPr>
        <w:tc>
          <w:tcPr>
            <w:tcW w:w="7684" w:type="dxa"/>
            <w:noWrap/>
            <w:hideMark/>
          </w:tcPr>
          <w:p w14:paraId="4266D090" w14:textId="77777777" w:rsidR="007D7E46" w:rsidRPr="00C92F63" w:rsidRDefault="007D7E46">
            <w:pPr>
              <w:pStyle w:val="TableText"/>
              <w:rPr>
                <w:sz w:val="20"/>
                <w:szCs w:val="20"/>
              </w:rPr>
            </w:pPr>
            <w:r w:rsidRPr="00C92F63">
              <w:rPr>
                <w:sz w:val="20"/>
                <w:szCs w:val="20"/>
              </w:rPr>
              <w:t>Commonwealth environmental water barrage releases (GL)</w:t>
            </w:r>
          </w:p>
        </w:tc>
        <w:tc>
          <w:tcPr>
            <w:tcW w:w="1473" w:type="dxa"/>
            <w:noWrap/>
          </w:tcPr>
          <w:p w14:paraId="7D5BE9FE"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7,184</w:t>
            </w:r>
          </w:p>
        </w:tc>
      </w:tr>
      <w:tr w:rsidR="007D7E46" w:rsidRPr="00C0590A" w14:paraId="7354992A"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shd w:val="clear" w:color="auto" w:fill="A4F6F4" w:themeFill="accent5" w:themeFillTint="66"/>
            <w:noWrap/>
            <w:hideMark/>
          </w:tcPr>
          <w:p w14:paraId="2FCD9FFC" w14:textId="77777777" w:rsidR="007D7E46" w:rsidRPr="00C92F63" w:rsidRDefault="007D7E46" w:rsidP="008C00AD">
            <w:pPr>
              <w:pStyle w:val="RowHeading"/>
              <w:rPr>
                <w:bCs/>
                <w:sz w:val="20"/>
                <w:szCs w:val="20"/>
              </w:rPr>
            </w:pPr>
            <w:r w:rsidRPr="00C92F63">
              <w:rPr>
                <w:sz w:val="20"/>
                <w:szCs w:val="20"/>
              </w:rPr>
              <w:t>Ecosystem Diversity</w:t>
            </w:r>
          </w:p>
        </w:tc>
        <w:tc>
          <w:tcPr>
            <w:tcW w:w="1473" w:type="dxa"/>
            <w:shd w:val="clear" w:color="auto" w:fill="A4F6F4" w:themeFill="accent5" w:themeFillTint="66"/>
          </w:tcPr>
          <w:p w14:paraId="7E7F43AF" w14:textId="77777777" w:rsidR="007D7E46" w:rsidRPr="00C92F63" w:rsidRDefault="007D7E46" w:rsidP="008C00AD">
            <w:pPr>
              <w:pStyle w:val="RowHeading"/>
              <w:rPr>
                <w:sz w:val="20"/>
                <w:szCs w:val="20"/>
              </w:rPr>
            </w:pPr>
          </w:p>
        </w:tc>
      </w:tr>
      <w:tr w:rsidR="007D7E46" w:rsidRPr="00C0590A" w14:paraId="2FA0E7F6" w14:textId="77777777" w:rsidTr="00472553">
        <w:trPr>
          <w:trHeight w:val="262"/>
        </w:trPr>
        <w:tc>
          <w:tcPr>
            <w:tcW w:w="7684" w:type="dxa"/>
            <w:noWrap/>
            <w:hideMark/>
          </w:tcPr>
          <w:p w14:paraId="0F84E58F" w14:textId="77777777" w:rsidR="007D7E46" w:rsidRPr="00C92F63" w:rsidRDefault="007D7E46">
            <w:pPr>
              <w:pStyle w:val="TableText"/>
              <w:rPr>
                <w:sz w:val="20"/>
                <w:szCs w:val="20"/>
              </w:rPr>
            </w:pPr>
            <w:r w:rsidRPr="00C92F63">
              <w:rPr>
                <w:sz w:val="20"/>
                <w:szCs w:val="20"/>
              </w:rPr>
              <w:t>Ecosystem types supported (Australian National Aquatic Ecosystems)</w:t>
            </w:r>
          </w:p>
        </w:tc>
        <w:tc>
          <w:tcPr>
            <w:tcW w:w="1473" w:type="dxa"/>
            <w:noWrap/>
          </w:tcPr>
          <w:p w14:paraId="786757D1"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56</w:t>
            </w:r>
          </w:p>
        </w:tc>
      </w:tr>
      <w:tr w:rsidR="007D7E46" w:rsidRPr="00C0590A" w14:paraId="74C1DB08"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4AEF85BC" w14:textId="77777777" w:rsidR="007D7E46" w:rsidRPr="00C92F63" w:rsidRDefault="007D7E46">
            <w:pPr>
              <w:pStyle w:val="TableText"/>
              <w:rPr>
                <w:sz w:val="20"/>
                <w:szCs w:val="20"/>
              </w:rPr>
            </w:pPr>
            <w:r w:rsidRPr="00C92F63">
              <w:rPr>
                <w:sz w:val="20"/>
                <w:szCs w:val="20"/>
              </w:rPr>
              <w:t>Maximum extent of length of waterways supported (km)</w:t>
            </w:r>
          </w:p>
        </w:tc>
        <w:tc>
          <w:tcPr>
            <w:tcW w:w="1473" w:type="dxa"/>
            <w:noWrap/>
          </w:tcPr>
          <w:p w14:paraId="61EA4E11"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28,549</w:t>
            </w:r>
          </w:p>
        </w:tc>
      </w:tr>
      <w:tr w:rsidR="007D7E46" w:rsidRPr="00C0590A" w14:paraId="758EBB9F" w14:textId="77777777" w:rsidTr="00472553">
        <w:trPr>
          <w:trHeight w:val="262"/>
        </w:trPr>
        <w:tc>
          <w:tcPr>
            <w:tcW w:w="7684" w:type="dxa"/>
            <w:noWrap/>
            <w:hideMark/>
          </w:tcPr>
          <w:p w14:paraId="4BFCC195" w14:textId="77777777" w:rsidR="007D7E46" w:rsidRPr="00C92F63" w:rsidRDefault="007D7E46">
            <w:pPr>
              <w:pStyle w:val="TableText"/>
              <w:rPr>
                <w:sz w:val="20"/>
                <w:szCs w:val="20"/>
              </w:rPr>
            </w:pPr>
            <w:r w:rsidRPr="00C92F63">
              <w:rPr>
                <w:sz w:val="20"/>
                <w:szCs w:val="20"/>
              </w:rPr>
              <w:t>Lakes and wetlands inundated (ha)</w:t>
            </w:r>
          </w:p>
        </w:tc>
        <w:tc>
          <w:tcPr>
            <w:tcW w:w="1473" w:type="dxa"/>
            <w:noWrap/>
          </w:tcPr>
          <w:p w14:paraId="3A9B5EC0"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254,665</w:t>
            </w:r>
          </w:p>
        </w:tc>
      </w:tr>
      <w:tr w:rsidR="007D7E46" w:rsidRPr="00C0590A" w14:paraId="65274486"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7FC0B4B9" w14:textId="77777777" w:rsidR="007D7E46" w:rsidRPr="00C92F63" w:rsidRDefault="007D7E46">
            <w:pPr>
              <w:pStyle w:val="TableText"/>
              <w:rPr>
                <w:sz w:val="20"/>
                <w:szCs w:val="20"/>
              </w:rPr>
            </w:pPr>
            <w:r w:rsidRPr="00C92F63">
              <w:rPr>
                <w:sz w:val="20"/>
                <w:szCs w:val="20"/>
              </w:rPr>
              <w:t>Inundated floodplain (ha)</w:t>
            </w:r>
          </w:p>
        </w:tc>
        <w:tc>
          <w:tcPr>
            <w:tcW w:w="1473" w:type="dxa"/>
            <w:noWrap/>
          </w:tcPr>
          <w:p w14:paraId="1EE2280D"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191,599</w:t>
            </w:r>
          </w:p>
        </w:tc>
      </w:tr>
      <w:tr w:rsidR="007D7E46" w:rsidRPr="00C0590A" w14:paraId="3AE75705" w14:textId="77777777" w:rsidTr="00472553">
        <w:trPr>
          <w:trHeight w:val="262"/>
        </w:trPr>
        <w:tc>
          <w:tcPr>
            <w:tcW w:w="7684" w:type="dxa"/>
            <w:noWrap/>
            <w:hideMark/>
          </w:tcPr>
          <w:p w14:paraId="2E7CC5A9" w14:textId="77777777" w:rsidR="007D7E46" w:rsidRPr="00C92F63" w:rsidRDefault="007D7E46">
            <w:pPr>
              <w:pStyle w:val="TableText"/>
              <w:rPr>
                <w:sz w:val="20"/>
                <w:szCs w:val="20"/>
              </w:rPr>
            </w:pPr>
            <w:r w:rsidRPr="00C92F63">
              <w:rPr>
                <w:sz w:val="20"/>
                <w:szCs w:val="20"/>
              </w:rPr>
              <w:t>Inundated estuarine ecosystems (ha)</w:t>
            </w:r>
          </w:p>
        </w:tc>
        <w:tc>
          <w:tcPr>
            <w:tcW w:w="1473" w:type="dxa"/>
            <w:noWrap/>
          </w:tcPr>
          <w:p w14:paraId="03B7BD57"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23,768</w:t>
            </w:r>
          </w:p>
        </w:tc>
      </w:tr>
      <w:tr w:rsidR="007D7E46" w:rsidRPr="00C0590A" w14:paraId="4CD6A941"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shd w:val="clear" w:color="auto" w:fill="A4F6F4" w:themeFill="accent5" w:themeFillTint="66"/>
            <w:noWrap/>
            <w:hideMark/>
          </w:tcPr>
          <w:p w14:paraId="58023F4B" w14:textId="77777777" w:rsidR="007D7E46" w:rsidRPr="00C92F63" w:rsidRDefault="007D7E46" w:rsidP="008C00AD">
            <w:pPr>
              <w:pStyle w:val="RowHeading"/>
              <w:rPr>
                <w:bCs/>
                <w:sz w:val="20"/>
                <w:szCs w:val="20"/>
              </w:rPr>
            </w:pPr>
            <w:r w:rsidRPr="00C92F63">
              <w:rPr>
                <w:sz w:val="20"/>
                <w:szCs w:val="20"/>
              </w:rPr>
              <w:t>Species Diversity</w:t>
            </w:r>
          </w:p>
        </w:tc>
        <w:tc>
          <w:tcPr>
            <w:tcW w:w="1473" w:type="dxa"/>
            <w:shd w:val="clear" w:color="auto" w:fill="A4F6F4" w:themeFill="accent5" w:themeFillTint="66"/>
          </w:tcPr>
          <w:p w14:paraId="69431056" w14:textId="77777777" w:rsidR="007D7E46" w:rsidRPr="00C92F63" w:rsidRDefault="007D7E46" w:rsidP="008C00AD">
            <w:pPr>
              <w:pStyle w:val="RowHeading"/>
              <w:rPr>
                <w:sz w:val="20"/>
                <w:szCs w:val="20"/>
              </w:rPr>
            </w:pPr>
          </w:p>
        </w:tc>
      </w:tr>
      <w:tr w:rsidR="007D7E46" w:rsidRPr="00C0590A" w14:paraId="10FB3141" w14:textId="77777777" w:rsidTr="00472553">
        <w:trPr>
          <w:trHeight w:val="262"/>
        </w:trPr>
        <w:tc>
          <w:tcPr>
            <w:tcW w:w="7684" w:type="dxa"/>
            <w:noWrap/>
            <w:hideMark/>
          </w:tcPr>
          <w:p w14:paraId="6227FFAC" w14:textId="77777777" w:rsidR="007D7E46" w:rsidRPr="00C92F63" w:rsidRDefault="007D7E46">
            <w:pPr>
              <w:pStyle w:val="TableText"/>
              <w:rPr>
                <w:sz w:val="20"/>
                <w:szCs w:val="20"/>
              </w:rPr>
            </w:pPr>
            <w:r w:rsidRPr="00C92F63">
              <w:rPr>
                <w:sz w:val="20"/>
                <w:szCs w:val="20"/>
              </w:rPr>
              <w:t>Total Commonwealth environmental water delivered to support species diversity objectives (GL)</w:t>
            </w:r>
          </w:p>
        </w:tc>
        <w:tc>
          <w:tcPr>
            <w:tcW w:w="1473" w:type="dxa"/>
            <w:noWrap/>
          </w:tcPr>
          <w:p w14:paraId="33885A41"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11,021</w:t>
            </w:r>
          </w:p>
        </w:tc>
      </w:tr>
      <w:tr w:rsidR="007D7E46" w:rsidRPr="00C0590A" w14:paraId="4DCB195F"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0F9D4297" w14:textId="77777777" w:rsidR="007D7E46" w:rsidRPr="00C92F63" w:rsidRDefault="007D7E46">
            <w:pPr>
              <w:pStyle w:val="TableText"/>
              <w:rPr>
                <w:sz w:val="20"/>
                <w:szCs w:val="20"/>
              </w:rPr>
            </w:pPr>
            <w:r w:rsidRPr="00C92F63">
              <w:rPr>
                <w:sz w:val="20"/>
                <w:szCs w:val="20"/>
              </w:rPr>
              <w:t>Number of Commonwealth environmental watering actions</w:t>
            </w:r>
          </w:p>
        </w:tc>
        <w:tc>
          <w:tcPr>
            <w:tcW w:w="1473" w:type="dxa"/>
            <w:noWrap/>
          </w:tcPr>
          <w:p w14:paraId="1F104245"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740</w:t>
            </w:r>
          </w:p>
        </w:tc>
      </w:tr>
      <w:tr w:rsidR="007D7E46" w:rsidRPr="00C0590A" w14:paraId="4E2102AF" w14:textId="77777777" w:rsidTr="00472553">
        <w:trPr>
          <w:trHeight w:val="262"/>
        </w:trPr>
        <w:tc>
          <w:tcPr>
            <w:tcW w:w="7684" w:type="dxa"/>
            <w:noWrap/>
            <w:hideMark/>
          </w:tcPr>
          <w:p w14:paraId="03993638" w14:textId="77777777" w:rsidR="007D7E46" w:rsidRPr="00C92F63" w:rsidRDefault="007D7E46">
            <w:pPr>
              <w:pStyle w:val="TableText"/>
              <w:rPr>
                <w:rFonts w:asciiTheme="minorHAnsi" w:hAnsiTheme="minorHAnsi" w:cstheme="minorHAnsi"/>
                <w:sz w:val="20"/>
                <w:szCs w:val="20"/>
              </w:rPr>
            </w:pPr>
            <w:r w:rsidRPr="00C92F63">
              <w:rPr>
                <w:rFonts w:asciiTheme="minorHAnsi" w:hAnsiTheme="minorHAnsi" w:cstheme="minorHAnsi"/>
                <w:sz w:val="20"/>
                <w:szCs w:val="20"/>
              </w:rPr>
              <w:t>Waterbird species supported</w:t>
            </w:r>
          </w:p>
        </w:tc>
        <w:tc>
          <w:tcPr>
            <w:tcW w:w="1473" w:type="dxa"/>
            <w:noWrap/>
          </w:tcPr>
          <w:p w14:paraId="27C1BA9E"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97</w:t>
            </w:r>
          </w:p>
        </w:tc>
      </w:tr>
      <w:tr w:rsidR="007D7E46" w:rsidRPr="00C0590A" w14:paraId="011714C3"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6370D1C2" w14:textId="77777777" w:rsidR="007D7E46" w:rsidRPr="00C92F63" w:rsidRDefault="007D7E46">
            <w:pPr>
              <w:pStyle w:val="TableText"/>
              <w:rPr>
                <w:rFonts w:asciiTheme="minorHAnsi" w:hAnsiTheme="minorHAnsi" w:cstheme="minorHAnsi"/>
                <w:sz w:val="20"/>
                <w:szCs w:val="20"/>
              </w:rPr>
            </w:pPr>
            <w:r w:rsidRPr="00C92F63">
              <w:rPr>
                <w:rFonts w:asciiTheme="minorHAnsi" w:hAnsiTheme="minorHAnsi" w:cstheme="minorHAnsi"/>
                <w:sz w:val="20"/>
                <w:szCs w:val="20"/>
              </w:rPr>
              <w:t>Number of waterbird species of conservation significance supported</w:t>
            </w:r>
          </w:p>
        </w:tc>
        <w:tc>
          <w:tcPr>
            <w:tcW w:w="1473" w:type="dxa"/>
            <w:noWrap/>
          </w:tcPr>
          <w:p w14:paraId="7A2BE5AD"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59</w:t>
            </w:r>
          </w:p>
        </w:tc>
      </w:tr>
      <w:tr w:rsidR="007D7E46" w:rsidRPr="00C0590A" w14:paraId="21219625" w14:textId="77777777" w:rsidTr="00472553">
        <w:trPr>
          <w:trHeight w:val="262"/>
        </w:trPr>
        <w:tc>
          <w:tcPr>
            <w:tcW w:w="7684" w:type="dxa"/>
            <w:shd w:val="clear" w:color="auto" w:fill="A4F6F4" w:themeFill="accent5" w:themeFillTint="66"/>
            <w:noWrap/>
            <w:hideMark/>
          </w:tcPr>
          <w:p w14:paraId="6D843A81" w14:textId="77777777" w:rsidR="007D7E46" w:rsidRPr="00C92F63" w:rsidRDefault="007D7E46" w:rsidP="008C00AD">
            <w:pPr>
              <w:pStyle w:val="RowHeading"/>
              <w:rPr>
                <w:bCs/>
                <w:sz w:val="20"/>
                <w:szCs w:val="20"/>
              </w:rPr>
            </w:pPr>
            <w:r w:rsidRPr="00C92F63">
              <w:rPr>
                <w:sz w:val="20"/>
                <w:szCs w:val="20"/>
              </w:rPr>
              <w:t>Vegetation</w:t>
            </w:r>
          </w:p>
        </w:tc>
        <w:tc>
          <w:tcPr>
            <w:tcW w:w="1473" w:type="dxa"/>
            <w:shd w:val="clear" w:color="auto" w:fill="A4F6F4" w:themeFill="accent5" w:themeFillTint="66"/>
          </w:tcPr>
          <w:p w14:paraId="04C55384" w14:textId="77777777" w:rsidR="007D7E46" w:rsidRPr="00C92F63" w:rsidRDefault="007D7E46" w:rsidP="008C00AD">
            <w:pPr>
              <w:pStyle w:val="RowHeading"/>
              <w:rPr>
                <w:sz w:val="20"/>
                <w:szCs w:val="20"/>
              </w:rPr>
            </w:pPr>
          </w:p>
        </w:tc>
      </w:tr>
      <w:tr w:rsidR="007D7E46" w:rsidRPr="00C0590A" w14:paraId="2E81F67F"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2089BCD8" w14:textId="77777777" w:rsidR="007D7E46" w:rsidRPr="00C92F63" w:rsidRDefault="007D7E46">
            <w:pPr>
              <w:pStyle w:val="TableText"/>
              <w:rPr>
                <w:sz w:val="20"/>
                <w:szCs w:val="20"/>
              </w:rPr>
            </w:pPr>
            <w:r w:rsidRPr="00C92F63">
              <w:rPr>
                <w:sz w:val="20"/>
                <w:szCs w:val="20"/>
              </w:rPr>
              <w:t>Total Commonwealth environmental water delivered to support vegetation objectives (GL)</w:t>
            </w:r>
          </w:p>
        </w:tc>
        <w:tc>
          <w:tcPr>
            <w:tcW w:w="1473" w:type="dxa"/>
            <w:noWrap/>
          </w:tcPr>
          <w:p w14:paraId="5F1E752C"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13,011</w:t>
            </w:r>
          </w:p>
        </w:tc>
      </w:tr>
      <w:tr w:rsidR="007D7E46" w:rsidRPr="00C0590A" w14:paraId="6DF02BA8" w14:textId="77777777" w:rsidTr="00472553">
        <w:trPr>
          <w:trHeight w:val="262"/>
        </w:trPr>
        <w:tc>
          <w:tcPr>
            <w:tcW w:w="7684" w:type="dxa"/>
            <w:noWrap/>
            <w:hideMark/>
          </w:tcPr>
          <w:p w14:paraId="4ADA33FD" w14:textId="77777777" w:rsidR="007D7E46" w:rsidRPr="00C92F63" w:rsidRDefault="007D7E46">
            <w:pPr>
              <w:pStyle w:val="TableText"/>
              <w:rPr>
                <w:sz w:val="20"/>
                <w:szCs w:val="20"/>
              </w:rPr>
            </w:pPr>
            <w:r w:rsidRPr="00C92F63">
              <w:rPr>
                <w:sz w:val="20"/>
                <w:szCs w:val="20"/>
              </w:rPr>
              <w:t>Number of Commonwealth environmental watering actions</w:t>
            </w:r>
          </w:p>
        </w:tc>
        <w:tc>
          <w:tcPr>
            <w:tcW w:w="1473" w:type="dxa"/>
            <w:noWrap/>
          </w:tcPr>
          <w:p w14:paraId="30094030"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818</w:t>
            </w:r>
          </w:p>
        </w:tc>
      </w:tr>
      <w:tr w:rsidR="007D7E46" w:rsidRPr="00C0590A" w14:paraId="2666F66C"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31C7AB0B" w14:textId="77777777" w:rsidR="007D7E46" w:rsidRPr="00C92F63" w:rsidRDefault="007D7E46">
            <w:pPr>
              <w:pStyle w:val="TableText"/>
              <w:rPr>
                <w:sz w:val="20"/>
                <w:szCs w:val="20"/>
              </w:rPr>
            </w:pPr>
            <w:r w:rsidRPr="00C92F63">
              <w:rPr>
                <w:sz w:val="20"/>
                <w:szCs w:val="20"/>
              </w:rPr>
              <w:t xml:space="preserve">Number of taxa recorded at monitoring locations (Selected Areas) </w:t>
            </w:r>
          </w:p>
        </w:tc>
        <w:tc>
          <w:tcPr>
            <w:tcW w:w="1473" w:type="dxa"/>
            <w:noWrap/>
          </w:tcPr>
          <w:p w14:paraId="53F984C2"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804</w:t>
            </w:r>
          </w:p>
        </w:tc>
      </w:tr>
      <w:tr w:rsidR="007D7E46" w:rsidRPr="00C0590A" w14:paraId="712250FF" w14:textId="77777777" w:rsidTr="00472553">
        <w:trPr>
          <w:trHeight w:val="262"/>
        </w:trPr>
        <w:tc>
          <w:tcPr>
            <w:tcW w:w="7684" w:type="dxa"/>
            <w:noWrap/>
            <w:hideMark/>
          </w:tcPr>
          <w:p w14:paraId="57084EF2" w14:textId="77777777" w:rsidR="007D7E46" w:rsidRPr="00C92F63" w:rsidRDefault="007D7E46">
            <w:pPr>
              <w:pStyle w:val="TableText"/>
              <w:rPr>
                <w:sz w:val="20"/>
                <w:szCs w:val="20"/>
              </w:rPr>
            </w:pPr>
            <w:r w:rsidRPr="00C92F63">
              <w:rPr>
                <w:sz w:val="20"/>
                <w:szCs w:val="20"/>
              </w:rPr>
              <w:t>Number of culturally significant plant taxa recorded</w:t>
            </w:r>
          </w:p>
        </w:tc>
        <w:tc>
          <w:tcPr>
            <w:tcW w:w="1473" w:type="dxa"/>
            <w:noWrap/>
          </w:tcPr>
          <w:p w14:paraId="74C97F37"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77</w:t>
            </w:r>
          </w:p>
        </w:tc>
      </w:tr>
      <w:tr w:rsidR="007D7E46" w:rsidRPr="00C0590A" w14:paraId="5B68777B" w14:textId="77777777" w:rsidTr="00472553">
        <w:trPr>
          <w:cnfStyle w:val="000000100000" w:firstRow="0" w:lastRow="0" w:firstColumn="0" w:lastColumn="0" w:oddVBand="0" w:evenVBand="0" w:oddHBand="1" w:evenHBand="0" w:firstRowFirstColumn="0" w:firstRowLastColumn="0" w:lastRowFirstColumn="0" w:lastRowLastColumn="0"/>
        </w:trPr>
        <w:tc>
          <w:tcPr>
            <w:tcW w:w="7684" w:type="dxa"/>
            <w:hideMark/>
          </w:tcPr>
          <w:p w14:paraId="4C8A35C1" w14:textId="7665149A" w:rsidR="007D7E46" w:rsidRPr="00C92F63" w:rsidRDefault="007D7E46">
            <w:pPr>
              <w:pStyle w:val="TableText"/>
              <w:rPr>
                <w:sz w:val="20"/>
                <w:szCs w:val="20"/>
              </w:rPr>
            </w:pPr>
            <w:r w:rsidRPr="00C92F63">
              <w:rPr>
                <w:sz w:val="20"/>
                <w:szCs w:val="20"/>
              </w:rPr>
              <w:t xml:space="preserve">Number of </w:t>
            </w:r>
            <w:r w:rsidR="000C5815">
              <w:rPr>
                <w:sz w:val="20"/>
                <w:szCs w:val="20"/>
              </w:rPr>
              <w:t xml:space="preserve">rare or </w:t>
            </w:r>
            <w:r w:rsidRPr="00C92F63">
              <w:rPr>
                <w:sz w:val="20"/>
                <w:szCs w:val="20"/>
              </w:rPr>
              <w:t>threatened species recorded</w:t>
            </w:r>
          </w:p>
        </w:tc>
        <w:tc>
          <w:tcPr>
            <w:tcW w:w="1473" w:type="dxa"/>
            <w:noWrap/>
          </w:tcPr>
          <w:p w14:paraId="6D3D1556"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101</w:t>
            </w:r>
          </w:p>
        </w:tc>
      </w:tr>
      <w:tr w:rsidR="007D7E46" w:rsidRPr="00C0590A" w14:paraId="6AA18287" w14:textId="77777777" w:rsidTr="00472553">
        <w:trPr>
          <w:trHeight w:val="262"/>
        </w:trPr>
        <w:tc>
          <w:tcPr>
            <w:tcW w:w="7684" w:type="dxa"/>
            <w:shd w:val="clear" w:color="auto" w:fill="A4F6F4" w:themeFill="accent5" w:themeFillTint="66"/>
            <w:noWrap/>
            <w:hideMark/>
          </w:tcPr>
          <w:p w14:paraId="51BC919C" w14:textId="77777777" w:rsidR="007D7E46" w:rsidRPr="00C92F63" w:rsidRDefault="007D7E46" w:rsidP="0059667F">
            <w:pPr>
              <w:pStyle w:val="RowHeading"/>
              <w:rPr>
                <w:bCs/>
                <w:sz w:val="20"/>
                <w:szCs w:val="20"/>
              </w:rPr>
            </w:pPr>
            <w:r w:rsidRPr="00C92F63">
              <w:rPr>
                <w:sz w:val="20"/>
                <w:szCs w:val="20"/>
              </w:rPr>
              <w:t>Fish</w:t>
            </w:r>
          </w:p>
        </w:tc>
        <w:tc>
          <w:tcPr>
            <w:tcW w:w="1473" w:type="dxa"/>
            <w:shd w:val="clear" w:color="auto" w:fill="A4F6F4" w:themeFill="accent5" w:themeFillTint="66"/>
          </w:tcPr>
          <w:p w14:paraId="4A2AE50A" w14:textId="77777777" w:rsidR="007D7E46" w:rsidRPr="00C92F63" w:rsidRDefault="007D7E46" w:rsidP="0059667F">
            <w:pPr>
              <w:pStyle w:val="RowHeading"/>
              <w:rPr>
                <w:sz w:val="20"/>
                <w:szCs w:val="20"/>
              </w:rPr>
            </w:pPr>
          </w:p>
        </w:tc>
      </w:tr>
      <w:tr w:rsidR="007D7E46" w:rsidRPr="00C0590A" w14:paraId="0FA54279"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51196356" w14:textId="77777777" w:rsidR="007D7E46" w:rsidRPr="00C92F63" w:rsidRDefault="007D7E46">
            <w:pPr>
              <w:pStyle w:val="TableText"/>
              <w:rPr>
                <w:sz w:val="20"/>
                <w:szCs w:val="20"/>
              </w:rPr>
            </w:pPr>
            <w:r w:rsidRPr="00C92F63">
              <w:rPr>
                <w:sz w:val="20"/>
                <w:szCs w:val="20"/>
              </w:rPr>
              <w:t>Total Commonwealth environmental water delivered to support fish objectives (GL)</w:t>
            </w:r>
          </w:p>
        </w:tc>
        <w:tc>
          <w:tcPr>
            <w:tcW w:w="1473" w:type="dxa"/>
            <w:noWrap/>
          </w:tcPr>
          <w:p w14:paraId="5604C277"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15,607</w:t>
            </w:r>
          </w:p>
        </w:tc>
      </w:tr>
      <w:tr w:rsidR="007D7E46" w:rsidRPr="00C0590A" w14:paraId="3C614DB1" w14:textId="77777777" w:rsidTr="00472553">
        <w:trPr>
          <w:trHeight w:val="262"/>
        </w:trPr>
        <w:tc>
          <w:tcPr>
            <w:tcW w:w="7684" w:type="dxa"/>
            <w:noWrap/>
            <w:hideMark/>
          </w:tcPr>
          <w:p w14:paraId="51F3DD5E" w14:textId="77777777" w:rsidR="007D7E46" w:rsidRPr="00C92F63" w:rsidRDefault="007D7E46">
            <w:pPr>
              <w:pStyle w:val="TableText"/>
              <w:rPr>
                <w:sz w:val="20"/>
                <w:szCs w:val="20"/>
              </w:rPr>
            </w:pPr>
            <w:r w:rsidRPr="00C92F63">
              <w:rPr>
                <w:sz w:val="20"/>
                <w:szCs w:val="20"/>
              </w:rPr>
              <w:t>Number of Commonwealth environmental watering actions</w:t>
            </w:r>
          </w:p>
        </w:tc>
        <w:tc>
          <w:tcPr>
            <w:tcW w:w="1473" w:type="dxa"/>
            <w:noWrap/>
          </w:tcPr>
          <w:p w14:paraId="13804EF2"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701</w:t>
            </w:r>
          </w:p>
        </w:tc>
      </w:tr>
      <w:tr w:rsidR="007D7E46" w:rsidRPr="00C0590A" w14:paraId="0F271F71"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7BEE467B" w14:textId="423A9FEE" w:rsidR="007D7E46" w:rsidRPr="00C92F63" w:rsidRDefault="007D7E46">
            <w:pPr>
              <w:pStyle w:val="TableText"/>
              <w:rPr>
                <w:sz w:val="20"/>
                <w:szCs w:val="20"/>
              </w:rPr>
            </w:pPr>
            <w:r w:rsidRPr="00C92F63">
              <w:rPr>
                <w:sz w:val="20"/>
                <w:szCs w:val="20"/>
              </w:rPr>
              <w:t xml:space="preserve">Number of native fish species detected from instream sampling in Selected Areas </w:t>
            </w:r>
          </w:p>
        </w:tc>
        <w:tc>
          <w:tcPr>
            <w:tcW w:w="1473" w:type="dxa"/>
            <w:noWrap/>
          </w:tcPr>
          <w:p w14:paraId="7F12CBF3"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15</w:t>
            </w:r>
          </w:p>
        </w:tc>
      </w:tr>
      <w:tr w:rsidR="007D7E46" w:rsidRPr="00C0590A" w14:paraId="630E91B8" w14:textId="77777777" w:rsidTr="00472553">
        <w:trPr>
          <w:trHeight w:val="262"/>
        </w:trPr>
        <w:tc>
          <w:tcPr>
            <w:tcW w:w="7684" w:type="dxa"/>
            <w:shd w:val="clear" w:color="auto" w:fill="A4F6F4" w:themeFill="accent5" w:themeFillTint="66"/>
            <w:noWrap/>
            <w:hideMark/>
          </w:tcPr>
          <w:p w14:paraId="6AEDF6C2" w14:textId="77777777" w:rsidR="007D7E46" w:rsidRPr="00C92F63" w:rsidRDefault="007D7E46" w:rsidP="0059667F">
            <w:pPr>
              <w:pStyle w:val="RowHeading"/>
              <w:rPr>
                <w:bCs/>
                <w:sz w:val="20"/>
                <w:szCs w:val="20"/>
              </w:rPr>
            </w:pPr>
            <w:r w:rsidRPr="00C92F63">
              <w:rPr>
                <w:sz w:val="20"/>
                <w:szCs w:val="20"/>
              </w:rPr>
              <w:t>Food webs and water quality</w:t>
            </w:r>
          </w:p>
        </w:tc>
        <w:tc>
          <w:tcPr>
            <w:tcW w:w="1473" w:type="dxa"/>
            <w:shd w:val="clear" w:color="auto" w:fill="A4F6F4" w:themeFill="accent5" w:themeFillTint="66"/>
          </w:tcPr>
          <w:p w14:paraId="46205FF8" w14:textId="77777777" w:rsidR="007D7E46" w:rsidRPr="00C92F63" w:rsidRDefault="007D7E46" w:rsidP="0059667F">
            <w:pPr>
              <w:pStyle w:val="RowHeading"/>
              <w:rPr>
                <w:sz w:val="20"/>
                <w:szCs w:val="20"/>
              </w:rPr>
            </w:pPr>
          </w:p>
        </w:tc>
      </w:tr>
      <w:tr w:rsidR="007D7E46" w:rsidRPr="00C0590A" w14:paraId="64CAB377"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40F93DE0" w14:textId="77777777" w:rsidR="007D7E46" w:rsidRPr="00C92F63" w:rsidRDefault="007D7E46">
            <w:pPr>
              <w:pStyle w:val="TableText"/>
              <w:rPr>
                <w:sz w:val="20"/>
                <w:szCs w:val="20"/>
              </w:rPr>
            </w:pPr>
            <w:r w:rsidRPr="00C92F63">
              <w:rPr>
                <w:sz w:val="20"/>
                <w:szCs w:val="20"/>
              </w:rPr>
              <w:t>Total Commonwealth environmental water delivered to support food web and/or water quality objectives</w:t>
            </w:r>
            <w:r w:rsidRPr="00C92F63" w:rsidDel="00814C9F">
              <w:rPr>
                <w:sz w:val="20"/>
                <w:szCs w:val="20"/>
              </w:rPr>
              <w:t xml:space="preserve"> </w:t>
            </w:r>
            <w:r w:rsidRPr="00C92F63">
              <w:rPr>
                <w:sz w:val="20"/>
                <w:szCs w:val="20"/>
              </w:rPr>
              <w:t>(GL)</w:t>
            </w:r>
          </w:p>
        </w:tc>
        <w:tc>
          <w:tcPr>
            <w:tcW w:w="1473" w:type="dxa"/>
            <w:noWrap/>
          </w:tcPr>
          <w:p w14:paraId="34C781C8"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14,310</w:t>
            </w:r>
          </w:p>
        </w:tc>
      </w:tr>
      <w:tr w:rsidR="007D7E46" w:rsidRPr="00C0590A" w14:paraId="6FB77BD3" w14:textId="77777777" w:rsidTr="00472553">
        <w:trPr>
          <w:trHeight w:val="262"/>
        </w:trPr>
        <w:tc>
          <w:tcPr>
            <w:tcW w:w="7684" w:type="dxa"/>
            <w:noWrap/>
            <w:hideMark/>
          </w:tcPr>
          <w:p w14:paraId="4F53C5F4" w14:textId="77777777" w:rsidR="007D7E46" w:rsidRPr="00C92F63" w:rsidRDefault="007D7E46">
            <w:pPr>
              <w:pStyle w:val="TableText"/>
              <w:rPr>
                <w:sz w:val="20"/>
                <w:szCs w:val="20"/>
              </w:rPr>
            </w:pPr>
            <w:r w:rsidRPr="00C92F63">
              <w:rPr>
                <w:sz w:val="20"/>
                <w:szCs w:val="20"/>
              </w:rPr>
              <w:t>Number of Commonwealth environmental watering actions</w:t>
            </w:r>
          </w:p>
        </w:tc>
        <w:tc>
          <w:tcPr>
            <w:tcW w:w="1473" w:type="dxa"/>
            <w:noWrap/>
          </w:tcPr>
          <w:p w14:paraId="5BDE06CB"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511</w:t>
            </w:r>
          </w:p>
        </w:tc>
      </w:tr>
      <w:tr w:rsidR="007D7E46" w:rsidRPr="00C0590A" w14:paraId="0E7C23EA" w14:textId="77777777" w:rsidTr="00472553">
        <w:trPr>
          <w:cnfStyle w:val="000000100000" w:firstRow="0" w:lastRow="0" w:firstColumn="0" w:lastColumn="0" w:oddVBand="0" w:evenVBand="0" w:oddHBand="1" w:evenHBand="0" w:firstRowFirstColumn="0" w:firstRowLastColumn="0" w:lastRowFirstColumn="0" w:lastRowLastColumn="0"/>
          <w:trHeight w:val="262"/>
        </w:trPr>
        <w:tc>
          <w:tcPr>
            <w:tcW w:w="7684" w:type="dxa"/>
            <w:noWrap/>
            <w:hideMark/>
          </w:tcPr>
          <w:p w14:paraId="6D1644F0" w14:textId="77777777" w:rsidR="007D7E46" w:rsidRPr="00C92F63" w:rsidRDefault="007D7E46">
            <w:pPr>
              <w:pStyle w:val="TableText"/>
              <w:rPr>
                <w:sz w:val="20"/>
                <w:szCs w:val="20"/>
              </w:rPr>
            </w:pPr>
            <w:r w:rsidRPr="00C92F63">
              <w:rPr>
                <w:sz w:val="20"/>
                <w:szCs w:val="20"/>
              </w:rPr>
              <w:t xml:space="preserve">Additional export of salt over barrages due to Commonwealth environmental water (tonnes) </w:t>
            </w:r>
          </w:p>
        </w:tc>
        <w:tc>
          <w:tcPr>
            <w:tcW w:w="1473" w:type="dxa"/>
            <w:noWrap/>
          </w:tcPr>
          <w:p w14:paraId="0A5F8BA0"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4,374,174</w:t>
            </w:r>
          </w:p>
        </w:tc>
      </w:tr>
      <w:tr w:rsidR="007D7E46" w:rsidRPr="00C0590A" w14:paraId="1DCC1317" w14:textId="77777777" w:rsidTr="00472553">
        <w:trPr>
          <w:trHeight w:val="262"/>
        </w:trPr>
        <w:tc>
          <w:tcPr>
            <w:tcW w:w="7684" w:type="dxa"/>
            <w:noWrap/>
            <w:hideMark/>
          </w:tcPr>
          <w:p w14:paraId="4B7A709E" w14:textId="77777777" w:rsidR="007D7E46" w:rsidRPr="00C92F63" w:rsidRDefault="007D7E46">
            <w:pPr>
              <w:pStyle w:val="TableText"/>
              <w:rPr>
                <w:sz w:val="20"/>
                <w:szCs w:val="20"/>
              </w:rPr>
            </w:pPr>
            <w:r w:rsidRPr="00C92F63">
              <w:rPr>
                <w:sz w:val="20"/>
                <w:szCs w:val="20"/>
              </w:rPr>
              <w:t>Reduction of salt import at the Murray Mouth due to Commonwealth environmental water (tonnes)</w:t>
            </w:r>
          </w:p>
        </w:tc>
        <w:tc>
          <w:tcPr>
            <w:tcW w:w="1473" w:type="dxa"/>
            <w:noWrap/>
          </w:tcPr>
          <w:p w14:paraId="333F4879" w14:textId="77777777" w:rsidR="007D7E46" w:rsidRPr="00C92F63" w:rsidRDefault="007D7E46">
            <w:pPr>
              <w:pStyle w:val="TableTextRight"/>
              <w:rPr>
                <w:rFonts w:asciiTheme="minorHAnsi" w:hAnsiTheme="minorHAnsi" w:cstheme="minorHAnsi"/>
                <w:sz w:val="20"/>
                <w:szCs w:val="20"/>
              </w:rPr>
            </w:pPr>
            <w:r w:rsidRPr="00C92F63">
              <w:rPr>
                <w:rFonts w:asciiTheme="minorHAnsi" w:hAnsiTheme="minorHAnsi" w:cstheme="minorHAnsi"/>
                <w:sz w:val="20"/>
                <w:szCs w:val="20"/>
              </w:rPr>
              <w:t>28,932,488</w:t>
            </w:r>
          </w:p>
        </w:tc>
      </w:tr>
    </w:tbl>
    <w:p w14:paraId="1B7F13D8" w14:textId="77777777" w:rsidR="007309D3" w:rsidRPr="007309D3" w:rsidRDefault="007309D3" w:rsidP="007309D3">
      <w:pPr>
        <w:pStyle w:val="BodyText"/>
      </w:pPr>
    </w:p>
    <w:p w14:paraId="0157DBF5" w14:textId="7BCAE7AD" w:rsidR="0051255C" w:rsidRDefault="00762ADC" w:rsidP="00113FC9">
      <w:pPr>
        <w:pStyle w:val="Heading1notnumbered"/>
      </w:pPr>
      <w:bookmarkStart w:id="33" w:name="_Toc203682254"/>
      <w:bookmarkStart w:id="34" w:name="_Toc204606870"/>
      <w:bookmarkEnd w:id="16"/>
      <w:bookmarkEnd w:id="17"/>
      <w:bookmarkEnd w:id="18"/>
      <w:r>
        <w:lastRenderedPageBreak/>
        <w:t>W</w:t>
      </w:r>
      <w:r w:rsidR="007309D3">
        <w:t>ater year</w:t>
      </w:r>
      <w:r w:rsidR="0051255C">
        <w:t xml:space="preserve"> 20</w:t>
      </w:r>
      <w:r w:rsidR="007309D3">
        <w:t>23</w:t>
      </w:r>
      <w:r w:rsidR="0051255C">
        <w:t>–24</w:t>
      </w:r>
      <w:r w:rsidR="00D17ADB">
        <w:t xml:space="preserve">: </w:t>
      </w:r>
      <w:r w:rsidR="00A6250B">
        <w:t>statistics</w:t>
      </w:r>
      <w:bookmarkEnd w:id="33"/>
      <w:bookmarkEnd w:id="34"/>
    </w:p>
    <w:p w14:paraId="22536B95" w14:textId="2D12AF03" w:rsidR="00E42852" w:rsidRPr="004B520E" w:rsidRDefault="00A423EB" w:rsidP="00E42852">
      <w:pPr>
        <w:pStyle w:val="BodyText"/>
      </w:pPr>
      <w:r>
        <w:t xml:space="preserve">Annual rainfall in 2023–24 was close to the long-term average </w:t>
      </w:r>
      <w:r w:rsidRPr="00125873">
        <w:t xml:space="preserve">in </w:t>
      </w:r>
      <w:r>
        <w:t>Basin</w:t>
      </w:r>
      <w:r w:rsidRPr="00125873">
        <w:t xml:space="preserve"> valleys</w:t>
      </w:r>
      <w:r>
        <w:t xml:space="preserve">. </w:t>
      </w:r>
      <w:r w:rsidR="00E42852" w:rsidRPr="004B520E">
        <w:t>Rainfall varied significantly between and within valleys, wetter in the central Basin and very dry in headwaters and the lower Murray.</w:t>
      </w:r>
      <w:r w:rsidR="00497E7E">
        <w:t xml:space="preserve"> </w:t>
      </w:r>
      <w:r>
        <w:t>Following very wet conditions in 2021–22 and 2022–23, a return to average rainfall conditions in 2023–24 saw Basin storages start at 94% of total capacity of 22,258 GL in July 202</w:t>
      </w:r>
      <w:r w:rsidR="00497E7E">
        <w:t>3</w:t>
      </w:r>
      <w:r>
        <w:t xml:space="preserve"> and decrease to 77% through the water year.</w:t>
      </w:r>
      <w:r w:rsidR="00E42852" w:rsidRPr="00E42852">
        <w:t xml:space="preserve"> </w:t>
      </w:r>
      <w:r w:rsidR="00E42852">
        <w:t xml:space="preserve">Total surface water runoff in the Basin in 2023–24 was 22,509 GL, much less than the </w:t>
      </w:r>
      <w:r w:rsidR="00B51A25">
        <w:t xml:space="preserve">10-year </w:t>
      </w:r>
      <w:r w:rsidR="00E42852">
        <w:t>average of around 36,500 GL</w:t>
      </w:r>
      <w:r w:rsidR="00B51A25">
        <w:t xml:space="preserve"> and the 24-year (from 2000)</w:t>
      </w:r>
      <w:r w:rsidR="00BD1737">
        <w:t xml:space="preserve"> average of around 31,700 GL.</w:t>
      </w:r>
    </w:p>
    <w:p w14:paraId="268C1A71" w14:textId="1186D5C5" w:rsidR="0027057B" w:rsidRPr="004B520E" w:rsidRDefault="00BD1737" w:rsidP="00113FC9">
      <w:pPr>
        <w:pStyle w:val="Heading2notnumbered"/>
      </w:pPr>
      <w:bookmarkStart w:id="35" w:name="_Toc203682255"/>
      <w:bookmarkStart w:id="36" w:name="_Toc204606871"/>
      <w:bookmarkStart w:id="37" w:name="_Toc168579809"/>
      <w:bookmarkStart w:id="38" w:name="_Toc71444365"/>
      <w:bookmarkEnd w:id="19"/>
      <w:r>
        <w:t>Commonwealth environmental w</w:t>
      </w:r>
      <w:r w:rsidR="0059667F">
        <w:t>ater delivery</w:t>
      </w:r>
      <w:bookmarkEnd w:id="35"/>
      <w:bookmarkEnd w:id="36"/>
    </w:p>
    <w:p w14:paraId="67DF1AE5" w14:textId="20949B46" w:rsidR="0027057B" w:rsidRPr="004B520E" w:rsidRDefault="0027057B" w:rsidP="0059667F">
      <w:pPr>
        <w:pStyle w:val="ListBullet"/>
      </w:pPr>
      <w:r>
        <w:t xml:space="preserve">In </w:t>
      </w:r>
      <w:r w:rsidR="00244943">
        <w:t>2023–24</w:t>
      </w:r>
      <w:r>
        <w:t>, 1</w:t>
      </w:r>
      <w:r w:rsidR="007A4FD7">
        <w:t>14</w:t>
      </w:r>
      <w:r>
        <w:t xml:space="preserve"> watering actions delivered </w:t>
      </w:r>
      <w:r w:rsidR="007A4FD7">
        <w:t>2,</w:t>
      </w:r>
      <w:r w:rsidR="000904F2">
        <w:t>87</w:t>
      </w:r>
      <w:r w:rsidR="007A4FD7">
        <w:t>0</w:t>
      </w:r>
      <w:r>
        <w:t xml:space="preserve"> GL of Commonwealth environmental water to rivers, wetlands and floodplains </w:t>
      </w:r>
      <w:r w:rsidR="00ED5047">
        <w:t xml:space="preserve">across </w:t>
      </w:r>
      <w:r>
        <w:t xml:space="preserve">all 19 </w:t>
      </w:r>
      <w:r w:rsidR="00ED5047">
        <w:t xml:space="preserve">Basin </w:t>
      </w:r>
      <w:r>
        <w:t>valleys where the CEWH holds entitlements.</w:t>
      </w:r>
    </w:p>
    <w:p w14:paraId="74CE5587" w14:textId="77777777" w:rsidR="002E6E61" w:rsidRPr="004B520E" w:rsidRDefault="002E6E61" w:rsidP="002E6E61">
      <w:pPr>
        <w:pStyle w:val="ListBullet"/>
      </w:pPr>
      <w:r>
        <w:t>Of 66 ANAE types found in the Basin, the Commonwealth can deliver environmental water to 64 representative types. In 2023–24, Commonwealth environmental water was delivered to 52 types (or 81% of those able to receive it).</w:t>
      </w:r>
    </w:p>
    <w:p w14:paraId="7123BE2E" w14:textId="5ECD5DE8" w:rsidR="007A4FD7" w:rsidRPr="004B520E" w:rsidRDefault="007A4FD7" w:rsidP="0059667F">
      <w:pPr>
        <w:pStyle w:val="ListBullet"/>
      </w:pPr>
      <w:r>
        <w:t>2,615 GL (91% by volume, of total 2023–24 delivery) of Commonwealth environmental water were delivered in the southern Basin. The northern Basin received 255 GL</w:t>
      </w:r>
      <w:r w:rsidR="004E0206">
        <w:t xml:space="preserve"> –</w:t>
      </w:r>
      <w:r>
        <w:t xml:space="preserve"> 71 GL of this (28% of northern Basin total or 2.5% of Basin total) was delivered in the Condamine Balonne to support the Narran Lakes.</w:t>
      </w:r>
    </w:p>
    <w:p w14:paraId="6EEF22BA" w14:textId="07986B8B" w:rsidR="007A4FD7" w:rsidRPr="004B520E" w:rsidRDefault="007A4FD7" w:rsidP="0059667F">
      <w:pPr>
        <w:pStyle w:val="ListBullet"/>
      </w:pPr>
      <w:r>
        <w:t>Most Commonwealth environmental water was delivered as base flow actions in the southern Basin. Actions in the northern Basin were predominantly for fresh and overbank flows except for a base flow action in the Warrego and Barwon</w:t>
      </w:r>
      <w:r w:rsidR="0084587F">
        <w:t xml:space="preserve"> </w:t>
      </w:r>
      <w:r>
        <w:t>Darling. Base flow actions aimed to improve flow regime.</w:t>
      </w:r>
    </w:p>
    <w:p w14:paraId="73C0B654" w14:textId="38F1B194" w:rsidR="00E72A48" w:rsidRDefault="007A4FD7" w:rsidP="0059667F">
      <w:pPr>
        <w:pStyle w:val="ListBullet"/>
      </w:pPr>
      <w:r>
        <w:t xml:space="preserve">Commonwealth environmental water </w:t>
      </w:r>
      <w:r w:rsidR="00B332B1">
        <w:t xml:space="preserve">supported </w:t>
      </w:r>
      <w:r>
        <w:t>23,768 ha of estuary, 200,890 ha of lakes and wetlands, and 47,770 ha of floodplain area and connected 21,075 km of waterways.</w:t>
      </w:r>
    </w:p>
    <w:p w14:paraId="54DA23BD" w14:textId="54600E69" w:rsidR="007A4FD7" w:rsidRPr="004B520E" w:rsidRDefault="00AC2EEA" w:rsidP="0059667F">
      <w:pPr>
        <w:pStyle w:val="ListBullet"/>
      </w:pPr>
      <w:r>
        <w:t>1,835</w:t>
      </w:r>
      <w:r w:rsidR="007A4FD7">
        <w:t xml:space="preserve"> GL of Commonwealth environmental water were delivered to </w:t>
      </w:r>
      <w:r w:rsidR="000904F2">
        <w:t>8</w:t>
      </w:r>
      <w:r w:rsidR="007A4FD7">
        <w:t xml:space="preserve"> Ramsar </w:t>
      </w:r>
      <w:r w:rsidR="00137A50">
        <w:t>S</w:t>
      </w:r>
      <w:r w:rsidR="007A4FD7">
        <w:t>ites in 2023–24.</w:t>
      </w:r>
    </w:p>
    <w:p w14:paraId="4EBB50C7" w14:textId="682FCFCC" w:rsidR="00236691" w:rsidRPr="004B520E" w:rsidRDefault="00236691" w:rsidP="00236691">
      <w:pPr>
        <w:pStyle w:val="Heading2notnumbered"/>
      </w:pPr>
      <w:bookmarkStart w:id="39" w:name="_Toc204606872"/>
      <w:bookmarkStart w:id="40" w:name="_Toc203682256"/>
      <w:r>
        <w:t>Observations</w:t>
      </w:r>
      <w:bookmarkEnd w:id="39"/>
    </w:p>
    <w:p w14:paraId="30F03F56" w14:textId="77777777" w:rsidR="002E6E61" w:rsidRPr="005821CB" w:rsidRDefault="002E6E61" w:rsidP="002E6E61">
      <w:pPr>
        <w:pStyle w:val="ListBullet"/>
      </w:pPr>
      <w:r>
        <w:t>54 groundcover plants known to be used by Aboriginal people were recorded, including 12 only seen at locations that experienced a wetter inundation regime because of environmental water.</w:t>
      </w:r>
    </w:p>
    <w:p w14:paraId="0BBAA64E" w14:textId="77777777" w:rsidR="002E6E61" w:rsidRDefault="002E6E61" w:rsidP="002E6E61">
      <w:pPr>
        <w:pStyle w:val="ListBullet"/>
      </w:pPr>
      <w:r>
        <w:t>14 native fish species were detected in 2023–24 at Flow-MER monitoring locations, compared with 15 native fish species detected over the monitoring period (2014–24).</w:t>
      </w:r>
    </w:p>
    <w:p w14:paraId="505A3CC5" w14:textId="77777777" w:rsidR="002E6E61" w:rsidRPr="001A70FC" w:rsidRDefault="002E6E61" w:rsidP="002E6E61">
      <w:pPr>
        <w:pStyle w:val="ListBullet"/>
      </w:pPr>
      <w:r>
        <w:t>68 species of waterbirds, including 39 species of conservation significance, were reported from the Warrego, Darling, Murrumbidgee, Macquarie, Central Murray, Lachlan and Condamine valleys, and aggregate-nesting species were recorded breeding in wetlands in these valleys.</w:t>
      </w:r>
    </w:p>
    <w:p w14:paraId="70A72DD8" w14:textId="7C46E604" w:rsidR="002E6E61" w:rsidRPr="001A70FC" w:rsidRDefault="002E6E61" w:rsidP="00BC7B44">
      <w:pPr>
        <w:pStyle w:val="ListBullet"/>
      </w:pPr>
      <w:r>
        <w:t xml:space="preserve">11 frog species, including the southern bell frog </w:t>
      </w:r>
      <w:r w:rsidR="00B21498">
        <w:t>(</w:t>
      </w:r>
      <w:r>
        <w:t>a species of conservation significance</w:t>
      </w:r>
      <w:r w:rsidR="00B21498">
        <w:t>)</w:t>
      </w:r>
      <w:r>
        <w:t>, were reported from Flow-MER monitoring in the Murrumbidgee valley and the junction of the Warrego and Darling rivers.</w:t>
      </w:r>
    </w:p>
    <w:p w14:paraId="2066C03D" w14:textId="77777777" w:rsidR="007851B5" w:rsidRPr="004B520E" w:rsidRDefault="007851B5" w:rsidP="00113FC9">
      <w:pPr>
        <w:pStyle w:val="Heading2notnumbered"/>
      </w:pPr>
      <w:bookmarkStart w:id="41" w:name="_Toc204606873"/>
      <w:r>
        <w:lastRenderedPageBreak/>
        <w:t>Environmental outcomes</w:t>
      </w:r>
      <w:bookmarkEnd w:id="40"/>
      <w:bookmarkEnd w:id="41"/>
    </w:p>
    <w:p w14:paraId="4F99F9E7" w14:textId="77777777" w:rsidR="007A4FD7" w:rsidRDefault="007A4FD7" w:rsidP="0059667F">
      <w:pPr>
        <w:pStyle w:val="ListBullet"/>
      </w:pPr>
      <w:r>
        <w:t>Basin Plan target flow volumes were achieved for the Coorong, Lower Lakes and Murray Mouth in 2023–24. Water level thresholds in the Lower Lakes were maintained (Basin Plan objective 8.06).</w:t>
      </w:r>
    </w:p>
    <w:p w14:paraId="22B00509" w14:textId="2861BD48" w:rsidR="001A70FC" w:rsidRDefault="000904F2" w:rsidP="005821CB">
      <w:pPr>
        <w:pStyle w:val="ListBullet"/>
      </w:pPr>
      <w:r>
        <w:t>Commonwealth environmental water contributed to the Basin Plan salt-export objective of 2</w:t>
      </w:r>
      <w:r w:rsidR="000E1CC7">
        <w:t> </w:t>
      </w:r>
      <w:r>
        <w:t xml:space="preserve">million tonnes per year by exporting </w:t>
      </w:r>
      <w:r w:rsidR="008B0A05">
        <w:t>221,</w:t>
      </w:r>
      <w:r w:rsidR="000C0E8B">
        <w:t>272</w:t>
      </w:r>
      <w:r>
        <w:t xml:space="preserve"> tonnes of salt (</w:t>
      </w:r>
      <w:r w:rsidR="00E10669">
        <w:t>1</w:t>
      </w:r>
      <w:r w:rsidR="006B1A4F">
        <w:t>7</w:t>
      </w:r>
      <w:r w:rsidR="00E10669">
        <w:t>.</w:t>
      </w:r>
      <w:r w:rsidR="006B1A4F">
        <w:t>8</w:t>
      </w:r>
      <w:r>
        <w:t xml:space="preserve">% of </w:t>
      </w:r>
      <w:r w:rsidR="00E10669">
        <w:t xml:space="preserve">the </w:t>
      </w:r>
      <w:r>
        <w:t>total salt export to the ocean in 2023–24).</w:t>
      </w:r>
    </w:p>
    <w:p w14:paraId="0565989E" w14:textId="48A745A7" w:rsidR="0035012E" w:rsidRPr="005821CB" w:rsidRDefault="0027057B" w:rsidP="005821CB">
      <w:pPr>
        <w:pStyle w:val="ListBullet"/>
      </w:pPr>
      <w:r>
        <w:t xml:space="preserve">Commonwealth environmental water </w:t>
      </w:r>
      <w:r w:rsidR="21E7808B">
        <w:t xml:space="preserve">provided the wetter hydrological regimes that </w:t>
      </w:r>
      <w:r>
        <w:t xml:space="preserve">supported </w:t>
      </w:r>
      <w:r w:rsidR="4ADCDE71">
        <w:t xml:space="preserve">important </w:t>
      </w:r>
      <w:r>
        <w:t xml:space="preserve">water-dependent plant </w:t>
      </w:r>
      <w:r w:rsidR="191CB404">
        <w:t>communities</w:t>
      </w:r>
      <w:r w:rsidR="00A25BAD">
        <w:t>.</w:t>
      </w:r>
      <w:r w:rsidR="6B661037">
        <w:t xml:space="preserve"> There was a greater proportion and cover of submerged and amphibious plants observed at sites that had wetter inundation regimes maintained using environmental water</w:t>
      </w:r>
      <w:r w:rsidR="122D3CEA">
        <w:t xml:space="preserve">. </w:t>
      </w:r>
    </w:p>
    <w:p w14:paraId="24EE2BD3" w14:textId="78E8949A" w:rsidR="258C3CFD" w:rsidRPr="001A70FC" w:rsidRDefault="258C3CFD" w:rsidP="005821CB">
      <w:pPr>
        <w:pStyle w:val="ListBullet"/>
      </w:pPr>
      <w:r>
        <w:t>It is very likely that in the absence of environmental water, there would have been a near absence of submerged species and considerably less diversity and cover of amphibious and damp-loving species at 40% of monitored sample points.</w:t>
      </w:r>
    </w:p>
    <w:p w14:paraId="2B3D44FF" w14:textId="0A2E9D83" w:rsidR="00E72A48" w:rsidRPr="001A70FC" w:rsidRDefault="000904F2" w:rsidP="0059667F">
      <w:pPr>
        <w:pStyle w:val="ListBullet"/>
      </w:pPr>
      <w:r>
        <w:t>Golden perch spawning occurred in the Goulburn River and in the Lower Murray River. Spawning in the Goulburn River coincided with a large natural overbank flow and a Commonwealth environmental water delivery of a fresh.</w:t>
      </w:r>
    </w:p>
    <w:p w14:paraId="138DF8F1" w14:textId="64C5ADE9" w:rsidR="00E72A48" w:rsidRPr="001A70FC" w:rsidRDefault="000904F2" w:rsidP="0059667F">
      <w:pPr>
        <w:pStyle w:val="ListBullet"/>
      </w:pPr>
      <w:r>
        <w:t>Silver perch spawned in the Lower Murray and in the Murrumbidgee</w:t>
      </w:r>
      <w:r w:rsidR="00B65A52">
        <w:t>,</w:t>
      </w:r>
      <w:r>
        <w:t xml:space="preserve"> and there was evidence of Murray cod recruitment in the Lower Murray River. In the Lower Murray, golden and silver perch spawning coincided with flows supported by Commonwealth environmental water.</w:t>
      </w:r>
    </w:p>
    <w:p w14:paraId="3D3A2133" w14:textId="41A97EB6" w:rsidR="0093766F" w:rsidRPr="004B520E" w:rsidRDefault="0093766F" w:rsidP="00C43CD7">
      <w:pPr>
        <w:pStyle w:val="Heading2notnumbered"/>
        <w:pageBreakBefore/>
      </w:pPr>
      <w:bookmarkStart w:id="42" w:name="_Toc204606874"/>
      <w:bookmarkEnd w:id="37"/>
      <w:r>
        <w:lastRenderedPageBreak/>
        <w:t>S</w:t>
      </w:r>
      <w:r w:rsidRPr="004B520E">
        <w:t>ummary metrics</w:t>
      </w:r>
      <w:r w:rsidR="00BC7B44">
        <w:t xml:space="preserve"> 2023–24</w:t>
      </w:r>
      <w:bookmarkEnd w:id="42"/>
    </w:p>
    <w:tbl>
      <w:tblPr>
        <w:tblStyle w:val="TableFlow-Mer0"/>
        <w:tblW w:w="8984" w:type="dxa"/>
        <w:tblLook w:val="0400" w:firstRow="0" w:lastRow="0" w:firstColumn="0" w:lastColumn="0" w:noHBand="0" w:noVBand="1"/>
      </w:tblPr>
      <w:tblGrid>
        <w:gridCol w:w="8109"/>
        <w:gridCol w:w="1093"/>
      </w:tblGrid>
      <w:tr w:rsidR="00613AF4" w:rsidRPr="00BC7B44" w14:paraId="69436C3B"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shd w:val="clear" w:color="auto" w:fill="A4F6F4" w:themeFill="accent5" w:themeFillTint="66"/>
            <w:noWrap/>
          </w:tcPr>
          <w:p w14:paraId="27908E7A" w14:textId="359FDBC0" w:rsidR="00613AF4" w:rsidRPr="00C92F63" w:rsidRDefault="00613AF4" w:rsidP="00DC4BA7">
            <w:pPr>
              <w:pStyle w:val="RowHeading"/>
              <w:rPr>
                <w:bCs/>
                <w:sz w:val="20"/>
                <w:szCs w:val="20"/>
              </w:rPr>
            </w:pPr>
            <w:r w:rsidRPr="00C92F63">
              <w:rPr>
                <w:sz w:val="20"/>
                <w:szCs w:val="20"/>
              </w:rPr>
              <w:t>Hydrology</w:t>
            </w:r>
          </w:p>
        </w:tc>
        <w:tc>
          <w:tcPr>
            <w:tcW w:w="875" w:type="dxa"/>
            <w:shd w:val="clear" w:color="auto" w:fill="A4F6F4" w:themeFill="accent5" w:themeFillTint="66"/>
          </w:tcPr>
          <w:p w14:paraId="1A3B1FE6" w14:textId="2B98FF8D" w:rsidR="00613AF4" w:rsidRPr="00C92F63" w:rsidRDefault="00613AF4" w:rsidP="00DC4BA7">
            <w:pPr>
              <w:pStyle w:val="RowHeading"/>
              <w:rPr>
                <w:sz w:val="20"/>
                <w:szCs w:val="20"/>
              </w:rPr>
            </w:pPr>
          </w:p>
        </w:tc>
      </w:tr>
      <w:tr w:rsidR="001A24C3" w:rsidRPr="00BC7B44" w14:paraId="67F26B6C" w14:textId="77777777" w:rsidTr="00DC4BA7">
        <w:trPr>
          <w:trHeight w:val="262"/>
        </w:trPr>
        <w:tc>
          <w:tcPr>
            <w:tcW w:w="8109" w:type="dxa"/>
            <w:noWrap/>
            <w:hideMark/>
          </w:tcPr>
          <w:p w14:paraId="66534F4F" w14:textId="7FF5047B" w:rsidR="001A24C3" w:rsidRPr="00C92F63" w:rsidRDefault="001A24C3" w:rsidP="001A24C3">
            <w:pPr>
              <w:pStyle w:val="TableText"/>
              <w:rPr>
                <w:sz w:val="20"/>
                <w:szCs w:val="20"/>
              </w:rPr>
            </w:pPr>
            <w:bookmarkStart w:id="43" w:name="_Hlk135058324"/>
            <w:r w:rsidRPr="00C92F63">
              <w:rPr>
                <w:sz w:val="20"/>
                <w:szCs w:val="20"/>
              </w:rPr>
              <w:t>Total surface water runoff in the Basin (GL)</w:t>
            </w:r>
          </w:p>
        </w:tc>
        <w:tc>
          <w:tcPr>
            <w:tcW w:w="875" w:type="dxa"/>
            <w:noWrap/>
          </w:tcPr>
          <w:p w14:paraId="25166A22" w14:textId="54BDB77D" w:rsidR="001A24C3" w:rsidRPr="00C92F63" w:rsidRDefault="001A24C3" w:rsidP="001A24C3">
            <w:pPr>
              <w:pStyle w:val="TableTextRight"/>
              <w:rPr>
                <w:sz w:val="20"/>
                <w:szCs w:val="20"/>
              </w:rPr>
            </w:pPr>
            <w:r w:rsidRPr="00C92F63">
              <w:rPr>
                <w:sz w:val="20"/>
                <w:szCs w:val="20"/>
              </w:rPr>
              <w:t>22,509</w:t>
            </w:r>
          </w:p>
        </w:tc>
      </w:tr>
      <w:tr w:rsidR="001A24C3" w:rsidRPr="00BC7B44" w14:paraId="573220D5"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5A0FFC9A" w14:textId="07F520AC" w:rsidR="001A24C3" w:rsidRPr="00C92F63" w:rsidRDefault="001A24C3" w:rsidP="001A24C3">
            <w:pPr>
              <w:pStyle w:val="TableText"/>
              <w:rPr>
                <w:sz w:val="20"/>
                <w:szCs w:val="20"/>
              </w:rPr>
            </w:pPr>
            <w:r w:rsidRPr="00C92F63">
              <w:rPr>
                <w:sz w:val="20"/>
                <w:szCs w:val="20"/>
              </w:rPr>
              <w:t>Total Commonwealth environmental water</w:t>
            </w:r>
            <w:r w:rsidR="00896706" w:rsidRPr="00C92F63">
              <w:rPr>
                <w:sz w:val="20"/>
                <w:szCs w:val="20"/>
              </w:rPr>
              <w:t>ing</w:t>
            </w:r>
            <w:r w:rsidRPr="00C92F63">
              <w:rPr>
                <w:sz w:val="20"/>
                <w:szCs w:val="20"/>
              </w:rPr>
              <w:t xml:space="preserve"> actions </w:t>
            </w:r>
          </w:p>
        </w:tc>
        <w:tc>
          <w:tcPr>
            <w:tcW w:w="875" w:type="dxa"/>
            <w:noWrap/>
          </w:tcPr>
          <w:p w14:paraId="325A8F24" w14:textId="4A5B0641" w:rsidR="001A24C3" w:rsidRPr="00C92F63" w:rsidRDefault="001A24C3" w:rsidP="001A24C3">
            <w:pPr>
              <w:pStyle w:val="TableTextRight"/>
              <w:rPr>
                <w:sz w:val="20"/>
                <w:szCs w:val="20"/>
              </w:rPr>
            </w:pPr>
            <w:r w:rsidRPr="00C92F63">
              <w:rPr>
                <w:sz w:val="20"/>
                <w:szCs w:val="20"/>
              </w:rPr>
              <w:t>114</w:t>
            </w:r>
          </w:p>
        </w:tc>
      </w:tr>
      <w:tr w:rsidR="001A24C3" w:rsidRPr="00BC7B44" w14:paraId="79E15EF5" w14:textId="77777777" w:rsidTr="00DC4BA7">
        <w:trPr>
          <w:trHeight w:val="262"/>
        </w:trPr>
        <w:tc>
          <w:tcPr>
            <w:tcW w:w="8109" w:type="dxa"/>
            <w:noWrap/>
            <w:hideMark/>
          </w:tcPr>
          <w:p w14:paraId="39227388" w14:textId="68A8C682" w:rsidR="001A24C3" w:rsidRPr="00C92F63" w:rsidRDefault="001A24C3" w:rsidP="001A24C3">
            <w:pPr>
              <w:pStyle w:val="TableText"/>
              <w:rPr>
                <w:bCs/>
                <w:sz w:val="20"/>
                <w:szCs w:val="20"/>
              </w:rPr>
            </w:pPr>
            <w:r w:rsidRPr="00C92F63">
              <w:rPr>
                <w:sz w:val="20"/>
                <w:szCs w:val="20"/>
              </w:rPr>
              <w:t>Total Commonwealth environmental water delivered (GL)</w:t>
            </w:r>
          </w:p>
        </w:tc>
        <w:tc>
          <w:tcPr>
            <w:tcW w:w="875" w:type="dxa"/>
            <w:noWrap/>
          </w:tcPr>
          <w:p w14:paraId="79B6EE50" w14:textId="5A32D55D" w:rsidR="001A24C3" w:rsidRPr="00C92F63" w:rsidRDefault="001A24C3" w:rsidP="001A24C3">
            <w:pPr>
              <w:pStyle w:val="TableTextRight"/>
              <w:rPr>
                <w:sz w:val="20"/>
                <w:szCs w:val="20"/>
              </w:rPr>
            </w:pPr>
            <w:r w:rsidRPr="00C92F63">
              <w:rPr>
                <w:sz w:val="20"/>
                <w:szCs w:val="20"/>
              </w:rPr>
              <w:t>2,870</w:t>
            </w:r>
          </w:p>
        </w:tc>
      </w:tr>
      <w:tr w:rsidR="001A24C3" w:rsidRPr="00BC7B44" w14:paraId="0CE794DA"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5604CC6C" w14:textId="49B90927" w:rsidR="001A24C3" w:rsidRPr="00C92F63" w:rsidRDefault="001A24C3" w:rsidP="001A24C3">
            <w:pPr>
              <w:pStyle w:val="TableText"/>
              <w:rPr>
                <w:sz w:val="20"/>
                <w:szCs w:val="20"/>
              </w:rPr>
            </w:pPr>
            <w:r w:rsidRPr="00C92F63">
              <w:rPr>
                <w:sz w:val="20"/>
                <w:szCs w:val="20"/>
              </w:rPr>
              <w:t>Commonwealth environmental water delivered in northern Basin (GL)</w:t>
            </w:r>
          </w:p>
        </w:tc>
        <w:tc>
          <w:tcPr>
            <w:tcW w:w="875" w:type="dxa"/>
            <w:noWrap/>
          </w:tcPr>
          <w:p w14:paraId="112328F9" w14:textId="361E9CEA" w:rsidR="001A24C3" w:rsidRPr="00C92F63" w:rsidRDefault="001A24C3" w:rsidP="001A24C3">
            <w:pPr>
              <w:pStyle w:val="TableTextRight"/>
              <w:rPr>
                <w:sz w:val="20"/>
                <w:szCs w:val="20"/>
              </w:rPr>
            </w:pPr>
            <w:r w:rsidRPr="00C92F63">
              <w:rPr>
                <w:sz w:val="20"/>
                <w:szCs w:val="20"/>
              </w:rPr>
              <w:t>255</w:t>
            </w:r>
          </w:p>
        </w:tc>
      </w:tr>
      <w:tr w:rsidR="001A24C3" w:rsidRPr="00BC7B44" w14:paraId="0E7BF767" w14:textId="77777777" w:rsidTr="00DC4BA7">
        <w:trPr>
          <w:trHeight w:val="262"/>
        </w:trPr>
        <w:tc>
          <w:tcPr>
            <w:tcW w:w="8109" w:type="dxa"/>
            <w:noWrap/>
            <w:hideMark/>
          </w:tcPr>
          <w:p w14:paraId="2B46321C" w14:textId="6ACC696F" w:rsidR="001A24C3" w:rsidRPr="00C92F63" w:rsidRDefault="001A24C3" w:rsidP="001A24C3">
            <w:pPr>
              <w:pStyle w:val="TableText"/>
              <w:rPr>
                <w:sz w:val="20"/>
                <w:szCs w:val="20"/>
              </w:rPr>
            </w:pPr>
            <w:r w:rsidRPr="00C92F63">
              <w:rPr>
                <w:sz w:val="20"/>
                <w:szCs w:val="20"/>
              </w:rPr>
              <w:t>Commonwealth environmental water delivered in southern Basin (GL)</w:t>
            </w:r>
          </w:p>
        </w:tc>
        <w:tc>
          <w:tcPr>
            <w:tcW w:w="875" w:type="dxa"/>
            <w:noWrap/>
          </w:tcPr>
          <w:p w14:paraId="3EFD1784" w14:textId="0FF97D60" w:rsidR="001A24C3" w:rsidRPr="00C92F63" w:rsidRDefault="001A24C3" w:rsidP="001A24C3">
            <w:pPr>
              <w:pStyle w:val="TableTextRight"/>
              <w:rPr>
                <w:sz w:val="20"/>
                <w:szCs w:val="20"/>
              </w:rPr>
            </w:pPr>
            <w:r w:rsidRPr="00C92F63">
              <w:rPr>
                <w:sz w:val="20"/>
                <w:szCs w:val="20"/>
              </w:rPr>
              <w:t>2,615</w:t>
            </w:r>
          </w:p>
        </w:tc>
      </w:tr>
      <w:tr w:rsidR="001A24C3" w:rsidRPr="00BC7B44" w14:paraId="6DF234F7"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44CED2BB" w14:textId="3EF5AD01" w:rsidR="001A24C3" w:rsidRPr="00C92F63" w:rsidRDefault="001A24C3" w:rsidP="001A24C3">
            <w:pPr>
              <w:pStyle w:val="TableText"/>
              <w:rPr>
                <w:sz w:val="20"/>
                <w:szCs w:val="20"/>
              </w:rPr>
            </w:pPr>
            <w:r w:rsidRPr="00C92F63">
              <w:rPr>
                <w:sz w:val="20"/>
                <w:szCs w:val="20"/>
              </w:rPr>
              <w:t>Number of valleys that received Commonwealth environmental water</w:t>
            </w:r>
          </w:p>
        </w:tc>
        <w:tc>
          <w:tcPr>
            <w:tcW w:w="875" w:type="dxa"/>
            <w:noWrap/>
          </w:tcPr>
          <w:p w14:paraId="4D771F22" w14:textId="77FFB5C3" w:rsidR="001A24C3" w:rsidRPr="00C92F63" w:rsidRDefault="001A24C3" w:rsidP="001A24C3">
            <w:pPr>
              <w:pStyle w:val="TableTextRight"/>
              <w:rPr>
                <w:sz w:val="20"/>
                <w:szCs w:val="20"/>
              </w:rPr>
            </w:pPr>
            <w:r w:rsidRPr="00C92F63">
              <w:rPr>
                <w:sz w:val="20"/>
                <w:szCs w:val="20"/>
              </w:rPr>
              <w:t>20</w:t>
            </w:r>
          </w:p>
        </w:tc>
      </w:tr>
      <w:tr w:rsidR="001A24C3" w:rsidRPr="00BC7B44" w14:paraId="4EF77CE5" w14:textId="77777777" w:rsidTr="00DC4BA7">
        <w:trPr>
          <w:trHeight w:val="262"/>
        </w:trPr>
        <w:tc>
          <w:tcPr>
            <w:tcW w:w="8109" w:type="dxa"/>
            <w:noWrap/>
            <w:hideMark/>
          </w:tcPr>
          <w:p w14:paraId="7FE6CADB" w14:textId="59437A9C" w:rsidR="001A24C3" w:rsidRPr="00C92F63" w:rsidRDefault="001A24C3" w:rsidP="001A24C3">
            <w:pPr>
              <w:pStyle w:val="TableText"/>
              <w:rPr>
                <w:sz w:val="20"/>
                <w:szCs w:val="20"/>
              </w:rPr>
            </w:pPr>
            <w:r w:rsidRPr="00C92F63">
              <w:rPr>
                <w:sz w:val="20"/>
                <w:szCs w:val="20"/>
              </w:rPr>
              <w:t>Commonwealth environmental water contribution to barrage releases (GL)</w:t>
            </w:r>
          </w:p>
        </w:tc>
        <w:bookmarkEnd w:id="43"/>
        <w:tc>
          <w:tcPr>
            <w:tcW w:w="875" w:type="dxa"/>
            <w:noWrap/>
          </w:tcPr>
          <w:p w14:paraId="54013FC0" w14:textId="4730618A" w:rsidR="001A24C3" w:rsidRPr="00C92F63" w:rsidRDefault="001A24C3" w:rsidP="001A24C3">
            <w:pPr>
              <w:pStyle w:val="TableTextRight"/>
              <w:rPr>
                <w:sz w:val="20"/>
                <w:szCs w:val="20"/>
              </w:rPr>
            </w:pPr>
            <w:r w:rsidRPr="00C92F63">
              <w:rPr>
                <w:sz w:val="20"/>
                <w:szCs w:val="20"/>
              </w:rPr>
              <w:t>1,146</w:t>
            </w:r>
          </w:p>
        </w:tc>
      </w:tr>
      <w:tr w:rsidR="00613AF4" w:rsidRPr="00BC7B44" w14:paraId="365520BE"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shd w:val="clear" w:color="auto" w:fill="A4F6F4" w:themeFill="accent5" w:themeFillTint="66"/>
            <w:noWrap/>
            <w:hideMark/>
          </w:tcPr>
          <w:p w14:paraId="6797026C" w14:textId="77777777" w:rsidR="00613AF4" w:rsidRPr="00C92F63" w:rsidRDefault="00613AF4" w:rsidP="00DC4BA7">
            <w:pPr>
              <w:pStyle w:val="RowHeading"/>
              <w:rPr>
                <w:bCs/>
                <w:sz w:val="20"/>
                <w:szCs w:val="20"/>
              </w:rPr>
            </w:pPr>
            <w:r w:rsidRPr="00C92F63">
              <w:rPr>
                <w:sz w:val="20"/>
                <w:szCs w:val="20"/>
              </w:rPr>
              <w:t>Ecosystem Diversity</w:t>
            </w:r>
          </w:p>
        </w:tc>
        <w:tc>
          <w:tcPr>
            <w:tcW w:w="875" w:type="dxa"/>
            <w:shd w:val="clear" w:color="auto" w:fill="A4F6F4" w:themeFill="accent5" w:themeFillTint="66"/>
          </w:tcPr>
          <w:p w14:paraId="077F365C" w14:textId="24518CE5" w:rsidR="00613AF4" w:rsidRPr="00C92F63" w:rsidRDefault="00613AF4" w:rsidP="00DC4BA7">
            <w:pPr>
              <w:pStyle w:val="RowHeading"/>
              <w:rPr>
                <w:sz w:val="20"/>
                <w:szCs w:val="20"/>
              </w:rPr>
            </w:pPr>
          </w:p>
        </w:tc>
      </w:tr>
      <w:tr w:rsidR="001A24C3" w:rsidRPr="00BC7B44" w14:paraId="57ACE1FB" w14:textId="77777777" w:rsidTr="00DC4BA7">
        <w:trPr>
          <w:trHeight w:val="262"/>
        </w:trPr>
        <w:tc>
          <w:tcPr>
            <w:tcW w:w="8109" w:type="dxa"/>
            <w:noWrap/>
            <w:hideMark/>
          </w:tcPr>
          <w:p w14:paraId="7AD5F123" w14:textId="7A2B9BD0" w:rsidR="001A24C3" w:rsidRPr="00C92F63" w:rsidRDefault="001A24C3" w:rsidP="001A24C3">
            <w:pPr>
              <w:pStyle w:val="TableText"/>
              <w:ind w:right="-89"/>
              <w:rPr>
                <w:sz w:val="20"/>
                <w:szCs w:val="20"/>
              </w:rPr>
            </w:pPr>
            <w:r w:rsidRPr="00C92F63">
              <w:rPr>
                <w:sz w:val="20"/>
                <w:szCs w:val="20"/>
              </w:rPr>
              <w:t>Australian National Aquatic Ecosystem types supported by Commonwealth environmental water</w:t>
            </w:r>
          </w:p>
        </w:tc>
        <w:tc>
          <w:tcPr>
            <w:tcW w:w="875" w:type="dxa"/>
            <w:noWrap/>
          </w:tcPr>
          <w:p w14:paraId="7C90BCEE" w14:textId="79543E08" w:rsidR="001A24C3" w:rsidRPr="00C92F63" w:rsidRDefault="001A24C3" w:rsidP="001A24C3">
            <w:pPr>
              <w:pStyle w:val="TableTextRight"/>
              <w:rPr>
                <w:sz w:val="20"/>
                <w:szCs w:val="20"/>
              </w:rPr>
            </w:pPr>
            <w:r w:rsidRPr="00C92F63">
              <w:rPr>
                <w:sz w:val="20"/>
                <w:szCs w:val="20"/>
              </w:rPr>
              <w:t>52</w:t>
            </w:r>
          </w:p>
        </w:tc>
      </w:tr>
      <w:tr w:rsidR="001A24C3" w:rsidRPr="00BC7B44" w14:paraId="5360CED9"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1E664D33" w14:textId="591747D6" w:rsidR="001A24C3" w:rsidRPr="00C92F63" w:rsidRDefault="001A24C3" w:rsidP="001A24C3">
            <w:pPr>
              <w:pStyle w:val="TableText"/>
              <w:rPr>
                <w:sz w:val="20"/>
                <w:szCs w:val="20"/>
              </w:rPr>
            </w:pPr>
            <w:r w:rsidRPr="00C92F63">
              <w:rPr>
                <w:sz w:val="20"/>
                <w:szCs w:val="20"/>
              </w:rPr>
              <w:t>Length of waterways supported by Commonwealth environmental water (km)</w:t>
            </w:r>
          </w:p>
        </w:tc>
        <w:tc>
          <w:tcPr>
            <w:tcW w:w="875" w:type="dxa"/>
            <w:noWrap/>
          </w:tcPr>
          <w:p w14:paraId="55AC7066" w14:textId="4112605E" w:rsidR="001A24C3" w:rsidRPr="00C92F63" w:rsidRDefault="001A24C3" w:rsidP="001A24C3">
            <w:pPr>
              <w:pStyle w:val="TableTextRight"/>
              <w:rPr>
                <w:sz w:val="20"/>
                <w:szCs w:val="20"/>
              </w:rPr>
            </w:pPr>
            <w:r w:rsidRPr="00C92F63">
              <w:rPr>
                <w:sz w:val="20"/>
                <w:szCs w:val="20"/>
              </w:rPr>
              <w:t>21,075</w:t>
            </w:r>
          </w:p>
        </w:tc>
      </w:tr>
      <w:tr w:rsidR="001A24C3" w:rsidRPr="00BC7B44" w14:paraId="787A571F" w14:textId="77777777" w:rsidTr="00DC4BA7">
        <w:trPr>
          <w:trHeight w:val="262"/>
        </w:trPr>
        <w:tc>
          <w:tcPr>
            <w:tcW w:w="8109" w:type="dxa"/>
            <w:noWrap/>
            <w:hideMark/>
          </w:tcPr>
          <w:p w14:paraId="43EC33D9" w14:textId="77777777" w:rsidR="001A24C3" w:rsidRPr="00C92F63" w:rsidRDefault="001A24C3" w:rsidP="001A24C3">
            <w:pPr>
              <w:pStyle w:val="TableText"/>
              <w:rPr>
                <w:sz w:val="20"/>
                <w:szCs w:val="20"/>
              </w:rPr>
            </w:pPr>
            <w:r w:rsidRPr="00C92F63">
              <w:rPr>
                <w:sz w:val="20"/>
                <w:szCs w:val="20"/>
              </w:rPr>
              <w:t>Lakes and wetlands inundated (ha)</w:t>
            </w:r>
          </w:p>
        </w:tc>
        <w:tc>
          <w:tcPr>
            <w:tcW w:w="875" w:type="dxa"/>
            <w:noWrap/>
          </w:tcPr>
          <w:p w14:paraId="578DDD94" w14:textId="38BDB15F" w:rsidR="001A24C3" w:rsidRPr="00C92F63" w:rsidRDefault="001A24C3" w:rsidP="001A24C3">
            <w:pPr>
              <w:pStyle w:val="TableTextRight"/>
              <w:rPr>
                <w:sz w:val="20"/>
                <w:szCs w:val="20"/>
              </w:rPr>
            </w:pPr>
            <w:r w:rsidRPr="00C92F63">
              <w:rPr>
                <w:sz w:val="20"/>
                <w:szCs w:val="20"/>
              </w:rPr>
              <w:t>200,890</w:t>
            </w:r>
          </w:p>
        </w:tc>
      </w:tr>
      <w:tr w:rsidR="001A24C3" w:rsidRPr="00BC7B44" w14:paraId="123D0824"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086D30BC" w14:textId="77777777" w:rsidR="001A24C3" w:rsidRPr="00C92F63" w:rsidRDefault="001A24C3" w:rsidP="001A24C3">
            <w:pPr>
              <w:pStyle w:val="TableText"/>
              <w:rPr>
                <w:sz w:val="20"/>
                <w:szCs w:val="20"/>
              </w:rPr>
            </w:pPr>
            <w:r w:rsidRPr="00C92F63">
              <w:rPr>
                <w:sz w:val="20"/>
                <w:szCs w:val="20"/>
              </w:rPr>
              <w:t>Inundated floodplain (ha)</w:t>
            </w:r>
          </w:p>
        </w:tc>
        <w:tc>
          <w:tcPr>
            <w:tcW w:w="875" w:type="dxa"/>
            <w:noWrap/>
          </w:tcPr>
          <w:p w14:paraId="5FF34222" w14:textId="202B8CDF" w:rsidR="001A24C3" w:rsidRPr="00C92F63" w:rsidRDefault="001A24C3" w:rsidP="001A24C3">
            <w:pPr>
              <w:pStyle w:val="TableTextRight"/>
              <w:rPr>
                <w:sz w:val="20"/>
                <w:szCs w:val="20"/>
              </w:rPr>
            </w:pPr>
            <w:r w:rsidRPr="00C92F63">
              <w:rPr>
                <w:sz w:val="20"/>
                <w:szCs w:val="20"/>
              </w:rPr>
              <w:t>47,770</w:t>
            </w:r>
          </w:p>
        </w:tc>
      </w:tr>
      <w:tr w:rsidR="001A24C3" w:rsidRPr="00BC7B44" w14:paraId="1077FC31" w14:textId="77777777" w:rsidTr="00DC4BA7">
        <w:trPr>
          <w:trHeight w:val="262"/>
        </w:trPr>
        <w:tc>
          <w:tcPr>
            <w:tcW w:w="8109" w:type="dxa"/>
            <w:noWrap/>
            <w:hideMark/>
          </w:tcPr>
          <w:p w14:paraId="4A6E153C" w14:textId="77777777" w:rsidR="001A24C3" w:rsidRPr="00C92F63" w:rsidRDefault="001A24C3" w:rsidP="001A24C3">
            <w:pPr>
              <w:pStyle w:val="TableText"/>
              <w:rPr>
                <w:sz w:val="20"/>
                <w:szCs w:val="20"/>
              </w:rPr>
            </w:pPr>
            <w:r w:rsidRPr="00C92F63">
              <w:rPr>
                <w:sz w:val="20"/>
                <w:szCs w:val="20"/>
              </w:rPr>
              <w:t>Inundated estuarine ecosystems (ha)</w:t>
            </w:r>
          </w:p>
        </w:tc>
        <w:tc>
          <w:tcPr>
            <w:tcW w:w="875" w:type="dxa"/>
            <w:noWrap/>
          </w:tcPr>
          <w:p w14:paraId="7C31758F" w14:textId="31235099" w:rsidR="001A24C3" w:rsidRPr="00C92F63" w:rsidRDefault="001A24C3" w:rsidP="001A24C3">
            <w:pPr>
              <w:pStyle w:val="TableTextRight"/>
              <w:rPr>
                <w:sz w:val="20"/>
                <w:szCs w:val="20"/>
              </w:rPr>
            </w:pPr>
            <w:r w:rsidRPr="00C92F63">
              <w:rPr>
                <w:sz w:val="20"/>
                <w:szCs w:val="20"/>
              </w:rPr>
              <w:t>23,768</w:t>
            </w:r>
          </w:p>
        </w:tc>
      </w:tr>
      <w:tr w:rsidR="00613AF4" w:rsidRPr="00BC7B44" w14:paraId="7486F657"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shd w:val="clear" w:color="auto" w:fill="A4F6F4" w:themeFill="accent5" w:themeFillTint="66"/>
            <w:noWrap/>
            <w:hideMark/>
          </w:tcPr>
          <w:p w14:paraId="66026CB4" w14:textId="77777777" w:rsidR="00613AF4" w:rsidRPr="00C92F63" w:rsidRDefault="00613AF4" w:rsidP="00DC4BA7">
            <w:pPr>
              <w:pStyle w:val="RowHeading"/>
              <w:rPr>
                <w:sz w:val="20"/>
                <w:szCs w:val="20"/>
              </w:rPr>
            </w:pPr>
            <w:r w:rsidRPr="00C92F63">
              <w:rPr>
                <w:sz w:val="20"/>
                <w:szCs w:val="20"/>
              </w:rPr>
              <w:t>Species Diversity</w:t>
            </w:r>
          </w:p>
        </w:tc>
        <w:tc>
          <w:tcPr>
            <w:tcW w:w="875" w:type="dxa"/>
            <w:shd w:val="clear" w:color="auto" w:fill="A4F6F4" w:themeFill="accent5" w:themeFillTint="66"/>
          </w:tcPr>
          <w:p w14:paraId="6612A669" w14:textId="54B2AF78" w:rsidR="00613AF4" w:rsidRPr="00C92F63" w:rsidRDefault="00613AF4" w:rsidP="00DC4BA7">
            <w:pPr>
              <w:pStyle w:val="RowHeading"/>
              <w:rPr>
                <w:sz w:val="20"/>
                <w:szCs w:val="20"/>
              </w:rPr>
            </w:pPr>
          </w:p>
        </w:tc>
      </w:tr>
      <w:tr w:rsidR="001A24C3" w:rsidRPr="00BC7B44" w14:paraId="5FAC3125" w14:textId="77777777" w:rsidTr="00DC4BA7">
        <w:trPr>
          <w:trHeight w:val="262"/>
        </w:trPr>
        <w:tc>
          <w:tcPr>
            <w:tcW w:w="8109" w:type="dxa"/>
            <w:noWrap/>
            <w:hideMark/>
          </w:tcPr>
          <w:p w14:paraId="78A54C88" w14:textId="5FBF87A9" w:rsidR="001A24C3" w:rsidRPr="00C92F63" w:rsidRDefault="001A24C3" w:rsidP="001A24C3">
            <w:pPr>
              <w:pStyle w:val="TableText"/>
              <w:rPr>
                <w:sz w:val="20"/>
                <w:szCs w:val="20"/>
              </w:rPr>
            </w:pPr>
            <w:r w:rsidRPr="00C92F63">
              <w:rPr>
                <w:sz w:val="20"/>
                <w:szCs w:val="20"/>
              </w:rPr>
              <w:t>Total volume of Commonwealth environmental water delivered targeting species diversity outcomes (GL)</w:t>
            </w:r>
          </w:p>
        </w:tc>
        <w:tc>
          <w:tcPr>
            <w:tcW w:w="875" w:type="dxa"/>
            <w:noWrap/>
          </w:tcPr>
          <w:p w14:paraId="7875F104" w14:textId="6AE4CFCD"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2,324</w:t>
            </w:r>
          </w:p>
        </w:tc>
      </w:tr>
      <w:tr w:rsidR="001A24C3" w:rsidRPr="00BC7B44" w14:paraId="2B378350"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6BE63AAC" w14:textId="0C0A5C5C" w:rsidR="001A24C3" w:rsidRPr="00C92F63" w:rsidRDefault="001A24C3" w:rsidP="001A24C3">
            <w:pPr>
              <w:pStyle w:val="TableText"/>
              <w:rPr>
                <w:sz w:val="20"/>
                <w:szCs w:val="20"/>
              </w:rPr>
            </w:pPr>
            <w:r w:rsidRPr="00C92F63">
              <w:rPr>
                <w:sz w:val="20"/>
                <w:szCs w:val="20"/>
              </w:rPr>
              <w:t>Number of Commonwealth environmental water</w:t>
            </w:r>
            <w:r w:rsidR="00896706" w:rsidRPr="00C92F63">
              <w:rPr>
                <w:sz w:val="20"/>
                <w:szCs w:val="20"/>
              </w:rPr>
              <w:t>ing</w:t>
            </w:r>
            <w:r w:rsidRPr="00C92F63">
              <w:rPr>
                <w:sz w:val="20"/>
                <w:szCs w:val="20"/>
              </w:rPr>
              <w:t xml:space="preserve"> actions</w:t>
            </w:r>
          </w:p>
        </w:tc>
        <w:tc>
          <w:tcPr>
            <w:tcW w:w="875" w:type="dxa"/>
            <w:noWrap/>
          </w:tcPr>
          <w:p w14:paraId="7A65B757" w14:textId="4131506C"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75</w:t>
            </w:r>
          </w:p>
        </w:tc>
      </w:tr>
      <w:tr w:rsidR="001A24C3" w:rsidRPr="00BC7B44" w14:paraId="64F1B17A" w14:textId="77777777" w:rsidTr="00DC4BA7">
        <w:trPr>
          <w:trHeight w:val="262"/>
        </w:trPr>
        <w:tc>
          <w:tcPr>
            <w:tcW w:w="8109" w:type="dxa"/>
            <w:noWrap/>
            <w:hideMark/>
          </w:tcPr>
          <w:p w14:paraId="0BB54D89" w14:textId="572753C1" w:rsidR="001A24C3" w:rsidRPr="00C92F63" w:rsidRDefault="001A24C3" w:rsidP="001A24C3">
            <w:pPr>
              <w:pStyle w:val="TableText"/>
              <w:rPr>
                <w:bCs/>
                <w:sz w:val="20"/>
                <w:szCs w:val="20"/>
                <w:vertAlign w:val="superscript"/>
              </w:rPr>
            </w:pPr>
            <w:r w:rsidRPr="00C92F63">
              <w:rPr>
                <w:sz w:val="20"/>
                <w:szCs w:val="20"/>
              </w:rPr>
              <w:t>Waterbird species supported</w:t>
            </w:r>
          </w:p>
        </w:tc>
        <w:tc>
          <w:tcPr>
            <w:tcW w:w="875" w:type="dxa"/>
            <w:noWrap/>
          </w:tcPr>
          <w:p w14:paraId="456C4075" w14:textId="0B4F645D"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68</w:t>
            </w:r>
          </w:p>
        </w:tc>
      </w:tr>
      <w:tr w:rsidR="001A24C3" w:rsidRPr="00BC7B44" w14:paraId="1E797048"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27328185" w14:textId="17441EF6" w:rsidR="001A24C3" w:rsidRPr="00C92F63" w:rsidRDefault="001A24C3" w:rsidP="001A24C3">
            <w:pPr>
              <w:pStyle w:val="TableText"/>
              <w:rPr>
                <w:sz w:val="20"/>
                <w:szCs w:val="20"/>
              </w:rPr>
            </w:pPr>
            <w:r w:rsidRPr="00C92F63">
              <w:rPr>
                <w:sz w:val="20"/>
                <w:szCs w:val="20"/>
              </w:rPr>
              <w:t xml:space="preserve">Waterbird species supported that are of conservation significance </w:t>
            </w:r>
          </w:p>
        </w:tc>
        <w:tc>
          <w:tcPr>
            <w:tcW w:w="875" w:type="dxa"/>
            <w:noWrap/>
          </w:tcPr>
          <w:p w14:paraId="579F89E1" w14:textId="01E8F979"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39</w:t>
            </w:r>
          </w:p>
        </w:tc>
      </w:tr>
      <w:tr w:rsidR="00613AF4" w:rsidRPr="00BC7B44" w14:paraId="14C8AB94" w14:textId="77777777" w:rsidTr="00DC4BA7">
        <w:trPr>
          <w:trHeight w:val="262"/>
        </w:trPr>
        <w:tc>
          <w:tcPr>
            <w:tcW w:w="8109" w:type="dxa"/>
            <w:shd w:val="clear" w:color="auto" w:fill="A4F6F4" w:themeFill="accent5" w:themeFillTint="66"/>
            <w:noWrap/>
            <w:hideMark/>
          </w:tcPr>
          <w:p w14:paraId="483AF23D" w14:textId="77777777" w:rsidR="00613AF4" w:rsidRPr="00C92F63" w:rsidRDefault="00613AF4" w:rsidP="00DC4BA7">
            <w:pPr>
              <w:pStyle w:val="RowHeading"/>
              <w:rPr>
                <w:bCs/>
                <w:sz w:val="20"/>
                <w:szCs w:val="20"/>
              </w:rPr>
            </w:pPr>
            <w:r w:rsidRPr="00C92F63">
              <w:rPr>
                <w:sz w:val="20"/>
                <w:szCs w:val="20"/>
              </w:rPr>
              <w:t>Vegetation</w:t>
            </w:r>
          </w:p>
        </w:tc>
        <w:tc>
          <w:tcPr>
            <w:tcW w:w="875" w:type="dxa"/>
            <w:shd w:val="clear" w:color="auto" w:fill="A4F6F4" w:themeFill="accent5" w:themeFillTint="66"/>
          </w:tcPr>
          <w:p w14:paraId="33D53114" w14:textId="2D8AFDE4" w:rsidR="00613AF4" w:rsidRPr="00C92F63" w:rsidRDefault="00613AF4" w:rsidP="00DC4BA7">
            <w:pPr>
              <w:pStyle w:val="RowHeading"/>
              <w:rPr>
                <w:rFonts w:asciiTheme="minorHAnsi" w:hAnsiTheme="minorHAnsi" w:cstheme="minorHAnsi"/>
                <w:sz w:val="20"/>
                <w:szCs w:val="20"/>
              </w:rPr>
            </w:pPr>
          </w:p>
        </w:tc>
      </w:tr>
      <w:tr w:rsidR="001A24C3" w:rsidRPr="00BC7B44" w14:paraId="1CE17115"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716B0209" w14:textId="56C8C0A8" w:rsidR="001A24C3" w:rsidRPr="00C92F63" w:rsidRDefault="001A24C3" w:rsidP="001A24C3">
            <w:pPr>
              <w:pStyle w:val="TableText"/>
              <w:rPr>
                <w:sz w:val="20"/>
                <w:szCs w:val="20"/>
              </w:rPr>
            </w:pPr>
            <w:r w:rsidRPr="00C92F63">
              <w:rPr>
                <w:sz w:val="20"/>
                <w:szCs w:val="20"/>
              </w:rPr>
              <w:t>Total Commonwealth environmental water delivered (GL)</w:t>
            </w:r>
          </w:p>
        </w:tc>
        <w:tc>
          <w:tcPr>
            <w:tcW w:w="875" w:type="dxa"/>
            <w:noWrap/>
          </w:tcPr>
          <w:p w14:paraId="313A1918" w14:textId="03D8DA34"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2,421</w:t>
            </w:r>
          </w:p>
        </w:tc>
      </w:tr>
      <w:tr w:rsidR="001A24C3" w:rsidRPr="00BC7B44" w14:paraId="29EB9C91" w14:textId="77777777" w:rsidTr="00DC4BA7">
        <w:trPr>
          <w:trHeight w:val="262"/>
        </w:trPr>
        <w:tc>
          <w:tcPr>
            <w:tcW w:w="8109" w:type="dxa"/>
            <w:noWrap/>
            <w:hideMark/>
          </w:tcPr>
          <w:p w14:paraId="0FBBF16C" w14:textId="21C40BA5" w:rsidR="001A24C3" w:rsidRPr="00C92F63" w:rsidRDefault="001A24C3" w:rsidP="001A24C3">
            <w:pPr>
              <w:pStyle w:val="TableText"/>
              <w:rPr>
                <w:sz w:val="20"/>
                <w:szCs w:val="20"/>
              </w:rPr>
            </w:pPr>
            <w:r w:rsidRPr="00C92F63">
              <w:rPr>
                <w:sz w:val="20"/>
                <w:szCs w:val="20"/>
              </w:rPr>
              <w:t>Number of Commonwealth environmental water</w:t>
            </w:r>
            <w:r w:rsidR="00896706" w:rsidRPr="00C92F63">
              <w:rPr>
                <w:sz w:val="20"/>
                <w:szCs w:val="20"/>
              </w:rPr>
              <w:t>ing</w:t>
            </w:r>
            <w:r w:rsidRPr="00C92F63">
              <w:rPr>
                <w:sz w:val="20"/>
                <w:szCs w:val="20"/>
              </w:rPr>
              <w:t xml:space="preserve"> actions</w:t>
            </w:r>
          </w:p>
        </w:tc>
        <w:tc>
          <w:tcPr>
            <w:tcW w:w="875" w:type="dxa"/>
            <w:noWrap/>
          </w:tcPr>
          <w:p w14:paraId="382977F4" w14:textId="3E42712B"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72</w:t>
            </w:r>
          </w:p>
        </w:tc>
      </w:tr>
      <w:tr w:rsidR="001A24C3" w:rsidRPr="00BC7B44" w14:paraId="60F746DF"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4EE220BF" w14:textId="4A3323AA" w:rsidR="001A24C3" w:rsidRPr="00C92F63" w:rsidRDefault="001A24C3" w:rsidP="001A24C3">
            <w:pPr>
              <w:pStyle w:val="TableText"/>
              <w:rPr>
                <w:sz w:val="20"/>
                <w:szCs w:val="20"/>
              </w:rPr>
            </w:pPr>
            <w:r w:rsidRPr="00C92F63">
              <w:rPr>
                <w:sz w:val="20"/>
                <w:szCs w:val="20"/>
              </w:rPr>
              <w:t xml:space="preserve">Number of taxa recorded at monitoring locations (Selected Areas) </w:t>
            </w:r>
          </w:p>
        </w:tc>
        <w:tc>
          <w:tcPr>
            <w:tcW w:w="875" w:type="dxa"/>
            <w:noWrap/>
          </w:tcPr>
          <w:p w14:paraId="540F1075" w14:textId="0D19B5B3"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360</w:t>
            </w:r>
          </w:p>
        </w:tc>
      </w:tr>
      <w:tr w:rsidR="001A24C3" w:rsidRPr="00BC7B44" w14:paraId="008BCEE2" w14:textId="77777777" w:rsidTr="00DC4BA7">
        <w:trPr>
          <w:trHeight w:val="262"/>
        </w:trPr>
        <w:tc>
          <w:tcPr>
            <w:tcW w:w="8109" w:type="dxa"/>
            <w:noWrap/>
            <w:hideMark/>
          </w:tcPr>
          <w:p w14:paraId="0966C835" w14:textId="388010D2" w:rsidR="001A24C3" w:rsidRPr="00C92F63" w:rsidRDefault="001A24C3" w:rsidP="001A24C3">
            <w:pPr>
              <w:pStyle w:val="TableText"/>
              <w:rPr>
                <w:sz w:val="20"/>
                <w:szCs w:val="20"/>
              </w:rPr>
            </w:pPr>
            <w:r w:rsidRPr="00C92F63">
              <w:rPr>
                <w:sz w:val="20"/>
                <w:szCs w:val="20"/>
              </w:rPr>
              <w:t>Number of culturally significant plant taxa recorded</w:t>
            </w:r>
          </w:p>
        </w:tc>
        <w:tc>
          <w:tcPr>
            <w:tcW w:w="875" w:type="dxa"/>
            <w:noWrap/>
          </w:tcPr>
          <w:p w14:paraId="471B6202" w14:textId="23080A5E"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54</w:t>
            </w:r>
          </w:p>
        </w:tc>
      </w:tr>
      <w:tr w:rsidR="001A24C3" w:rsidRPr="00BC7B44" w14:paraId="00CC28AB" w14:textId="77777777" w:rsidTr="00DC4BA7">
        <w:trPr>
          <w:cnfStyle w:val="000000100000" w:firstRow="0" w:lastRow="0" w:firstColumn="0" w:lastColumn="0" w:oddVBand="0" w:evenVBand="0" w:oddHBand="1" w:evenHBand="0" w:firstRowFirstColumn="0" w:firstRowLastColumn="0" w:lastRowFirstColumn="0" w:lastRowLastColumn="0"/>
          <w:trHeight w:val="358"/>
        </w:trPr>
        <w:tc>
          <w:tcPr>
            <w:tcW w:w="8109" w:type="dxa"/>
            <w:hideMark/>
          </w:tcPr>
          <w:p w14:paraId="0E8C53A6" w14:textId="6DFA667B" w:rsidR="001A24C3" w:rsidRPr="00C92F63" w:rsidRDefault="001A24C3" w:rsidP="001A24C3">
            <w:pPr>
              <w:pStyle w:val="TableText"/>
              <w:rPr>
                <w:sz w:val="20"/>
                <w:szCs w:val="20"/>
              </w:rPr>
            </w:pPr>
            <w:r w:rsidRPr="00C92F63">
              <w:rPr>
                <w:sz w:val="20"/>
                <w:szCs w:val="20"/>
              </w:rPr>
              <w:t xml:space="preserve">Number of threatened species recorded </w:t>
            </w:r>
          </w:p>
        </w:tc>
        <w:tc>
          <w:tcPr>
            <w:tcW w:w="875" w:type="dxa"/>
            <w:noWrap/>
          </w:tcPr>
          <w:p w14:paraId="3871CCD7" w14:textId="3A3A7159" w:rsidR="001A24C3" w:rsidRPr="00C92F63" w:rsidRDefault="00C60B6C"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46</w:t>
            </w:r>
          </w:p>
        </w:tc>
      </w:tr>
      <w:tr w:rsidR="00ED5047" w:rsidRPr="00BC7B44" w14:paraId="52C8BC26" w14:textId="77777777" w:rsidTr="00DC4BA7">
        <w:trPr>
          <w:trHeight w:val="262"/>
        </w:trPr>
        <w:tc>
          <w:tcPr>
            <w:tcW w:w="8109" w:type="dxa"/>
            <w:shd w:val="clear" w:color="auto" w:fill="A4F6F4" w:themeFill="accent5" w:themeFillTint="66"/>
            <w:noWrap/>
            <w:hideMark/>
          </w:tcPr>
          <w:p w14:paraId="45FD8BB8" w14:textId="77777777" w:rsidR="00ED5047" w:rsidRPr="00C92F63" w:rsidRDefault="00ED5047" w:rsidP="000C2F78">
            <w:pPr>
              <w:pStyle w:val="RowHeading"/>
              <w:keepLines/>
              <w:rPr>
                <w:bCs/>
                <w:sz w:val="20"/>
                <w:szCs w:val="20"/>
              </w:rPr>
            </w:pPr>
            <w:r w:rsidRPr="00C92F63">
              <w:rPr>
                <w:sz w:val="20"/>
                <w:szCs w:val="20"/>
              </w:rPr>
              <w:t>Fish</w:t>
            </w:r>
          </w:p>
        </w:tc>
        <w:tc>
          <w:tcPr>
            <w:tcW w:w="875" w:type="dxa"/>
            <w:shd w:val="clear" w:color="auto" w:fill="A4F6F4" w:themeFill="accent5" w:themeFillTint="66"/>
          </w:tcPr>
          <w:p w14:paraId="2AE5F3DA" w14:textId="77777777" w:rsidR="00ED5047" w:rsidRPr="00C92F63" w:rsidRDefault="00ED5047" w:rsidP="000C2F78">
            <w:pPr>
              <w:pStyle w:val="RowHeading"/>
              <w:keepLines/>
              <w:rPr>
                <w:rFonts w:asciiTheme="minorHAnsi" w:hAnsiTheme="minorHAnsi" w:cstheme="minorHAnsi"/>
                <w:sz w:val="20"/>
                <w:szCs w:val="20"/>
              </w:rPr>
            </w:pPr>
          </w:p>
        </w:tc>
      </w:tr>
      <w:tr w:rsidR="001A24C3" w:rsidRPr="00BC7B44" w14:paraId="2FB8D4DE"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79E6E25B" w14:textId="77777777" w:rsidR="001A24C3" w:rsidRPr="00C92F63" w:rsidRDefault="001A24C3" w:rsidP="000C2F78">
            <w:pPr>
              <w:pStyle w:val="TableText"/>
              <w:keepNext/>
              <w:keepLines/>
              <w:rPr>
                <w:sz w:val="20"/>
                <w:szCs w:val="20"/>
              </w:rPr>
            </w:pPr>
            <w:r w:rsidRPr="00C92F63">
              <w:rPr>
                <w:sz w:val="20"/>
                <w:szCs w:val="20"/>
              </w:rPr>
              <w:t>Total Commonwealth environmental water delivered (GL)</w:t>
            </w:r>
          </w:p>
        </w:tc>
        <w:tc>
          <w:tcPr>
            <w:tcW w:w="875" w:type="dxa"/>
            <w:noWrap/>
          </w:tcPr>
          <w:p w14:paraId="2986B41F" w14:textId="5A8CC674" w:rsidR="001A24C3" w:rsidRPr="00C92F63" w:rsidRDefault="001A24C3" w:rsidP="000C2F78">
            <w:pPr>
              <w:pStyle w:val="TableTextRight"/>
              <w:keepNext/>
              <w:keepLines/>
              <w:rPr>
                <w:rFonts w:asciiTheme="minorHAnsi" w:hAnsiTheme="minorHAnsi" w:cstheme="minorHAnsi"/>
                <w:sz w:val="20"/>
                <w:szCs w:val="20"/>
              </w:rPr>
            </w:pPr>
            <w:r w:rsidRPr="00C92F63">
              <w:rPr>
                <w:rFonts w:asciiTheme="minorHAnsi" w:hAnsiTheme="minorHAnsi" w:cstheme="minorHAnsi"/>
                <w:sz w:val="20"/>
                <w:szCs w:val="20"/>
              </w:rPr>
              <w:t>2,708</w:t>
            </w:r>
          </w:p>
        </w:tc>
      </w:tr>
      <w:tr w:rsidR="001A24C3" w:rsidRPr="00BC7B44" w14:paraId="2A007496" w14:textId="77777777" w:rsidTr="00DC4BA7">
        <w:trPr>
          <w:trHeight w:val="262"/>
        </w:trPr>
        <w:tc>
          <w:tcPr>
            <w:tcW w:w="8109" w:type="dxa"/>
            <w:noWrap/>
            <w:hideMark/>
          </w:tcPr>
          <w:p w14:paraId="60CB06B0" w14:textId="6DCC8DB3" w:rsidR="001A24C3" w:rsidRPr="00C92F63" w:rsidRDefault="001A24C3" w:rsidP="000C2F78">
            <w:pPr>
              <w:pStyle w:val="TableText"/>
              <w:keepNext/>
              <w:keepLines/>
              <w:rPr>
                <w:sz w:val="20"/>
                <w:szCs w:val="20"/>
              </w:rPr>
            </w:pPr>
            <w:r w:rsidRPr="00C92F63">
              <w:rPr>
                <w:sz w:val="20"/>
                <w:szCs w:val="20"/>
              </w:rPr>
              <w:t>Number of Commonwealth environmental water</w:t>
            </w:r>
            <w:r w:rsidR="00896706" w:rsidRPr="00C92F63">
              <w:rPr>
                <w:sz w:val="20"/>
                <w:szCs w:val="20"/>
              </w:rPr>
              <w:t>ing</w:t>
            </w:r>
            <w:r w:rsidRPr="00C92F63">
              <w:rPr>
                <w:sz w:val="20"/>
                <w:szCs w:val="20"/>
              </w:rPr>
              <w:t xml:space="preserve"> actions</w:t>
            </w:r>
          </w:p>
        </w:tc>
        <w:tc>
          <w:tcPr>
            <w:tcW w:w="875" w:type="dxa"/>
            <w:noWrap/>
          </w:tcPr>
          <w:p w14:paraId="67CC770F" w14:textId="34FE18D4" w:rsidR="001A24C3" w:rsidRPr="00C92F63" w:rsidRDefault="001A24C3" w:rsidP="000C2F78">
            <w:pPr>
              <w:pStyle w:val="TableTextRight"/>
              <w:keepNext/>
              <w:keepLines/>
              <w:rPr>
                <w:rFonts w:asciiTheme="minorHAnsi" w:hAnsiTheme="minorHAnsi" w:cstheme="minorHAnsi"/>
                <w:sz w:val="20"/>
                <w:szCs w:val="20"/>
              </w:rPr>
            </w:pPr>
            <w:r w:rsidRPr="00C92F63">
              <w:rPr>
                <w:rFonts w:asciiTheme="minorHAnsi" w:hAnsiTheme="minorHAnsi" w:cstheme="minorHAnsi"/>
                <w:sz w:val="20"/>
                <w:szCs w:val="20"/>
              </w:rPr>
              <w:t>99</w:t>
            </w:r>
          </w:p>
        </w:tc>
      </w:tr>
      <w:tr w:rsidR="001A24C3" w:rsidRPr="00BC7B44" w14:paraId="6881B870"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6E8554D0" w14:textId="5427F0FB" w:rsidR="001A24C3" w:rsidRPr="00C92F63" w:rsidRDefault="001A24C3" w:rsidP="000C2F78">
            <w:pPr>
              <w:pStyle w:val="TableText"/>
              <w:keepNext/>
              <w:keepLines/>
              <w:rPr>
                <w:sz w:val="20"/>
                <w:szCs w:val="20"/>
              </w:rPr>
            </w:pPr>
            <w:r w:rsidRPr="00C92F63">
              <w:rPr>
                <w:sz w:val="20"/>
                <w:szCs w:val="20"/>
              </w:rPr>
              <w:t>Number of native fish species detected from in</w:t>
            </w:r>
            <w:r w:rsidR="00955C93" w:rsidRPr="00C92F63">
              <w:rPr>
                <w:sz w:val="20"/>
                <w:szCs w:val="20"/>
              </w:rPr>
              <w:t xml:space="preserve">stream </w:t>
            </w:r>
            <w:r w:rsidRPr="00C92F63">
              <w:rPr>
                <w:sz w:val="20"/>
                <w:szCs w:val="20"/>
              </w:rPr>
              <w:t xml:space="preserve">sampling in Selected Areas </w:t>
            </w:r>
          </w:p>
        </w:tc>
        <w:tc>
          <w:tcPr>
            <w:tcW w:w="875" w:type="dxa"/>
            <w:noWrap/>
          </w:tcPr>
          <w:p w14:paraId="0C13A3DB" w14:textId="32669FE2" w:rsidR="001A24C3" w:rsidRPr="00C92F63" w:rsidRDefault="001A24C3" w:rsidP="000C2F78">
            <w:pPr>
              <w:pStyle w:val="TableTextRight"/>
              <w:keepNext/>
              <w:keepLines/>
              <w:rPr>
                <w:rFonts w:asciiTheme="minorHAnsi" w:hAnsiTheme="minorHAnsi" w:cstheme="minorHAnsi"/>
                <w:sz w:val="20"/>
                <w:szCs w:val="20"/>
              </w:rPr>
            </w:pPr>
            <w:r w:rsidRPr="00C92F63">
              <w:rPr>
                <w:rFonts w:asciiTheme="minorHAnsi" w:hAnsiTheme="minorHAnsi" w:cstheme="minorHAnsi"/>
                <w:sz w:val="20"/>
                <w:szCs w:val="20"/>
              </w:rPr>
              <w:t>14</w:t>
            </w:r>
          </w:p>
        </w:tc>
      </w:tr>
      <w:tr w:rsidR="00613AF4" w:rsidRPr="00BC7B44" w14:paraId="573B9086" w14:textId="77777777" w:rsidTr="000C2F78">
        <w:trPr>
          <w:trHeight w:val="262"/>
        </w:trPr>
        <w:tc>
          <w:tcPr>
            <w:tcW w:w="8109" w:type="dxa"/>
            <w:shd w:val="clear" w:color="auto" w:fill="76F1EE" w:themeFill="accent5" w:themeFillTint="99"/>
            <w:noWrap/>
            <w:hideMark/>
          </w:tcPr>
          <w:p w14:paraId="63A75425" w14:textId="77777777" w:rsidR="00613AF4" w:rsidRPr="00C92F63" w:rsidRDefault="00613AF4" w:rsidP="00DC4BA7">
            <w:pPr>
              <w:pStyle w:val="RowHeading"/>
              <w:rPr>
                <w:bCs/>
                <w:sz w:val="20"/>
                <w:szCs w:val="20"/>
              </w:rPr>
            </w:pPr>
            <w:r w:rsidRPr="00C92F63">
              <w:rPr>
                <w:sz w:val="20"/>
                <w:szCs w:val="20"/>
              </w:rPr>
              <w:t>Food webs and water quality</w:t>
            </w:r>
          </w:p>
        </w:tc>
        <w:tc>
          <w:tcPr>
            <w:tcW w:w="875" w:type="dxa"/>
            <w:shd w:val="clear" w:color="auto" w:fill="76F1EE" w:themeFill="accent5" w:themeFillTint="99"/>
          </w:tcPr>
          <w:p w14:paraId="3340C7BE" w14:textId="4FB4BC44" w:rsidR="00613AF4" w:rsidRPr="00C92F63" w:rsidRDefault="00613AF4" w:rsidP="00DC4BA7">
            <w:pPr>
              <w:pStyle w:val="RowHeading"/>
              <w:rPr>
                <w:rFonts w:asciiTheme="minorHAnsi" w:hAnsiTheme="minorHAnsi" w:cstheme="minorHAnsi"/>
                <w:sz w:val="20"/>
                <w:szCs w:val="20"/>
              </w:rPr>
            </w:pPr>
          </w:p>
        </w:tc>
      </w:tr>
      <w:tr w:rsidR="001A24C3" w:rsidRPr="00BC7B44" w14:paraId="6AFA431A"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23245B7B" w14:textId="2345BB26" w:rsidR="001A24C3" w:rsidRPr="00C92F63" w:rsidRDefault="001A24C3" w:rsidP="001A24C3">
            <w:pPr>
              <w:pStyle w:val="TableText"/>
              <w:rPr>
                <w:sz w:val="20"/>
                <w:szCs w:val="20"/>
              </w:rPr>
            </w:pPr>
            <w:r w:rsidRPr="00C92F63">
              <w:rPr>
                <w:sz w:val="20"/>
                <w:szCs w:val="20"/>
              </w:rPr>
              <w:t>Total Commonwealth environmental water delivered (GL)</w:t>
            </w:r>
          </w:p>
        </w:tc>
        <w:tc>
          <w:tcPr>
            <w:tcW w:w="875" w:type="dxa"/>
            <w:noWrap/>
          </w:tcPr>
          <w:p w14:paraId="44D643F7" w14:textId="49A7A393"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2,160</w:t>
            </w:r>
          </w:p>
        </w:tc>
      </w:tr>
      <w:tr w:rsidR="001A24C3" w:rsidRPr="00BC7B44" w14:paraId="124D19CB" w14:textId="77777777" w:rsidTr="00DC4BA7">
        <w:trPr>
          <w:trHeight w:val="262"/>
        </w:trPr>
        <w:tc>
          <w:tcPr>
            <w:tcW w:w="8109" w:type="dxa"/>
            <w:noWrap/>
            <w:hideMark/>
          </w:tcPr>
          <w:p w14:paraId="1DED3DA0" w14:textId="6ECE42C2" w:rsidR="001A24C3" w:rsidRPr="00C92F63" w:rsidRDefault="001A24C3" w:rsidP="001A24C3">
            <w:pPr>
              <w:pStyle w:val="TableText"/>
              <w:rPr>
                <w:sz w:val="20"/>
                <w:szCs w:val="20"/>
              </w:rPr>
            </w:pPr>
            <w:r w:rsidRPr="00C92F63">
              <w:rPr>
                <w:sz w:val="20"/>
                <w:szCs w:val="20"/>
              </w:rPr>
              <w:t>Number of Commonwealth environmental water</w:t>
            </w:r>
            <w:r w:rsidR="00896706" w:rsidRPr="00C92F63">
              <w:rPr>
                <w:sz w:val="20"/>
                <w:szCs w:val="20"/>
              </w:rPr>
              <w:t>ing</w:t>
            </w:r>
            <w:r w:rsidRPr="00C92F63">
              <w:rPr>
                <w:sz w:val="20"/>
                <w:szCs w:val="20"/>
              </w:rPr>
              <w:t xml:space="preserve"> actions</w:t>
            </w:r>
          </w:p>
        </w:tc>
        <w:tc>
          <w:tcPr>
            <w:tcW w:w="875" w:type="dxa"/>
            <w:noWrap/>
          </w:tcPr>
          <w:p w14:paraId="3161DC4C" w14:textId="59B62D57"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38</w:t>
            </w:r>
          </w:p>
        </w:tc>
      </w:tr>
      <w:tr w:rsidR="001A24C3" w:rsidRPr="00BC7B44" w14:paraId="568C6878" w14:textId="77777777" w:rsidTr="00DC4BA7">
        <w:trPr>
          <w:cnfStyle w:val="000000100000" w:firstRow="0" w:lastRow="0" w:firstColumn="0" w:lastColumn="0" w:oddVBand="0" w:evenVBand="0" w:oddHBand="1" w:evenHBand="0" w:firstRowFirstColumn="0" w:firstRowLastColumn="0" w:lastRowFirstColumn="0" w:lastRowLastColumn="0"/>
          <w:trHeight w:val="262"/>
        </w:trPr>
        <w:tc>
          <w:tcPr>
            <w:tcW w:w="8109" w:type="dxa"/>
            <w:noWrap/>
            <w:hideMark/>
          </w:tcPr>
          <w:p w14:paraId="32E32D7B" w14:textId="14A51BC3" w:rsidR="001A24C3" w:rsidRPr="00C92F63" w:rsidRDefault="001A24C3" w:rsidP="001A24C3">
            <w:pPr>
              <w:pStyle w:val="TableText"/>
              <w:rPr>
                <w:sz w:val="20"/>
                <w:szCs w:val="20"/>
              </w:rPr>
            </w:pPr>
            <w:r w:rsidRPr="00C92F63">
              <w:rPr>
                <w:sz w:val="20"/>
                <w:szCs w:val="20"/>
              </w:rPr>
              <w:t xml:space="preserve">Additional export of salt over barrages due to Commonwealth environmental water (tonnes) </w:t>
            </w:r>
          </w:p>
        </w:tc>
        <w:tc>
          <w:tcPr>
            <w:tcW w:w="875" w:type="dxa"/>
            <w:noWrap/>
          </w:tcPr>
          <w:p w14:paraId="50548C04" w14:textId="4F2BBF8F"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221,272</w:t>
            </w:r>
          </w:p>
        </w:tc>
      </w:tr>
      <w:tr w:rsidR="001A24C3" w:rsidRPr="00BC7B44" w14:paraId="57D7A432" w14:textId="77777777" w:rsidTr="00DC4BA7">
        <w:trPr>
          <w:trHeight w:val="262"/>
        </w:trPr>
        <w:tc>
          <w:tcPr>
            <w:tcW w:w="8109" w:type="dxa"/>
            <w:noWrap/>
            <w:hideMark/>
          </w:tcPr>
          <w:p w14:paraId="63909676" w14:textId="7279BDC2" w:rsidR="001A24C3" w:rsidRPr="00C92F63" w:rsidRDefault="001A24C3" w:rsidP="001A24C3">
            <w:pPr>
              <w:pStyle w:val="TableText"/>
              <w:rPr>
                <w:sz w:val="20"/>
                <w:szCs w:val="20"/>
              </w:rPr>
            </w:pPr>
            <w:r w:rsidRPr="00C92F63">
              <w:rPr>
                <w:sz w:val="20"/>
                <w:szCs w:val="20"/>
              </w:rPr>
              <w:t>Reduction of salt import at the Murray Mouth due to Commonwealth environmental water (tonnes)</w:t>
            </w:r>
          </w:p>
        </w:tc>
        <w:tc>
          <w:tcPr>
            <w:tcW w:w="875" w:type="dxa"/>
            <w:noWrap/>
          </w:tcPr>
          <w:p w14:paraId="3CE92906" w14:textId="022EC873" w:rsidR="001A24C3" w:rsidRPr="00C92F63" w:rsidRDefault="001A24C3" w:rsidP="001A24C3">
            <w:pPr>
              <w:pStyle w:val="TableTextRight"/>
              <w:rPr>
                <w:rFonts w:asciiTheme="minorHAnsi" w:hAnsiTheme="minorHAnsi" w:cstheme="minorHAnsi"/>
                <w:sz w:val="20"/>
                <w:szCs w:val="20"/>
              </w:rPr>
            </w:pPr>
            <w:r w:rsidRPr="00C92F63">
              <w:rPr>
                <w:rFonts w:asciiTheme="minorHAnsi" w:hAnsiTheme="minorHAnsi" w:cstheme="minorHAnsi"/>
                <w:sz w:val="20"/>
                <w:szCs w:val="20"/>
              </w:rPr>
              <w:t>2,854,965</w:t>
            </w:r>
          </w:p>
        </w:tc>
      </w:tr>
    </w:tbl>
    <w:p w14:paraId="0A68A348" w14:textId="77777777" w:rsidR="00CD1D02" w:rsidRPr="004B520E" w:rsidRDefault="00CD1D02" w:rsidP="00B42685">
      <w:pPr>
        <w:pStyle w:val="BodyText"/>
      </w:pPr>
    </w:p>
    <w:p w14:paraId="75E52B29" w14:textId="77777777" w:rsidR="00B42685" w:rsidRPr="004B520E" w:rsidRDefault="00B42685" w:rsidP="00B42685">
      <w:pPr>
        <w:pStyle w:val="BodyText"/>
        <w:sectPr w:rsidR="00B42685" w:rsidRPr="004B520E" w:rsidSect="006A5B72">
          <w:headerReference w:type="even" r:id="rId28"/>
          <w:headerReference w:type="default" r:id="rId29"/>
          <w:headerReference w:type="first" r:id="rId30"/>
          <w:type w:val="continuous"/>
          <w:pgSz w:w="11906" w:h="16838" w:code="9"/>
          <w:pgMar w:top="1134" w:right="1134" w:bottom="993" w:left="1134" w:header="510" w:footer="510" w:gutter="0"/>
          <w:pgNumType w:fmt="lowerRoman"/>
          <w:cols w:space="284"/>
          <w:docGrid w:linePitch="360"/>
        </w:sectPr>
      </w:pPr>
    </w:p>
    <w:p w14:paraId="6525F008" w14:textId="0913297F" w:rsidR="00ED3D30" w:rsidRDefault="00ED3D30" w:rsidP="00113FC9">
      <w:pPr>
        <w:pStyle w:val="Heading1noTOC"/>
      </w:pPr>
      <w:bookmarkStart w:id="44" w:name="_Toc168579811"/>
      <w:bookmarkStart w:id="45" w:name="_Toc172283600"/>
      <w:bookmarkStart w:id="46" w:name="_Toc179919715"/>
      <w:bookmarkStart w:id="47" w:name="_Toc200743744"/>
      <w:bookmarkStart w:id="48" w:name="_Toc200743843"/>
      <w:r w:rsidRPr="004B520E">
        <w:lastRenderedPageBreak/>
        <w:t>Contents</w:t>
      </w:r>
      <w:bookmarkEnd w:id="44"/>
      <w:bookmarkEnd w:id="45"/>
      <w:bookmarkEnd w:id="46"/>
      <w:bookmarkEnd w:id="47"/>
      <w:bookmarkEnd w:id="48"/>
    </w:p>
    <w:p w14:paraId="6DABE365" w14:textId="7EF1718E" w:rsidR="00C43CD7" w:rsidRDefault="00372069">
      <w:pPr>
        <w:pStyle w:val="TOC1"/>
        <w:rPr>
          <w:rFonts w:asciiTheme="minorHAnsi" w:eastAsiaTheme="minorEastAsia" w:hAnsiTheme="minorHAnsi" w:cstheme="minorBidi"/>
          <w:b w:val="0"/>
          <w:smallCaps w:val="0"/>
          <w:color w:val="auto"/>
          <w:kern w:val="2"/>
          <w:sz w:val="24"/>
          <w:szCs w:val="21"/>
          <w:lang w:bidi="ne-NP"/>
          <w14:ligatures w14:val="standardContextual"/>
        </w:rPr>
      </w:pPr>
      <w:r>
        <w:fldChar w:fldCharType="begin"/>
      </w:r>
      <w:r>
        <w:instrText xml:space="preserve"> TOC \o "9-9" \h \z \t "Heading 1,1,Heading 2,2,Heading 1 not numbered,1,Heading 2 not numbered,2,Appendix Heading 1 base,9,Appendix Heading 2,2" </w:instrText>
      </w:r>
      <w:r>
        <w:fldChar w:fldCharType="separate"/>
      </w:r>
      <w:hyperlink w:anchor="_Toc204606862" w:history="1">
        <w:r w:rsidR="00C43CD7" w:rsidRPr="00D12594">
          <w:rPr>
            <w:rStyle w:val="Hyperlink"/>
          </w:rPr>
          <w:t>Executive summary: Ten years of sustaining and revitalising water-dependent ecosystems of the Basin</w:t>
        </w:r>
        <w:r w:rsidR="00C43CD7">
          <w:rPr>
            <w:webHidden/>
          </w:rPr>
          <w:tab/>
        </w:r>
        <w:r w:rsidR="00C43CD7">
          <w:rPr>
            <w:webHidden/>
          </w:rPr>
          <w:fldChar w:fldCharType="begin"/>
        </w:r>
        <w:r w:rsidR="00C43CD7">
          <w:rPr>
            <w:webHidden/>
          </w:rPr>
          <w:instrText xml:space="preserve"> PAGEREF _Toc204606862 \h </w:instrText>
        </w:r>
        <w:r w:rsidR="00C43CD7">
          <w:rPr>
            <w:webHidden/>
          </w:rPr>
        </w:r>
        <w:r w:rsidR="00C43CD7">
          <w:rPr>
            <w:webHidden/>
          </w:rPr>
          <w:fldChar w:fldCharType="separate"/>
        </w:r>
        <w:r w:rsidR="00C43C1D">
          <w:rPr>
            <w:webHidden/>
          </w:rPr>
          <w:t>iii</w:t>
        </w:r>
        <w:r w:rsidR="00C43CD7">
          <w:rPr>
            <w:webHidden/>
          </w:rPr>
          <w:fldChar w:fldCharType="end"/>
        </w:r>
      </w:hyperlink>
    </w:p>
    <w:p w14:paraId="763F87E8" w14:textId="49FF05EB"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63" w:history="1">
        <w:r w:rsidRPr="00D12594">
          <w:rPr>
            <w:rStyle w:val="Hyperlink"/>
          </w:rPr>
          <w:t>Basin-scale evaluation – a decade of environmental outcomes from the delivery of Commonwealth environmental water</w:t>
        </w:r>
        <w:r>
          <w:rPr>
            <w:webHidden/>
          </w:rPr>
          <w:tab/>
        </w:r>
        <w:r>
          <w:rPr>
            <w:webHidden/>
          </w:rPr>
          <w:fldChar w:fldCharType="begin"/>
        </w:r>
        <w:r>
          <w:rPr>
            <w:webHidden/>
          </w:rPr>
          <w:instrText xml:space="preserve"> PAGEREF _Toc204606863 \h </w:instrText>
        </w:r>
        <w:r>
          <w:rPr>
            <w:webHidden/>
          </w:rPr>
        </w:r>
        <w:r>
          <w:rPr>
            <w:webHidden/>
          </w:rPr>
          <w:fldChar w:fldCharType="separate"/>
        </w:r>
        <w:r w:rsidR="00C43C1D">
          <w:rPr>
            <w:webHidden/>
          </w:rPr>
          <w:t>iii</w:t>
        </w:r>
        <w:r>
          <w:rPr>
            <w:webHidden/>
          </w:rPr>
          <w:fldChar w:fldCharType="end"/>
        </w:r>
      </w:hyperlink>
    </w:p>
    <w:p w14:paraId="7E4DD6F9" w14:textId="3C2A7EB1"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64" w:history="1">
        <w:r w:rsidRPr="00D12594">
          <w:rPr>
            <w:rStyle w:val="Hyperlink"/>
          </w:rPr>
          <w:t>Overarching trends and lessons learned</w:t>
        </w:r>
        <w:r>
          <w:rPr>
            <w:webHidden/>
          </w:rPr>
          <w:tab/>
        </w:r>
        <w:r>
          <w:rPr>
            <w:webHidden/>
          </w:rPr>
          <w:fldChar w:fldCharType="begin"/>
        </w:r>
        <w:r>
          <w:rPr>
            <w:webHidden/>
          </w:rPr>
          <w:instrText xml:space="preserve"> PAGEREF _Toc204606864 \h </w:instrText>
        </w:r>
        <w:r>
          <w:rPr>
            <w:webHidden/>
          </w:rPr>
        </w:r>
        <w:r>
          <w:rPr>
            <w:webHidden/>
          </w:rPr>
          <w:fldChar w:fldCharType="separate"/>
        </w:r>
        <w:r w:rsidR="00C43C1D">
          <w:rPr>
            <w:webHidden/>
          </w:rPr>
          <w:t>vii</w:t>
        </w:r>
        <w:r>
          <w:rPr>
            <w:webHidden/>
          </w:rPr>
          <w:fldChar w:fldCharType="end"/>
        </w:r>
      </w:hyperlink>
    </w:p>
    <w:p w14:paraId="0B3D0CDD" w14:textId="6CA48009"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65" w:history="1">
        <w:r w:rsidRPr="00D12594">
          <w:rPr>
            <w:rStyle w:val="Hyperlink"/>
          </w:rPr>
          <w:t>Water years 2014–24: 10-year statistics</w:t>
        </w:r>
        <w:r>
          <w:rPr>
            <w:webHidden/>
          </w:rPr>
          <w:tab/>
        </w:r>
        <w:r>
          <w:rPr>
            <w:webHidden/>
          </w:rPr>
          <w:fldChar w:fldCharType="begin"/>
        </w:r>
        <w:r>
          <w:rPr>
            <w:webHidden/>
          </w:rPr>
          <w:instrText xml:space="preserve"> PAGEREF _Toc204606865 \h </w:instrText>
        </w:r>
        <w:r>
          <w:rPr>
            <w:webHidden/>
          </w:rPr>
        </w:r>
        <w:r>
          <w:rPr>
            <w:webHidden/>
          </w:rPr>
          <w:fldChar w:fldCharType="separate"/>
        </w:r>
        <w:r w:rsidR="00C43C1D">
          <w:rPr>
            <w:webHidden/>
          </w:rPr>
          <w:t>viii</w:t>
        </w:r>
        <w:r>
          <w:rPr>
            <w:webHidden/>
          </w:rPr>
          <w:fldChar w:fldCharType="end"/>
        </w:r>
      </w:hyperlink>
    </w:p>
    <w:p w14:paraId="40233E3F" w14:textId="4E36FFAB"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66" w:history="1">
        <w:r w:rsidRPr="00D12594">
          <w:rPr>
            <w:rStyle w:val="Hyperlink"/>
          </w:rPr>
          <w:t>Commonwealth environmental water delivery</w:t>
        </w:r>
        <w:r>
          <w:rPr>
            <w:webHidden/>
          </w:rPr>
          <w:tab/>
        </w:r>
        <w:r>
          <w:rPr>
            <w:webHidden/>
          </w:rPr>
          <w:fldChar w:fldCharType="begin"/>
        </w:r>
        <w:r>
          <w:rPr>
            <w:webHidden/>
          </w:rPr>
          <w:instrText xml:space="preserve"> PAGEREF _Toc204606866 \h </w:instrText>
        </w:r>
        <w:r>
          <w:rPr>
            <w:webHidden/>
          </w:rPr>
        </w:r>
        <w:r>
          <w:rPr>
            <w:webHidden/>
          </w:rPr>
          <w:fldChar w:fldCharType="separate"/>
        </w:r>
        <w:r w:rsidR="00C43C1D">
          <w:rPr>
            <w:webHidden/>
          </w:rPr>
          <w:t>viii</w:t>
        </w:r>
        <w:r>
          <w:rPr>
            <w:webHidden/>
          </w:rPr>
          <w:fldChar w:fldCharType="end"/>
        </w:r>
      </w:hyperlink>
    </w:p>
    <w:p w14:paraId="2317C710" w14:textId="74AF42B9"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67" w:history="1">
        <w:r w:rsidRPr="00D12594">
          <w:rPr>
            <w:rStyle w:val="Hyperlink"/>
          </w:rPr>
          <w:t>Observations</w:t>
        </w:r>
        <w:r>
          <w:rPr>
            <w:webHidden/>
          </w:rPr>
          <w:tab/>
        </w:r>
        <w:r>
          <w:rPr>
            <w:webHidden/>
          </w:rPr>
          <w:fldChar w:fldCharType="begin"/>
        </w:r>
        <w:r>
          <w:rPr>
            <w:webHidden/>
          </w:rPr>
          <w:instrText xml:space="preserve"> PAGEREF _Toc204606867 \h </w:instrText>
        </w:r>
        <w:r>
          <w:rPr>
            <w:webHidden/>
          </w:rPr>
        </w:r>
        <w:r>
          <w:rPr>
            <w:webHidden/>
          </w:rPr>
          <w:fldChar w:fldCharType="separate"/>
        </w:r>
        <w:r w:rsidR="00C43C1D">
          <w:rPr>
            <w:webHidden/>
          </w:rPr>
          <w:t>viii</w:t>
        </w:r>
        <w:r>
          <w:rPr>
            <w:webHidden/>
          </w:rPr>
          <w:fldChar w:fldCharType="end"/>
        </w:r>
      </w:hyperlink>
    </w:p>
    <w:p w14:paraId="623C71EC" w14:textId="4281E29A"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68" w:history="1">
        <w:r w:rsidRPr="00D12594">
          <w:rPr>
            <w:rStyle w:val="Hyperlink"/>
          </w:rPr>
          <w:t>Environmental outcomes</w:t>
        </w:r>
        <w:r>
          <w:rPr>
            <w:webHidden/>
          </w:rPr>
          <w:tab/>
        </w:r>
        <w:r>
          <w:rPr>
            <w:webHidden/>
          </w:rPr>
          <w:fldChar w:fldCharType="begin"/>
        </w:r>
        <w:r>
          <w:rPr>
            <w:webHidden/>
          </w:rPr>
          <w:instrText xml:space="preserve"> PAGEREF _Toc204606868 \h </w:instrText>
        </w:r>
        <w:r>
          <w:rPr>
            <w:webHidden/>
          </w:rPr>
        </w:r>
        <w:r>
          <w:rPr>
            <w:webHidden/>
          </w:rPr>
          <w:fldChar w:fldCharType="separate"/>
        </w:r>
        <w:r w:rsidR="00C43C1D">
          <w:rPr>
            <w:webHidden/>
          </w:rPr>
          <w:t>ix</w:t>
        </w:r>
        <w:r>
          <w:rPr>
            <w:webHidden/>
          </w:rPr>
          <w:fldChar w:fldCharType="end"/>
        </w:r>
      </w:hyperlink>
    </w:p>
    <w:p w14:paraId="43EB6504" w14:textId="03AE100E"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69" w:history="1">
        <w:r w:rsidRPr="00D12594">
          <w:rPr>
            <w:rStyle w:val="Hyperlink"/>
          </w:rPr>
          <w:t>Summary metrics 2014–24</w:t>
        </w:r>
        <w:r>
          <w:rPr>
            <w:webHidden/>
          </w:rPr>
          <w:tab/>
        </w:r>
        <w:r>
          <w:rPr>
            <w:webHidden/>
          </w:rPr>
          <w:fldChar w:fldCharType="begin"/>
        </w:r>
        <w:r>
          <w:rPr>
            <w:webHidden/>
          </w:rPr>
          <w:instrText xml:space="preserve"> PAGEREF _Toc204606869 \h </w:instrText>
        </w:r>
        <w:r>
          <w:rPr>
            <w:webHidden/>
          </w:rPr>
        </w:r>
        <w:r>
          <w:rPr>
            <w:webHidden/>
          </w:rPr>
          <w:fldChar w:fldCharType="separate"/>
        </w:r>
        <w:r w:rsidR="00C43C1D">
          <w:rPr>
            <w:webHidden/>
          </w:rPr>
          <w:t>x</w:t>
        </w:r>
        <w:r>
          <w:rPr>
            <w:webHidden/>
          </w:rPr>
          <w:fldChar w:fldCharType="end"/>
        </w:r>
      </w:hyperlink>
    </w:p>
    <w:p w14:paraId="388F3514" w14:textId="780E48EE"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70" w:history="1">
        <w:r w:rsidRPr="00D12594">
          <w:rPr>
            <w:rStyle w:val="Hyperlink"/>
          </w:rPr>
          <w:t>Water year 2023–24: statistics</w:t>
        </w:r>
        <w:r>
          <w:rPr>
            <w:webHidden/>
          </w:rPr>
          <w:tab/>
        </w:r>
        <w:r>
          <w:rPr>
            <w:webHidden/>
          </w:rPr>
          <w:fldChar w:fldCharType="begin"/>
        </w:r>
        <w:r>
          <w:rPr>
            <w:webHidden/>
          </w:rPr>
          <w:instrText xml:space="preserve"> PAGEREF _Toc204606870 \h </w:instrText>
        </w:r>
        <w:r>
          <w:rPr>
            <w:webHidden/>
          </w:rPr>
        </w:r>
        <w:r>
          <w:rPr>
            <w:webHidden/>
          </w:rPr>
          <w:fldChar w:fldCharType="separate"/>
        </w:r>
        <w:r w:rsidR="00C43C1D">
          <w:rPr>
            <w:webHidden/>
          </w:rPr>
          <w:t>xi</w:t>
        </w:r>
        <w:r>
          <w:rPr>
            <w:webHidden/>
          </w:rPr>
          <w:fldChar w:fldCharType="end"/>
        </w:r>
      </w:hyperlink>
    </w:p>
    <w:p w14:paraId="68F405F2" w14:textId="3860B8AF"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71" w:history="1">
        <w:r w:rsidRPr="00D12594">
          <w:rPr>
            <w:rStyle w:val="Hyperlink"/>
          </w:rPr>
          <w:t>Commonwealth environmental water delivery</w:t>
        </w:r>
        <w:r>
          <w:rPr>
            <w:webHidden/>
          </w:rPr>
          <w:tab/>
        </w:r>
        <w:r>
          <w:rPr>
            <w:webHidden/>
          </w:rPr>
          <w:fldChar w:fldCharType="begin"/>
        </w:r>
        <w:r>
          <w:rPr>
            <w:webHidden/>
          </w:rPr>
          <w:instrText xml:space="preserve"> PAGEREF _Toc204606871 \h </w:instrText>
        </w:r>
        <w:r>
          <w:rPr>
            <w:webHidden/>
          </w:rPr>
        </w:r>
        <w:r>
          <w:rPr>
            <w:webHidden/>
          </w:rPr>
          <w:fldChar w:fldCharType="separate"/>
        </w:r>
        <w:r w:rsidR="00C43C1D">
          <w:rPr>
            <w:webHidden/>
          </w:rPr>
          <w:t>xi</w:t>
        </w:r>
        <w:r>
          <w:rPr>
            <w:webHidden/>
          </w:rPr>
          <w:fldChar w:fldCharType="end"/>
        </w:r>
      </w:hyperlink>
    </w:p>
    <w:p w14:paraId="74951244" w14:textId="35655BA9"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72" w:history="1">
        <w:r w:rsidRPr="00D12594">
          <w:rPr>
            <w:rStyle w:val="Hyperlink"/>
          </w:rPr>
          <w:t>Observations</w:t>
        </w:r>
        <w:r>
          <w:rPr>
            <w:webHidden/>
          </w:rPr>
          <w:tab/>
        </w:r>
        <w:r>
          <w:rPr>
            <w:webHidden/>
          </w:rPr>
          <w:fldChar w:fldCharType="begin"/>
        </w:r>
        <w:r>
          <w:rPr>
            <w:webHidden/>
          </w:rPr>
          <w:instrText xml:space="preserve"> PAGEREF _Toc204606872 \h </w:instrText>
        </w:r>
        <w:r>
          <w:rPr>
            <w:webHidden/>
          </w:rPr>
        </w:r>
        <w:r>
          <w:rPr>
            <w:webHidden/>
          </w:rPr>
          <w:fldChar w:fldCharType="separate"/>
        </w:r>
        <w:r w:rsidR="00C43C1D">
          <w:rPr>
            <w:webHidden/>
          </w:rPr>
          <w:t>xi</w:t>
        </w:r>
        <w:r>
          <w:rPr>
            <w:webHidden/>
          </w:rPr>
          <w:fldChar w:fldCharType="end"/>
        </w:r>
      </w:hyperlink>
    </w:p>
    <w:p w14:paraId="15EAB67D" w14:textId="462C7513"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73" w:history="1">
        <w:r w:rsidRPr="00D12594">
          <w:rPr>
            <w:rStyle w:val="Hyperlink"/>
          </w:rPr>
          <w:t>Environmental outcomes</w:t>
        </w:r>
        <w:r>
          <w:rPr>
            <w:webHidden/>
          </w:rPr>
          <w:tab/>
        </w:r>
        <w:r>
          <w:rPr>
            <w:webHidden/>
          </w:rPr>
          <w:fldChar w:fldCharType="begin"/>
        </w:r>
        <w:r>
          <w:rPr>
            <w:webHidden/>
          </w:rPr>
          <w:instrText xml:space="preserve"> PAGEREF _Toc204606873 \h </w:instrText>
        </w:r>
        <w:r>
          <w:rPr>
            <w:webHidden/>
          </w:rPr>
        </w:r>
        <w:r>
          <w:rPr>
            <w:webHidden/>
          </w:rPr>
          <w:fldChar w:fldCharType="separate"/>
        </w:r>
        <w:r w:rsidR="00C43C1D">
          <w:rPr>
            <w:webHidden/>
          </w:rPr>
          <w:t>xii</w:t>
        </w:r>
        <w:r>
          <w:rPr>
            <w:webHidden/>
          </w:rPr>
          <w:fldChar w:fldCharType="end"/>
        </w:r>
      </w:hyperlink>
    </w:p>
    <w:p w14:paraId="68678F95" w14:textId="7C0D409F"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74" w:history="1">
        <w:r w:rsidRPr="00D12594">
          <w:rPr>
            <w:rStyle w:val="Hyperlink"/>
          </w:rPr>
          <w:t>Summary metrics 2023–24</w:t>
        </w:r>
        <w:r>
          <w:rPr>
            <w:webHidden/>
          </w:rPr>
          <w:tab/>
        </w:r>
        <w:r>
          <w:rPr>
            <w:webHidden/>
          </w:rPr>
          <w:fldChar w:fldCharType="begin"/>
        </w:r>
        <w:r>
          <w:rPr>
            <w:webHidden/>
          </w:rPr>
          <w:instrText xml:space="preserve"> PAGEREF _Toc204606874 \h </w:instrText>
        </w:r>
        <w:r>
          <w:rPr>
            <w:webHidden/>
          </w:rPr>
        </w:r>
        <w:r>
          <w:rPr>
            <w:webHidden/>
          </w:rPr>
          <w:fldChar w:fldCharType="separate"/>
        </w:r>
        <w:r w:rsidR="00C43C1D">
          <w:rPr>
            <w:webHidden/>
          </w:rPr>
          <w:t>xiii</w:t>
        </w:r>
        <w:r>
          <w:rPr>
            <w:webHidden/>
          </w:rPr>
          <w:fldChar w:fldCharType="end"/>
        </w:r>
      </w:hyperlink>
    </w:p>
    <w:p w14:paraId="67FC2D7B" w14:textId="5C720926"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75" w:history="1">
        <w:r w:rsidRPr="00D12594">
          <w:rPr>
            <w:rStyle w:val="Hyperlink"/>
          </w:rPr>
          <w:t>Abbreviations and terms</w:t>
        </w:r>
        <w:r>
          <w:rPr>
            <w:webHidden/>
          </w:rPr>
          <w:tab/>
        </w:r>
        <w:r>
          <w:rPr>
            <w:webHidden/>
          </w:rPr>
          <w:fldChar w:fldCharType="begin"/>
        </w:r>
        <w:r>
          <w:rPr>
            <w:webHidden/>
          </w:rPr>
          <w:instrText xml:space="preserve"> PAGEREF _Toc204606875 \h </w:instrText>
        </w:r>
        <w:r>
          <w:rPr>
            <w:webHidden/>
          </w:rPr>
        </w:r>
        <w:r>
          <w:rPr>
            <w:webHidden/>
          </w:rPr>
          <w:fldChar w:fldCharType="separate"/>
        </w:r>
        <w:r w:rsidR="00C43C1D">
          <w:rPr>
            <w:webHidden/>
          </w:rPr>
          <w:t>xvii</w:t>
        </w:r>
        <w:r>
          <w:rPr>
            <w:webHidden/>
          </w:rPr>
          <w:fldChar w:fldCharType="end"/>
        </w:r>
      </w:hyperlink>
    </w:p>
    <w:p w14:paraId="5069A62B" w14:textId="32B44D72"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76" w:history="1">
        <w:r w:rsidRPr="00D12594">
          <w:rPr>
            <w:rStyle w:val="Hyperlink"/>
          </w:rPr>
          <w:t>1</w:t>
        </w:r>
        <w:r>
          <w:rPr>
            <w:rFonts w:asciiTheme="minorHAnsi" w:eastAsiaTheme="minorEastAsia" w:hAnsiTheme="minorHAnsi" w:cstheme="minorBidi"/>
            <w:b w:val="0"/>
            <w:smallCaps w:val="0"/>
            <w:color w:val="auto"/>
            <w:kern w:val="2"/>
            <w:sz w:val="24"/>
            <w:szCs w:val="21"/>
            <w:lang w:bidi="ne-NP"/>
            <w14:ligatures w14:val="standardContextual"/>
          </w:rPr>
          <w:tab/>
        </w:r>
        <w:r w:rsidRPr="00D12594">
          <w:rPr>
            <w:rStyle w:val="Hyperlink"/>
          </w:rPr>
          <w:t>Introduction</w:t>
        </w:r>
        <w:r>
          <w:rPr>
            <w:webHidden/>
          </w:rPr>
          <w:tab/>
        </w:r>
        <w:r>
          <w:rPr>
            <w:webHidden/>
          </w:rPr>
          <w:fldChar w:fldCharType="begin"/>
        </w:r>
        <w:r>
          <w:rPr>
            <w:webHidden/>
          </w:rPr>
          <w:instrText xml:space="preserve"> PAGEREF _Toc204606876 \h </w:instrText>
        </w:r>
        <w:r>
          <w:rPr>
            <w:webHidden/>
          </w:rPr>
        </w:r>
        <w:r>
          <w:rPr>
            <w:webHidden/>
          </w:rPr>
          <w:fldChar w:fldCharType="separate"/>
        </w:r>
        <w:r w:rsidR="00C43C1D">
          <w:rPr>
            <w:webHidden/>
          </w:rPr>
          <w:t>1</w:t>
        </w:r>
        <w:r>
          <w:rPr>
            <w:webHidden/>
          </w:rPr>
          <w:fldChar w:fldCharType="end"/>
        </w:r>
      </w:hyperlink>
    </w:p>
    <w:p w14:paraId="00189B56" w14:textId="43C60F36"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77" w:history="1">
        <w:r w:rsidRPr="00D12594">
          <w:rPr>
            <w:rStyle w:val="Hyperlink"/>
          </w:rPr>
          <w:t>1.1</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Basin-scale evaluation</w:t>
        </w:r>
        <w:r>
          <w:rPr>
            <w:webHidden/>
          </w:rPr>
          <w:tab/>
        </w:r>
        <w:r>
          <w:rPr>
            <w:webHidden/>
          </w:rPr>
          <w:fldChar w:fldCharType="begin"/>
        </w:r>
        <w:r>
          <w:rPr>
            <w:webHidden/>
          </w:rPr>
          <w:instrText xml:space="preserve"> PAGEREF _Toc204606877 \h </w:instrText>
        </w:r>
        <w:r>
          <w:rPr>
            <w:webHidden/>
          </w:rPr>
        </w:r>
        <w:r>
          <w:rPr>
            <w:webHidden/>
          </w:rPr>
          <w:fldChar w:fldCharType="separate"/>
        </w:r>
        <w:r w:rsidR="00C43C1D">
          <w:rPr>
            <w:webHidden/>
          </w:rPr>
          <w:t>1</w:t>
        </w:r>
        <w:r>
          <w:rPr>
            <w:webHidden/>
          </w:rPr>
          <w:fldChar w:fldCharType="end"/>
        </w:r>
      </w:hyperlink>
    </w:p>
    <w:p w14:paraId="4B0BF24E" w14:textId="2D48975C"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78" w:history="1">
        <w:r w:rsidRPr="00D12594">
          <w:rPr>
            <w:rStyle w:val="Hyperlink"/>
          </w:rPr>
          <w:t>1.2</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Evaluation questions</w:t>
        </w:r>
        <w:r>
          <w:rPr>
            <w:webHidden/>
          </w:rPr>
          <w:tab/>
        </w:r>
        <w:r>
          <w:rPr>
            <w:webHidden/>
          </w:rPr>
          <w:fldChar w:fldCharType="begin"/>
        </w:r>
        <w:r>
          <w:rPr>
            <w:webHidden/>
          </w:rPr>
          <w:instrText xml:space="preserve"> PAGEREF _Toc204606878 \h </w:instrText>
        </w:r>
        <w:r>
          <w:rPr>
            <w:webHidden/>
          </w:rPr>
        </w:r>
        <w:r>
          <w:rPr>
            <w:webHidden/>
          </w:rPr>
          <w:fldChar w:fldCharType="separate"/>
        </w:r>
        <w:r w:rsidR="00C43C1D">
          <w:rPr>
            <w:webHidden/>
          </w:rPr>
          <w:t>2</w:t>
        </w:r>
        <w:r>
          <w:rPr>
            <w:webHidden/>
          </w:rPr>
          <w:fldChar w:fldCharType="end"/>
        </w:r>
      </w:hyperlink>
    </w:p>
    <w:p w14:paraId="245B7FCB" w14:textId="34395B7D"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79" w:history="1">
        <w:r w:rsidRPr="00D12594">
          <w:rPr>
            <w:rStyle w:val="Hyperlink"/>
          </w:rPr>
          <w:t>1.3</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About this report</w:t>
        </w:r>
        <w:r>
          <w:rPr>
            <w:webHidden/>
          </w:rPr>
          <w:tab/>
        </w:r>
        <w:r>
          <w:rPr>
            <w:webHidden/>
          </w:rPr>
          <w:fldChar w:fldCharType="begin"/>
        </w:r>
        <w:r>
          <w:rPr>
            <w:webHidden/>
          </w:rPr>
          <w:instrText xml:space="preserve"> PAGEREF _Toc204606879 \h </w:instrText>
        </w:r>
        <w:r>
          <w:rPr>
            <w:webHidden/>
          </w:rPr>
        </w:r>
        <w:r>
          <w:rPr>
            <w:webHidden/>
          </w:rPr>
          <w:fldChar w:fldCharType="separate"/>
        </w:r>
        <w:r w:rsidR="00C43C1D">
          <w:rPr>
            <w:webHidden/>
          </w:rPr>
          <w:t>2</w:t>
        </w:r>
        <w:r>
          <w:rPr>
            <w:webHidden/>
          </w:rPr>
          <w:fldChar w:fldCharType="end"/>
        </w:r>
      </w:hyperlink>
    </w:p>
    <w:p w14:paraId="65424D9C" w14:textId="64C252F6"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80" w:history="1">
        <w:r w:rsidRPr="00D12594">
          <w:rPr>
            <w:rStyle w:val="Hyperlink"/>
          </w:rPr>
          <w:t>2</w:t>
        </w:r>
        <w:r>
          <w:rPr>
            <w:rFonts w:asciiTheme="minorHAnsi" w:eastAsiaTheme="minorEastAsia" w:hAnsiTheme="minorHAnsi" w:cstheme="minorBidi"/>
            <w:b w:val="0"/>
            <w:smallCaps w:val="0"/>
            <w:color w:val="auto"/>
            <w:kern w:val="2"/>
            <w:sz w:val="24"/>
            <w:szCs w:val="21"/>
            <w:lang w:bidi="ne-NP"/>
            <w14:ligatures w14:val="standardContextual"/>
          </w:rPr>
          <w:tab/>
        </w:r>
        <w:r w:rsidRPr="00D12594">
          <w:rPr>
            <w:rStyle w:val="Hyperlink"/>
          </w:rPr>
          <w:t>Hydrology and connectivity</w:t>
        </w:r>
        <w:r>
          <w:rPr>
            <w:webHidden/>
          </w:rPr>
          <w:tab/>
        </w:r>
        <w:r>
          <w:rPr>
            <w:webHidden/>
          </w:rPr>
          <w:fldChar w:fldCharType="begin"/>
        </w:r>
        <w:r>
          <w:rPr>
            <w:webHidden/>
          </w:rPr>
          <w:instrText xml:space="preserve"> PAGEREF _Toc204606880 \h </w:instrText>
        </w:r>
        <w:r>
          <w:rPr>
            <w:webHidden/>
          </w:rPr>
        </w:r>
        <w:r>
          <w:rPr>
            <w:webHidden/>
          </w:rPr>
          <w:fldChar w:fldCharType="separate"/>
        </w:r>
        <w:r w:rsidR="00C43C1D">
          <w:rPr>
            <w:webHidden/>
          </w:rPr>
          <w:t>4</w:t>
        </w:r>
        <w:r>
          <w:rPr>
            <w:webHidden/>
          </w:rPr>
          <w:fldChar w:fldCharType="end"/>
        </w:r>
      </w:hyperlink>
    </w:p>
    <w:p w14:paraId="3BA842B9" w14:textId="22899077"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1" w:history="1">
        <w:r w:rsidRPr="00D12594">
          <w:rPr>
            <w:rStyle w:val="Hyperlink"/>
          </w:rPr>
          <w:t>2.1</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Rainfall</w:t>
        </w:r>
        <w:r>
          <w:rPr>
            <w:webHidden/>
          </w:rPr>
          <w:tab/>
        </w:r>
        <w:r>
          <w:rPr>
            <w:webHidden/>
          </w:rPr>
          <w:fldChar w:fldCharType="begin"/>
        </w:r>
        <w:r>
          <w:rPr>
            <w:webHidden/>
          </w:rPr>
          <w:instrText xml:space="preserve"> PAGEREF _Toc204606881 \h </w:instrText>
        </w:r>
        <w:r>
          <w:rPr>
            <w:webHidden/>
          </w:rPr>
        </w:r>
        <w:r>
          <w:rPr>
            <w:webHidden/>
          </w:rPr>
          <w:fldChar w:fldCharType="separate"/>
        </w:r>
        <w:r w:rsidR="00C43C1D">
          <w:rPr>
            <w:webHidden/>
          </w:rPr>
          <w:t>5</w:t>
        </w:r>
        <w:r>
          <w:rPr>
            <w:webHidden/>
          </w:rPr>
          <w:fldChar w:fldCharType="end"/>
        </w:r>
      </w:hyperlink>
    </w:p>
    <w:p w14:paraId="41148002" w14:textId="1E00240E"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2" w:history="1">
        <w:r w:rsidRPr="00D12594">
          <w:rPr>
            <w:rStyle w:val="Hyperlink"/>
          </w:rPr>
          <w:t>2.2</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Total runoff in the Basin</w:t>
        </w:r>
        <w:r>
          <w:rPr>
            <w:webHidden/>
          </w:rPr>
          <w:tab/>
        </w:r>
        <w:r>
          <w:rPr>
            <w:webHidden/>
          </w:rPr>
          <w:fldChar w:fldCharType="begin"/>
        </w:r>
        <w:r>
          <w:rPr>
            <w:webHidden/>
          </w:rPr>
          <w:instrText xml:space="preserve"> PAGEREF _Toc204606882 \h </w:instrText>
        </w:r>
        <w:r>
          <w:rPr>
            <w:webHidden/>
          </w:rPr>
        </w:r>
        <w:r>
          <w:rPr>
            <w:webHidden/>
          </w:rPr>
          <w:fldChar w:fldCharType="separate"/>
        </w:r>
        <w:r w:rsidR="00C43C1D">
          <w:rPr>
            <w:webHidden/>
          </w:rPr>
          <w:t>6</w:t>
        </w:r>
        <w:r>
          <w:rPr>
            <w:webHidden/>
          </w:rPr>
          <w:fldChar w:fldCharType="end"/>
        </w:r>
      </w:hyperlink>
    </w:p>
    <w:p w14:paraId="4A7FAD89" w14:textId="262769BD"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3" w:history="1">
        <w:r w:rsidRPr="00D12594">
          <w:rPr>
            <w:rStyle w:val="Hyperlink"/>
          </w:rPr>
          <w:t>2.3</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Delivery of Commonwealth environmental water</w:t>
        </w:r>
        <w:r>
          <w:rPr>
            <w:webHidden/>
          </w:rPr>
          <w:tab/>
        </w:r>
        <w:r>
          <w:rPr>
            <w:webHidden/>
          </w:rPr>
          <w:fldChar w:fldCharType="begin"/>
        </w:r>
        <w:r>
          <w:rPr>
            <w:webHidden/>
          </w:rPr>
          <w:instrText xml:space="preserve"> PAGEREF _Toc204606883 \h </w:instrText>
        </w:r>
        <w:r>
          <w:rPr>
            <w:webHidden/>
          </w:rPr>
        </w:r>
        <w:r>
          <w:rPr>
            <w:webHidden/>
          </w:rPr>
          <w:fldChar w:fldCharType="separate"/>
        </w:r>
        <w:r w:rsidR="00C43C1D">
          <w:rPr>
            <w:webHidden/>
          </w:rPr>
          <w:t>10</w:t>
        </w:r>
        <w:r>
          <w:rPr>
            <w:webHidden/>
          </w:rPr>
          <w:fldChar w:fldCharType="end"/>
        </w:r>
      </w:hyperlink>
    </w:p>
    <w:p w14:paraId="1F312E53" w14:textId="74EC0888"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4" w:history="1">
        <w:r w:rsidRPr="00D12594">
          <w:rPr>
            <w:rStyle w:val="Hyperlink"/>
          </w:rPr>
          <w:t>2.4</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Restoring flows</w:t>
        </w:r>
        <w:r>
          <w:rPr>
            <w:webHidden/>
          </w:rPr>
          <w:tab/>
        </w:r>
        <w:r>
          <w:rPr>
            <w:webHidden/>
          </w:rPr>
          <w:fldChar w:fldCharType="begin"/>
        </w:r>
        <w:r>
          <w:rPr>
            <w:webHidden/>
          </w:rPr>
          <w:instrText xml:space="preserve"> PAGEREF _Toc204606884 \h </w:instrText>
        </w:r>
        <w:r>
          <w:rPr>
            <w:webHidden/>
          </w:rPr>
        </w:r>
        <w:r>
          <w:rPr>
            <w:webHidden/>
          </w:rPr>
          <w:fldChar w:fldCharType="separate"/>
        </w:r>
        <w:r w:rsidR="00C43C1D">
          <w:rPr>
            <w:webHidden/>
          </w:rPr>
          <w:t>15</w:t>
        </w:r>
        <w:r>
          <w:rPr>
            <w:webHidden/>
          </w:rPr>
          <w:fldChar w:fldCharType="end"/>
        </w:r>
      </w:hyperlink>
    </w:p>
    <w:p w14:paraId="3CCAD98E" w14:textId="6DD7062E"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5" w:history="1">
        <w:r w:rsidRPr="00D12594">
          <w:rPr>
            <w:rStyle w:val="Hyperlink"/>
          </w:rPr>
          <w:t>2.5</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Lateral connectivity</w:t>
        </w:r>
        <w:r>
          <w:rPr>
            <w:webHidden/>
          </w:rPr>
          <w:tab/>
        </w:r>
        <w:r>
          <w:rPr>
            <w:webHidden/>
          </w:rPr>
          <w:fldChar w:fldCharType="begin"/>
        </w:r>
        <w:r>
          <w:rPr>
            <w:webHidden/>
          </w:rPr>
          <w:instrText xml:space="preserve"> PAGEREF _Toc204606885 \h </w:instrText>
        </w:r>
        <w:r>
          <w:rPr>
            <w:webHidden/>
          </w:rPr>
        </w:r>
        <w:r>
          <w:rPr>
            <w:webHidden/>
          </w:rPr>
          <w:fldChar w:fldCharType="separate"/>
        </w:r>
        <w:r w:rsidR="00C43C1D">
          <w:rPr>
            <w:webHidden/>
          </w:rPr>
          <w:t>21</w:t>
        </w:r>
        <w:r>
          <w:rPr>
            <w:webHidden/>
          </w:rPr>
          <w:fldChar w:fldCharType="end"/>
        </w:r>
      </w:hyperlink>
    </w:p>
    <w:p w14:paraId="4D08E74A" w14:textId="57844661"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6" w:history="1">
        <w:r w:rsidRPr="00D12594">
          <w:rPr>
            <w:rStyle w:val="Hyperlink"/>
          </w:rPr>
          <w:t>2.6</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Basin ecosystems</w:t>
        </w:r>
        <w:r>
          <w:rPr>
            <w:webHidden/>
          </w:rPr>
          <w:tab/>
        </w:r>
        <w:r>
          <w:rPr>
            <w:webHidden/>
          </w:rPr>
          <w:fldChar w:fldCharType="begin"/>
        </w:r>
        <w:r>
          <w:rPr>
            <w:webHidden/>
          </w:rPr>
          <w:instrText xml:space="preserve"> PAGEREF _Toc204606886 \h </w:instrText>
        </w:r>
        <w:r>
          <w:rPr>
            <w:webHidden/>
          </w:rPr>
        </w:r>
        <w:r>
          <w:rPr>
            <w:webHidden/>
          </w:rPr>
          <w:fldChar w:fldCharType="separate"/>
        </w:r>
        <w:r w:rsidR="00C43C1D">
          <w:rPr>
            <w:webHidden/>
          </w:rPr>
          <w:t>23</w:t>
        </w:r>
        <w:r>
          <w:rPr>
            <w:webHidden/>
          </w:rPr>
          <w:fldChar w:fldCharType="end"/>
        </w:r>
      </w:hyperlink>
    </w:p>
    <w:p w14:paraId="699DDF64" w14:textId="1E23B398"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7" w:history="1">
        <w:r w:rsidRPr="00D12594">
          <w:rPr>
            <w:rStyle w:val="Hyperlink"/>
          </w:rPr>
          <w:t>2.7</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Ramsar wetlands</w:t>
        </w:r>
        <w:r>
          <w:rPr>
            <w:webHidden/>
          </w:rPr>
          <w:tab/>
        </w:r>
        <w:r>
          <w:rPr>
            <w:webHidden/>
          </w:rPr>
          <w:fldChar w:fldCharType="begin"/>
        </w:r>
        <w:r>
          <w:rPr>
            <w:webHidden/>
          </w:rPr>
          <w:instrText xml:space="preserve"> PAGEREF _Toc204606887 \h </w:instrText>
        </w:r>
        <w:r>
          <w:rPr>
            <w:webHidden/>
          </w:rPr>
        </w:r>
        <w:r>
          <w:rPr>
            <w:webHidden/>
          </w:rPr>
          <w:fldChar w:fldCharType="separate"/>
        </w:r>
        <w:r w:rsidR="00C43C1D">
          <w:rPr>
            <w:webHidden/>
          </w:rPr>
          <w:t>25</w:t>
        </w:r>
        <w:r>
          <w:rPr>
            <w:webHidden/>
          </w:rPr>
          <w:fldChar w:fldCharType="end"/>
        </w:r>
      </w:hyperlink>
    </w:p>
    <w:p w14:paraId="688FF38A" w14:textId="4F9A0136"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88" w:history="1">
        <w:r w:rsidRPr="00D12594">
          <w:rPr>
            <w:rStyle w:val="Hyperlink"/>
          </w:rPr>
          <w:t>3</w:t>
        </w:r>
        <w:r>
          <w:rPr>
            <w:rFonts w:asciiTheme="minorHAnsi" w:eastAsiaTheme="minorEastAsia" w:hAnsiTheme="minorHAnsi" w:cstheme="minorBidi"/>
            <w:b w:val="0"/>
            <w:smallCaps w:val="0"/>
            <w:color w:val="auto"/>
            <w:kern w:val="2"/>
            <w:sz w:val="24"/>
            <w:szCs w:val="21"/>
            <w:lang w:bidi="ne-NP"/>
            <w14:ligatures w14:val="standardContextual"/>
          </w:rPr>
          <w:tab/>
        </w:r>
        <w:r w:rsidRPr="00D12594">
          <w:rPr>
            <w:rStyle w:val="Hyperlink"/>
          </w:rPr>
          <w:t>Outcomes 2023–24</w:t>
        </w:r>
        <w:r>
          <w:rPr>
            <w:webHidden/>
          </w:rPr>
          <w:tab/>
        </w:r>
        <w:r>
          <w:rPr>
            <w:webHidden/>
          </w:rPr>
          <w:fldChar w:fldCharType="begin"/>
        </w:r>
        <w:r>
          <w:rPr>
            <w:webHidden/>
          </w:rPr>
          <w:instrText xml:space="preserve"> PAGEREF _Toc204606888 \h </w:instrText>
        </w:r>
        <w:r>
          <w:rPr>
            <w:webHidden/>
          </w:rPr>
        </w:r>
        <w:r>
          <w:rPr>
            <w:webHidden/>
          </w:rPr>
          <w:fldChar w:fldCharType="separate"/>
        </w:r>
        <w:r w:rsidR="00C43C1D">
          <w:rPr>
            <w:webHidden/>
          </w:rPr>
          <w:t>29</w:t>
        </w:r>
        <w:r>
          <w:rPr>
            <w:webHidden/>
          </w:rPr>
          <w:fldChar w:fldCharType="end"/>
        </w:r>
      </w:hyperlink>
    </w:p>
    <w:p w14:paraId="757EEAC4" w14:textId="00D11D0A"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89" w:history="1">
        <w:r w:rsidRPr="00D12594">
          <w:rPr>
            <w:rStyle w:val="Hyperlink"/>
          </w:rPr>
          <w:t>3.1</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Biodiversity outcomes 2023–24</w:t>
        </w:r>
        <w:r>
          <w:rPr>
            <w:webHidden/>
          </w:rPr>
          <w:tab/>
        </w:r>
        <w:r>
          <w:rPr>
            <w:webHidden/>
          </w:rPr>
          <w:fldChar w:fldCharType="begin"/>
        </w:r>
        <w:r>
          <w:rPr>
            <w:webHidden/>
          </w:rPr>
          <w:instrText xml:space="preserve"> PAGEREF _Toc204606889 \h </w:instrText>
        </w:r>
        <w:r>
          <w:rPr>
            <w:webHidden/>
          </w:rPr>
        </w:r>
        <w:r>
          <w:rPr>
            <w:webHidden/>
          </w:rPr>
          <w:fldChar w:fldCharType="separate"/>
        </w:r>
        <w:r w:rsidR="00C43C1D">
          <w:rPr>
            <w:webHidden/>
          </w:rPr>
          <w:t>31</w:t>
        </w:r>
        <w:r>
          <w:rPr>
            <w:webHidden/>
          </w:rPr>
          <w:fldChar w:fldCharType="end"/>
        </w:r>
      </w:hyperlink>
    </w:p>
    <w:p w14:paraId="21016827" w14:textId="34E889E6"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90" w:history="1">
        <w:r w:rsidRPr="00D12594">
          <w:rPr>
            <w:rStyle w:val="Hyperlink"/>
          </w:rPr>
          <w:t>3.2</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Ecosystem function outcomes 2023–24</w:t>
        </w:r>
        <w:r>
          <w:rPr>
            <w:webHidden/>
          </w:rPr>
          <w:tab/>
        </w:r>
        <w:r>
          <w:rPr>
            <w:webHidden/>
          </w:rPr>
          <w:fldChar w:fldCharType="begin"/>
        </w:r>
        <w:r>
          <w:rPr>
            <w:webHidden/>
          </w:rPr>
          <w:instrText xml:space="preserve"> PAGEREF _Toc204606890 \h </w:instrText>
        </w:r>
        <w:r>
          <w:rPr>
            <w:webHidden/>
          </w:rPr>
        </w:r>
        <w:r>
          <w:rPr>
            <w:webHidden/>
          </w:rPr>
          <w:fldChar w:fldCharType="separate"/>
        </w:r>
        <w:r w:rsidR="00C43C1D">
          <w:rPr>
            <w:webHidden/>
          </w:rPr>
          <w:t>37</w:t>
        </w:r>
        <w:r>
          <w:rPr>
            <w:webHidden/>
          </w:rPr>
          <w:fldChar w:fldCharType="end"/>
        </w:r>
      </w:hyperlink>
    </w:p>
    <w:p w14:paraId="4E0558E3" w14:textId="6C4ADD8E"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91" w:history="1">
        <w:r w:rsidRPr="00D12594">
          <w:rPr>
            <w:rStyle w:val="Hyperlink"/>
          </w:rPr>
          <w:t>3.3</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Water quality outcomes 2023–24</w:t>
        </w:r>
        <w:r>
          <w:rPr>
            <w:webHidden/>
          </w:rPr>
          <w:tab/>
        </w:r>
        <w:r>
          <w:rPr>
            <w:webHidden/>
          </w:rPr>
          <w:fldChar w:fldCharType="begin"/>
        </w:r>
        <w:r>
          <w:rPr>
            <w:webHidden/>
          </w:rPr>
          <w:instrText xml:space="preserve"> PAGEREF _Toc204606891 \h </w:instrText>
        </w:r>
        <w:r>
          <w:rPr>
            <w:webHidden/>
          </w:rPr>
        </w:r>
        <w:r>
          <w:rPr>
            <w:webHidden/>
          </w:rPr>
          <w:fldChar w:fldCharType="separate"/>
        </w:r>
        <w:r w:rsidR="00C43C1D">
          <w:rPr>
            <w:webHidden/>
          </w:rPr>
          <w:t>40</w:t>
        </w:r>
        <w:r>
          <w:rPr>
            <w:webHidden/>
          </w:rPr>
          <w:fldChar w:fldCharType="end"/>
        </w:r>
      </w:hyperlink>
    </w:p>
    <w:p w14:paraId="3E2FE990" w14:textId="3B55EFED"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92" w:history="1">
        <w:r w:rsidRPr="00D12594">
          <w:rPr>
            <w:rStyle w:val="Hyperlink"/>
          </w:rPr>
          <w:t>4</w:t>
        </w:r>
        <w:r>
          <w:rPr>
            <w:rFonts w:asciiTheme="minorHAnsi" w:eastAsiaTheme="minorEastAsia" w:hAnsiTheme="minorHAnsi" w:cstheme="minorBidi"/>
            <w:b w:val="0"/>
            <w:smallCaps w:val="0"/>
            <w:color w:val="auto"/>
            <w:kern w:val="2"/>
            <w:sz w:val="24"/>
            <w:szCs w:val="21"/>
            <w:lang w:bidi="ne-NP"/>
            <w14:ligatures w14:val="standardContextual"/>
          </w:rPr>
          <w:tab/>
        </w:r>
        <w:r w:rsidRPr="00D12594">
          <w:rPr>
            <w:rStyle w:val="Hyperlink"/>
          </w:rPr>
          <w:t>Outcomes 2014–24</w:t>
        </w:r>
        <w:r>
          <w:rPr>
            <w:webHidden/>
          </w:rPr>
          <w:tab/>
        </w:r>
        <w:r>
          <w:rPr>
            <w:webHidden/>
          </w:rPr>
          <w:fldChar w:fldCharType="begin"/>
        </w:r>
        <w:r>
          <w:rPr>
            <w:webHidden/>
          </w:rPr>
          <w:instrText xml:space="preserve"> PAGEREF _Toc204606892 \h </w:instrText>
        </w:r>
        <w:r>
          <w:rPr>
            <w:webHidden/>
          </w:rPr>
        </w:r>
        <w:r>
          <w:rPr>
            <w:webHidden/>
          </w:rPr>
          <w:fldChar w:fldCharType="separate"/>
        </w:r>
        <w:r w:rsidR="00C43C1D">
          <w:rPr>
            <w:webHidden/>
          </w:rPr>
          <w:t>41</w:t>
        </w:r>
        <w:r>
          <w:rPr>
            <w:webHidden/>
          </w:rPr>
          <w:fldChar w:fldCharType="end"/>
        </w:r>
      </w:hyperlink>
    </w:p>
    <w:p w14:paraId="4F1FFEC5" w14:textId="7F76FBA5"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93" w:history="1">
        <w:r w:rsidRPr="00D12594">
          <w:rPr>
            <w:rStyle w:val="Hyperlink"/>
          </w:rPr>
          <w:t>4.1</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Biodiversity outcomes 2014–24</w:t>
        </w:r>
        <w:r>
          <w:rPr>
            <w:webHidden/>
          </w:rPr>
          <w:tab/>
        </w:r>
        <w:r>
          <w:rPr>
            <w:webHidden/>
          </w:rPr>
          <w:fldChar w:fldCharType="begin"/>
        </w:r>
        <w:r>
          <w:rPr>
            <w:webHidden/>
          </w:rPr>
          <w:instrText xml:space="preserve"> PAGEREF _Toc204606893 \h </w:instrText>
        </w:r>
        <w:r>
          <w:rPr>
            <w:webHidden/>
          </w:rPr>
        </w:r>
        <w:r>
          <w:rPr>
            <w:webHidden/>
          </w:rPr>
          <w:fldChar w:fldCharType="separate"/>
        </w:r>
        <w:r w:rsidR="00C43C1D">
          <w:rPr>
            <w:webHidden/>
          </w:rPr>
          <w:t>43</w:t>
        </w:r>
        <w:r>
          <w:rPr>
            <w:webHidden/>
          </w:rPr>
          <w:fldChar w:fldCharType="end"/>
        </w:r>
      </w:hyperlink>
    </w:p>
    <w:p w14:paraId="197DB405" w14:textId="417649B0"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94" w:history="1">
        <w:r w:rsidRPr="00D12594">
          <w:rPr>
            <w:rStyle w:val="Hyperlink"/>
          </w:rPr>
          <w:t>4.2</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Ecosystem function outcomes 2014–24</w:t>
        </w:r>
        <w:r>
          <w:rPr>
            <w:webHidden/>
          </w:rPr>
          <w:tab/>
        </w:r>
        <w:r>
          <w:rPr>
            <w:webHidden/>
          </w:rPr>
          <w:fldChar w:fldCharType="begin"/>
        </w:r>
        <w:r>
          <w:rPr>
            <w:webHidden/>
          </w:rPr>
          <w:instrText xml:space="preserve"> PAGEREF _Toc204606894 \h </w:instrText>
        </w:r>
        <w:r>
          <w:rPr>
            <w:webHidden/>
          </w:rPr>
        </w:r>
        <w:r>
          <w:rPr>
            <w:webHidden/>
          </w:rPr>
          <w:fldChar w:fldCharType="separate"/>
        </w:r>
        <w:r w:rsidR="00C43C1D">
          <w:rPr>
            <w:webHidden/>
          </w:rPr>
          <w:t>52</w:t>
        </w:r>
        <w:r>
          <w:rPr>
            <w:webHidden/>
          </w:rPr>
          <w:fldChar w:fldCharType="end"/>
        </w:r>
      </w:hyperlink>
    </w:p>
    <w:p w14:paraId="066FDF3D" w14:textId="7DF1EF73"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95" w:history="1">
        <w:r w:rsidRPr="00D12594">
          <w:rPr>
            <w:rStyle w:val="Hyperlink"/>
          </w:rPr>
          <w:t>4.3</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Water quality outcomes 2014–24</w:t>
        </w:r>
        <w:r>
          <w:rPr>
            <w:webHidden/>
          </w:rPr>
          <w:tab/>
        </w:r>
        <w:r>
          <w:rPr>
            <w:webHidden/>
          </w:rPr>
          <w:fldChar w:fldCharType="begin"/>
        </w:r>
        <w:r>
          <w:rPr>
            <w:webHidden/>
          </w:rPr>
          <w:instrText xml:space="preserve"> PAGEREF _Toc204606895 \h </w:instrText>
        </w:r>
        <w:r>
          <w:rPr>
            <w:webHidden/>
          </w:rPr>
        </w:r>
        <w:r>
          <w:rPr>
            <w:webHidden/>
          </w:rPr>
          <w:fldChar w:fldCharType="separate"/>
        </w:r>
        <w:r w:rsidR="00C43C1D">
          <w:rPr>
            <w:webHidden/>
          </w:rPr>
          <w:t>53</w:t>
        </w:r>
        <w:r>
          <w:rPr>
            <w:webHidden/>
          </w:rPr>
          <w:fldChar w:fldCharType="end"/>
        </w:r>
      </w:hyperlink>
    </w:p>
    <w:p w14:paraId="0CD3DC36" w14:textId="43298700" w:rsidR="00C43CD7" w:rsidRDefault="00C43CD7">
      <w:pPr>
        <w:pStyle w:val="TOC2"/>
        <w:rPr>
          <w:rFonts w:asciiTheme="minorHAnsi" w:eastAsiaTheme="minorEastAsia" w:hAnsiTheme="minorHAnsi" w:cstheme="minorBidi"/>
          <w:color w:val="auto"/>
          <w:kern w:val="2"/>
          <w:sz w:val="24"/>
          <w:szCs w:val="21"/>
          <w:lang w:bidi="ne-NP"/>
          <w14:ligatures w14:val="standardContextual"/>
        </w:rPr>
      </w:pPr>
      <w:hyperlink w:anchor="_Toc204606896" w:history="1">
        <w:r w:rsidRPr="00D12594">
          <w:rPr>
            <w:rStyle w:val="Hyperlink"/>
          </w:rPr>
          <w:t>4.4</w:t>
        </w:r>
        <w:r>
          <w:rPr>
            <w:rFonts w:asciiTheme="minorHAnsi" w:eastAsiaTheme="minorEastAsia" w:hAnsiTheme="minorHAnsi" w:cstheme="minorBidi"/>
            <w:color w:val="auto"/>
            <w:kern w:val="2"/>
            <w:sz w:val="24"/>
            <w:szCs w:val="21"/>
            <w:lang w:bidi="ne-NP"/>
            <w14:ligatures w14:val="standardContextual"/>
          </w:rPr>
          <w:tab/>
        </w:r>
        <w:r w:rsidRPr="00D12594">
          <w:rPr>
            <w:rStyle w:val="Hyperlink"/>
          </w:rPr>
          <w:t>Resilience outcomes 2014–24</w:t>
        </w:r>
        <w:r>
          <w:rPr>
            <w:webHidden/>
          </w:rPr>
          <w:tab/>
        </w:r>
        <w:r>
          <w:rPr>
            <w:webHidden/>
          </w:rPr>
          <w:fldChar w:fldCharType="begin"/>
        </w:r>
        <w:r>
          <w:rPr>
            <w:webHidden/>
          </w:rPr>
          <w:instrText xml:space="preserve"> PAGEREF _Toc204606896 \h </w:instrText>
        </w:r>
        <w:r>
          <w:rPr>
            <w:webHidden/>
          </w:rPr>
        </w:r>
        <w:r>
          <w:rPr>
            <w:webHidden/>
          </w:rPr>
          <w:fldChar w:fldCharType="separate"/>
        </w:r>
        <w:r w:rsidR="00C43C1D">
          <w:rPr>
            <w:webHidden/>
          </w:rPr>
          <w:t>54</w:t>
        </w:r>
        <w:r>
          <w:rPr>
            <w:webHidden/>
          </w:rPr>
          <w:fldChar w:fldCharType="end"/>
        </w:r>
      </w:hyperlink>
    </w:p>
    <w:p w14:paraId="36B3CE2C" w14:textId="73B00525" w:rsidR="00C43CD7" w:rsidRDefault="00C43CD7">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4606897" w:history="1">
        <w:r w:rsidRPr="00D12594">
          <w:rPr>
            <w:rStyle w:val="Hyperlink"/>
          </w:rPr>
          <w:t>5</w:t>
        </w:r>
        <w:r>
          <w:rPr>
            <w:rFonts w:asciiTheme="minorHAnsi" w:eastAsiaTheme="minorEastAsia" w:hAnsiTheme="minorHAnsi" w:cstheme="minorBidi"/>
            <w:b w:val="0"/>
            <w:smallCaps w:val="0"/>
            <w:color w:val="auto"/>
            <w:kern w:val="2"/>
            <w:sz w:val="24"/>
            <w:szCs w:val="21"/>
            <w:lang w:bidi="ne-NP"/>
            <w14:ligatures w14:val="standardContextual"/>
          </w:rPr>
          <w:tab/>
        </w:r>
        <w:r w:rsidRPr="00D12594">
          <w:rPr>
            <w:rStyle w:val="Hyperlink"/>
          </w:rPr>
          <w:t>Informing adaptive management</w:t>
        </w:r>
        <w:r>
          <w:rPr>
            <w:webHidden/>
          </w:rPr>
          <w:tab/>
        </w:r>
        <w:r>
          <w:rPr>
            <w:webHidden/>
          </w:rPr>
          <w:fldChar w:fldCharType="begin"/>
        </w:r>
        <w:r>
          <w:rPr>
            <w:webHidden/>
          </w:rPr>
          <w:instrText xml:space="preserve"> PAGEREF _Toc204606897 \h </w:instrText>
        </w:r>
        <w:r>
          <w:rPr>
            <w:webHidden/>
          </w:rPr>
        </w:r>
        <w:r>
          <w:rPr>
            <w:webHidden/>
          </w:rPr>
          <w:fldChar w:fldCharType="separate"/>
        </w:r>
        <w:r w:rsidR="00C43C1D">
          <w:rPr>
            <w:webHidden/>
          </w:rPr>
          <w:t>56</w:t>
        </w:r>
        <w:r>
          <w:rPr>
            <w:webHidden/>
          </w:rPr>
          <w:fldChar w:fldCharType="end"/>
        </w:r>
      </w:hyperlink>
    </w:p>
    <w:p w14:paraId="2AF93D8F" w14:textId="360CD03E" w:rsidR="00C43CD7" w:rsidRDefault="00C43CD7">
      <w:pPr>
        <w:pStyle w:val="TOC9"/>
        <w:rPr>
          <w:rFonts w:asciiTheme="minorHAnsi" w:eastAsiaTheme="minorEastAsia" w:hAnsiTheme="minorHAnsi" w:cstheme="minorBidi"/>
          <w:b w:val="0"/>
          <w:bCs w:val="0"/>
          <w:smallCaps w:val="0"/>
          <w:color w:val="auto"/>
          <w:kern w:val="2"/>
          <w:sz w:val="24"/>
          <w:szCs w:val="21"/>
          <w:lang w:bidi="ne-NP"/>
          <w14:ligatures w14:val="standardContextual"/>
        </w:rPr>
      </w:pPr>
      <w:hyperlink w:anchor="_Toc204606898" w:history="1">
        <w:r w:rsidRPr="00D12594">
          <w:rPr>
            <w:rStyle w:val="Hyperlink"/>
          </w:rPr>
          <w:t>Appendix A</w:t>
        </w:r>
        <w:r>
          <w:rPr>
            <w:rFonts w:asciiTheme="minorHAnsi" w:eastAsiaTheme="minorEastAsia" w:hAnsiTheme="minorHAnsi" w:cstheme="minorBidi"/>
            <w:b w:val="0"/>
            <w:bCs w:val="0"/>
            <w:smallCaps w:val="0"/>
            <w:color w:val="auto"/>
            <w:kern w:val="2"/>
            <w:sz w:val="24"/>
            <w:szCs w:val="21"/>
            <w:lang w:bidi="ne-NP"/>
            <w14:ligatures w14:val="standardContextual"/>
          </w:rPr>
          <w:tab/>
        </w:r>
        <w:r w:rsidRPr="00D12594">
          <w:rPr>
            <w:rStyle w:val="Hyperlink"/>
          </w:rPr>
          <w:t>Commonwealth environmental watering actions</w:t>
        </w:r>
        <w:r>
          <w:rPr>
            <w:webHidden/>
          </w:rPr>
          <w:tab/>
        </w:r>
        <w:r>
          <w:rPr>
            <w:webHidden/>
          </w:rPr>
          <w:fldChar w:fldCharType="begin"/>
        </w:r>
        <w:r>
          <w:rPr>
            <w:webHidden/>
          </w:rPr>
          <w:instrText xml:space="preserve"> PAGEREF _Toc204606898 \h </w:instrText>
        </w:r>
        <w:r>
          <w:rPr>
            <w:webHidden/>
          </w:rPr>
        </w:r>
        <w:r>
          <w:rPr>
            <w:webHidden/>
          </w:rPr>
          <w:fldChar w:fldCharType="separate"/>
        </w:r>
        <w:r w:rsidR="00C43C1D">
          <w:rPr>
            <w:webHidden/>
          </w:rPr>
          <w:t>58</w:t>
        </w:r>
        <w:r>
          <w:rPr>
            <w:webHidden/>
          </w:rPr>
          <w:fldChar w:fldCharType="end"/>
        </w:r>
      </w:hyperlink>
    </w:p>
    <w:p w14:paraId="36BB6D0B" w14:textId="5056CE61" w:rsidR="00C43CD7" w:rsidRDefault="00C43CD7">
      <w:pPr>
        <w:pStyle w:val="TOC9"/>
        <w:rPr>
          <w:rFonts w:asciiTheme="minorHAnsi" w:eastAsiaTheme="minorEastAsia" w:hAnsiTheme="minorHAnsi" w:cstheme="minorBidi"/>
          <w:b w:val="0"/>
          <w:bCs w:val="0"/>
          <w:smallCaps w:val="0"/>
          <w:color w:val="auto"/>
          <w:kern w:val="2"/>
          <w:sz w:val="24"/>
          <w:szCs w:val="21"/>
          <w:lang w:bidi="ne-NP"/>
          <w14:ligatures w14:val="standardContextual"/>
        </w:rPr>
      </w:pPr>
      <w:hyperlink w:anchor="_Toc204606899" w:history="1">
        <w:r w:rsidRPr="00D12594">
          <w:rPr>
            <w:rStyle w:val="Hyperlink"/>
          </w:rPr>
          <w:t>Appendix B</w:t>
        </w:r>
        <w:r>
          <w:rPr>
            <w:rFonts w:asciiTheme="minorHAnsi" w:eastAsiaTheme="minorEastAsia" w:hAnsiTheme="minorHAnsi" w:cstheme="minorBidi"/>
            <w:b w:val="0"/>
            <w:bCs w:val="0"/>
            <w:smallCaps w:val="0"/>
            <w:color w:val="auto"/>
            <w:kern w:val="2"/>
            <w:sz w:val="24"/>
            <w:szCs w:val="21"/>
            <w:lang w:bidi="ne-NP"/>
            <w14:ligatures w14:val="standardContextual"/>
          </w:rPr>
          <w:tab/>
        </w:r>
        <w:r w:rsidRPr="00D12594">
          <w:rPr>
            <w:rStyle w:val="Hyperlink"/>
          </w:rPr>
          <w:t>Detailed outcomes table</w:t>
        </w:r>
        <w:r>
          <w:rPr>
            <w:webHidden/>
          </w:rPr>
          <w:tab/>
        </w:r>
        <w:r>
          <w:rPr>
            <w:webHidden/>
          </w:rPr>
          <w:fldChar w:fldCharType="begin"/>
        </w:r>
        <w:r>
          <w:rPr>
            <w:webHidden/>
          </w:rPr>
          <w:instrText xml:space="preserve"> PAGEREF _Toc204606899 \h </w:instrText>
        </w:r>
        <w:r>
          <w:rPr>
            <w:webHidden/>
          </w:rPr>
        </w:r>
        <w:r>
          <w:rPr>
            <w:webHidden/>
          </w:rPr>
          <w:fldChar w:fldCharType="separate"/>
        </w:r>
        <w:r w:rsidR="00C43C1D">
          <w:rPr>
            <w:webHidden/>
          </w:rPr>
          <w:t>61</w:t>
        </w:r>
        <w:r>
          <w:rPr>
            <w:webHidden/>
          </w:rPr>
          <w:fldChar w:fldCharType="end"/>
        </w:r>
      </w:hyperlink>
    </w:p>
    <w:p w14:paraId="4CE08218" w14:textId="4F530D85" w:rsidR="00372069" w:rsidRPr="00372069" w:rsidRDefault="00372069" w:rsidP="00372069">
      <w:pPr>
        <w:pStyle w:val="BodyText"/>
      </w:pPr>
      <w:r>
        <w:fldChar w:fldCharType="end"/>
      </w:r>
    </w:p>
    <w:p w14:paraId="70060A79" w14:textId="50F12017" w:rsidR="00DF016E" w:rsidRPr="004B520E" w:rsidRDefault="002637A5" w:rsidP="00AF56F0">
      <w:pPr>
        <w:pStyle w:val="ListofFiguresandTablesTOCHeading"/>
      </w:pPr>
      <w:bookmarkStart w:id="49" w:name="_Toc168579812"/>
      <w:bookmarkStart w:id="50" w:name="_Toc172283601"/>
      <w:bookmarkStart w:id="51" w:name="_Toc172290929"/>
      <w:bookmarkStart w:id="52" w:name="_Toc178668830"/>
      <w:bookmarkStart w:id="53" w:name="_Toc179919716"/>
      <w:bookmarkStart w:id="54" w:name="_Toc200614434"/>
      <w:bookmarkStart w:id="55" w:name="_Toc200743745"/>
      <w:bookmarkStart w:id="56" w:name="_Toc200743844"/>
      <w:bookmarkStart w:id="57" w:name="_Toc203682258"/>
      <w:r w:rsidRPr="004B520E">
        <w:lastRenderedPageBreak/>
        <w:t>F</w:t>
      </w:r>
      <w:r w:rsidR="00DF016E" w:rsidRPr="004B520E">
        <w:t>igures</w:t>
      </w:r>
      <w:bookmarkEnd w:id="49"/>
      <w:bookmarkEnd w:id="50"/>
      <w:bookmarkEnd w:id="51"/>
      <w:bookmarkEnd w:id="52"/>
      <w:bookmarkEnd w:id="53"/>
      <w:bookmarkEnd w:id="54"/>
      <w:bookmarkEnd w:id="55"/>
      <w:bookmarkEnd w:id="56"/>
      <w:bookmarkEnd w:id="57"/>
    </w:p>
    <w:p w14:paraId="04B569CC" w14:textId="633FCB6D" w:rsidR="00A776D3" w:rsidRDefault="00F32445">
      <w:pPr>
        <w:pStyle w:val="TableofFigures"/>
        <w:rPr>
          <w:rFonts w:asciiTheme="minorHAnsi" w:eastAsiaTheme="minorEastAsia" w:hAnsiTheme="minorHAnsi" w:cstheme="minorBidi"/>
          <w:color w:val="auto"/>
          <w:kern w:val="2"/>
          <w:sz w:val="24"/>
          <w:szCs w:val="21"/>
          <w:lang w:bidi="ne-NP"/>
          <w14:ligatures w14:val="standardContextual"/>
        </w:rPr>
      </w:pPr>
      <w:r w:rsidRPr="004B520E">
        <w:fldChar w:fldCharType="begin"/>
      </w:r>
      <w:r w:rsidRPr="004B520E">
        <w:instrText xml:space="preserve"> TOC \h \z \c "Figure" </w:instrText>
      </w:r>
      <w:r w:rsidRPr="004B520E">
        <w:fldChar w:fldCharType="separate"/>
      </w:r>
      <w:hyperlink w:anchor="_Toc206528477" w:history="1">
        <w:r w:rsidR="00A776D3" w:rsidRPr="003F3514">
          <w:rPr>
            <w:rStyle w:val="Hyperlink"/>
          </w:rPr>
          <w:t>Figure 1 The 6 Flow-MER evaluation themes; and map showing the location and extent of the 7 Selected Areas established for long-term monitoring of the impacts of environmental watering under the Long Term Intervention Monitoring Project and Flow-MER (10 years, 2014–15 to 2023–24)</w:t>
        </w:r>
        <w:r w:rsidR="00A776D3">
          <w:rPr>
            <w:webHidden/>
          </w:rPr>
          <w:tab/>
        </w:r>
        <w:r w:rsidR="00A776D3">
          <w:rPr>
            <w:webHidden/>
          </w:rPr>
          <w:fldChar w:fldCharType="begin"/>
        </w:r>
        <w:r w:rsidR="00A776D3">
          <w:rPr>
            <w:webHidden/>
          </w:rPr>
          <w:instrText xml:space="preserve"> PAGEREF _Toc206528477 \h </w:instrText>
        </w:r>
        <w:r w:rsidR="00A776D3">
          <w:rPr>
            <w:webHidden/>
          </w:rPr>
        </w:r>
        <w:r w:rsidR="00A776D3">
          <w:rPr>
            <w:webHidden/>
          </w:rPr>
          <w:fldChar w:fldCharType="separate"/>
        </w:r>
        <w:r w:rsidR="00C43C1D">
          <w:rPr>
            <w:webHidden/>
          </w:rPr>
          <w:t>iii</w:t>
        </w:r>
        <w:r w:rsidR="00A776D3">
          <w:rPr>
            <w:webHidden/>
          </w:rPr>
          <w:fldChar w:fldCharType="end"/>
        </w:r>
      </w:hyperlink>
    </w:p>
    <w:p w14:paraId="3EA85F1F" w14:textId="4476328F"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78" w:history="1">
        <w:r w:rsidRPr="003F3514">
          <w:rPr>
            <w:rStyle w:val="Hyperlink"/>
          </w:rPr>
          <w:t>Figure 2.1 Maps of annual rainfall conditions across the Basin, per year 2014–24</w:t>
        </w:r>
        <w:r>
          <w:rPr>
            <w:webHidden/>
          </w:rPr>
          <w:tab/>
        </w:r>
        <w:r>
          <w:rPr>
            <w:webHidden/>
          </w:rPr>
          <w:fldChar w:fldCharType="begin"/>
        </w:r>
        <w:r>
          <w:rPr>
            <w:webHidden/>
          </w:rPr>
          <w:instrText xml:space="preserve"> PAGEREF _Toc206528478 \h </w:instrText>
        </w:r>
        <w:r>
          <w:rPr>
            <w:webHidden/>
          </w:rPr>
        </w:r>
        <w:r>
          <w:rPr>
            <w:webHidden/>
          </w:rPr>
          <w:fldChar w:fldCharType="separate"/>
        </w:r>
        <w:r w:rsidR="00C43C1D">
          <w:rPr>
            <w:webHidden/>
          </w:rPr>
          <w:t>6</w:t>
        </w:r>
        <w:r>
          <w:rPr>
            <w:webHidden/>
          </w:rPr>
          <w:fldChar w:fldCharType="end"/>
        </w:r>
      </w:hyperlink>
    </w:p>
    <w:p w14:paraId="5C5601F3" w14:textId="5DCF1057"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79" w:history="1">
        <w:r w:rsidRPr="003F3514">
          <w:rPr>
            <w:rStyle w:val="Hyperlink"/>
          </w:rPr>
          <w:t>Figure 2.2 Maps of annual surface water runoff in the Basin by river valley, per year 2014–24</w:t>
        </w:r>
        <w:r>
          <w:rPr>
            <w:webHidden/>
          </w:rPr>
          <w:tab/>
        </w:r>
        <w:r>
          <w:rPr>
            <w:webHidden/>
          </w:rPr>
          <w:fldChar w:fldCharType="begin"/>
        </w:r>
        <w:r>
          <w:rPr>
            <w:webHidden/>
          </w:rPr>
          <w:instrText xml:space="preserve"> PAGEREF _Toc206528479 \h </w:instrText>
        </w:r>
        <w:r>
          <w:rPr>
            <w:webHidden/>
          </w:rPr>
        </w:r>
        <w:r>
          <w:rPr>
            <w:webHidden/>
          </w:rPr>
          <w:fldChar w:fldCharType="separate"/>
        </w:r>
        <w:r w:rsidR="00C43C1D">
          <w:rPr>
            <w:webHidden/>
          </w:rPr>
          <w:t>7</w:t>
        </w:r>
        <w:r>
          <w:rPr>
            <w:webHidden/>
          </w:rPr>
          <w:fldChar w:fldCharType="end"/>
        </w:r>
      </w:hyperlink>
    </w:p>
    <w:p w14:paraId="6A95B160" w14:textId="42B78148"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0" w:history="1">
        <w:r w:rsidRPr="003F3514">
          <w:rPr>
            <w:rStyle w:val="Hyperlink"/>
          </w:rPr>
          <w:t>Figure 2.3 Annual total runoff in the Basin, per year 2000–24</w:t>
        </w:r>
        <w:r>
          <w:rPr>
            <w:webHidden/>
          </w:rPr>
          <w:tab/>
        </w:r>
        <w:r>
          <w:rPr>
            <w:webHidden/>
          </w:rPr>
          <w:fldChar w:fldCharType="begin"/>
        </w:r>
        <w:r>
          <w:rPr>
            <w:webHidden/>
          </w:rPr>
          <w:instrText xml:space="preserve"> PAGEREF _Toc206528480 \h </w:instrText>
        </w:r>
        <w:r>
          <w:rPr>
            <w:webHidden/>
          </w:rPr>
        </w:r>
        <w:r>
          <w:rPr>
            <w:webHidden/>
          </w:rPr>
          <w:fldChar w:fldCharType="separate"/>
        </w:r>
        <w:r w:rsidR="00C43C1D">
          <w:rPr>
            <w:webHidden/>
          </w:rPr>
          <w:t>8</w:t>
        </w:r>
        <w:r>
          <w:rPr>
            <w:webHidden/>
          </w:rPr>
          <w:fldChar w:fldCharType="end"/>
        </w:r>
      </w:hyperlink>
    </w:p>
    <w:p w14:paraId="0BC29183" w14:textId="1257B0C6"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1" w:history="1">
        <w:r w:rsidRPr="003F3514">
          <w:rPr>
            <w:rStyle w:val="Hyperlink"/>
          </w:rPr>
          <w:t>Figure 2.4 Gauge plot showing 2023–24 seasonal flows in Selected Areas, compared to previous years 2014–23</w:t>
        </w:r>
        <w:r>
          <w:rPr>
            <w:webHidden/>
          </w:rPr>
          <w:tab/>
        </w:r>
        <w:r>
          <w:rPr>
            <w:webHidden/>
          </w:rPr>
          <w:fldChar w:fldCharType="begin"/>
        </w:r>
        <w:r>
          <w:rPr>
            <w:webHidden/>
          </w:rPr>
          <w:instrText xml:space="preserve"> PAGEREF _Toc206528481 \h </w:instrText>
        </w:r>
        <w:r>
          <w:rPr>
            <w:webHidden/>
          </w:rPr>
        </w:r>
        <w:r>
          <w:rPr>
            <w:webHidden/>
          </w:rPr>
          <w:fldChar w:fldCharType="separate"/>
        </w:r>
        <w:r w:rsidR="00C43C1D">
          <w:rPr>
            <w:webHidden/>
          </w:rPr>
          <w:t>9</w:t>
        </w:r>
        <w:r>
          <w:rPr>
            <w:webHidden/>
          </w:rPr>
          <w:fldChar w:fldCharType="end"/>
        </w:r>
      </w:hyperlink>
    </w:p>
    <w:p w14:paraId="4254F5B4" w14:textId="39E7FD7C"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2" w:history="1">
        <w:r w:rsidRPr="003F3514">
          <w:rPr>
            <w:rStyle w:val="Hyperlink"/>
          </w:rPr>
          <w:t>Figure 2.5 An illustrative river cross-section showing 4 river flow components (base flow, fresh, bankfull and overbank) and wetland inundation referenced in this evaluation</w:t>
        </w:r>
        <w:r>
          <w:rPr>
            <w:webHidden/>
          </w:rPr>
          <w:tab/>
        </w:r>
        <w:r>
          <w:rPr>
            <w:webHidden/>
          </w:rPr>
          <w:fldChar w:fldCharType="begin"/>
        </w:r>
        <w:r>
          <w:rPr>
            <w:webHidden/>
          </w:rPr>
          <w:instrText xml:space="preserve"> PAGEREF _Toc206528482 \h </w:instrText>
        </w:r>
        <w:r>
          <w:rPr>
            <w:webHidden/>
          </w:rPr>
        </w:r>
        <w:r>
          <w:rPr>
            <w:webHidden/>
          </w:rPr>
          <w:fldChar w:fldCharType="separate"/>
        </w:r>
        <w:r w:rsidR="00C43C1D">
          <w:rPr>
            <w:webHidden/>
          </w:rPr>
          <w:t>10</w:t>
        </w:r>
        <w:r>
          <w:rPr>
            <w:webHidden/>
          </w:rPr>
          <w:fldChar w:fldCharType="end"/>
        </w:r>
      </w:hyperlink>
    </w:p>
    <w:p w14:paraId="5062CD30" w14:textId="1F6F360E"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3" w:history="1">
        <w:r w:rsidRPr="003F3514">
          <w:rPr>
            <w:rStyle w:val="Hyperlink"/>
          </w:rPr>
          <w:t>Figure 2.6 Volume of water and number of watering actions delivered (left) and the watercourses and area inundated or connected (right) by Commonwealth environmental water, 2023–24</w:t>
        </w:r>
        <w:r>
          <w:rPr>
            <w:webHidden/>
          </w:rPr>
          <w:tab/>
        </w:r>
        <w:r>
          <w:rPr>
            <w:webHidden/>
          </w:rPr>
          <w:fldChar w:fldCharType="begin"/>
        </w:r>
        <w:r>
          <w:rPr>
            <w:webHidden/>
          </w:rPr>
          <w:instrText xml:space="preserve"> PAGEREF _Toc206528483 \h </w:instrText>
        </w:r>
        <w:r>
          <w:rPr>
            <w:webHidden/>
          </w:rPr>
        </w:r>
        <w:r>
          <w:rPr>
            <w:webHidden/>
          </w:rPr>
          <w:fldChar w:fldCharType="separate"/>
        </w:r>
        <w:r w:rsidR="00C43C1D">
          <w:rPr>
            <w:webHidden/>
          </w:rPr>
          <w:t>11</w:t>
        </w:r>
        <w:r>
          <w:rPr>
            <w:webHidden/>
          </w:rPr>
          <w:fldChar w:fldCharType="end"/>
        </w:r>
      </w:hyperlink>
    </w:p>
    <w:p w14:paraId="79667942" w14:textId="35616354"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4" w:history="1">
        <w:r w:rsidRPr="003F3514">
          <w:rPr>
            <w:rStyle w:val="Hyperlink"/>
          </w:rPr>
          <w:t>Figure 2.7 Commonwealth environmental water portfolio showing volume of watering actions by flow component and year, 2014–24</w:t>
        </w:r>
        <w:r>
          <w:rPr>
            <w:webHidden/>
          </w:rPr>
          <w:tab/>
        </w:r>
        <w:r>
          <w:rPr>
            <w:webHidden/>
          </w:rPr>
          <w:fldChar w:fldCharType="begin"/>
        </w:r>
        <w:r>
          <w:rPr>
            <w:webHidden/>
          </w:rPr>
          <w:instrText xml:space="preserve"> PAGEREF _Toc206528484 \h </w:instrText>
        </w:r>
        <w:r>
          <w:rPr>
            <w:webHidden/>
          </w:rPr>
        </w:r>
        <w:r>
          <w:rPr>
            <w:webHidden/>
          </w:rPr>
          <w:fldChar w:fldCharType="separate"/>
        </w:r>
        <w:r w:rsidR="00C43C1D">
          <w:rPr>
            <w:webHidden/>
          </w:rPr>
          <w:t>13</w:t>
        </w:r>
        <w:r>
          <w:rPr>
            <w:webHidden/>
          </w:rPr>
          <w:fldChar w:fldCharType="end"/>
        </w:r>
      </w:hyperlink>
    </w:p>
    <w:p w14:paraId="6B46DC79" w14:textId="673817B6"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5" w:history="1">
        <w:r w:rsidRPr="003F3514">
          <w:rPr>
            <w:rStyle w:val="Hyperlink"/>
          </w:rPr>
          <w:t>Figure 2.8 Commonwealth environmental water portfolio showing the number of watering actions and the proportioning of flow components each year, by flow component and year, 2014–24</w:t>
        </w:r>
        <w:r>
          <w:rPr>
            <w:webHidden/>
          </w:rPr>
          <w:tab/>
        </w:r>
        <w:r>
          <w:rPr>
            <w:webHidden/>
          </w:rPr>
          <w:fldChar w:fldCharType="begin"/>
        </w:r>
        <w:r>
          <w:rPr>
            <w:webHidden/>
          </w:rPr>
          <w:instrText xml:space="preserve"> PAGEREF _Toc206528485 \h </w:instrText>
        </w:r>
        <w:r>
          <w:rPr>
            <w:webHidden/>
          </w:rPr>
        </w:r>
        <w:r>
          <w:rPr>
            <w:webHidden/>
          </w:rPr>
          <w:fldChar w:fldCharType="separate"/>
        </w:r>
        <w:r w:rsidR="00C43C1D">
          <w:rPr>
            <w:webHidden/>
          </w:rPr>
          <w:t>13</w:t>
        </w:r>
        <w:r>
          <w:rPr>
            <w:webHidden/>
          </w:rPr>
          <w:fldChar w:fldCharType="end"/>
        </w:r>
      </w:hyperlink>
    </w:p>
    <w:p w14:paraId="188505C5" w14:textId="0C46C4F4"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6" w:history="1">
        <w:r w:rsidRPr="003F3514">
          <w:rPr>
            <w:rStyle w:val="Hyperlink"/>
          </w:rPr>
          <w:t xml:space="preserve">Figure 2.9 Number of </w:t>
        </w:r>
        <w:r w:rsidRPr="003F3514">
          <w:rPr>
            <w:rStyle w:val="Hyperlink"/>
            <w:rFonts w:cs="Calibri"/>
          </w:rPr>
          <w:t>Commonwealth environmental watering actions t</w:t>
        </w:r>
        <w:r w:rsidRPr="003F3514">
          <w:rPr>
            <w:rStyle w:val="Hyperlink"/>
          </w:rPr>
          <w:t>argeted to specific outcomes, 2014–24</w:t>
        </w:r>
        <w:r>
          <w:rPr>
            <w:webHidden/>
          </w:rPr>
          <w:tab/>
        </w:r>
        <w:r>
          <w:rPr>
            <w:webHidden/>
          </w:rPr>
          <w:fldChar w:fldCharType="begin"/>
        </w:r>
        <w:r>
          <w:rPr>
            <w:webHidden/>
          </w:rPr>
          <w:instrText xml:space="preserve"> PAGEREF _Toc206528486 \h </w:instrText>
        </w:r>
        <w:r>
          <w:rPr>
            <w:webHidden/>
          </w:rPr>
        </w:r>
        <w:r>
          <w:rPr>
            <w:webHidden/>
          </w:rPr>
          <w:fldChar w:fldCharType="separate"/>
        </w:r>
        <w:r w:rsidR="00C43C1D">
          <w:rPr>
            <w:webHidden/>
          </w:rPr>
          <w:t>14</w:t>
        </w:r>
        <w:r>
          <w:rPr>
            <w:webHidden/>
          </w:rPr>
          <w:fldChar w:fldCharType="end"/>
        </w:r>
      </w:hyperlink>
    </w:p>
    <w:p w14:paraId="423B1B20" w14:textId="6A026C30"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7" w:history="1">
        <w:r w:rsidRPr="003F3514">
          <w:rPr>
            <w:rStyle w:val="Hyperlink"/>
          </w:rPr>
          <w:t>Figure 2.10 Map showing length of waterways connected and wetland inundation, 2023–24</w:t>
        </w:r>
        <w:r>
          <w:rPr>
            <w:webHidden/>
          </w:rPr>
          <w:tab/>
        </w:r>
        <w:r>
          <w:rPr>
            <w:webHidden/>
          </w:rPr>
          <w:fldChar w:fldCharType="begin"/>
        </w:r>
        <w:r>
          <w:rPr>
            <w:webHidden/>
          </w:rPr>
          <w:instrText xml:space="preserve"> PAGEREF _Toc206528487 \h </w:instrText>
        </w:r>
        <w:r>
          <w:rPr>
            <w:webHidden/>
          </w:rPr>
        </w:r>
        <w:r>
          <w:rPr>
            <w:webHidden/>
          </w:rPr>
          <w:fldChar w:fldCharType="separate"/>
        </w:r>
        <w:r w:rsidR="00C43C1D">
          <w:rPr>
            <w:webHidden/>
          </w:rPr>
          <w:t>18</w:t>
        </w:r>
        <w:r>
          <w:rPr>
            <w:webHidden/>
          </w:rPr>
          <w:fldChar w:fldCharType="end"/>
        </w:r>
      </w:hyperlink>
    </w:p>
    <w:p w14:paraId="708C7C2E" w14:textId="0A5E3E83"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8" w:history="1">
        <w:r w:rsidRPr="003F3514">
          <w:rPr>
            <w:rStyle w:val="Hyperlink"/>
          </w:rPr>
          <w:t>Figure 2.11 Map of annual frequency (from 1 in 10 years to 10 in 10 years) of Commonwealth environmental water in rivers in the Murray–Darling Basin, 2014–24</w:t>
        </w:r>
        <w:r>
          <w:rPr>
            <w:webHidden/>
          </w:rPr>
          <w:tab/>
        </w:r>
        <w:r>
          <w:rPr>
            <w:webHidden/>
          </w:rPr>
          <w:fldChar w:fldCharType="begin"/>
        </w:r>
        <w:r>
          <w:rPr>
            <w:webHidden/>
          </w:rPr>
          <w:instrText xml:space="preserve"> PAGEREF _Toc206528488 \h </w:instrText>
        </w:r>
        <w:r>
          <w:rPr>
            <w:webHidden/>
          </w:rPr>
        </w:r>
        <w:r>
          <w:rPr>
            <w:webHidden/>
          </w:rPr>
          <w:fldChar w:fldCharType="separate"/>
        </w:r>
        <w:r w:rsidR="00C43C1D">
          <w:rPr>
            <w:webHidden/>
          </w:rPr>
          <w:t>19</w:t>
        </w:r>
        <w:r>
          <w:rPr>
            <w:webHidden/>
          </w:rPr>
          <w:fldChar w:fldCharType="end"/>
        </w:r>
      </w:hyperlink>
    </w:p>
    <w:p w14:paraId="5884DD95" w14:textId="3D5BDF66"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89" w:history="1">
        <w:r w:rsidRPr="003F3514">
          <w:rPr>
            <w:rStyle w:val="Hyperlink"/>
          </w:rPr>
          <w:t>Figure 2.12 Percentage increases in annual flow volumes in the Darling River at Bourke (top) and the Murray River at the South Australian border (bottom) that are directly attributable to Commonwealth environmental water, 2014–24</w:t>
        </w:r>
        <w:r>
          <w:rPr>
            <w:webHidden/>
          </w:rPr>
          <w:tab/>
        </w:r>
        <w:r>
          <w:rPr>
            <w:webHidden/>
          </w:rPr>
          <w:fldChar w:fldCharType="begin"/>
        </w:r>
        <w:r>
          <w:rPr>
            <w:webHidden/>
          </w:rPr>
          <w:instrText xml:space="preserve"> PAGEREF _Toc206528489 \h </w:instrText>
        </w:r>
        <w:r>
          <w:rPr>
            <w:webHidden/>
          </w:rPr>
        </w:r>
        <w:r>
          <w:rPr>
            <w:webHidden/>
          </w:rPr>
          <w:fldChar w:fldCharType="separate"/>
        </w:r>
        <w:r w:rsidR="00C43C1D">
          <w:rPr>
            <w:webHidden/>
          </w:rPr>
          <w:t>20</w:t>
        </w:r>
        <w:r>
          <w:rPr>
            <w:webHidden/>
          </w:rPr>
          <w:fldChar w:fldCharType="end"/>
        </w:r>
      </w:hyperlink>
    </w:p>
    <w:p w14:paraId="7C35741E" w14:textId="022A6006"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90" w:history="1">
        <w:r w:rsidRPr="003F3514">
          <w:rPr>
            <w:rStyle w:val="Hyperlink"/>
          </w:rPr>
          <w:t xml:space="preserve">Figure 2.13 Area of lakes and wetlands and floodplain and length of waterways receiving </w:t>
        </w:r>
        <w:r w:rsidRPr="003F3514">
          <w:rPr>
            <w:rStyle w:val="Hyperlink"/>
            <w:rFonts w:cs="Calibri"/>
          </w:rPr>
          <w:t>Commonwealth environmental water in Basin valleys</w:t>
        </w:r>
        <w:r w:rsidRPr="003F3514">
          <w:rPr>
            <w:rStyle w:val="Hyperlink"/>
          </w:rPr>
          <w:t>, 2023–24</w:t>
        </w:r>
        <w:r>
          <w:rPr>
            <w:webHidden/>
          </w:rPr>
          <w:tab/>
        </w:r>
        <w:r>
          <w:rPr>
            <w:webHidden/>
          </w:rPr>
          <w:fldChar w:fldCharType="begin"/>
        </w:r>
        <w:r>
          <w:rPr>
            <w:webHidden/>
          </w:rPr>
          <w:instrText xml:space="preserve"> PAGEREF _Toc206528490 \h </w:instrText>
        </w:r>
        <w:r>
          <w:rPr>
            <w:webHidden/>
          </w:rPr>
        </w:r>
        <w:r>
          <w:rPr>
            <w:webHidden/>
          </w:rPr>
          <w:fldChar w:fldCharType="separate"/>
        </w:r>
        <w:r w:rsidR="00C43C1D">
          <w:rPr>
            <w:webHidden/>
          </w:rPr>
          <w:t>22</w:t>
        </w:r>
        <w:r>
          <w:rPr>
            <w:webHidden/>
          </w:rPr>
          <w:fldChar w:fldCharType="end"/>
        </w:r>
      </w:hyperlink>
    </w:p>
    <w:p w14:paraId="29B49EAF" w14:textId="10706E05"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91" w:history="1">
        <w:r w:rsidRPr="003F3514">
          <w:rPr>
            <w:rStyle w:val="Hyperlink"/>
          </w:rPr>
          <w:t>Figure 2.14 Map showing the location and names of Ramsar Sites in the Murray–Darling Basin</w:t>
        </w:r>
        <w:r>
          <w:rPr>
            <w:webHidden/>
          </w:rPr>
          <w:tab/>
        </w:r>
        <w:r>
          <w:rPr>
            <w:webHidden/>
          </w:rPr>
          <w:fldChar w:fldCharType="begin"/>
        </w:r>
        <w:r>
          <w:rPr>
            <w:webHidden/>
          </w:rPr>
          <w:instrText xml:space="preserve"> PAGEREF _Toc206528491 \h </w:instrText>
        </w:r>
        <w:r>
          <w:rPr>
            <w:webHidden/>
          </w:rPr>
        </w:r>
        <w:r>
          <w:rPr>
            <w:webHidden/>
          </w:rPr>
          <w:fldChar w:fldCharType="separate"/>
        </w:r>
        <w:r w:rsidR="00C43C1D">
          <w:rPr>
            <w:webHidden/>
          </w:rPr>
          <w:t>27</w:t>
        </w:r>
        <w:r>
          <w:rPr>
            <w:webHidden/>
          </w:rPr>
          <w:fldChar w:fldCharType="end"/>
        </w:r>
      </w:hyperlink>
    </w:p>
    <w:p w14:paraId="113855C0" w14:textId="68BD1D19"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92" w:history="1">
        <w:r w:rsidRPr="003F3514">
          <w:rPr>
            <w:rStyle w:val="Hyperlink"/>
          </w:rPr>
          <w:t>Figure 3.1 Longer-term 2014–23 metabolic fingerprints overlaid with the 2023–24 metabolic fingerprint for the 7 Selected Areas</w:t>
        </w:r>
        <w:r>
          <w:rPr>
            <w:webHidden/>
          </w:rPr>
          <w:tab/>
        </w:r>
        <w:r>
          <w:rPr>
            <w:webHidden/>
          </w:rPr>
          <w:fldChar w:fldCharType="begin"/>
        </w:r>
        <w:r>
          <w:rPr>
            <w:webHidden/>
          </w:rPr>
          <w:instrText xml:space="preserve"> PAGEREF _Toc206528492 \h </w:instrText>
        </w:r>
        <w:r>
          <w:rPr>
            <w:webHidden/>
          </w:rPr>
        </w:r>
        <w:r>
          <w:rPr>
            <w:webHidden/>
          </w:rPr>
          <w:fldChar w:fldCharType="separate"/>
        </w:r>
        <w:r w:rsidR="00C43C1D">
          <w:rPr>
            <w:webHidden/>
          </w:rPr>
          <w:t>39</w:t>
        </w:r>
        <w:r>
          <w:rPr>
            <w:webHidden/>
          </w:rPr>
          <w:fldChar w:fldCharType="end"/>
        </w:r>
      </w:hyperlink>
    </w:p>
    <w:p w14:paraId="393E66BD" w14:textId="6835A3AB"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93" w:history="1">
        <w:r w:rsidRPr="003F3514">
          <w:rPr>
            <w:rStyle w:val="Hyperlink"/>
          </w:rPr>
          <w:t>Figure 4.1 Number and volume of Commonwealth environmental watering actions with objectives for fish, vegetation, species diversity and water quality, 2014–24</w:t>
        </w:r>
        <w:r>
          <w:rPr>
            <w:webHidden/>
          </w:rPr>
          <w:tab/>
        </w:r>
        <w:r>
          <w:rPr>
            <w:webHidden/>
          </w:rPr>
          <w:fldChar w:fldCharType="begin"/>
        </w:r>
        <w:r>
          <w:rPr>
            <w:webHidden/>
          </w:rPr>
          <w:instrText xml:space="preserve"> PAGEREF _Toc206528493 \h </w:instrText>
        </w:r>
        <w:r>
          <w:rPr>
            <w:webHidden/>
          </w:rPr>
        </w:r>
        <w:r>
          <w:rPr>
            <w:webHidden/>
          </w:rPr>
          <w:fldChar w:fldCharType="separate"/>
        </w:r>
        <w:r w:rsidR="00C43C1D">
          <w:rPr>
            <w:webHidden/>
          </w:rPr>
          <w:t>43</w:t>
        </w:r>
        <w:r>
          <w:rPr>
            <w:webHidden/>
          </w:rPr>
          <w:fldChar w:fldCharType="end"/>
        </w:r>
      </w:hyperlink>
    </w:p>
    <w:p w14:paraId="29F83F25" w14:textId="3772F515"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94" w:history="1">
        <w:r w:rsidRPr="003F3514">
          <w:rPr>
            <w:rStyle w:val="Hyperlink"/>
          </w:rPr>
          <w:t>Figure 4.2 Percentage of plant species cover recorded across all Selected Areas in each growth-form group for each water year and across all years, 2014–24</w:t>
        </w:r>
        <w:r>
          <w:rPr>
            <w:webHidden/>
          </w:rPr>
          <w:tab/>
        </w:r>
        <w:r>
          <w:rPr>
            <w:webHidden/>
          </w:rPr>
          <w:fldChar w:fldCharType="begin"/>
        </w:r>
        <w:r>
          <w:rPr>
            <w:webHidden/>
          </w:rPr>
          <w:instrText xml:space="preserve"> PAGEREF _Toc206528494 \h </w:instrText>
        </w:r>
        <w:r>
          <w:rPr>
            <w:webHidden/>
          </w:rPr>
        </w:r>
        <w:r>
          <w:rPr>
            <w:webHidden/>
          </w:rPr>
          <w:fldChar w:fldCharType="separate"/>
        </w:r>
        <w:r w:rsidR="00C43C1D">
          <w:rPr>
            <w:webHidden/>
          </w:rPr>
          <w:t>46</w:t>
        </w:r>
        <w:r>
          <w:rPr>
            <w:webHidden/>
          </w:rPr>
          <w:fldChar w:fldCharType="end"/>
        </w:r>
      </w:hyperlink>
    </w:p>
    <w:p w14:paraId="339B4A28" w14:textId="014DDFE5"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95" w:history="1">
        <w:r w:rsidRPr="003F3514">
          <w:rPr>
            <w:rStyle w:val="Hyperlink"/>
          </w:rPr>
          <w:t>Figure 4.3 Average percentage cover of plant functional groups across Selected Areas for each water year and across all years, 2014–24</w:t>
        </w:r>
        <w:r>
          <w:rPr>
            <w:webHidden/>
          </w:rPr>
          <w:tab/>
        </w:r>
        <w:r>
          <w:rPr>
            <w:webHidden/>
          </w:rPr>
          <w:fldChar w:fldCharType="begin"/>
        </w:r>
        <w:r>
          <w:rPr>
            <w:webHidden/>
          </w:rPr>
          <w:instrText xml:space="preserve"> PAGEREF _Toc206528495 \h </w:instrText>
        </w:r>
        <w:r>
          <w:rPr>
            <w:webHidden/>
          </w:rPr>
        </w:r>
        <w:r>
          <w:rPr>
            <w:webHidden/>
          </w:rPr>
          <w:fldChar w:fldCharType="separate"/>
        </w:r>
        <w:r w:rsidR="00C43C1D">
          <w:rPr>
            <w:webHidden/>
          </w:rPr>
          <w:t>47</w:t>
        </w:r>
        <w:r>
          <w:rPr>
            <w:webHidden/>
          </w:rPr>
          <w:fldChar w:fldCharType="end"/>
        </w:r>
      </w:hyperlink>
    </w:p>
    <w:p w14:paraId="6778A098" w14:textId="577AE0BF" w:rsidR="00A776D3" w:rsidRDefault="00A776D3">
      <w:pPr>
        <w:pStyle w:val="TableofFigures"/>
        <w:rPr>
          <w:rFonts w:asciiTheme="minorHAnsi" w:eastAsiaTheme="minorEastAsia" w:hAnsiTheme="minorHAnsi" w:cstheme="minorBidi"/>
          <w:color w:val="auto"/>
          <w:kern w:val="2"/>
          <w:sz w:val="24"/>
          <w:szCs w:val="21"/>
          <w:lang w:bidi="ne-NP"/>
          <w14:ligatures w14:val="standardContextual"/>
        </w:rPr>
      </w:pPr>
      <w:hyperlink w:anchor="_Toc206528496" w:history="1">
        <w:r w:rsidRPr="003F3514">
          <w:rPr>
            <w:rStyle w:val="Hyperlink"/>
          </w:rPr>
          <w:t>Figure 4.4 Modelled additional salt export and reduced salt import due to Commonwealth environmental water, 2014–24</w:t>
        </w:r>
        <w:r>
          <w:rPr>
            <w:webHidden/>
          </w:rPr>
          <w:tab/>
        </w:r>
        <w:r>
          <w:rPr>
            <w:webHidden/>
          </w:rPr>
          <w:fldChar w:fldCharType="begin"/>
        </w:r>
        <w:r>
          <w:rPr>
            <w:webHidden/>
          </w:rPr>
          <w:instrText xml:space="preserve"> PAGEREF _Toc206528496 \h </w:instrText>
        </w:r>
        <w:r>
          <w:rPr>
            <w:webHidden/>
          </w:rPr>
        </w:r>
        <w:r>
          <w:rPr>
            <w:webHidden/>
          </w:rPr>
          <w:fldChar w:fldCharType="separate"/>
        </w:r>
        <w:r w:rsidR="00C43C1D">
          <w:rPr>
            <w:webHidden/>
          </w:rPr>
          <w:t>54</w:t>
        </w:r>
        <w:r>
          <w:rPr>
            <w:webHidden/>
          </w:rPr>
          <w:fldChar w:fldCharType="end"/>
        </w:r>
      </w:hyperlink>
    </w:p>
    <w:p w14:paraId="3561A530" w14:textId="4A9AEE26" w:rsidR="00B929B3" w:rsidRDefault="00F32445" w:rsidP="00BE6C10">
      <w:pPr>
        <w:pStyle w:val="TableofFigures"/>
      </w:pPr>
      <w:r w:rsidRPr="004B520E">
        <w:fldChar w:fldCharType="end"/>
      </w:r>
      <w:bookmarkStart w:id="58" w:name="_Toc168579813"/>
      <w:bookmarkStart w:id="59" w:name="_Toc172283602"/>
      <w:bookmarkStart w:id="60" w:name="_Toc172290930"/>
      <w:bookmarkStart w:id="61" w:name="_Toc178668831"/>
      <w:bookmarkStart w:id="62" w:name="_Toc179919717"/>
      <w:bookmarkStart w:id="63" w:name="_Toc200614435"/>
      <w:bookmarkStart w:id="64" w:name="_Toc200743746"/>
      <w:bookmarkStart w:id="65" w:name="_Toc200743845"/>
      <w:bookmarkStart w:id="66" w:name="_Toc203682259"/>
    </w:p>
    <w:p w14:paraId="7248BC6D" w14:textId="28D51DC2" w:rsidR="004B6D04" w:rsidRDefault="004B6D04">
      <w:pPr>
        <w:pStyle w:val="TableofFigures"/>
        <w:rPr>
          <w:rFonts w:asciiTheme="minorHAnsi" w:eastAsiaTheme="minorEastAsia" w:hAnsiTheme="minorHAnsi" w:cstheme="minorBidi"/>
          <w:color w:val="auto"/>
          <w:kern w:val="2"/>
          <w:sz w:val="24"/>
          <w:szCs w:val="21"/>
          <w:lang w:bidi="ne-NP"/>
          <w14:ligatures w14:val="standardContextual"/>
        </w:rPr>
      </w:pPr>
      <w:r>
        <w:fldChar w:fldCharType="begin"/>
      </w:r>
      <w:r>
        <w:instrText xml:space="preserve"> TOC \h \z \c "ApxFigure" </w:instrText>
      </w:r>
      <w:r>
        <w:fldChar w:fldCharType="separate"/>
      </w:r>
      <w:hyperlink w:anchor="_Toc206528517" w:history="1">
        <w:r w:rsidRPr="006C15D5">
          <w:rPr>
            <w:rStyle w:val="Hyperlink"/>
          </w:rPr>
          <w:t>Figure A.1 Commonwealth environmental water portfolio showing volume (left) and number (right) of watering actions, by valley and year, 2014–24</w:t>
        </w:r>
        <w:r>
          <w:rPr>
            <w:webHidden/>
          </w:rPr>
          <w:tab/>
        </w:r>
        <w:r>
          <w:rPr>
            <w:webHidden/>
          </w:rPr>
          <w:fldChar w:fldCharType="begin"/>
        </w:r>
        <w:r>
          <w:rPr>
            <w:webHidden/>
          </w:rPr>
          <w:instrText xml:space="preserve"> PAGEREF _Toc206528517 \h </w:instrText>
        </w:r>
        <w:r>
          <w:rPr>
            <w:webHidden/>
          </w:rPr>
        </w:r>
        <w:r>
          <w:rPr>
            <w:webHidden/>
          </w:rPr>
          <w:fldChar w:fldCharType="separate"/>
        </w:r>
        <w:r w:rsidR="00C43C1D">
          <w:rPr>
            <w:webHidden/>
          </w:rPr>
          <w:t>60</w:t>
        </w:r>
        <w:r>
          <w:rPr>
            <w:webHidden/>
          </w:rPr>
          <w:fldChar w:fldCharType="end"/>
        </w:r>
      </w:hyperlink>
    </w:p>
    <w:p w14:paraId="46CE1DF2" w14:textId="6B719C1A" w:rsidR="004B6D04" w:rsidRPr="004B6D04" w:rsidRDefault="004B6D04" w:rsidP="00784EC6">
      <w:pPr>
        <w:pStyle w:val="BodyText"/>
      </w:pPr>
      <w:r>
        <w:fldChar w:fldCharType="end"/>
      </w:r>
    </w:p>
    <w:p w14:paraId="71123822" w14:textId="65DB9EA2" w:rsidR="00DF016E" w:rsidRPr="004B520E" w:rsidRDefault="002637A5" w:rsidP="00BE6C10">
      <w:pPr>
        <w:pStyle w:val="TOCHeading"/>
        <w:pageBreakBefore/>
      </w:pPr>
      <w:r w:rsidRPr="004B520E">
        <w:lastRenderedPageBreak/>
        <w:t>T</w:t>
      </w:r>
      <w:r w:rsidR="00DF016E" w:rsidRPr="004B520E">
        <w:t>ables</w:t>
      </w:r>
      <w:bookmarkEnd w:id="58"/>
      <w:bookmarkEnd w:id="59"/>
      <w:bookmarkEnd w:id="60"/>
      <w:bookmarkEnd w:id="61"/>
      <w:bookmarkEnd w:id="62"/>
      <w:bookmarkEnd w:id="63"/>
      <w:bookmarkEnd w:id="64"/>
      <w:bookmarkEnd w:id="65"/>
      <w:bookmarkEnd w:id="66"/>
    </w:p>
    <w:p w14:paraId="3BB7C1C6" w14:textId="39AE4665" w:rsidR="0082271A" w:rsidRDefault="005E051B">
      <w:pPr>
        <w:pStyle w:val="TableofFigures"/>
        <w:rPr>
          <w:rFonts w:asciiTheme="minorHAnsi" w:eastAsiaTheme="minorEastAsia" w:hAnsiTheme="minorHAnsi" w:cstheme="minorBidi"/>
          <w:color w:val="auto"/>
          <w:kern w:val="2"/>
          <w:sz w:val="24"/>
          <w:szCs w:val="21"/>
          <w:lang w:bidi="ne-NP"/>
          <w14:ligatures w14:val="standardContextual"/>
        </w:rPr>
      </w:pPr>
      <w:r w:rsidRPr="004B520E">
        <w:fldChar w:fldCharType="begin"/>
      </w:r>
      <w:r w:rsidRPr="004B520E">
        <w:instrText xml:space="preserve"> TOC \h \z \c "Table" </w:instrText>
      </w:r>
      <w:r w:rsidRPr="004B520E">
        <w:fldChar w:fldCharType="separate"/>
      </w:r>
      <w:hyperlink w:anchor="_Toc204609869" w:history="1">
        <w:r w:rsidR="0082271A" w:rsidRPr="00C85B8B">
          <w:rPr>
            <w:rStyle w:val="Hyperlink"/>
          </w:rPr>
          <w:t>Table 2.1 River flows and connectivity expected environmental outcomes as set out in the Strategy</w:t>
        </w:r>
        <w:r w:rsidR="0082271A">
          <w:rPr>
            <w:webHidden/>
          </w:rPr>
          <w:tab/>
        </w:r>
        <w:r w:rsidR="0082271A">
          <w:rPr>
            <w:webHidden/>
          </w:rPr>
          <w:fldChar w:fldCharType="begin"/>
        </w:r>
        <w:r w:rsidR="0082271A">
          <w:rPr>
            <w:webHidden/>
          </w:rPr>
          <w:instrText xml:space="preserve"> PAGEREF _Toc204609869 \h </w:instrText>
        </w:r>
        <w:r w:rsidR="0082271A">
          <w:rPr>
            <w:webHidden/>
          </w:rPr>
        </w:r>
        <w:r w:rsidR="0082271A">
          <w:rPr>
            <w:webHidden/>
          </w:rPr>
          <w:fldChar w:fldCharType="separate"/>
        </w:r>
        <w:r w:rsidR="00C43C1D">
          <w:rPr>
            <w:webHidden/>
          </w:rPr>
          <w:t>15</w:t>
        </w:r>
        <w:r w:rsidR="0082271A">
          <w:rPr>
            <w:webHidden/>
          </w:rPr>
          <w:fldChar w:fldCharType="end"/>
        </w:r>
      </w:hyperlink>
    </w:p>
    <w:p w14:paraId="13919848" w14:textId="467954A2"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0" w:history="1">
        <w:r w:rsidRPr="00C85B8B">
          <w:rPr>
            <w:rStyle w:val="Hyperlink"/>
          </w:rPr>
          <w:t>Table 2.2 Contribution of Commonwealth environmental water to barrage releases (South Australia barrage dashboard accounting data)</w:t>
        </w:r>
        <w:r>
          <w:rPr>
            <w:webHidden/>
          </w:rPr>
          <w:tab/>
        </w:r>
        <w:r>
          <w:rPr>
            <w:webHidden/>
          </w:rPr>
          <w:fldChar w:fldCharType="begin"/>
        </w:r>
        <w:r>
          <w:rPr>
            <w:webHidden/>
          </w:rPr>
          <w:instrText xml:space="preserve"> PAGEREF _Toc204609870 \h </w:instrText>
        </w:r>
        <w:r>
          <w:rPr>
            <w:webHidden/>
          </w:rPr>
        </w:r>
        <w:r>
          <w:rPr>
            <w:webHidden/>
          </w:rPr>
          <w:fldChar w:fldCharType="separate"/>
        </w:r>
        <w:r w:rsidR="00C43C1D">
          <w:rPr>
            <w:webHidden/>
          </w:rPr>
          <w:t>21</w:t>
        </w:r>
        <w:r>
          <w:rPr>
            <w:webHidden/>
          </w:rPr>
          <w:fldChar w:fldCharType="end"/>
        </w:r>
      </w:hyperlink>
    </w:p>
    <w:p w14:paraId="538BC358" w14:textId="0FD5DE87"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1" w:history="1">
        <w:r w:rsidRPr="00C85B8B">
          <w:rPr>
            <w:rStyle w:val="Hyperlink"/>
          </w:rPr>
          <w:t>Table 2.3 Areas of Ramsar Sites supported by Commonwealth environmental water, 2014–24</w:t>
        </w:r>
        <w:r>
          <w:rPr>
            <w:webHidden/>
          </w:rPr>
          <w:tab/>
        </w:r>
        <w:r>
          <w:rPr>
            <w:webHidden/>
          </w:rPr>
          <w:fldChar w:fldCharType="begin"/>
        </w:r>
        <w:r>
          <w:rPr>
            <w:webHidden/>
          </w:rPr>
          <w:instrText xml:space="preserve"> PAGEREF _Toc204609871 \h </w:instrText>
        </w:r>
        <w:r>
          <w:rPr>
            <w:webHidden/>
          </w:rPr>
        </w:r>
        <w:r>
          <w:rPr>
            <w:webHidden/>
          </w:rPr>
          <w:fldChar w:fldCharType="separate"/>
        </w:r>
        <w:r w:rsidR="00C43C1D">
          <w:rPr>
            <w:webHidden/>
          </w:rPr>
          <w:t>28</w:t>
        </w:r>
        <w:r>
          <w:rPr>
            <w:webHidden/>
          </w:rPr>
          <w:fldChar w:fldCharType="end"/>
        </w:r>
      </w:hyperlink>
    </w:p>
    <w:p w14:paraId="5CE460B6" w14:textId="77777777" w:rsidR="0082271A" w:rsidRDefault="005E051B">
      <w:pPr>
        <w:pStyle w:val="TableofFigures"/>
      </w:pPr>
      <w:r w:rsidRPr="004B520E">
        <w:fldChar w:fldCharType="end"/>
      </w:r>
      <w:r w:rsidRPr="004B520E">
        <w:fldChar w:fldCharType="begin"/>
      </w:r>
      <w:r w:rsidRPr="004B520E">
        <w:instrText xml:space="preserve"> TOC \h \z \c "ApxTable" </w:instrText>
      </w:r>
      <w:r w:rsidRPr="004B520E">
        <w:fldChar w:fldCharType="separate"/>
      </w:r>
    </w:p>
    <w:p w14:paraId="405F0773" w14:textId="4E2E5025"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2" w:history="1">
        <w:r w:rsidRPr="00937E67">
          <w:rPr>
            <w:rStyle w:val="Hyperlink"/>
          </w:rPr>
          <w:t>Table A.1 Commonwealth environmental watering actions in the northern Basin by valley and hydrological flow component, 2023–24</w:t>
        </w:r>
        <w:r>
          <w:rPr>
            <w:webHidden/>
          </w:rPr>
          <w:tab/>
        </w:r>
        <w:r>
          <w:rPr>
            <w:webHidden/>
          </w:rPr>
          <w:fldChar w:fldCharType="begin"/>
        </w:r>
        <w:r>
          <w:rPr>
            <w:webHidden/>
          </w:rPr>
          <w:instrText xml:space="preserve"> PAGEREF _Toc204609872 \h </w:instrText>
        </w:r>
        <w:r>
          <w:rPr>
            <w:webHidden/>
          </w:rPr>
        </w:r>
        <w:r>
          <w:rPr>
            <w:webHidden/>
          </w:rPr>
          <w:fldChar w:fldCharType="separate"/>
        </w:r>
        <w:r w:rsidR="00C43C1D">
          <w:rPr>
            <w:webHidden/>
          </w:rPr>
          <w:t>58</w:t>
        </w:r>
        <w:r>
          <w:rPr>
            <w:webHidden/>
          </w:rPr>
          <w:fldChar w:fldCharType="end"/>
        </w:r>
      </w:hyperlink>
    </w:p>
    <w:p w14:paraId="18AD9EBF" w14:textId="6FAF9723"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3" w:history="1">
        <w:r w:rsidRPr="00937E67">
          <w:rPr>
            <w:rStyle w:val="Hyperlink"/>
          </w:rPr>
          <w:t>Table A.2 Commonwealth environmental watering actions in the southern Basin by valley and hydrological flow component, 2023–24</w:t>
        </w:r>
        <w:r>
          <w:rPr>
            <w:webHidden/>
          </w:rPr>
          <w:tab/>
        </w:r>
        <w:r>
          <w:rPr>
            <w:webHidden/>
          </w:rPr>
          <w:fldChar w:fldCharType="begin"/>
        </w:r>
        <w:r>
          <w:rPr>
            <w:webHidden/>
          </w:rPr>
          <w:instrText xml:space="preserve"> PAGEREF _Toc204609873 \h </w:instrText>
        </w:r>
        <w:r>
          <w:rPr>
            <w:webHidden/>
          </w:rPr>
        </w:r>
        <w:r>
          <w:rPr>
            <w:webHidden/>
          </w:rPr>
          <w:fldChar w:fldCharType="separate"/>
        </w:r>
        <w:r w:rsidR="00C43C1D">
          <w:rPr>
            <w:webHidden/>
          </w:rPr>
          <w:t>59</w:t>
        </w:r>
        <w:r>
          <w:rPr>
            <w:webHidden/>
          </w:rPr>
          <w:fldChar w:fldCharType="end"/>
        </w:r>
      </w:hyperlink>
    </w:p>
    <w:p w14:paraId="57AFC24D" w14:textId="1E1E8F01"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4" w:history="1">
        <w:r w:rsidRPr="00937E67">
          <w:rPr>
            <w:rStyle w:val="Hyperlink"/>
          </w:rPr>
          <w:t>Table A.3 Commonwealth environmental watering actions in the northern Basin and southern Basin by valley and hydrological flow component, 2023–24</w:t>
        </w:r>
        <w:r>
          <w:rPr>
            <w:webHidden/>
          </w:rPr>
          <w:tab/>
        </w:r>
        <w:r>
          <w:rPr>
            <w:webHidden/>
          </w:rPr>
          <w:fldChar w:fldCharType="begin"/>
        </w:r>
        <w:r>
          <w:rPr>
            <w:webHidden/>
          </w:rPr>
          <w:instrText xml:space="preserve"> PAGEREF _Toc204609874 \h </w:instrText>
        </w:r>
        <w:r>
          <w:rPr>
            <w:webHidden/>
          </w:rPr>
        </w:r>
        <w:r>
          <w:rPr>
            <w:webHidden/>
          </w:rPr>
          <w:fldChar w:fldCharType="separate"/>
        </w:r>
        <w:r w:rsidR="00C43C1D">
          <w:rPr>
            <w:webHidden/>
          </w:rPr>
          <w:t>59</w:t>
        </w:r>
        <w:r>
          <w:rPr>
            <w:webHidden/>
          </w:rPr>
          <w:fldChar w:fldCharType="end"/>
        </w:r>
      </w:hyperlink>
    </w:p>
    <w:p w14:paraId="0CBDF7AA" w14:textId="4214526F"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5" w:history="1">
        <w:r w:rsidRPr="00937E67">
          <w:rPr>
            <w:rStyle w:val="Hyperlink"/>
          </w:rPr>
          <w:t>Table B.1 Commonwealth Environmental Outcomes framework against Basin Plan biodiversity objectives (Basin Plan S8.05)</w:t>
        </w:r>
        <w:r>
          <w:rPr>
            <w:webHidden/>
          </w:rPr>
          <w:tab/>
        </w:r>
        <w:r>
          <w:rPr>
            <w:webHidden/>
          </w:rPr>
          <w:fldChar w:fldCharType="begin"/>
        </w:r>
        <w:r>
          <w:rPr>
            <w:webHidden/>
          </w:rPr>
          <w:instrText xml:space="preserve"> PAGEREF _Toc204609875 \h </w:instrText>
        </w:r>
        <w:r>
          <w:rPr>
            <w:webHidden/>
          </w:rPr>
        </w:r>
        <w:r>
          <w:rPr>
            <w:webHidden/>
          </w:rPr>
          <w:fldChar w:fldCharType="separate"/>
        </w:r>
        <w:r w:rsidR="00C43C1D">
          <w:rPr>
            <w:webHidden/>
          </w:rPr>
          <w:t>61</w:t>
        </w:r>
        <w:r>
          <w:rPr>
            <w:webHidden/>
          </w:rPr>
          <w:fldChar w:fldCharType="end"/>
        </w:r>
      </w:hyperlink>
    </w:p>
    <w:p w14:paraId="6ED2F99D" w14:textId="67A6944C"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6" w:history="1">
        <w:r w:rsidRPr="00937E67">
          <w:rPr>
            <w:rStyle w:val="Hyperlink"/>
          </w:rPr>
          <w:t>Table B.2 Commonwealth Environmental Outcomes framework against Basin Plan ecosystem function objectives (Basin Plan S8.06)</w:t>
        </w:r>
        <w:r>
          <w:rPr>
            <w:webHidden/>
          </w:rPr>
          <w:tab/>
        </w:r>
        <w:r>
          <w:rPr>
            <w:webHidden/>
          </w:rPr>
          <w:fldChar w:fldCharType="begin"/>
        </w:r>
        <w:r>
          <w:rPr>
            <w:webHidden/>
          </w:rPr>
          <w:instrText xml:space="preserve"> PAGEREF _Toc204609876 \h </w:instrText>
        </w:r>
        <w:r>
          <w:rPr>
            <w:webHidden/>
          </w:rPr>
        </w:r>
        <w:r>
          <w:rPr>
            <w:webHidden/>
          </w:rPr>
          <w:fldChar w:fldCharType="separate"/>
        </w:r>
        <w:r w:rsidR="00C43C1D">
          <w:rPr>
            <w:webHidden/>
          </w:rPr>
          <w:t>63</w:t>
        </w:r>
        <w:r>
          <w:rPr>
            <w:webHidden/>
          </w:rPr>
          <w:fldChar w:fldCharType="end"/>
        </w:r>
      </w:hyperlink>
    </w:p>
    <w:p w14:paraId="2EBEF977" w14:textId="561F3DE7"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7" w:history="1">
        <w:r w:rsidRPr="00937E67">
          <w:rPr>
            <w:rStyle w:val="Hyperlink"/>
          </w:rPr>
          <w:t>Table B.3 Commonwealth Environmental Outcomes framework against Basin Plan water quality objectives (Basin Plan S9.08; 9.09; 9.14)</w:t>
        </w:r>
        <w:r>
          <w:rPr>
            <w:webHidden/>
          </w:rPr>
          <w:tab/>
        </w:r>
        <w:r>
          <w:rPr>
            <w:webHidden/>
          </w:rPr>
          <w:fldChar w:fldCharType="begin"/>
        </w:r>
        <w:r>
          <w:rPr>
            <w:webHidden/>
          </w:rPr>
          <w:instrText xml:space="preserve"> PAGEREF _Toc204609877 \h </w:instrText>
        </w:r>
        <w:r>
          <w:rPr>
            <w:webHidden/>
          </w:rPr>
        </w:r>
        <w:r>
          <w:rPr>
            <w:webHidden/>
          </w:rPr>
          <w:fldChar w:fldCharType="separate"/>
        </w:r>
        <w:r w:rsidR="00C43C1D">
          <w:rPr>
            <w:webHidden/>
          </w:rPr>
          <w:t>64</w:t>
        </w:r>
        <w:r>
          <w:rPr>
            <w:webHidden/>
          </w:rPr>
          <w:fldChar w:fldCharType="end"/>
        </w:r>
      </w:hyperlink>
    </w:p>
    <w:p w14:paraId="6F7526C4" w14:textId="3BE95E63" w:rsidR="0082271A" w:rsidRDefault="0082271A">
      <w:pPr>
        <w:pStyle w:val="TableofFigures"/>
        <w:rPr>
          <w:rFonts w:asciiTheme="minorHAnsi" w:eastAsiaTheme="minorEastAsia" w:hAnsiTheme="minorHAnsi" w:cstheme="minorBidi"/>
          <w:color w:val="auto"/>
          <w:kern w:val="2"/>
          <w:sz w:val="24"/>
          <w:szCs w:val="21"/>
          <w:lang w:bidi="ne-NP"/>
          <w14:ligatures w14:val="standardContextual"/>
        </w:rPr>
      </w:pPr>
      <w:hyperlink w:anchor="_Toc204609878" w:history="1">
        <w:r w:rsidRPr="00937E67">
          <w:rPr>
            <w:rStyle w:val="Hyperlink"/>
          </w:rPr>
          <w:t>Table B.4 Commonwealth Environmental Outcomes framework against Basin Plan resilience objectives (Basin Plan S8.07)</w:t>
        </w:r>
        <w:r>
          <w:rPr>
            <w:webHidden/>
          </w:rPr>
          <w:tab/>
        </w:r>
        <w:r>
          <w:rPr>
            <w:webHidden/>
          </w:rPr>
          <w:fldChar w:fldCharType="begin"/>
        </w:r>
        <w:r>
          <w:rPr>
            <w:webHidden/>
          </w:rPr>
          <w:instrText xml:space="preserve"> PAGEREF _Toc204609878 \h </w:instrText>
        </w:r>
        <w:r>
          <w:rPr>
            <w:webHidden/>
          </w:rPr>
        </w:r>
        <w:r>
          <w:rPr>
            <w:webHidden/>
          </w:rPr>
          <w:fldChar w:fldCharType="separate"/>
        </w:r>
        <w:r w:rsidR="00C43C1D">
          <w:rPr>
            <w:webHidden/>
          </w:rPr>
          <w:t>65</w:t>
        </w:r>
        <w:r>
          <w:rPr>
            <w:webHidden/>
          </w:rPr>
          <w:fldChar w:fldCharType="end"/>
        </w:r>
      </w:hyperlink>
    </w:p>
    <w:p w14:paraId="2161A482" w14:textId="5E02B94B" w:rsidR="005F3884" w:rsidRPr="004B520E" w:rsidRDefault="005E051B" w:rsidP="006D77C6">
      <w:pPr>
        <w:pStyle w:val="TableofFigures"/>
      </w:pPr>
      <w:r w:rsidRPr="004B520E">
        <w:fldChar w:fldCharType="end"/>
      </w:r>
    </w:p>
    <w:p w14:paraId="4763ADF9" w14:textId="77777777" w:rsidR="002963B6" w:rsidRPr="004B520E" w:rsidRDefault="002963B6" w:rsidP="00C23430">
      <w:pPr>
        <w:pStyle w:val="BodyText"/>
        <w:sectPr w:rsidR="002963B6" w:rsidRPr="004B520E" w:rsidSect="00BF73A8">
          <w:footerReference w:type="default" r:id="rId31"/>
          <w:pgSz w:w="11906" w:h="16838" w:code="9"/>
          <w:pgMar w:top="1134" w:right="1134" w:bottom="1134" w:left="1134" w:header="510" w:footer="510" w:gutter="0"/>
          <w:pgNumType w:fmt="lowerRoman"/>
          <w:cols w:space="284"/>
          <w:docGrid w:linePitch="360"/>
        </w:sectPr>
      </w:pPr>
    </w:p>
    <w:p w14:paraId="53150792" w14:textId="42697204" w:rsidR="001F2CAD" w:rsidRPr="004B520E" w:rsidRDefault="008F79F6" w:rsidP="00113FC9">
      <w:pPr>
        <w:pStyle w:val="Heading1notnumbered"/>
      </w:pPr>
      <w:bookmarkStart w:id="67" w:name="_Toc168579814"/>
      <w:bookmarkStart w:id="68" w:name="_Toc172283603"/>
      <w:bookmarkStart w:id="69" w:name="_Toc172290931"/>
      <w:bookmarkStart w:id="70" w:name="_Toc178668832"/>
      <w:bookmarkStart w:id="71" w:name="_Toc200743747"/>
      <w:bookmarkStart w:id="72" w:name="_Toc200743846"/>
      <w:bookmarkStart w:id="73" w:name="_Toc203682260"/>
      <w:bookmarkStart w:id="74" w:name="_Toc204606875"/>
      <w:r w:rsidRPr="004B520E">
        <w:lastRenderedPageBreak/>
        <w:t>Abb</w:t>
      </w:r>
      <w:r w:rsidR="007E5F75" w:rsidRPr="004B520E">
        <w:t xml:space="preserve">reviations and </w:t>
      </w:r>
      <w:r w:rsidR="009D2389" w:rsidRPr="00125873">
        <w:t>terms</w:t>
      </w:r>
      <w:bookmarkEnd w:id="67"/>
      <w:bookmarkEnd w:id="68"/>
      <w:bookmarkEnd w:id="69"/>
      <w:bookmarkEnd w:id="70"/>
      <w:bookmarkEnd w:id="71"/>
      <w:bookmarkEnd w:id="72"/>
      <w:bookmarkEnd w:id="73"/>
      <w:bookmarkEnd w:id="74"/>
    </w:p>
    <w:tbl>
      <w:tblPr>
        <w:tblStyle w:val="TableFlow-Mer0"/>
        <w:tblW w:w="9524" w:type="dxa"/>
        <w:tblLook w:val="0420" w:firstRow="1" w:lastRow="0" w:firstColumn="0" w:lastColumn="0" w:noHBand="0" w:noVBand="1"/>
      </w:tblPr>
      <w:tblGrid>
        <w:gridCol w:w="2439"/>
        <w:gridCol w:w="7085"/>
      </w:tblGrid>
      <w:tr w:rsidR="00FB4CFF" w:rsidRPr="004B520E" w14:paraId="373963BE" w14:textId="77777777" w:rsidTr="005821CB">
        <w:trPr>
          <w:cnfStyle w:val="100000000000" w:firstRow="1" w:lastRow="0" w:firstColumn="0" w:lastColumn="0" w:oddVBand="0" w:evenVBand="0" w:oddHBand="0" w:evenHBand="0" w:firstRowFirstColumn="0" w:firstRowLastColumn="0" w:lastRowFirstColumn="0" w:lastRowLastColumn="0"/>
          <w:tblHeader/>
        </w:trPr>
        <w:tc>
          <w:tcPr>
            <w:tcW w:w="2439" w:type="dxa"/>
          </w:tcPr>
          <w:p w14:paraId="6F1315E7" w14:textId="5ED9E90E" w:rsidR="00FB4CFF" w:rsidRPr="004B520E" w:rsidRDefault="00FB4CFF" w:rsidP="009C2861">
            <w:pPr>
              <w:pStyle w:val="ColumnHeading"/>
            </w:pPr>
            <w:r w:rsidRPr="004B520E">
              <w:t>Term</w:t>
            </w:r>
          </w:p>
        </w:tc>
        <w:tc>
          <w:tcPr>
            <w:tcW w:w="7085" w:type="dxa"/>
          </w:tcPr>
          <w:p w14:paraId="4A3C3EAC" w14:textId="4F7B28C3" w:rsidR="00FB4CFF" w:rsidRPr="004B520E" w:rsidRDefault="00FB4CFF" w:rsidP="009C2861">
            <w:pPr>
              <w:pStyle w:val="ColumnHeading"/>
            </w:pPr>
            <w:r w:rsidRPr="004B520E">
              <w:t>Description</w:t>
            </w:r>
          </w:p>
        </w:tc>
      </w:tr>
      <w:tr w:rsidR="007E5F75" w:rsidRPr="004B520E" w14:paraId="6059AA0A"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3557FE61" w14:textId="3629FEE4" w:rsidR="007E5F75" w:rsidRPr="004B520E" w:rsidRDefault="00244943" w:rsidP="009C2861">
            <w:pPr>
              <w:pStyle w:val="TableText"/>
            </w:pPr>
            <w:r w:rsidRPr="004B520E">
              <w:t>2014–24</w:t>
            </w:r>
          </w:p>
        </w:tc>
        <w:tc>
          <w:tcPr>
            <w:tcW w:w="7085" w:type="dxa"/>
          </w:tcPr>
          <w:p w14:paraId="0BC6AFF9" w14:textId="1CC69E60" w:rsidR="007E5F75" w:rsidRPr="004B520E" w:rsidRDefault="007E5F75" w:rsidP="009C2861">
            <w:pPr>
              <w:pStyle w:val="TableText"/>
            </w:pPr>
            <w:r w:rsidRPr="004B520E">
              <w:t>Water years 1 July 2014 to 30 June 202</w:t>
            </w:r>
            <w:r w:rsidR="00023CC3" w:rsidRPr="004B520E">
              <w:t>3</w:t>
            </w:r>
          </w:p>
        </w:tc>
      </w:tr>
      <w:tr w:rsidR="007E5F75" w:rsidRPr="004B520E" w14:paraId="19D8C9FA" w14:textId="77777777" w:rsidTr="008759D5">
        <w:tc>
          <w:tcPr>
            <w:tcW w:w="0" w:type="dxa"/>
          </w:tcPr>
          <w:p w14:paraId="6ADD1F84" w14:textId="32928C6D" w:rsidR="007E5F75" w:rsidRPr="004B520E" w:rsidRDefault="00244943" w:rsidP="009C2861">
            <w:pPr>
              <w:pStyle w:val="TableText"/>
            </w:pPr>
            <w:r w:rsidRPr="004B520E">
              <w:t>2023–24</w:t>
            </w:r>
          </w:p>
        </w:tc>
        <w:tc>
          <w:tcPr>
            <w:tcW w:w="0" w:type="dxa"/>
          </w:tcPr>
          <w:p w14:paraId="400EFBA5" w14:textId="51E203C3" w:rsidR="007E5F75" w:rsidRPr="004B520E" w:rsidRDefault="007E5F75" w:rsidP="009C2861">
            <w:pPr>
              <w:pStyle w:val="TableText"/>
            </w:pPr>
            <w:r w:rsidRPr="004B520E">
              <w:t>Water year 1 July 202</w:t>
            </w:r>
            <w:r w:rsidR="00023CC3" w:rsidRPr="004B520E">
              <w:t>2</w:t>
            </w:r>
            <w:r w:rsidRPr="004B520E">
              <w:t xml:space="preserve"> to 30 June 202</w:t>
            </w:r>
            <w:r w:rsidR="00023CC3" w:rsidRPr="004B520E">
              <w:t>3</w:t>
            </w:r>
          </w:p>
        </w:tc>
      </w:tr>
      <w:tr w:rsidR="00646342" w:rsidRPr="004B520E" w14:paraId="2B69C295" w14:textId="77777777" w:rsidTr="005821CB">
        <w:trPr>
          <w:cnfStyle w:val="000000100000" w:firstRow="0" w:lastRow="0" w:firstColumn="0" w:lastColumn="0" w:oddVBand="0" w:evenVBand="0" w:oddHBand="1" w:evenHBand="0" w:firstRowFirstColumn="0" w:firstRowLastColumn="0" w:lastRowFirstColumn="0" w:lastRowLastColumn="0"/>
        </w:trPr>
        <w:tc>
          <w:tcPr>
            <w:tcW w:w="0" w:type="dxa"/>
          </w:tcPr>
          <w:p w14:paraId="0EB2DB80" w14:textId="590873B6" w:rsidR="00646342" w:rsidRPr="004B520E" w:rsidRDefault="00646342" w:rsidP="009C2861">
            <w:pPr>
              <w:pStyle w:val="TableText"/>
            </w:pPr>
            <w:r>
              <w:t>aggregate nesting</w:t>
            </w:r>
          </w:p>
        </w:tc>
        <w:tc>
          <w:tcPr>
            <w:tcW w:w="0" w:type="dxa"/>
          </w:tcPr>
          <w:p w14:paraId="7E9B6B21" w14:textId="31C7E004" w:rsidR="00646342" w:rsidRPr="004B520E" w:rsidRDefault="00646342" w:rsidP="009C2861">
            <w:pPr>
              <w:pStyle w:val="TableText"/>
            </w:pPr>
            <w:r>
              <w:t>the behaviour where multiple birds of the same species nest in close proximity</w:t>
            </w:r>
            <w:r w:rsidR="00000EEE">
              <w:t xml:space="preserve"> to breed and raise their young</w:t>
            </w:r>
          </w:p>
        </w:tc>
      </w:tr>
      <w:tr w:rsidR="007E5F75" w:rsidRPr="004B520E" w14:paraId="570B5CF9" w14:textId="77777777" w:rsidTr="008759D5">
        <w:tc>
          <w:tcPr>
            <w:tcW w:w="0" w:type="dxa"/>
          </w:tcPr>
          <w:p w14:paraId="2CC937EA" w14:textId="77777777" w:rsidR="007E5F75" w:rsidRPr="004B520E" w:rsidRDefault="007E5F75" w:rsidP="009C2861">
            <w:pPr>
              <w:pStyle w:val="TableText"/>
            </w:pPr>
            <w:r w:rsidRPr="004B520E">
              <w:t>ANAE</w:t>
            </w:r>
          </w:p>
        </w:tc>
        <w:tc>
          <w:tcPr>
            <w:tcW w:w="0" w:type="dxa"/>
          </w:tcPr>
          <w:p w14:paraId="3E72D969" w14:textId="3B09264A" w:rsidR="007E5F75" w:rsidRPr="004B520E" w:rsidRDefault="007E5F75" w:rsidP="009C2861">
            <w:pPr>
              <w:pStyle w:val="TableText"/>
            </w:pPr>
            <w:r w:rsidRPr="004B520E">
              <w:t>Australian National Aquatic Ecosystems</w:t>
            </w:r>
            <w:r w:rsidR="00DA6872" w:rsidRPr="004B520E">
              <w:t>,</w:t>
            </w:r>
            <w:r w:rsidRPr="004B520E">
              <w:t xml:space="preserve"> a classification framework which allows groupings of similar ecosystems into a series of classes</w:t>
            </w:r>
          </w:p>
        </w:tc>
      </w:tr>
      <w:tr w:rsidR="00302A5F" w:rsidRPr="004B520E" w14:paraId="137D49CE"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1E52FD6B" w14:textId="6800B503" w:rsidR="00302A5F" w:rsidRPr="004B520E" w:rsidRDefault="00302A5F" w:rsidP="00302A5F">
            <w:pPr>
              <w:pStyle w:val="TableText"/>
            </w:pPr>
            <w:r>
              <w:t>autotrophic</w:t>
            </w:r>
          </w:p>
        </w:tc>
        <w:tc>
          <w:tcPr>
            <w:tcW w:w="7085" w:type="dxa"/>
          </w:tcPr>
          <w:p w14:paraId="70D0C0B1" w14:textId="6E749914" w:rsidR="00302A5F" w:rsidRPr="004B520E" w:rsidRDefault="00302A5F" w:rsidP="00302A5F">
            <w:pPr>
              <w:pStyle w:val="TableText"/>
            </w:pPr>
            <w:r>
              <w:t xml:space="preserve">describing a system </w:t>
            </w:r>
            <w:r w:rsidR="00D10B9B">
              <w:t>that</w:t>
            </w:r>
            <w:r>
              <w:t xml:space="preserve"> produc</w:t>
            </w:r>
            <w:r w:rsidR="00D10B9B">
              <w:t>es</w:t>
            </w:r>
            <w:r>
              <w:t xml:space="preserve"> more carbon than it consumes</w:t>
            </w:r>
          </w:p>
        </w:tc>
      </w:tr>
      <w:tr w:rsidR="00F52CEB" w:rsidRPr="004B520E" w14:paraId="3D609296" w14:textId="77777777" w:rsidTr="008759D5">
        <w:tc>
          <w:tcPr>
            <w:tcW w:w="0" w:type="dxa"/>
          </w:tcPr>
          <w:p w14:paraId="0044B478" w14:textId="008EC34A" w:rsidR="00F52CEB" w:rsidRPr="004B520E" w:rsidRDefault="00F52CEB">
            <w:pPr>
              <w:pStyle w:val="TableText"/>
            </w:pPr>
            <w:r>
              <w:t>base flow</w:t>
            </w:r>
          </w:p>
        </w:tc>
        <w:tc>
          <w:tcPr>
            <w:tcW w:w="0" w:type="dxa"/>
          </w:tcPr>
          <w:p w14:paraId="66CC0ECC" w14:textId="653894F3" w:rsidR="00F52CEB" w:rsidRDefault="00AC41C9">
            <w:pPr>
              <w:pStyle w:val="TableText"/>
            </w:pPr>
            <w:r>
              <w:t>f</w:t>
            </w:r>
            <w:r w:rsidR="00672C1E">
              <w:t xml:space="preserve">low in a system that </w:t>
            </w:r>
            <w:r>
              <w:t>is</w:t>
            </w:r>
            <w:r w:rsidR="00672C1E">
              <w:t xml:space="preserve"> not impacted by runoff, or flow sustained by seeping groundwater</w:t>
            </w:r>
          </w:p>
        </w:tc>
      </w:tr>
      <w:tr w:rsidR="00C57092" w:rsidRPr="004B520E" w14:paraId="0D433E14" w14:textId="77777777" w:rsidTr="005821CB">
        <w:trPr>
          <w:cnfStyle w:val="000000100000" w:firstRow="0" w:lastRow="0" w:firstColumn="0" w:lastColumn="0" w:oddVBand="0" w:evenVBand="0" w:oddHBand="1" w:evenHBand="0" w:firstRowFirstColumn="0" w:firstRowLastColumn="0" w:lastRowFirstColumn="0" w:lastRowLastColumn="0"/>
        </w:trPr>
        <w:tc>
          <w:tcPr>
            <w:tcW w:w="0" w:type="dxa"/>
          </w:tcPr>
          <w:p w14:paraId="79053C45" w14:textId="0FEA73CC" w:rsidR="00C57092" w:rsidRDefault="00C57092">
            <w:pPr>
              <w:pStyle w:val="TableText"/>
            </w:pPr>
            <w:r>
              <w:t>bankfull</w:t>
            </w:r>
            <w:r w:rsidR="00DB723F">
              <w:t xml:space="preserve"> flow</w:t>
            </w:r>
          </w:p>
        </w:tc>
        <w:tc>
          <w:tcPr>
            <w:tcW w:w="0" w:type="dxa"/>
          </w:tcPr>
          <w:p w14:paraId="58E611BC" w14:textId="2182A5FA" w:rsidR="00C57092" w:rsidRDefault="00DB723F">
            <w:pPr>
              <w:pStyle w:val="TableText"/>
            </w:pPr>
            <w:r>
              <w:t>a larger flow event that fills the river channel</w:t>
            </w:r>
          </w:p>
        </w:tc>
      </w:tr>
      <w:tr w:rsidR="000D007D" w:rsidRPr="004B520E" w14:paraId="48B50555" w14:textId="77777777" w:rsidTr="008759D5">
        <w:tc>
          <w:tcPr>
            <w:tcW w:w="0" w:type="dxa"/>
          </w:tcPr>
          <w:p w14:paraId="5F148CCF" w14:textId="77777777" w:rsidR="000D007D" w:rsidRPr="004B520E" w:rsidRDefault="000D007D">
            <w:pPr>
              <w:pStyle w:val="TableText"/>
            </w:pPr>
            <w:r w:rsidRPr="004B520E">
              <w:t>the Basin</w:t>
            </w:r>
          </w:p>
        </w:tc>
        <w:tc>
          <w:tcPr>
            <w:tcW w:w="0" w:type="dxa"/>
          </w:tcPr>
          <w:p w14:paraId="326ADD35" w14:textId="5E6D9634" w:rsidR="000D007D" w:rsidRPr="004B520E" w:rsidRDefault="008656D4">
            <w:pPr>
              <w:pStyle w:val="TableText"/>
            </w:pPr>
            <w:r>
              <w:t>s</w:t>
            </w:r>
            <w:r w:rsidR="000D007D" w:rsidRPr="004B520E">
              <w:t>hort</w:t>
            </w:r>
            <w:r>
              <w:t>ened</w:t>
            </w:r>
            <w:r w:rsidR="000D007D" w:rsidRPr="004B520E">
              <w:t xml:space="preserve"> form for the Murray–Darling Basin</w:t>
            </w:r>
          </w:p>
        </w:tc>
      </w:tr>
      <w:tr w:rsidR="000D007D" w:rsidRPr="004B520E" w14:paraId="009EEA36"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hideMark/>
          </w:tcPr>
          <w:p w14:paraId="118BA2B0" w14:textId="00F6FCEF" w:rsidR="000D007D" w:rsidRPr="004B520E" w:rsidRDefault="001A6065">
            <w:pPr>
              <w:pStyle w:val="TableText"/>
            </w:pPr>
            <w:r>
              <w:t xml:space="preserve">the </w:t>
            </w:r>
            <w:r w:rsidR="000D007D" w:rsidRPr="004B520E">
              <w:t>Basin Plan</w:t>
            </w:r>
          </w:p>
        </w:tc>
        <w:tc>
          <w:tcPr>
            <w:tcW w:w="7085" w:type="dxa"/>
            <w:hideMark/>
          </w:tcPr>
          <w:p w14:paraId="34ECEF23" w14:textId="0167B885" w:rsidR="000D007D" w:rsidRPr="004B520E" w:rsidRDefault="008449F2">
            <w:pPr>
              <w:pStyle w:val="TableText"/>
            </w:pPr>
            <w:r>
              <w:t xml:space="preserve">shortened form for the </w:t>
            </w:r>
            <w:r w:rsidR="000D007D" w:rsidRPr="004B520E">
              <w:t xml:space="preserve">(Murray–Darling) </w:t>
            </w:r>
            <w:r w:rsidR="000D007D" w:rsidRPr="004B520E">
              <w:rPr>
                <w:rStyle w:val="Italics"/>
              </w:rPr>
              <w:t>Basin Plan 2012</w:t>
            </w:r>
          </w:p>
        </w:tc>
      </w:tr>
      <w:tr w:rsidR="00802AB2" w:rsidRPr="004B520E" w14:paraId="7B4B7CCA" w14:textId="77777777" w:rsidTr="008759D5">
        <w:tc>
          <w:tcPr>
            <w:tcW w:w="0" w:type="dxa"/>
          </w:tcPr>
          <w:p w14:paraId="53594924" w14:textId="0E6C4C83" w:rsidR="00802AB2" w:rsidRPr="004B520E" w:rsidRDefault="00802AB2" w:rsidP="009C2861">
            <w:pPr>
              <w:pStyle w:val="TableText"/>
            </w:pPr>
            <w:r>
              <w:t>CAMBA</w:t>
            </w:r>
          </w:p>
        </w:tc>
        <w:tc>
          <w:tcPr>
            <w:tcW w:w="0" w:type="dxa"/>
          </w:tcPr>
          <w:p w14:paraId="2357D322" w14:textId="4C8700B3" w:rsidR="00802AB2" w:rsidRPr="004B520E" w:rsidRDefault="00802AB2" w:rsidP="009C2861">
            <w:pPr>
              <w:pStyle w:val="TableText"/>
            </w:pPr>
            <w:r>
              <w:t>China–Australia Migratory Bird Agreement</w:t>
            </w:r>
          </w:p>
        </w:tc>
      </w:tr>
      <w:tr w:rsidR="000D007D" w:rsidRPr="004B520E" w14:paraId="1F3047FD"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584D3798" w14:textId="5165BAB9" w:rsidR="00023CC3" w:rsidRPr="004B520E" w:rsidRDefault="00023CC3" w:rsidP="009C2861">
            <w:pPr>
              <w:pStyle w:val="TableText"/>
            </w:pPr>
            <w:r w:rsidRPr="004B520E">
              <w:t>CEW</w:t>
            </w:r>
          </w:p>
        </w:tc>
        <w:tc>
          <w:tcPr>
            <w:tcW w:w="7085" w:type="dxa"/>
          </w:tcPr>
          <w:p w14:paraId="255A95C4" w14:textId="6EBF6DB3" w:rsidR="00023CC3" w:rsidRPr="004B520E" w:rsidRDefault="00023CC3" w:rsidP="009C2861">
            <w:pPr>
              <w:pStyle w:val="TableText"/>
            </w:pPr>
            <w:r w:rsidRPr="004B520E">
              <w:t>Commonwealth environmental water</w:t>
            </w:r>
          </w:p>
        </w:tc>
      </w:tr>
      <w:tr w:rsidR="000D007D" w:rsidRPr="004B520E" w14:paraId="09F09C9C" w14:textId="77777777" w:rsidTr="008759D5">
        <w:tc>
          <w:tcPr>
            <w:tcW w:w="0" w:type="dxa"/>
          </w:tcPr>
          <w:p w14:paraId="69FA8F67" w14:textId="77777777" w:rsidR="007E5F75" w:rsidRPr="004B520E" w:rsidRDefault="007E5F75" w:rsidP="009C2861">
            <w:pPr>
              <w:pStyle w:val="TableText"/>
            </w:pPr>
            <w:r w:rsidRPr="004B520E">
              <w:t>CEWH</w:t>
            </w:r>
          </w:p>
        </w:tc>
        <w:tc>
          <w:tcPr>
            <w:tcW w:w="0" w:type="dxa"/>
          </w:tcPr>
          <w:p w14:paraId="4C5C3F2E" w14:textId="77777777" w:rsidR="007E5F75" w:rsidRPr="004B520E" w:rsidRDefault="007E5F75" w:rsidP="009C2861">
            <w:pPr>
              <w:pStyle w:val="TableText"/>
            </w:pPr>
            <w:r w:rsidRPr="004B520E">
              <w:t>Commonwealth Environmental Water Holder</w:t>
            </w:r>
          </w:p>
        </w:tc>
      </w:tr>
      <w:tr w:rsidR="00AC077D" w:rsidRPr="004B520E" w14:paraId="6889CB41"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7E3F6E87" w14:textId="0708A360" w:rsidR="00AC077D" w:rsidRPr="004B520E" w:rsidRDefault="00AC077D" w:rsidP="009C2861">
            <w:pPr>
              <w:pStyle w:val="TableText"/>
            </w:pPr>
            <w:r w:rsidRPr="004B520E">
              <w:t>CSIRO</w:t>
            </w:r>
          </w:p>
        </w:tc>
        <w:tc>
          <w:tcPr>
            <w:tcW w:w="7085" w:type="dxa"/>
          </w:tcPr>
          <w:p w14:paraId="62802149" w14:textId="6E41DC7D" w:rsidR="00AC077D" w:rsidRPr="004B520E" w:rsidRDefault="00AC077D" w:rsidP="009C2861">
            <w:pPr>
              <w:pStyle w:val="TableText"/>
            </w:pPr>
            <w:r w:rsidRPr="004B520E">
              <w:t>Commonwealth Scientific and Industrial Research Organisation</w:t>
            </w:r>
          </w:p>
        </w:tc>
      </w:tr>
      <w:tr w:rsidR="00A11F19" w:rsidRPr="004B520E" w14:paraId="7D5FF51C" w14:textId="77777777" w:rsidTr="008759D5">
        <w:tc>
          <w:tcPr>
            <w:tcW w:w="0" w:type="dxa"/>
          </w:tcPr>
          <w:p w14:paraId="11AE79FE" w14:textId="0D9CCEC9" w:rsidR="00A11F19" w:rsidRPr="004B520E" w:rsidRDefault="00A11F19" w:rsidP="009C2861">
            <w:pPr>
              <w:pStyle w:val="TableText"/>
            </w:pPr>
            <w:r>
              <w:t>DCCEEW</w:t>
            </w:r>
          </w:p>
        </w:tc>
        <w:tc>
          <w:tcPr>
            <w:tcW w:w="0" w:type="dxa"/>
          </w:tcPr>
          <w:p w14:paraId="6D8AB573" w14:textId="460A982B" w:rsidR="00A11F19" w:rsidRDefault="00A11F19" w:rsidP="009C2861">
            <w:pPr>
              <w:pStyle w:val="TableText"/>
            </w:pPr>
            <w:r>
              <w:t>Australian Department of Climate Change, Energy, the Environment and Water</w:t>
            </w:r>
          </w:p>
        </w:tc>
      </w:tr>
      <w:tr w:rsidR="000D007D" w:rsidRPr="004B520E" w14:paraId="3203A60A"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512B0732" w14:textId="031E86E9" w:rsidR="007E5F75" w:rsidRPr="004B520E" w:rsidRDefault="00230004" w:rsidP="009C2861">
            <w:pPr>
              <w:pStyle w:val="TableText"/>
            </w:pPr>
            <w:r w:rsidRPr="004B520E">
              <w:t>e</w:t>
            </w:r>
            <w:r w:rsidR="007E5F75" w:rsidRPr="004B520E">
              <w:t>cological community</w:t>
            </w:r>
          </w:p>
        </w:tc>
        <w:tc>
          <w:tcPr>
            <w:tcW w:w="7085" w:type="dxa"/>
          </w:tcPr>
          <w:p w14:paraId="7ABFFAC1" w14:textId="452A3BC9" w:rsidR="007E5F75" w:rsidRPr="004B520E" w:rsidRDefault="007811EA" w:rsidP="009C2861">
            <w:pPr>
              <w:pStyle w:val="TableText"/>
            </w:pPr>
            <w:r>
              <w:t>l</w:t>
            </w:r>
            <w:r w:rsidR="007E5F75" w:rsidRPr="004B520E">
              <w:t>iving organisms described by number of species (diversity), number of individuals (abundance), physical arrangement of species (structure) and distribution of individuals across species (composition)</w:t>
            </w:r>
          </w:p>
        </w:tc>
      </w:tr>
      <w:tr w:rsidR="000D007D" w:rsidRPr="004B520E" w14:paraId="27632361" w14:textId="77777777" w:rsidTr="008759D5">
        <w:tc>
          <w:tcPr>
            <w:tcW w:w="0" w:type="dxa"/>
          </w:tcPr>
          <w:p w14:paraId="5105A513" w14:textId="00447AA1" w:rsidR="007E5F75" w:rsidRPr="004B520E" w:rsidRDefault="001A6065" w:rsidP="009C2861">
            <w:pPr>
              <w:pStyle w:val="TableText"/>
              <w:rPr>
                <w:rStyle w:val="Strong"/>
                <w:b w:val="0"/>
                <w:bCs w:val="0"/>
                <w:smallCaps/>
              </w:rPr>
            </w:pPr>
            <w:r>
              <w:rPr>
                <w:rStyle w:val="Strong"/>
                <w:b w:val="0"/>
                <w:bCs w:val="0"/>
              </w:rPr>
              <w:t>e</w:t>
            </w:r>
            <w:r w:rsidR="007E5F75" w:rsidRPr="004B520E">
              <w:rPr>
                <w:rStyle w:val="Strong"/>
                <w:b w:val="0"/>
                <w:bCs w:val="0"/>
              </w:rPr>
              <w:t xml:space="preserve">cological condition </w:t>
            </w:r>
          </w:p>
        </w:tc>
        <w:tc>
          <w:tcPr>
            <w:tcW w:w="0" w:type="dxa"/>
          </w:tcPr>
          <w:p w14:paraId="609AA2C4" w14:textId="5E212D3B" w:rsidR="007E5F75" w:rsidRPr="004B520E" w:rsidRDefault="007811EA" w:rsidP="009C2861">
            <w:pPr>
              <w:pStyle w:val="TableText"/>
              <w:rPr>
                <w:rStyle w:val="Strong"/>
                <w:b w:val="0"/>
                <w:bCs w:val="0"/>
                <w:smallCaps/>
              </w:rPr>
            </w:pPr>
            <w:r>
              <w:rPr>
                <w:rStyle w:val="Strong"/>
                <w:b w:val="0"/>
                <w:bCs w:val="0"/>
              </w:rPr>
              <w:t>c</w:t>
            </w:r>
            <w:r w:rsidR="007E5F75" w:rsidRPr="004B520E">
              <w:rPr>
                <w:rStyle w:val="Strong"/>
                <w:b w:val="0"/>
                <w:bCs w:val="0"/>
              </w:rPr>
              <w:t>ondition is an assessment of the presence of ecological communities and processes that would represent the undisturbed state of an ecosystem</w:t>
            </w:r>
          </w:p>
        </w:tc>
      </w:tr>
      <w:tr w:rsidR="000D007D" w:rsidRPr="004B520E" w14:paraId="7C5B75FD"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38B7AE1F" w14:textId="39D119DC" w:rsidR="007E5F75" w:rsidRPr="004B520E" w:rsidRDefault="001A6065" w:rsidP="009C2861">
            <w:pPr>
              <w:pStyle w:val="TableText"/>
            </w:pPr>
            <w:r>
              <w:rPr>
                <w:rStyle w:val="Strong"/>
                <w:b w:val="0"/>
                <w:bCs w:val="0"/>
              </w:rPr>
              <w:t>e</w:t>
            </w:r>
            <w:r w:rsidR="007E5F75" w:rsidRPr="004B520E">
              <w:rPr>
                <w:rStyle w:val="Strong"/>
                <w:b w:val="0"/>
                <w:bCs w:val="0"/>
              </w:rPr>
              <w:t>cosystem diversity</w:t>
            </w:r>
          </w:p>
        </w:tc>
        <w:tc>
          <w:tcPr>
            <w:tcW w:w="7085" w:type="dxa"/>
          </w:tcPr>
          <w:p w14:paraId="799FA3CA" w14:textId="25D9E497" w:rsidR="007E5F75" w:rsidRPr="004B520E" w:rsidRDefault="007811EA" w:rsidP="009C2861">
            <w:pPr>
              <w:pStyle w:val="TableText"/>
            </w:pPr>
            <w:r>
              <w:t>t</w:t>
            </w:r>
            <w:r w:rsidR="007E5F75" w:rsidRPr="004B520E">
              <w:t xml:space="preserve">he </w:t>
            </w:r>
            <w:r w:rsidR="00E062C7" w:rsidRPr="004B520E">
              <w:t xml:space="preserve">number </w:t>
            </w:r>
            <w:r w:rsidR="007E5F75" w:rsidRPr="004B520E">
              <w:t xml:space="preserve">of aquatic ecosystem types that are affected by Commonwealth environmental water </w:t>
            </w:r>
          </w:p>
        </w:tc>
      </w:tr>
      <w:tr w:rsidR="000D007D" w:rsidRPr="004B520E" w14:paraId="40FB9273" w14:textId="77777777" w:rsidTr="008759D5">
        <w:tc>
          <w:tcPr>
            <w:tcW w:w="0" w:type="dxa"/>
          </w:tcPr>
          <w:p w14:paraId="5BCA639E" w14:textId="33233C43" w:rsidR="007E5F75" w:rsidRPr="004B520E" w:rsidRDefault="001A6065" w:rsidP="009C2861">
            <w:pPr>
              <w:pStyle w:val="TableText"/>
              <w:rPr>
                <w:rStyle w:val="Strong"/>
                <w:b w:val="0"/>
                <w:bCs w:val="0"/>
                <w:smallCaps/>
              </w:rPr>
            </w:pPr>
            <w:r>
              <w:rPr>
                <w:rStyle w:val="Strong"/>
                <w:b w:val="0"/>
                <w:bCs w:val="0"/>
              </w:rPr>
              <w:t>e</w:t>
            </w:r>
            <w:r w:rsidR="007E5F75" w:rsidRPr="004B520E">
              <w:rPr>
                <w:rStyle w:val="Strong"/>
                <w:b w:val="0"/>
                <w:bCs w:val="0"/>
              </w:rPr>
              <w:t>cosystem functions</w:t>
            </w:r>
          </w:p>
        </w:tc>
        <w:tc>
          <w:tcPr>
            <w:tcW w:w="0" w:type="dxa"/>
          </w:tcPr>
          <w:p w14:paraId="7E5C9636" w14:textId="69CBB426" w:rsidR="007E5F75" w:rsidRPr="004B520E" w:rsidRDefault="007811EA" w:rsidP="009C2861">
            <w:pPr>
              <w:pStyle w:val="TableText"/>
              <w:rPr>
                <w:rStyle w:val="Strong"/>
                <w:b w:val="0"/>
                <w:bCs w:val="0"/>
                <w:smallCaps/>
              </w:rPr>
            </w:pPr>
            <w:r w:rsidRPr="007811EA">
              <w:rPr>
                <w:rStyle w:val="Strong"/>
                <w:b w:val="0"/>
                <w:bCs w:val="0"/>
              </w:rPr>
              <w:t>t</w:t>
            </w:r>
            <w:r w:rsidRPr="000B73AA">
              <w:rPr>
                <w:rStyle w:val="Strong"/>
                <w:b w:val="0"/>
                <w:bCs w:val="0"/>
              </w:rPr>
              <w:t xml:space="preserve">he </w:t>
            </w:r>
            <w:r>
              <w:rPr>
                <w:rStyle w:val="Strong"/>
                <w:b w:val="0"/>
                <w:bCs w:val="0"/>
              </w:rPr>
              <w:t>m</w:t>
            </w:r>
            <w:r w:rsidR="007E5F75" w:rsidRPr="004B520E">
              <w:rPr>
                <w:rStyle w:val="Strong"/>
                <w:b w:val="0"/>
                <w:bCs w:val="0"/>
              </w:rPr>
              <w:t xml:space="preserve">ovement of energy and transformation of materials in an ecosystem </w:t>
            </w:r>
            <w:r w:rsidR="003B2C2C" w:rsidRPr="004B520E">
              <w:rPr>
                <w:rStyle w:val="Strong"/>
                <w:b w:val="0"/>
                <w:bCs w:val="0"/>
              </w:rPr>
              <w:t>(</w:t>
            </w:r>
            <w:r w:rsidR="007E5F75" w:rsidRPr="004B520E">
              <w:rPr>
                <w:rStyle w:val="Strong"/>
                <w:b w:val="0"/>
                <w:bCs w:val="0"/>
              </w:rPr>
              <w:t>e.g. denitrification, respiration</w:t>
            </w:r>
            <w:r w:rsidR="003B2C2C" w:rsidRPr="004B520E">
              <w:rPr>
                <w:rStyle w:val="Strong"/>
                <w:b w:val="0"/>
                <w:bCs w:val="0"/>
              </w:rPr>
              <w:t>)</w:t>
            </w:r>
          </w:p>
        </w:tc>
      </w:tr>
      <w:tr w:rsidR="000D007D" w:rsidRPr="004B520E" w14:paraId="445BF35C"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0E2E10EF" w14:textId="46CAFF87" w:rsidR="007E5F75" w:rsidRPr="004B520E" w:rsidRDefault="001A6065" w:rsidP="009C2861">
            <w:pPr>
              <w:pStyle w:val="TableText"/>
            </w:pPr>
            <w:r>
              <w:t>e</w:t>
            </w:r>
            <w:r w:rsidR="00B8500F" w:rsidRPr="004B520E">
              <w:t>cosystem e</w:t>
            </w:r>
            <w:r w:rsidR="007E5F75" w:rsidRPr="004B520E">
              <w:t>nergetics</w:t>
            </w:r>
          </w:p>
        </w:tc>
        <w:tc>
          <w:tcPr>
            <w:tcW w:w="7085" w:type="dxa"/>
          </w:tcPr>
          <w:p w14:paraId="184C5B6C" w14:textId="74B9C331" w:rsidR="007E5F75" w:rsidRPr="004B520E" w:rsidRDefault="007811EA" w:rsidP="009C2861">
            <w:pPr>
              <w:pStyle w:val="TableText"/>
            </w:pPr>
            <w:r>
              <w:t>t</w:t>
            </w:r>
            <w:r w:rsidR="007E5F75" w:rsidRPr="004B520E">
              <w:t xml:space="preserve">he movement of energy </w:t>
            </w:r>
            <w:r w:rsidR="003B30CC" w:rsidRPr="004B520E">
              <w:t>in an</w:t>
            </w:r>
            <w:r w:rsidR="007E5F75" w:rsidRPr="004B520E">
              <w:t xml:space="preserve"> ecosystem, including photosynthesis, decomposition and respiration</w:t>
            </w:r>
          </w:p>
        </w:tc>
      </w:tr>
      <w:tr w:rsidR="000D007D" w:rsidRPr="004B520E" w14:paraId="5A03B20C" w14:textId="77777777" w:rsidTr="008759D5">
        <w:tc>
          <w:tcPr>
            <w:tcW w:w="0" w:type="dxa"/>
          </w:tcPr>
          <w:p w14:paraId="6C04C1FD" w14:textId="7F895D12" w:rsidR="00EE62F3" w:rsidRPr="004B520E" w:rsidRDefault="00EE62F3" w:rsidP="009C2861">
            <w:pPr>
              <w:pStyle w:val="TableText"/>
            </w:pPr>
            <w:r w:rsidRPr="004B520E">
              <w:t>ER</w:t>
            </w:r>
          </w:p>
        </w:tc>
        <w:tc>
          <w:tcPr>
            <w:tcW w:w="0" w:type="dxa"/>
          </w:tcPr>
          <w:p w14:paraId="0D92F668" w14:textId="15823740" w:rsidR="00EE62F3" w:rsidRPr="004B520E" w:rsidRDefault="007811EA" w:rsidP="009C2861">
            <w:pPr>
              <w:pStyle w:val="TableText"/>
            </w:pPr>
            <w:r>
              <w:t>e</w:t>
            </w:r>
            <w:r w:rsidR="00EE62F3" w:rsidRPr="004B520E">
              <w:t>cosystem respiration</w:t>
            </w:r>
          </w:p>
        </w:tc>
      </w:tr>
      <w:tr w:rsidR="000D007D" w:rsidRPr="004B520E" w14:paraId="680AC45E"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4C853D31" w14:textId="12C9F67E" w:rsidR="008B0FC5" w:rsidRPr="004B520E" w:rsidRDefault="008B0FC5" w:rsidP="009C2861">
            <w:pPr>
              <w:pStyle w:val="TableText"/>
            </w:pPr>
            <w:r w:rsidRPr="004B520E">
              <w:t>EPBC Act</w:t>
            </w:r>
          </w:p>
        </w:tc>
        <w:tc>
          <w:tcPr>
            <w:tcW w:w="7085" w:type="dxa"/>
          </w:tcPr>
          <w:p w14:paraId="2E896595" w14:textId="15B6B96F" w:rsidR="008B0FC5" w:rsidRPr="004B520E" w:rsidRDefault="008D62AA" w:rsidP="009C2861">
            <w:pPr>
              <w:pStyle w:val="TableText"/>
            </w:pPr>
            <w:r w:rsidRPr="004B520E">
              <w:t xml:space="preserve">Australian </w:t>
            </w:r>
            <w:r w:rsidR="00972DC4" w:rsidRPr="00FE6E12">
              <w:rPr>
                <w:rStyle w:val="Italics"/>
              </w:rPr>
              <w:t>Environment Protection and Biodiversity Conservation Act 1999</w:t>
            </w:r>
          </w:p>
        </w:tc>
      </w:tr>
      <w:tr w:rsidR="000D007D" w:rsidRPr="004B520E" w14:paraId="42E30FF0" w14:textId="77777777" w:rsidTr="008759D5">
        <w:tc>
          <w:tcPr>
            <w:tcW w:w="0" w:type="dxa"/>
          </w:tcPr>
          <w:p w14:paraId="475BEB35" w14:textId="77777777" w:rsidR="000D007D" w:rsidRPr="004B520E" w:rsidRDefault="000D007D">
            <w:pPr>
              <w:pStyle w:val="TableText"/>
              <w:rPr>
                <w:rStyle w:val="Italics"/>
                <w:i w:val="0"/>
              </w:rPr>
            </w:pPr>
            <w:r w:rsidRPr="004B520E">
              <w:t>Flow-MER</w:t>
            </w:r>
          </w:p>
        </w:tc>
        <w:tc>
          <w:tcPr>
            <w:tcW w:w="0" w:type="dxa"/>
          </w:tcPr>
          <w:p w14:paraId="2C5B3A94" w14:textId="07EE1F18" w:rsidR="000D007D" w:rsidRPr="004B520E" w:rsidRDefault="000D007D">
            <w:pPr>
              <w:pStyle w:val="TableText"/>
            </w:pPr>
            <w:r w:rsidRPr="004B520E">
              <w:t>CEWH</w:t>
            </w:r>
            <w:r w:rsidR="00034AEB" w:rsidRPr="004B520E">
              <w:t>’s Flow</w:t>
            </w:r>
            <w:r w:rsidRPr="004B520E">
              <w:t xml:space="preserve"> Monitoring, Evaluation and Research </w:t>
            </w:r>
            <w:r w:rsidR="00034AEB" w:rsidRPr="004B520E">
              <w:t>p</w:t>
            </w:r>
            <w:r w:rsidRPr="004B520E">
              <w:t>rogram (2019–2</w:t>
            </w:r>
            <w:r w:rsidR="00034AEB" w:rsidRPr="004B520E">
              <w:t>4</w:t>
            </w:r>
            <w:r w:rsidRPr="004B520E">
              <w:t>)</w:t>
            </w:r>
          </w:p>
        </w:tc>
      </w:tr>
      <w:tr w:rsidR="000D007D" w:rsidRPr="004B520E" w14:paraId="4F2155B0"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2942D69F" w14:textId="3F8E3CE2" w:rsidR="007E5F75" w:rsidRPr="004B520E" w:rsidRDefault="001A6065" w:rsidP="009C2861">
            <w:pPr>
              <w:pStyle w:val="TableText"/>
              <w:rPr>
                <w:rStyle w:val="Strong"/>
                <w:b w:val="0"/>
                <w:bCs w:val="0"/>
                <w:smallCaps/>
              </w:rPr>
            </w:pPr>
            <w:r>
              <w:t>f</w:t>
            </w:r>
            <w:r w:rsidR="007E5F75" w:rsidRPr="004B520E">
              <w:t>ood webs</w:t>
            </w:r>
          </w:p>
        </w:tc>
        <w:tc>
          <w:tcPr>
            <w:tcW w:w="7085" w:type="dxa"/>
          </w:tcPr>
          <w:p w14:paraId="043061B7" w14:textId="4EC29181" w:rsidR="007E5F75" w:rsidRPr="004B520E" w:rsidRDefault="007811EA" w:rsidP="009C2861">
            <w:pPr>
              <w:pStyle w:val="TableText"/>
              <w:rPr>
                <w:rStyle w:val="Strong"/>
                <w:b w:val="0"/>
                <w:bCs w:val="0"/>
                <w:smallCaps/>
              </w:rPr>
            </w:pPr>
            <w:r>
              <w:t>t</w:t>
            </w:r>
            <w:r w:rsidR="007E5F75" w:rsidRPr="004B520E">
              <w:t>he movement of energy between organisms in an ecosystem, usually as feeding links</w:t>
            </w:r>
          </w:p>
        </w:tc>
      </w:tr>
      <w:tr w:rsidR="00055B6F" w:rsidRPr="004B520E" w14:paraId="35FF1FCF" w14:textId="77777777" w:rsidTr="008759D5">
        <w:tc>
          <w:tcPr>
            <w:tcW w:w="0" w:type="dxa"/>
          </w:tcPr>
          <w:p w14:paraId="27676643" w14:textId="0718C0CE" w:rsidR="00055B6F" w:rsidRDefault="008D611A" w:rsidP="00055B6F">
            <w:pPr>
              <w:pStyle w:val="TableText"/>
            </w:pPr>
            <w:r>
              <w:t>f</w:t>
            </w:r>
            <w:r w:rsidR="00055B6F">
              <w:t>resh</w:t>
            </w:r>
            <w:r>
              <w:t xml:space="preserve"> flow</w:t>
            </w:r>
          </w:p>
        </w:tc>
        <w:tc>
          <w:tcPr>
            <w:tcW w:w="0" w:type="dxa"/>
          </w:tcPr>
          <w:p w14:paraId="44CADFF9" w14:textId="0AAE23E5" w:rsidR="00055B6F" w:rsidRDefault="00FF3D83" w:rsidP="00FF3D83">
            <w:pPr>
              <w:pStyle w:val="TableText"/>
            </w:pPr>
            <w:r w:rsidRPr="00FF3D83">
              <w:t>(</w:t>
            </w:r>
            <w:r>
              <w:t>i</w:t>
            </w:r>
            <w:r w:rsidRPr="00FF3D83">
              <w:t>n-stream) small-to-medium flow events, usually of short duration, that inundate benches and stay in the river channel</w:t>
            </w:r>
          </w:p>
        </w:tc>
      </w:tr>
      <w:tr w:rsidR="000D007D" w:rsidRPr="004B520E" w14:paraId="471556A1"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064457D0" w14:textId="77777777" w:rsidR="000D007D" w:rsidRPr="004B520E" w:rsidRDefault="000D007D">
            <w:pPr>
              <w:pStyle w:val="TableText"/>
            </w:pPr>
            <w:r w:rsidRPr="004B520E">
              <w:t>the Framework</w:t>
            </w:r>
          </w:p>
        </w:tc>
        <w:tc>
          <w:tcPr>
            <w:tcW w:w="7085" w:type="dxa"/>
          </w:tcPr>
          <w:p w14:paraId="06E98163" w14:textId="77777777" w:rsidR="000D007D" w:rsidRPr="004B520E" w:rsidRDefault="000D007D">
            <w:pPr>
              <w:pStyle w:val="TableText"/>
            </w:pPr>
            <w:r w:rsidRPr="004B520E">
              <w:t xml:space="preserve">the </w:t>
            </w:r>
            <w:r w:rsidRPr="004B520E">
              <w:rPr>
                <w:i/>
                <w:iCs/>
              </w:rPr>
              <w:t>Environmental water outcomes framework</w:t>
            </w:r>
          </w:p>
        </w:tc>
      </w:tr>
      <w:tr w:rsidR="000D007D" w:rsidRPr="004B520E" w14:paraId="15D7B65A" w14:textId="77777777" w:rsidTr="008759D5">
        <w:tc>
          <w:tcPr>
            <w:tcW w:w="0" w:type="dxa"/>
          </w:tcPr>
          <w:p w14:paraId="4F58653B" w14:textId="40011619" w:rsidR="00EE62F3" w:rsidRPr="004B520E" w:rsidRDefault="00EE62F3" w:rsidP="009C2861">
            <w:pPr>
              <w:pStyle w:val="TableText"/>
            </w:pPr>
            <w:r w:rsidRPr="004B520E">
              <w:t>GPP</w:t>
            </w:r>
          </w:p>
        </w:tc>
        <w:tc>
          <w:tcPr>
            <w:tcW w:w="0" w:type="dxa"/>
          </w:tcPr>
          <w:p w14:paraId="0D306D24" w14:textId="1954CED1" w:rsidR="00EE62F3" w:rsidRPr="004B520E" w:rsidRDefault="007811EA" w:rsidP="009C2861">
            <w:pPr>
              <w:pStyle w:val="TableText"/>
            </w:pPr>
            <w:r>
              <w:t>g</w:t>
            </w:r>
            <w:r w:rsidR="00EE62F3" w:rsidRPr="004B520E">
              <w:t>ross primary production</w:t>
            </w:r>
          </w:p>
        </w:tc>
      </w:tr>
      <w:tr w:rsidR="00CF17AC" w:rsidRPr="004B520E" w14:paraId="397F3EC7"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0F32CBB3" w14:textId="2CC297A4" w:rsidR="00CF17AC" w:rsidRDefault="00CF17AC" w:rsidP="00CF17AC">
            <w:pPr>
              <w:pStyle w:val="TableText"/>
              <w:rPr>
                <w:rStyle w:val="Strong"/>
                <w:b w:val="0"/>
                <w:bCs w:val="0"/>
              </w:rPr>
            </w:pPr>
            <w:r w:rsidRPr="00C601A2">
              <w:t>heterotroph</w:t>
            </w:r>
            <w:r w:rsidR="0032303F">
              <w:t>ic</w:t>
            </w:r>
          </w:p>
        </w:tc>
        <w:tc>
          <w:tcPr>
            <w:tcW w:w="7085" w:type="dxa"/>
          </w:tcPr>
          <w:p w14:paraId="2ABD414F" w14:textId="4BB8D46C" w:rsidR="00CF17AC" w:rsidRDefault="0032303F" w:rsidP="00CF17AC">
            <w:pPr>
              <w:pStyle w:val="TableText"/>
            </w:pPr>
            <w:r>
              <w:t xml:space="preserve">describing </w:t>
            </w:r>
            <w:r w:rsidR="00CF17AC" w:rsidRPr="00C601A2">
              <w:t>a</w:t>
            </w:r>
            <w:r w:rsidR="00CF17AC">
              <w:t xml:space="preserve"> system </w:t>
            </w:r>
            <w:r w:rsidR="00D10B9B">
              <w:t>that</w:t>
            </w:r>
            <w:r w:rsidR="00CF17AC">
              <w:t xml:space="preserve"> consum</w:t>
            </w:r>
            <w:r w:rsidR="00D10B9B">
              <w:t>es</w:t>
            </w:r>
            <w:r w:rsidR="00CF17AC">
              <w:t xml:space="preserve"> more carbon tha</w:t>
            </w:r>
            <w:r w:rsidR="00D10B9B">
              <w:t>n</w:t>
            </w:r>
            <w:r w:rsidR="00CF17AC">
              <w:t xml:space="preserve"> it produces</w:t>
            </w:r>
          </w:p>
        </w:tc>
      </w:tr>
      <w:tr w:rsidR="000D007D" w:rsidRPr="004B520E" w14:paraId="4C7810B7" w14:textId="77777777" w:rsidTr="008759D5">
        <w:tc>
          <w:tcPr>
            <w:tcW w:w="0" w:type="dxa"/>
          </w:tcPr>
          <w:p w14:paraId="4CE12138" w14:textId="658EF04E" w:rsidR="007E5F75" w:rsidRPr="004B520E" w:rsidRDefault="001A6065" w:rsidP="009C2861">
            <w:pPr>
              <w:pStyle w:val="TableText"/>
            </w:pPr>
            <w:r>
              <w:rPr>
                <w:rStyle w:val="Strong"/>
                <w:b w:val="0"/>
                <w:bCs w:val="0"/>
              </w:rPr>
              <w:t>h</w:t>
            </w:r>
            <w:r w:rsidR="007E5F75" w:rsidRPr="004B520E">
              <w:rPr>
                <w:rStyle w:val="Strong"/>
                <w:b w:val="0"/>
                <w:bCs w:val="0"/>
              </w:rPr>
              <w:t>ydrology</w:t>
            </w:r>
          </w:p>
        </w:tc>
        <w:tc>
          <w:tcPr>
            <w:tcW w:w="0" w:type="dxa"/>
          </w:tcPr>
          <w:p w14:paraId="73C44AD7" w14:textId="37A5CC02" w:rsidR="007E5F75" w:rsidRPr="004B520E" w:rsidRDefault="007811EA" w:rsidP="009C2861">
            <w:pPr>
              <w:pStyle w:val="TableText"/>
            </w:pPr>
            <w:r>
              <w:t>r</w:t>
            </w:r>
            <w:r w:rsidR="000E32E2" w:rsidRPr="004B520E">
              <w:t xml:space="preserve">iver flow </w:t>
            </w:r>
            <w:r w:rsidR="00132997" w:rsidRPr="004B520E">
              <w:t>(</w:t>
            </w:r>
            <w:r w:rsidR="007E5F75" w:rsidRPr="004B520E">
              <w:t>with and without Commonwealth environmental water</w:t>
            </w:r>
            <w:r w:rsidR="00132997" w:rsidRPr="004B520E">
              <w:t>)</w:t>
            </w:r>
          </w:p>
        </w:tc>
      </w:tr>
      <w:tr w:rsidR="00AD03EB" w:rsidRPr="004B520E" w14:paraId="0A654E0C"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61A4354E" w14:textId="084BD148" w:rsidR="00AD03EB" w:rsidRDefault="00AD03EB" w:rsidP="009C2861">
            <w:pPr>
              <w:pStyle w:val="TableText"/>
              <w:rPr>
                <w:rStyle w:val="Strong"/>
                <w:b w:val="0"/>
                <w:bCs w:val="0"/>
              </w:rPr>
            </w:pPr>
            <w:r w:rsidRPr="00302A5F">
              <w:rPr>
                <w:rStyle w:val="Strong"/>
                <w:b w:val="0"/>
                <w:bCs w:val="0"/>
              </w:rPr>
              <w:t>hypoxic</w:t>
            </w:r>
          </w:p>
        </w:tc>
        <w:tc>
          <w:tcPr>
            <w:tcW w:w="7085" w:type="dxa"/>
          </w:tcPr>
          <w:p w14:paraId="739DDE47" w14:textId="3C64EAD6" w:rsidR="00AD03EB" w:rsidRDefault="00903404" w:rsidP="009C2861">
            <w:pPr>
              <w:pStyle w:val="TableText"/>
            </w:pPr>
            <w:r>
              <w:t>describing water that has a low oxygen concentration</w:t>
            </w:r>
          </w:p>
        </w:tc>
      </w:tr>
      <w:tr w:rsidR="00802AB2" w:rsidRPr="004B520E" w14:paraId="70851AED" w14:textId="77777777" w:rsidTr="008759D5">
        <w:tc>
          <w:tcPr>
            <w:tcW w:w="0" w:type="dxa"/>
          </w:tcPr>
          <w:p w14:paraId="0545C916" w14:textId="7B580E36" w:rsidR="00802AB2" w:rsidRPr="004B520E" w:rsidDel="001A6065" w:rsidRDefault="00802AB2" w:rsidP="009C2861">
            <w:pPr>
              <w:pStyle w:val="TableText"/>
              <w:rPr>
                <w:rStyle w:val="Strong"/>
                <w:b w:val="0"/>
                <w:bCs w:val="0"/>
              </w:rPr>
            </w:pPr>
            <w:r>
              <w:rPr>
                <w:rStyle w:val="Strong"/>
                <w:b w:val="0"/>
                <w:bCs w:val="0"/>
              </w:rPr>
              <w:t>J</w:t>
            </w:r>
            <w:r w:rsidRPr="000B73AA">
              <w:rPr>
                <w:rStyle w:val="Strong"/>
                <w:b w:val="0"/>
                <w:bCs w:val="0"/>
              </w:rPr>
              <w:t>AMBA</w:t>
            </w:r>
          </w:p>
        </w:tc>
        <w:tc>
          <w:tcPr>
            <w:tcW w:w="0" w:type="dxa"/>
          </w:tcPr>
          <w:p w14:paraId="61400823" w14:textId="05B47B40" w:rsidR="00802AB2" w:rsidRDefault="00802AB2" w:rsidP="009C2861">
            <w:pPr>
              <w:pStyle w:val="TableText"/>
            </w:pPr>
            <w:r>
              <w:t>Japan–Australia Migratory Bird Agreement</w:t>
            </w:r>
          </w:p>
        </w:tc>
      </w:tr>
      <w:tr w:rsidR="00344BF4" w:rsidRPr="004B520E" w14:paraId="26C791D1" w14:textId="77777777" w:rsidTr="005821CB">
        <w:trPr>
          <w:cnfStyle w:val="000000100000" w:firstRow="0" w:lastRow="0" w:firstColumn="0" w:lastColumn="0" w:oddVBand="0" w:evenVBand="0" w:oddHBand="1" w:evenHBand="0" w:firstRowFirstColumn="0" w:firstRowLastColumn="0" w:lastRowFirstColumn="0" w:lastRowLastColumn="0"/>
        </w:trPr>
        <w:tc>
          <w:tcPr>
            <w:tcW w:w="0" w:type="dxa"/>
          </w:tcPr>
          <w:p w14:paraId="0858195D" w14:textId="4E123776" w:rsidR="00344BF4" w:rsidRPr="00344BF4" w:rsidRDefault="00344BF4" w:rsidP="009C2861">
            <w:pPr>
              <w:pStyle w:val="TableText"/>
              <w:rPr>
                <w:rStyle w:val="Strong"/>
                <w:b w:val="0"/>
                <w:bCs w:val="0"/>
              </w:rPr>
            </w:pPr>
            <w:r>
              <w:rPr>
                <w:rStyle w:val="Strong"/>
                <w:b w:val="0"/>
                <w:bCs w:val="0"/>
              </w:rPr>
              <w:t>l</w:t>
            </w:r>
            <w:r w:rsidRPr="005821CB">
              <w:rPr>
                <w:rStyle w:val="Strong"/>
                <w:b w:val="0"/>
                <w:bCs w:val="0"/>
              </w:rPr>
              <w:t>ateral connectivity</w:t>
            </w:r>
          </w:p>
        </w:tc>
        <w:tc>
          <w:tcPr>
            <w:tcW w:w="0" w:type="dxa"/>
          </w:tcPr>
          <w:p w14:paraId="36D1B989" w14:textId="49A806AC" w:rsidR="00344BF4" w:rsidRDefault="00862D60" w:rsidP="009C2861">
            <w:pPr>
              <w:pStyle w:val="TableText"/>
            </w:pPr>
            <w:r w:rsidRPr="00862D60">
              <w:t>the movement of water between the channel and floodplain, including inundation of floodplain wetlands through overbank flows</w:t>
            </w:r>
          </w:p>
        </w:tc>
      </w:tr>
      <w:tr w:rsidR="00DB723F" w:rsidRPr="004B520E" w14:paraId="2BDBC89E" w14:textId="77777777" w:rsidTr="008759D5">
        <w:tc>
          <w:tcPr>
            <w:tcW w:w="0" w:type="dxa"/>
          </w:tcPr>
          <w:p w14:paraId="2EAE81FA" w14:textId="64EAF60E" w:rsidR="00DB723F" w:rsidRPr="00DB723F" w:rsidRDefault="00DB723F" w:rsidP="009C2861">
            <w:pPr>
              <w:pStyle w:val="TableText"/>
              <w:rPr>
                <w:rStyle w:val="Strong"/>
                <w:b w:val="0"/>
                <w:bCs w:val="0"/>
              </w:rPr>
            </w:pPr>
            <w:r w:rsidRPr="00DB723F">
              <w:rPr>
                <w:rStyle w:val="Strong"/>
                <w:b w:val="0"/>
                <w:bCs w:val="0"/>
              </w:rPr>
              <w:lastRenderedPageBreak/>
              <w:t>l</w:t>
            </w:r>
            <w:r w:rsidRPr="005821CB">
              <w:rPr>
                <w:rStyle w:val="Strong"/>
                <w:b w:val="0"/>
                <w:bCs w:val="0"/>
              </w:rPr>
              <w:t>ongitudinal connectivity</w:t>
            </w:r>
          </w:p>
        </w:tc>
        <w:tc>
          <w:tcPr>
            <w:tcW w:w="0" w:type="dxa"/>
          </w:tcPr>
          <w:p w14:paraId="77BD1501" w14:textId="7A8F4FC2" w:rsidR="00DB723F" w:rsidRPr="00862D60" w:rsidRDefault="008537F4" w:rsidP="009C2861">
            <w:pPr>
              <w:pStyle w:val="TableText"/>
            </w:pPr>
            <w:r>
              <w:t xml:space="preserve">the </w:t>
            </w:r>
            <w:r w:rsidR="00D216B3">
              <w:t>continuous pathways alon</w:t>
            </w:r>
            <w:r w:rsidR="009C043F">
              <w:t>g the length of a river, allowing the movement of water, organisms, energy and matter from upstream to downstream</w:t>
            </w:r>
          </w:p>
        </w:tc>
      </w:tr>
      <w:tr w:rsidR="000D007D" w:rsidRPr="004B520E" w14:paraId="5B1FA432"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3FC2B5FC" w14:textId="6E90433D" w:rsidR="00E062C7" w:rsidRPr="004B520E" w:rsidRDefault="001A6065" w:rsidP="009C2861">
            <w:pPr>
              <w:pStyle w:val="TableText"/>
            </w:pPr>
            <w:r>
              <w:t>m</w:t>
            </w:r>
            <w:r w:rsidR="00E062C7" w:rsidRPr="004B520E">
              <w:t>anaged floodplain</w:t>
            </w:r>
          </w:p>
        </w:tc>
        <w:tc>
          <w:tcPr>
            <w:tcW w:w="7085" w:type="dxa"/>
          </w:tcPr>
          <w:p w14:paraId="2BCC63DB" w14:textId="2F70652F" w:rsidR="00E062C7" w:rsidRPr="004B520E" w:rsidRDefault="007811EA" w:rsidP="009C2861">
            <w:pPr>
              <w:pStyle w:val="TableText"/>
            </w:pPr>
            <w:r>
              <w:t>t</w:t>
            </w:r>
            <w:r w:rsidR="00E062C7" w:rsidRPr="004B520E">
              <w:t xml:space="preserve">he area of the Basin where watering with </w:t>
            </w:r>
            <w:r w:rsidR="00605206" w:rsidRPr="004B520E">
              <w:t>Commonwealth environmental water</w:t>
            </w:r>
            <w:r w:rsidR="00E062C7" w:rsidRPr="004B520E">
              <w:t xml:space="preserve"> is possible</w:t>
            </w:r>
          </w:p>
        </w:tc>
      </w:tr>
      <w:tr w:rsidR="00DB723F" w:rsidRPr="004B520E" w14:paraId="05188E11" w14:textId="77777777" w:rsidTr="008759D5">
        <w:tc>
          <w:tcPr>
            <w:tcW w:w="0" w:type="dxa"/>
          </w:tcPr>
          <w:p w14:paraId="482A5A74" w14:textId="7D3DD8E1" w:rsidR="00AC077D" w:rsidRPr="004B520E" w:rsidRDefault="00AC077D" w:rsidP="009C2861">
            <w:pPr>
              <w:pStyle w:val="TableText"/>
            </w:pPr>
            <w:r w:rsidRPr="004B520E">
              <w:t>NSW DCCEEW</w:t>
            </w:r>
          </w:p>
        </w:tc>
        <w:tc>
          <w:tcPr>
            <w:tcW w:w="0" w:type="dxa"/>
          </w:tcPr>
          <w:p w14:paraId="1BDCEA63" w14:textId="1FABF966" w:rsidR="00AC077D" w:rsidRPr="004B520E" w:rsidRDefault="00AC077D" w:rsidP="009C2861">
            <w:pPr>
              <w:pStyle w:val="TableText"/>
            </w:pPr>
            <w:r w:rsidRPr="004B520E">
              <w:t>New South Wales Department of Climate Change, Energy, the Environment and Water</w:t>
            </w:r>
          </w:p>
        </w:tc>
      </w:tr>
      <w:tr w:rsidR="00CC685D" w:rsidRPr="004B520E" w14:paraId="46E26BE9"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24306357" w14:textId="57CF8FA2" w:rsidR="00CC685D" w:rsidRPr="00CC685D" w:rsidRDefault="00CC685D" w:rsidP="009C2861">
            <w:pPr>
              <w:pStyle w:val="TableText"/>
              <w:rPr>
                <w:rStyle w:val="Strong"/>
                <w:b w:val="0"/>
                <w:bCs w:val="0"/>
              </w:rPr>
            </w:pPr>
            <w:r>
              <w:rPr>
                <w:rStyle w:val="Strong"/>
                <w:b w:val="0"/>
                <w:bCs w:val="0"/>
              </w:rPr>
              <w:t>o</w:t>
            </w:r>
            <w:r w:rsidRPr="005821CB">
              <w:rPr>
                <w:rStyle w:val="Strong"/>
                <w:b w:val="0"/>
                <w:bCs w:val="0"/>
              </w:rPr>
              <w:t>verbank flow</w:t>
            </w:r>
          </w:p>
        </w:tc>
        <w:tc>
          <w:tcPr>
            <w:tcW w:w="7085" w:type="dxa"/>
          </w:tcPr>
          <w:p w14:paraId="6F5FBCFF" w14:textId="000C9518" w:rsidR="00CC685D" w:rsidRDefault="00A23249" w:rsidP="009C2861">
            <w:pPr>
              <w:pStyle w:val="TableText"/>
            </w:pPr>
            <w:r>
              <w:t>a substantial flow event that spills onto the floodplain</w:t>
            </w:r>
          </w:p>
        </w:tc>
      </w:tr>
      <w:tr w:rsidR="000D007D" w:rsidRPr="004B520E" w14:paraId="5C87EC92" w14:textId="77777777" w:rsidTr="008759D5">
        <w:tc>
          <w:tcPr>
            <w:tcW w:w="0" w:type="dxa"/>
          </w:tcPr>
          <w:p w14:paraId="61305F05" w14:textId="05E696D1" w:rsidR="00ED5047" w:rsidRPr="004B520E" w:rsidRDefault="001A6065" w:rsidP="009C2861">
            <w:pPr>
              <w:pStyle w:val="TableText"/>
              <w:rPr>
                <w:rStyle w:val="Strong"/>
                <w:b w:val="0"/>
                <w:bCs w:val="0"/>
                <w:smallCaps/>
              </w:rPr>
            </w:pPr>
            <w:r>
              <w:rPr>
                <w:rStyle w:val="Strong"/>
                <w:b w:val="0"/>
                <w:bCs w:val="0"/>
              </w:rPr>
              <w:t>p</w:t>
            </w:r>
            <w:r w:rsidR="00ED5047" w:rsidRPr="004B520E">
              <w:rPr>
                <w:rStyle w:val="Strong"/>
                <w:b w:val="0"/>
                <w:bCs w:val="0"/>
              </w:rPr>
              <w:t>alustrine</w:t>
            </w:r>
            <w:r w:rsidR="000D007D" w:rsidRPr="004B520E">
              <w:rPr>
                <w:rStyle w:val="Strong"/>
                <w:b w:val="0"/>
                <w:bCs w:val="0"/>
              </w:rPr>
              <w:t xml:space="preserve"> wetlands</w:t>
            </w:r>
          </w:p>
        </w:tc>
        <w:tc>
          <w:tcPr>
            <w:tcW w:w="0" w:type="dxa"/>
          </w:tcPr>
          <w:p w14:paraId="17BA2E1E" w14:textId="7A348220" w:rsidR="00ED5047" w:rsidRPr="004B520E" w:rsidRDefault="00D62B4B" w:rsidP="009C2861">
            <w:pPr>
              <w:pStyle w:val="TableText"/>
              <w:rPr>
                <w:rStyle w:val="Strong"/>
                <w:b w:val="0"/>
                <w:bCs w:val="0"/>
                <w:smallCaps/>
              </w:rPr>
            </w:pPr>
            <w:r>
              <w:t>s</w:t>
            </w:r>
            <w:r w:rsidR="000D007D" w:rsidRPr="004B520E">
              <w:t>hallow wetlands with a predominance of emergent vegetation (reeds, sedges, shrubs</w:t>
            </w:r>
            <w:r w:rsidR="00950BD8" w:rsidRPr="004B520E">
              <w:t>,</w:t>
            </w:r>
            <w:r w:rsidR="000D007D" w:rsidRPr="004B520E">
              <w:t xml:space="preserve"> trees)</w:t>
            </w:r>
          </w:p>
        </w:tc>
      </w:tr>
      <w:tr w:rsidR="00AF7E35" w:rsidRPr="004B520E" w14:paraId="0639845C" w14:textId="77777777" w:rsidTr="005821CB">
        <w:trPr>
          <w:cnfStyle w:val="000000100000" w:firstRow="0" w:lastRow="0" w:firstColumn="0" w:lastColumn="0" w:oddVBand="0" w:evenVBand="0" w:oddHBand="1" w:evenHBand="0" w:firstRowFirstColumn="0" w:firstRowLastColumn="0" w:lastRowFirstColumn="0" w:lastRowLastColumn="0"/>
        </w:trPr>
        <w:tc>
          <w:tcPr>
            <w:tcW w:w="0" w:type="dxa"/>
          </w:tcPr>
          <w:p w14:paraId="2EA2F60A" w14:textId="621FBD63" w:rsidR="00AF7E35" w:rsidRPr="00AF7E35" w:rsidRDefault="00AF7E35" w:rsidP="009C2861">
            <w:pPr>
              <w:pStyle w:val="TableText"/>
              <w:rPr>
                <w:rStyle w:val="Strong"/>
                <w:b w:val="0"/>
                <w:bCs w:val="0"/>
              </w:rPr>
            </w:pPr>
            <w:r w:rsidRPr="00AF7E35">
              <w:rPr>
                <w:rStyle w:val="Strong"/>
                <w:b w:val="0"/>
                <w:bCs w:val="0"/>
              </w:rPr>
              <w:t>p</w:t>
            </w:r>
            <w:r w:rsidRPr="005821CB">
              <w:rPr>
                <w:rStyle w:val="Strong"/>
                <w:b w:val="0"/>
                <w:bCs w:val="0"/>
              </w:rPr>
              <w:t>hotic zone</w:t>
            </w:r>
          </w:p>
        </w:tc>
        <w:tc>
          <w:tcPr>
            <w:tcW w:w="0" w:type="dxa"/>
          </w:tcPr>
          <w:p w14:paraId="3CC5AAE2" w14:textId="11328905" w:rsidR="00AF7E35" w:rsidRDefault="00D53E20" w:rsidP="009C2861">
            <w:pPr>
              <w:pStyle w:val="TableText"/>
            </w:pPr>
            <w:r>
              <w:t>the uppermost layer of a body of water that receives sunlight, allowing phytoplankton to photosynthesise</w:t>
            </w:r>
          </w:p>
        </w:tc>
      </w:tr>
      <w:tr w:rsidR="00C57092" w:rsidRPr="004B520E" w14:paraId="56B4E199" w14:textId="77777777" w:rsidTr="008759D5">
        <w:tc>
          <w:tcPr>
            <w:tcW w:w="0" w:type="dxa"/>
          </w:tcPr>
          <w:p w14:paraId="75A50DB5" w14:textId="4B70FA4A" w:rsidR="007E5F75" w:rsidRPr="004B520E" w:rsidRDefault="001A6065" w:rsidP="009C2861">
            <w:pPr>
              <w:pStyle w:val="TableText"/>
              <w:rPr>
                <w:rStyle w:val="Strong"/>
                <w:b w:val="0"/>
                <w:bCs w:val="0"/>
                <w:smallCaps/>
              </w:rPr>
            </w:pPr>
            <w:r>
              <w:rPr>
                <w:rStyle w:val="Strong"/>
                <w:b w:val="0"/>
                <w:bCs w:val="0"/>
              </w:rPr>
              <w:t>r</w:t>
            </w:r>
            <w:r w:rsidR="007E5F75" w:rsidRPr="004B520E">
              <w:rPr>
                <w:rStyle w:val="Strong"/>
                <w:b w:val="0"/>
                <w:bCs w:val="0"/>
              </w:rPr>
              <w:t>ecruitment</w:t>
            </w:r>
          </w:p>
        </w:tc>
        <w:tc>
          <w:tcPr>
            <w:tcW w:w="0" w:type="dxa"/>
          </w:tcPr>
          <w:p w14:paraId="580BC5EC" w14:textId="483EBBAE" w:rsidR="007E5F75" w:rsidRPr="004B520E" w:rsidRDefault="00D62B4B" w:rsidP="009C2861">
            <w:pPr>
              <w:pStyle w:val="TableText"/>
            </w:pPr>
            <w:r>
              <w:rPr>
                <w:rStyle w:val="Strong"/>
                <w:b w:val="0"/>
                <w:bCs w:val="0"/>
              </w:rPr>
              <w:t>d</w:t>
            </w:r>
            <w:r w:rsidR="007E5F75" w:rsidRPr="004B520E">
              <w:rPr>
                <w:rStyle w:val="Strong"/>
                <w:b w:val="0"/>
                <w:bCs w:val="0"/>
              </w:rPr>
              <w:t>escribes the movement of an individual from one life</w:t>
            </w:r>
            <w:r w:rsidR="00950BD8" w:rsidRPr="004B520E">
              <w:rPr>
                <w:rStyle w:val="Strong"/>
                <w:b w:val="0"/>
                <w:bCs w:val="0"/>
              </w:rPr>
              <w:t>-</w:t>
            </w:r>
            <w:r w:rsidR="007E5F75" w:rsidRPr="004B520E">
              <w:rPr>
                <w:rStyle w:val="Strong"/>
                <w:b w:val="0"/>
                <w:bCs w:val="0"/>
              </w:rPr>
              <w:t xml:space="preserve">history stage to another </w:t>
            </w:r>
            <w:r w:rsidR="00950BD8" w:rsidRPr="004B520E">
              <w:rPr>
                <w:rStyle w:val="Strong"/>
                <w:b w:val="0"/>
                <w:bCs w:val="0"/>
              </w:rPr>
              <w:t>(</w:t>
            </w:r>
            <w:r w:rsidR="007E5F75" w:rsidRPr="004B520E">
              <w:rPr>
                <w:rStyle w:val="Strong"/>
                <w:b w:val="0"/>
                <w:bCs w:val="0"/>
              </w:rPr>
              <w:t>e.g. from larvae to juvenile or from sub</w:t>
            </w:r>
            <w:r w:rsidR="00014FB8" w:rsidRPr="004B520E">
              <w:rPr>
                <w:rStyle w:val="Strong"/>
                <w:b w:val="0"/>
                <w:bCs w:val="0"/>
              </w:rPr>
              <w:t>-</w:t>
            </w:r>
            <w:r w:rsidR="007E5F75" w:rsidRPr="004B520E">
              <w:rPr>
                <w:rStyle w:val="Strong"/>
                <w:b w:val="0"/>
                <w:bCs w:val="0"/>
              </w:rPr>
              <w:t>adult to adult</w:t>
            </w:r>
            <w:r w:rsidR="00950BD8" w:rsidRPr="004B520E">
              <w:rPr>
                <w:rStyle w:val="Strong"/>
                <w:b w:val="0"/>
                <w:bCs w:val="0"/>
              </w:rPr>
              <w:t>)</w:t>
            </w:r>
          </w:p>
        </w:tc>
      </w:tr>
      <w:tr w:rsidR="000D007D" w:rsidRPr="004B520E" w14:paraId="4721A245"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743F95E0" w14:textId="29B2D10A" w:rsidR="007E5F75" w:rsidRPr="004B520E" w:rsidRDefault="001A6065" w:rsidP="009C2861">
            <w:pPr>
              <w:pStyle w:val="TableText"/>
              <w:rPr>
                <w:rStyle w:val="Strong"/>
                <w:b w:val="0"/>
                <w:bCs w:val="0"/>
                <w:smallCaps/>
              </w:rPr>
            </w:pPr>
            <w:r>
              <w:rPr>
                <w:rStyle w:val="Strong"/>
                <w:b w:val="0"/>
                <w:bCs w:val="0"/>
              </w:rPr>
              <w:t>r</w:t>
            </w:r>
            <w:r w:rsidR="007E5F75" w:rsidRPr="004B520E">
              <w:rPr>
                <w:rStyle w:val="Strong"/>
                <w:b w:val="0"/>
                <w:bCs w:val="0"/>
              </w:rPr>
              <w:t>efugia</w:t>
            </w:r>
          </w:p>
        </w:tc>
        <w:tc>
          <w:tcPr>
            <w:tcW w:w="7085" w:type="dxa"/>
          </w:tcPr>
          <w:p w14:paraId="4665B6C6" w14:textId="4C0A2368" w:rsidR="007E5F75" w:rsidRPr="004B520E" w:rsidRDefault="00D62B4B" w:rsidP="009C2861">
            <w:pPr>
              <w:pStyle w:val="TableText"/>
            </w:pPr>
            <w:r>
              <w:rPr>
                <w:rStyle w:val="Strong"/>
                <w:b w:val="0"/>
                <w:bCs w:val="0"/>
              </w:rPr>
              <w:t>a</w:t>
            </w:r>
            <w:r w:rsidR="007E5F75" w:rsidRPr="004B520E">
              <w:rPr>
                <w:rStyle w:val="Strong"/>
                <w:b w:val="0"/>
                <w:bCs w:val="0"/>
              </w:rPr>
              <w:t>rea</w:t>
            </w:r>
            <w:r w:rsidR="00E062C7" w:rsidRPr="004B520E">
              <w:rPr>
                <w:rStyle w:val="Strong"/>
                <w:b w:val="0"/>
                <w:bCs w:val="0"/>
              </w:rPr>
              <w:t>s</w:t>
            </w:r>
            <w:r w:rsidR="007E5F75" w:rsidRPr="004B520E">
              <w:rPr>
                <w:rStyle w:val="Strong"/>
                <w:b w:val="0"/>
                <w:bCs w:val="0"/>
              </w:rPr>
              <w:t xml:space="preserve"> of habitat where a species or group of species can be sheltered from the effects of stressful conditions. These refugia may be short term or may have persisted for millennia</w:t>
            </w:r>
          </w:p>
        </w:tc>
      </w:tr>
      <w:tr w:rsidR="00C57092" w:rsidRPr="004B520E" w14:paraId="77301277" w14:textId="77777777" w:rsidTr="008759D5">
        <w:tc>
          <w:tcPr>
            <w:tcW w:w="0" w:type="dxa"/>
          </w:tcPr>
          <w:p w14:paraId="705B10D2" w14:textId="3BFD1E27" w:rsidR="007E5F75" w:rsidRPr="004B520E" w:rsidRDefault="001A6065" w:rsidP="009C2861">
            <w:pPr>
              <w:pStyle w:val="TableText"/>
            </w:pPr>
            <w:r>
              <w:t>r</w:t>
            </w:r>
            <w:r w:rsidR="007E5F75" w:rsidRPr="004B520E">
              <w:t>emote sensing</w:t>
            </w:r>
          </w:p>
        </w:tc>
        <w:tc>
          <w:tcPr>
            <w:tcW w:w="0" w:type="dxa"/>
          </w:tcPr>
          <w:p w14:paraId="70A14DBC" w14:textId="787AA20B" w:rsidR="007E5F75" w:rsidRPr="004B520E" w:rsidRDefault="00D62B4B" w:rsidP="009C2861">
            <w:pPr>
              <w:pStyle w:val="TableText"/>
            </w:pPr>
            <w:r>
              <w:t>t</w:t>
            </w:r>
            <w:r w:rsidR="007E5F75" w:rsidRPr="004B520E">
              <w:t>he process of collecting data at a distance via satellite or aerial imagery from drones or other aircraft</w:t>
            </w:r>
          </w:p>
        </w:tc>
      </w:tr>
      <w:tr w:rsidR="000D007D" w:rsidRPr="004B520E" w14:paraId="587BAD5C"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0A415219" w14:textId="13A78512" w:rsidR="007E5F75" w:rsidRPr="004B520E" w:rsidRDefault="001A6065" w:rsidP="009C2861">
            <w:pPr>
              <w:pStyle w:val="TableText"/>
            </w:pPr>
            <w:r>
              <w:t>r</w:t>
            </w:r>
            <w:r w:rsidR="007E5F75" w:rsidRPr="004B520E">
              <w:t>esilience</w:t>
            </w:r>
          </w:p>
        </w:tc>
        <w:tc>
          <w:tcPr>
            <w:tcW w:w="7085" w:type="dxa"/>
          </w:tcPr>
          <w:p w14:paraId="06F74E18" w14:textId="1CA8CDCC" w:rsidR="007E5F75" w:rsidRPr="004B520E" w:rsidRDefault="00D62B4B" w:rsidP="009C2861">
            <w:pPr>
              <w:pStyle w:val="TableText"/>
            </w:pPr>
            <w:r>
              <w:t>a</w:t>
            </w:r>
            <w:r w:rsidR="007E5F75" w:rsidRPr="004B520E">
              <w:t>n ecosystem</w:t>
            </w:r>
            <w:r w:rsidR="004D21B0" w:rsidRPr="004B520E">
              <w:t>’</w:t>
            </w:r>
            <w:r w:rsidR="007E5F75" w:rsidRPr="004B520E">
              <w:t>s capa</w:t>
            </w:r>
            <w:r w:rsidR="00026A5C" w:rsidRPr="004B520E">
              <w:t>c</w:t>
            </w:r>
            <w:r w:rsidR="007E5F75" w:rsidRPr="004B520E">
              <w:t xml:space="preserve">ity </w:t>
            </w:r>
            <w:r w:rsidR="003D0B48" w:rsidRPr="004B520E">
              <w:t>to</w:t>
            </w:r>
            <w:r w:rsidR="007E5F75" w:rsidRPr="004B520E">
              <w:t xml:space="preserve"> tolerat</w:t>
            </w:r>
            <w:r w:rsidR="003D0B48" w:rsidRPr="004B520E">
              <w:t>e</w:t>
            </w:r>
            <w:r w:rsidR="007E5F75" w:rsidRPr="004B520E">
              <w:t xml:space="preserve"> disturbance (resistance) and restor</w:t>
            </w:r>
            <w:r w:rsidR="00026A5C" w:rsidRPr="004B520E">
              <w:t>e</w:t>
            </w:r>
            <w:r w:rsidR="007E5F75" w:rsidRPr="004B520E">
              <w:t xml:space="preserve"> itself (recovery)</w:t>
            </w:r>
          </w:p>
        </w:tc>
      </w:tr>
      <w:tr w:rsidR="00C57092" w:rsidRPr="004B520E" w14:paraId="0205A8DA" w14:textId="77777777" w:rsidTr="008759D5">
        <w:tc>
          <w:tcPr>
            <w:tcW w:w="0" w:type="dxa"/>
          </w:tcPr>
          <w:p w14:paraId="1073FF96" w14:textId="14102782" w:rsidR="00802AB2" w:rsidRDefault="00802AB2" w:rsidP="009C2861">
            <w:pPr>
              <w:pStyle w:val="TableText"/>
            </w:pPr>
            <w:r>
              <w:t>ROKAMBA</w:t>
            </w:r>
          </w:p>
        </w:tc>
        <w:tc>
          <w:tcPr>
            <w:tcW w:w="0" w:type="dxa"/>
          </w:tcPr>
          <w:p w14:paraId="4D20E533" w14:textId="3319D102" w:rsidR="00802AB2" w:rsidRDefault="000474FC" w:rsidP="009C2861">
            <w:pPr>
              <w:pStyle w:val="TableText"/>
            </w:pPr>
            <w:r>
              <w:t>Republic of Korea–Australia Migratory Bird Agreement</w:t>
            </w:r>
          </w:p>
        </w:tc>
      </w:tr>
      <w:tr w:rsidR="000D007D" w:rsidRPr="004B520E" w14:paraId="19EF24CB"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1BB67692" w14:textId="12EBBED0" w:rsidR="007E5F75" w:rsidRPr="004B520E" w:rsidRDefault="001A6065" w:rsidP="009C2861">
            <w:pPr>
              <w:pStyle w:val="TableText"/>
              <w:rPr>
                <w:rStyle w:val="Strong"/>
                <w:b w:val="0"/>
                <w:bCs w:val="0"/>
                <w:smallCaps/>
              </w:rPr>
            </w:pPr>
            <w:r>
              <w:rPr>
                <w:rStyle w:val="Strong"/>
                <w:b w:val="0"/>
                <w:bCs w:val="0"/>
              </w:rPr>
              <w:t>s</w:t>
            </w:r>
            <w:r w:rsidR="007E5F75" w:rsidRPr="004B520E">
              <w:rPr>
                <w:rStyle w:val="Strong"/>
                <w:b w:val="0"/>
                <w:bCs w:val="0"/>
              </w:rPr>
              <w:t xml:space="preserve">caling </w:t>
            </w:r>
          </w:p>
        </w:tc>
        <w:tc>
          <w:tcPr>
            <w:tcW w:w="7085" w:type="dxa"/>
          </w:tcPr>
          <w:p w14:paraId="41EF71D7" w14:textId="7903F1C6" w:rsidR="007E5F75" w:rsidRPr="004B520E" w:rsidRDefault="00D62B4B" w:rsidP="009C2861">
            <w:pPr>
              <w:pStyle w:val="TableText"/>
            </w:pPr>
            <w:r>
              <w:rPr>
                <w:rStyle w:val="Strong"/>
                <w:b w:val="0"/>
                <w:bCs w:val="0"/>
              </w:rPr>
              <w:t>i</w:t>
            </w:r>
            <w:r w:rsidR="007E5F75" w:rsidRPr="004B520E">
              <w:rPr>
                <w:rStyle w:val="Strong"/>
                <w:b w:val="0"/>
                <w:bCs w:val="0"/>
              </w:rPr>
              <w:t>n an ecological context</w:t>
            </w:r>
            <w:r w:rsidR="00026A5C" w:rsidRPr="004B520E">
              <w:rPr>
                <w:rStyle w:val="Strong"/>
                <w:b w:val="0"/>
                <w:bCs w:val="0"/>
              </w:rPr>
              <w:t>,</w:t>
            </w:r>
            <w:r w:rsidR="007E5F75" w:rsidRPr="004B520E">
              <w:rPr>
                <w:rStyle w:val="Strong"/>
                <w:b w:val="0"/>
                <w:bCs w:val="0"/>
              </w:rPr>
              <w:t xml:space="preserve"> scaling represents the ability to predict </w:t>
            </w:r>
            <w:r w:rsidR="009C407C" w:rsidRPr="004B520E">
              <w:rPr>
                <w:rStyle w:val="Strong"/>
                <w:b w:val="0"/>
                <w:bCs w:val="0"/>
              </w:rPr>
              <w:t>fut</w:t>
            </w:r>
            <w:r w:rsidR="006B6611" w:rsidRPr="004B520E">
              <w:rPr>
                <w:rStyle w:val="Strong"/>
                <w:b w:val="0"/>
                <w:bCs w:val="0"/>
              </w:rPr>
              <w:t>u</w:t>
            </w:r>
            <w:r w:rsidR="009C407C" w:rsidRPr="004B520E">
              <w:rPr>
                <w:rStyle w:val="Strong"/>
                <w:b w:val="0"/>
                <w:bCs w:val="0"/>
              </w:rPr>
              <w:t xml:space="preserve">re </w:t>
            </w:r>
            <w:r w:rsidR="007E5F75" w:rsidRPr="004B520E">
              <w:rPr>
                <w:rStyle w:val="Strong"/>
                <w:b w:val="0"/>
                <w:bCs w:val="0"/>
              </w:rPr>
              <w:t xml:space="preserve">ecological </w:t>
            </w:r>
            <w:r w:rsidR="00BE017D" w:rsidRPr="004B520E">
              <w:rPr>
                <w:rStyle w:val="Strong"/>
                <w:b w:val="0"/>
                <w:bCs w:val="0"/>
              </w:rPr>
              <w:t xml:space="preserve">response </w:t>
            </w:r>
            <w:r w:rsidR="007E5F75" w:rsidRPr="004B520E">
              <w:rPr>
                <w:rStyle w:val="Strong"/>
                <w:b w:val="0"/>
                <w:bCs w:val="0"/>
              </w:rPr>
              <w:t>(temporal scaling) at unmonitored locations (extrapolating) or over larger areas than sampled (scaling up)</w:t>
            </w:r>
          </w:p>
        </w:tc>
      </w:tr>
      <w:tr w:rsidR="00C57092" w:rsidRPr="004B520E" w14:paraId="02BC5626" w14:textId="77777777" w:rsidTr="008759D5">
        <w:tc>
          <w:tcPr>
            <w:tcW w:w="0" w:type="dxa"/>
          </w:tcPr>
          <w:p w14:paraId="06633181" w14:textId="275F2C52" w:rsidR="007E5F75" w:rsidRPr="004B520E" w:rsidRDefault="001A6065" w:rsidP="009C2861">
            <w:pPr>
              <w:pStyle w:val="TableText"/>
            </w:pPr>
            <w:r>
              <w:rPr>
                <w:rStyle w:val="Strong"/>
                <w:b w:val="0"/>
                <w:bCs w:val="0"/>
              </w:rPr>
              <w:t>s</w:t>
            </w:r>
            <w:r w:rsidR="007E5F75" w:rsidRPr="004B520E">
              <w:rPr>
                <w:rStyle w:val="Strong"/>
                <w:b w:val="0"/>
                <w:bCs w:val="0"/>
              </w:rPr>
              <w:t xml:space="preserve">pecies </w:t>
            </w:r>
            <w:r w:rsidR="00F321AA" w:rsidRPr="004B520E">
              <w:rPr>
                <w:rStyle w:val="Strong"/>
                <w:b w:val="0"/>
                <w:bCs w:val="0"/>
              </w:rPr>
              <w:t>d</w:t>
            </w:r>
            <w:r w:rsidR="007E5F75" w:rsidRPr="004B520E">
              <w:rPr>
                <w:rStyle w:val="Strong"/>
                <w:b w:val="0"/>
                <w:bCs w:val="0"/>
              </w:rPr>
              <w:t>iversity</w:t>
            </w:r>
          </w:p>
        </w:tc>
        <w:tc>
          <w:tcPr>
            <w:tcW w:w="0" w:type="dxa"/>
          </w:tcPr>
          <w:p w14:paraId="266EC65B" w14:textId="09341524" w:rsidR="007E5F75" w:rsidRPr="004B520E" w:rsidRDefault="00D62B4B" w:rsidP="009C2861">
            <w:pPr>
              <w:pStyle w:val="TableText"/>
            </w:pPr>
            <w:r>
              <w:t>t</w:t>
            </w:r>
            <w:r w:rsidR="007E5F75" w:rsidRPr="004B520E">
              <w:t>he number and relative abundance of species in a location. Sometimes referred to as biodiversity</w:t>
            </w:r>
          </w:p>
        </w:tc>
      </w:tr>
      <w:tr w:rsidR="000D007D" w:rsidRPr="004B520E" w14:paraId="78C4838B" w14:textId="77777777" w:rsidTr="005821CB">
        <w:trPr>
          <w:cnfStyle w:val="000000100000" w:firstRow="0" w:lastRow="0" w:firstColumn="0" w:lastColumn="0" w:oddVBand="0" w:evenVBand="0" w:oddHBand="1" w:evenHBand="0" w:firstRowFirstColumn="0" w:firstRowLastColumn="0" w:lastRowFirstColumn="0" w:lastRowLastColumn="0"/>
        </w:trPr>
        <w:tc>
          <w:tcPr>
            <w:tcW w:w="2439" w:type="dxa"/>
          </w:tcPr>
          <w:p w14:paraId="41906E14" w14:textId="77777777" w:rsidR="000D007D" w:rsidRPr="004B520E" w:rsidRDefault="000D007D">
            <w:pPr>
              <w:pStyle w:val="TableText"/>
            </w:pPr>
            <w:r w:rsidRPr="004B520E">
              <w:t>the Strategy</w:t>
            </w:r>
          </w:p>
        </w:tc>
        <w:tc>
          <w:tcPr>
            <w:tcW w:w="7085" w:type="dxa"/>
          </w:tcPr>
          <w:p w14:paraId="5CDBD699" w14:textId="2E1BC744" w:rsidR="000D007D" w:rsidRPr="004B520E" w:rsidRDefault="00D62B4B">
            <w:pPr>
              <w:pStyle w:val="TableText"/>
            </w:pPr>
            <w:r>
              <w:t>s</w:t>
            </w:r>
            <w:r w:rsidR="000D007D" w:rsidRPr="004B520E">
              <w:t>hort</w:t>
            </w:r>
            <w:r>
              <w:t>ened</w:t>
            </w:r>
            <w:r w:rsidR="000D007D" w:rsidRPr="004B520E">
              <w:t xml:space="preserve"> form for the </w:t>
            </w:r>
            <w:r w:rsidR="000D007D" w:rsidRPr="00FE6E12">
              <w:rPr>
                <w:rStyle w:val="Italics"/>
              </w:rPr>
              <w:t>Basin-wide environmental watering strategy</w:t>
            </w:r>
            <w:r w:rsidR="000D007D" w:rsidRPr="004B520E">
              <w:t xml:space="preserve"> (MDBA 2019)</w:t>
            </w:r>
          </w:p>
        </w:tc>
      </w:tr>
      <w:tr w:rsidR="00C57092" w:rsidRPr="004B520E" w14:paraId="695E50ED" w14:textId="77777777" w:rsidTr="008759D5">
        <w:tc>
          <w:tcPr>
            <w:tcW w:w="0" w:type="dxa"/>
          </w:tcPr>
          <w:p w14:paraId="0E418F0E" w14:textId="7AB85696" w:rsidR="007E5F75" w:rsidRPr="004B520E" w:rsidRDefault="001A6065" w:rsidP="009C2861">
            <w:pPr>
              <w:pStyle w:val="TableText"/>
            </w:pPr>
            <w:r>
              <w:t>s</w:t>
            </w:r>
            <w:r w:rsidR="007E5F75" w:rsidRPr="004B520E">
              <w:t xml:space="preserve">tream metabolism </w:t>
            </w:r>
          </w:p>
        </w:tc>
        <w:tc>
          <w:tcPr>
            <w:tcW w:w="0" w:type="dxa"/>
          </w:tcPr>
          <w:p w14:paraId="0419B5C1" w14:textId="0CDEC55C" w:rsidR="007E5F75" w:rsidRPr="004B520E" w:rsidRDefault="00D62B4B" w:rsidP="009C2861">
            <w:pPr>
              <w:pStyle w:val="TableText"/>
            </w:pPr>
            <w:r>
              <w:t>t</w:t>
            </w:r>
            <w:r w:rsidR="007E5F75" w:rsidRPr="004B520E">
              <w:t>he movement of energy into (via photosynthesis), through (by feeding links) and out of (via respiration) a food web</w:t>
            </w:r>
          </w:p>
        </w:tc>
      </w:tr>
      <w:tr w:rsidR="00642A29" w:rsidRPr="004B520E" w14:paraId="25A227B6" w14:textId="77777777" w:rsidTr="005821CB">
        <w:trPr>
          <w:cnfStyle w:val="000000100000" w:firstRow="0" w:lastRow="0" w:firstColumn="0" w:lastColumn="0" w:oddVBand="0" w:evenVBand="0" w:oddHBand="1" w:evenHBand="0" w:firstRowFirstColumn="0" w:firstRowLastColumn="0" w:lastRowFirstColumn="0" w:lastRowLastColumn="0"/>
        </w:trPr>
        <w:tc>
          <w:tcPr>
            <w:tcW w:w="0" w:type="dxa"/>
          </w:tcPr>
          <w:p w14:paraId="14357641" w14:textId="58B5B5B9" w:rsidR="00642A29" w:rsidRDefault="00642A29" w:rsidP="009C2861">
            <w:pPr>
              <w:pStyle w:val="TableText"/>
            </w:pPr>
            <w:r>
              <w:t>trophic level</w:t>
            </w:r>
          </w:p>
        </w:tc>
        <w:tc>
          <w:tcPr>
            <w:tcW w:w="0" w:type="dxa"/>
          </w:tcPr>
          <w:p w14:paraId="6206456C" w14:textId="49E1BD92" w:rsidR="00642A29" w:rsidRDefault="00642A29" w:rsidP="009C2861">
            <w:pPr>
              <w:pStyle w:val="TableText"/>
            </w:pPr>
            <w:r>
              <w:t>the position an organism occupies in a food web, indicating its level in the food chain, from primary producers to apex predators</w:t>
            </w:r>
          </w:p>
        </w:tc>
      </w:tr>
      <w:tr w:rsidR="00836316" w:rsidRPr="004B520E" w14:paraId="61D9E325" w14:textId="77777777" w:rsidTr="008759D5">
        <w:tc>
          <w:tcPr>
            <w:tcW w:w="0" w:type="dxa"/>
          </w:tcPr>
          <w:p w14:paraId="03637899" w14:textId="5946207B" w:rsidR="00836316" w:rsidRPr="004B520E" w:rsidRDefault="001A6065" w:rsidP="009C2861">
            <w:pPr>
              <w:pStyle w:val="TableText"/>
            </w:pPr>
            <w:r>
              <w:t>v</w:t>
            </w:r>
            <w:r w:rsidR="00836316" w:rsidRPr="004B520E">
              <w:t>egetation diversity</w:t>
            </w:r>
          </w:p>
        </w:tc>
        <w:tc>
          <w:tcPr>
            <w:tcW w:w="0" w:type="dxa"/>
          </w:tcPr>
          <w:p w14:paraId="1A163AC9" w14:textId="7258E227" w:rsidR="00836316" w:rsidRPr="004B520E" w:rsidRDefault="00D62B4B" w:rsidP="009C2861">
            <w:pPr>
              <w:pStyle w:val="TableText"/>
            </w:pPr>
            <w:r>
              <w:t>t</w:t>
            </w:r>
            <w:r w:rsidR="00836316" w:rsidRPr="004B520E">
              <w:t>he number and relative abundance of plant species found in a particular location</w:t>
            </w:r>
          </w:p>
        </w:tc>
      </w:tr>
      <w:tr w:rsidR="00C57092" w:rsidRPr="004B520E" w14:paraId="40E2F590" w14:textId="77777777" w:rsidTr="005821CB">
        <w:trPr>
          <w:cnfStyle w:val="000000100000" w:firstRow="0" w:lastRow="0" w:firstColumn="0" w:lastColumn="0" w:oddVBand="0" w:evenVBand="0" w:oddHBand="1" w:evenHBand="0" w:firstRowFirstColumn="0" w:firstRowLastColumn="0" w:lastRowFirstColumn="0" w:lastRowLastColumn="0"/>
        </w:trPr>
        <w:tc>
          <w:tcPr>
            <w:tcW w:w="0" w:type="dxa"/>
          </w:tcPr>
          <w:p w14:paraId="5C946DAA" w14:textId="56E8D958" w:rsidR="00DD0569" w:rsidRPr="004B520E" w:rsidRDefault="001A6065" w:rsidP="00DD0569">
            <w:pPr>
              <w:pStyle w:val="TableText"/>
              <w:rPr>
                <w:rStyle w:val="Strong"/>
                <w:b w:val="0"/>
                <w:bCs w:val="0"/>
                <w:smallCaps/>
              </w:rPr>
            </w:pPr>
            <w:r>
              <w:rPr>
                <w:rStyle w:val="Strong"/>
                <w:b w:val="0"/>
                <w:bCs w:val="0"/>
              </w:rPr>
              <w:t>w</w:t>
            </w:r>
            <w:r w:rsidR="00836316" w:rsidRPr="004B520E">
              <w:rPr>
                <w:rStyle w:val="Strong"/>
                <w:b w:val="0"/>
                <w:bCs w:val="0"/>
              </w:rPr>
              <w:t>ater quality</w:t>
            </w:r>
          </w:p>
        </w:tc>
        <w:tc>
          <w:tcPr>
            <w:tcW w:w="0" w:type="dxa"/>
          </w:tcPr>
          <w:p w14:paraId="453FEFE5" w14:textId="3DE6E374" w:rsidR="00DD0569" w:rsidRPr="004B520E" w:rsidRDefault="00D62B4B" w:rsidP="00DD0569">
            <w:pPr>
              <w:pStyle w:val="TableText"/>
            </w:pPr>
            <w:r>
              <w:t>t</w:t>
            </w:r>
            <w:r w:rsidR="00836316" w:rsidRPr="004B520E">
              <w:t>he concentrations of biologically important materials in natural waters (e.g. dissolved oxygen, pH, nitrate, phosphorus, salts)</w:t>
            </w:r>
          </w:p>
        </w:tc>
      </w:tr>
    </w:tbl>
    <w:p w14:paraId="0A8F8460" w14:textId="77777777" w:rsidR="00C83CF2" w:rsidRPr="004B520E" w:rsidRDefault="00C83CF2" w:rsidP="00C83CF2"/>
    <w:p w14:paraId="5273FC5F" w14:textId="671E61ED" w:rsidR="007E4CAF" w:rsidRPr="004B520E" w:rsidRDefault="007E4CAF" w:rsidP="0024567F">
      <w:pPr>
        <w:sectPr w:rsidR="007E4CAF" w:rsidRPr="004B520E" w:rsidSect="002D641F">
          <w:headerReference w:type="even" r:id="rId32"/>
          <w:headerReference w:type="default" r:id="rId33"/>
          <w:footerReference w:type="default" r:id="rId34"/>
          <w:headerReference w:type="first" r:id="rId35"/>
          <w:pgSz w:w="11906" w:h="16838" w:code="9"/>
          <w:pgMar w:top="1134" w:right="1134" w:bottom="1134" w:left="1134" w:header="510" w:footer="510" w:gutter="0"/>
          <w:pgNumType w:fmt="lowerRoman"/>
          <w:cols w:space="284"/>
          <w:docGrid w:linePitch="360"/>
        </w:sectPr>
      </w:pPr>
    </w:p>
    <w:p w14:paraId="5364F3AA" w14:textId="70A87C48" w:rsidR="00DD5118" w:rsidRPr="00113FC9" w:rsidRDefault="00DD5118" w:rsidP="00113FC9">
      <w:pPr>
        <w:pStyle w:val="Heading1"/>
      </w:pPr>
      <w:bookmarkStart w:id="75" w:name="_Toc168579815"/>
      <w:bookmarkStart w:id="76" w:name="_Toc172283604"/>
      <w:bookmarkStart w:id="77" w:name="_Toc172290932"/>
      <w:bookmarkStart w:id="78" w:name="_Toc178668833"/>
      <w:bookmarkStart w:id="79" w:name="_Toc200743748"/>
      <w:bookmarkStart w:id="80" w:name="_Toc200743847"/>
      <w:bookmarkStart w:id="81" w:name="_Toc203682261"/>
      <w:bookmarkStart w:id="82" w:name="_Toc204606876"/>
      <w:r w:rsidRPr="00113FC9">
        <w:lastRenderedPageBreak/>
        <w:t>Introduction</w:t>
      </w:r>
      <w:bookmarkEnd w:id="75"/>
      <w:bookmarkEnd w:id="76"/>
      <w:bookmarkEnd w:id="77"/>
      <w:bookmarkEnd w:id="78"/>
      <w:bookmarkEnd w:id="79"/>
      <w:bookmarkEnd w:id="80"/>
      <w:bookmarkEnd w:id="81"/>
      <w:bookmarkEnd w:id="82"/>
    </w:p>
    <w:p w14:paraId="54D8AACA" w14:textId="5F12360D" w:rsidR="00DD5118" w:rsidRPr="004B520E" w:rsidRDefault="00DD5118" w:rsidP="00A06FEB">
      <w:pPr>
        <w:pStyle w:val="BodyText"/>
      </w:pPr>
      <w:r w:rsidRPr="004B520E">
        <w:t xml:space="preserve">Australia’s </w:t>
      </w:r>
      <w:r w:rsidR="00ED3D30" w:rsidRPr="004B520E">
        <w:t xml:space="preserve">rivers, </w:t>
      </w:r>
      <w:r w:rsidRPr="004B520E">
        <w:t>floodplains</w:t>
      </w:r>
      <w:r w:rsidR="00ED3D30" w:rsidRPr="004B520E">
        <w:t xml:space="preserve"> and</w:t>
      </w:r>
      <w:r w:rsidRPr="004B520E">
        <w:t xml:space="preserve"> wetlands </w:t>
      </w:r>
      <w:r w:rsidR="00ED3D30" w:rsidRPr="004B520E">
        <w:t xml:space="preserve">are unique and diverse </w:t>
      </w:r>
      <w:r w:rsidRPr="004B520E">
        <w:t>ecosystems</w:t>
      </w:r>
      <w:r w:rsidR="00ED3D30" w:rsidRPr="004B520E">
        <w:t xml:space="preserve"> that support a range of plant and animal</w:t>
      </w:r>
      <w:r w:rsidR="00C63855" w:rsidRPr="004B520E">
        <w:t xml:space="preserve"> communities and ecological and biogeochemical processes</w:t>
      </w:r>
      <w:r w:rsidRPr="004B520E">
        <w:t xml:space="preserve">. </w:t>
      </w:r>
      <w:r w:rsidR="00ED3D30" w:rsidRPr="004B520E">
        <w:t>R</w:t>
      </w:r>
      <w:r w:rsidRPr="004B520E">
        <w:t>ivers, floodplains and wetlands provide food and habitat for a wide variety of species, often within landscapes</w:t>
      </w:r>
      <w:r w:rsidR="00923BB8" w:rsidRPr="004B520E">
        <w:t xml:space="preserve"> that are </w:t>
      </w:r>
      <w:r w:rsidRPr="004B520E">
        <w:t xml:space="preserve">otherwise dry. </w:t>
      </w:r>
      <w:r w:rsidR="00ED3D30" w:rsidRPr="004B520E">
        <w:t>Floo</w:t>
      </w:r>
      <w:r w:rsidR="0FD42593" w:rsidRPr="004B520E">
        <w:t>d</w:t>
      </w:r>
      <w:r w:rsidR="00ED3D30" w:rsidRPr="004B520E">
        <w:t>plains and wetlands</w:t>
      </w:r>
      <w:r w:rsidRPr="004B520E">
        <w:t xml:space="preserve"> </w:t>
      </w:r>
      <w:r w:rsidR="000E01FB" w:rsidRPr="004B520E">
        <w:t xml:space="preserve">also </w:t>
      </w:r>
      <w:r w:rsidRPr="004B520E">
        <w:t xml:space="preserve">provide organic matter to rivers, contributing important resources </w:t>
      </w:r>
      <w:r w:rsidR="00EF71AE" w:rsidRPr="004B520E">
        <w:t xml:space="preserve">that </w:t>
      </w:r>
      <w:r w:rsidR="00B9716A" w:rsidRPr="004B520E">
        <w:t>underpin</w:t>
      </w:r>
      <w:r w:rsidR="00F33D53" w:rsidRPr="004B520E">
        <w:t xml:space="preserve"> ecosystem functions</w:t>
      </w:r>
      <w:r w:rsidR="00C7309D" w:rsidRPr="004B520E">
        <w:t>,</w:t>
      </w:r>
      <w:r w:rsidR="00B9716A" w:rsidRPr="004B520E">
        <w:t xml:space="preserve"> such as the processing of carbon and other nutrients. These functions</w:t>
      </w:r>
      <w:r w:rsidR="00D061E1" w:rsidRPr="004B520E">
        <w:t xml:space="preserve"> in turn</w:t>
      </w:r>
      <w:r w:rsidR="00B9716A" w:rsidRPr="004B520E">
        <w:t xml:space="preserve"> support</w:t>
      </w:r>
      <w:r w:rsidR="00D061E1" w:rsidRPr="004B520E">
        <w:t xml:space="preserve"> the</w:t>
      </w:r>
      <w:r w:rsidR="00B9716A" w:rsidRPr="004B520E">
        <w:t xml:space="preserve"> </w:t>
      </w:r>
      <w:r w:rsidR="00ED3D30" w:rsidRPr="004B520E">
        <w:t xml:space="preserve">plants and animals </w:t>
      </w:r>
      <w:r w:rsidR="00171FC8" w:rsidRPr="004B520E">
        <w:t xml:space="preserve">that </w:t>
      </w:r>
      <w:r w:rsidR="00B9716A" w:rsidRPr="004B520E">
        <w:t>constitu</w:t>
      </w:r>
      <w:r w:rsidR="00E36CD2" w:rsidRPr="004B520E">
        <w:t>t</w:t>
      </w:r>
      <w:r w:rsidR="00B9716A" w:rsidRPr="004B520E">
        <w:t>e rive</w:t>
      </w:r>
      <w:r w:rsidR="00D061E1" w:rsidRPr="004B520E">
        <w:t>r</w:t>
      </w:r>
      <w:r w:rsidR="00E36CD2" w:rsidRPr="004B520E">
        <w:t>,</w:t>
      </w:r>
      <w:r w:rsidR="00B9716A" w:rsidRPr="004B520E">
        <w:t xml:space="preserve"> floodplain</w:t>
      </w:r>
      <w:r w:rsidR="00E36CD2" w:rsidRPr="004B520E">
        <w:t xml:space="preserve"> and wetland</w:t>
      </w:r>
      <w:r w:rsidR="00B9716A" w:rsidRPr="004B520E">
        <w:t xml:space="preserve"> ecosystems</w:t>
      </w:r>
      <w:r w:rsidRPr="004B520E">
        <w:t>.</w:t>
      </w:r>
    </w:p>
    <w:p w14:paraId="42DB42EF" w14:textId="54B4AE66" w:rsidR="006E4DBF" w:rsidRPr="004B520E" w:rsidRDefault="00C60CA7" w:rsidP="0001081A">
      <w:pPr>
        <w:pStyle w:val="BodyText"/>
      </w:pPr>
      <w:r w:rsidRPr="004B520E">
        <w:t>River, floodplain and wetland ecosystems are sensitive to changes in flows and watering regimes</w:t>
      </w:r>
      <w:r w:rsidR="007E6E62">
        <w:t>,</w:t>
      </w:r>
      <w:r w:rsidRPr="004B520E">
        <w:t xml:space="preserve"> and the composition and structure of plant and animal communities is strongly influenced by both short-</w:t>
      </w:r>
      <w:r w:rsidR="00AE63F4" w:rsidRPr="004B520E">
        <w:t>term</w:t>
      </w:r>
      <w:r w:rsidRPr="004B520E">
        <w:t xml:space="preserve"> and long-term flow conditions. </w:t>
      </w:r>
      <w:r w:rsidR="002F4C8F" w:rsidRPr="004B520E">
        <w:rPr>
          <w:rFonts w:cs="Calibri"/>
        </w:rPr>
        <w:t>Commonwealth environment</w:t>
      </w:r>
      <w:r w:rsidR="004F0188" w:rsidRPr="004B520E">
        <w:rPr>
          <w:rFonts w:cs="Calibri"/>
        </w:rPr>
        <w:t xml:space="preserve">al water </w:t>
      </w:r>
      <w:r w:rsidR="006631DB" w:rsidRPr="004B520E">
        <w:t xml:space="preserve">is delivered to rivers and </w:t>
      </w:r>
      <w:r w:rsidR="005577D2" w:rsidRPr="004B520E">
        <w:t xml:space="preserve">wetlands </w:t>
      </w:r>
      <w:r w:rsidR="006631DB" w:rsidRPr="004B520E">
        <w:t xml:space="preserve">across the </w:t>
      </w:r>
      <w:r w:rsidR="00F179D5" w:rsidRPr="004B520E">
        <w:t xml:space="preserve">Murray–Darling Basin (the Basin) </w:t>
      </w:r>
      <w:r w:rsidR="006631DB" w:rsidRPr="004B520E">
        <w:t xml:space="preserve">to </w:t>
      </w:r>
      <w:r w:rsidR="000E01FB" w:rsidRPr="004B520E">
        <w:t xml:space="preserve">supplement flows and </w:t>
      </w:r>
      <w:r w:rsidR="006631DB" w:rsidRPr="004B520E">
        <w:t>support water-dependent</w:t>
      </w:r>
      <w:r w:rsidR="00C63855" w:rsidRPr="004B520E">
        <w:t xml:space="preserve"> ecosystems </w:t>
      </w:r>
      <w:r w:rsidR="006B6611" w:rsidRPr="004B520E">
        <w:t>to</w:t>
      </w:r>
      <w:r w:rsidR="00C63855" w:rsidRPr="004B520E">
        <w:t xml:space="preserve"> achieve a range of specified environmental outcomes</w:t>
      </w:r>
      <w:r w:rsidR="006631DB" w:rsidRPr="004B520E">
        <w:t>.</w:t>
      </w:r>
    </w:p>
    <w:p w14:paraId="54D7B2D3" w14:textId="5383EE59" w:rsidR="005838FD" w:rsidRPr="004B520E" w:rsidRDefault="005838FD" w:rsidP="00113FC9">
      <w:pPr>
        <w:pStyle w:val="Heading2"/>
      </w:pPr>
      <w:bookmarkStart w:id="83" w:name="_Toc168579817"/>
      <w:bookmarkStart w:id="84" w:name="_Toc172283606"/>
      <w:bookmarkStart w:id="85" w:name="_Toc172290934"/>
      <w:bookmarkStart w:id="86" w:name="_Toc178668834"/>
      <w:bookmarkStart w:id="87" w:name="_Toc200743749"/>
      <w:bookmarkStart w:id="88" w:name="_Toc200743848"/>
      <w:bookmarkStart w:id="89" w:name="_Toc203682262"/>
      <w:bookmarkStart w:id="90" w:name="_Toc204606877"/>
      <w:r w:rsidRPr="004B520E">
        <w:t>Basin-scale evaluation</w:t>
      </w:r>
      <w:bookmarkEnd w:id="83"/>
      <w:bookmarkEnd w:id="84"/>
      <w:bookmarkEnd w:id="85"/>
      <w:bookmarkEnd w:id="86"/>
      <w:bookmarkEnd w:id="87"/>
      <w:bookmarkEnd w:id="88"/>
      <w:bookmarkEnd w:id="89"/>
      <w:bookmarkEnd w:id="90"/>
    </w:p>
    <w:p w14:paraId="3A72F5EB" w14:textId="500DA49D" w:rsidR="0035012E" w:rsidRPr="004B520E" w:rsidRDefault="001B0FA4" w:rsidP="00175650">
      <w:pPr>
        <w:pStyle w:val="BodyText"/>
      </w:pPr>
      <w:r>
        <w:t xml:space="preserve">Flow-MER </w:t>
      </w:r>
      <w:r w:rsidR="009140BB">
        <w:t>monitor</w:t>
      </w:r>
      <w:r w:rsidR="001038A7">
        <w:t xml:space="preserve">s and </w:t>
      </w:r>
      <w:r w:rsidR="009140BB">
        <w:t xml:space="preserve">evaluates outcomes from the delivery </w:t>
      </w:r>
      <w:r w:rsidR="00C905CE">
        <w:t xml:space="preserve">of Commonwealth </w:t>
      </w:r>
      <w:r w:rsidR="009140BB">
        <w:t>environmental water</w:t>
      </w:r>
      <w:r w:rsidR="00C905CE">
        <w:t xml:space="preserve"> according to the CEWH’s </w:t>
      </w:r>
      <w:hyperlink r:id="rId36" w:history="1">
        <w:r w:rsidR="00B731BB">
          <w:rPr>
            <w:rStyle w:val="Hyperlink"/>
            <w:i/>
            <w:iCs/>
          </w:rPr>
          <w:t>M</w:t>
        </w:r>
        <w:r w:rsidR="00C905CE" w:rsidRPr="005821CB">
          <w:rPr>
            <w:rStyle w:val="Hyperlink"/>
            <w:i/>
            <w:iCs/>
          </w:rPr>
          <w:t xml:space="preserve">onitoring, evaluation, reporting and innovation </w:t>
        </w:r>
        <w:r w:rsidR="001038A7" w:rsidRPr="005821CB">
          <w:rPr>
            <w:rStyle w:val="Hyperlink"/>
            <w:i/>
            <w:iCs/>
          </w:rPr>
          <w:t>strategy</w:t>
        </w:r>
      </w:hyperlink>
      <w:r w:rsidR="00251606" w:rsidRPr="005821CB">
        <w:rPr>
          <w:i/>
          <w:iCs/>
        </w:rPr>
        <w:t xml:space="preserve"> </w:t>
      </w:r>
      <w:r w:rsidR="00251606">
        <w:t>(MERI)</w:t>
      </w:r>
      <w:r w:rsidR="001038A7">
        <w:t xml:space="preserve">. </w:t>
      </w:r>
      <w:r w:rsidR="0048429C" w:rsidRPr="004B520E">
        <w:t xml:space="preserve">The Basin-scale evaluation </w:t>
      </w:r>
      <w:r w:rsidR="005838FD" w:rsidRPr="004B520E">
        <w:t xml:space="preserve">is </w:t>
      </w:r>
      <w:r w:rsidR="0048429C" w:rsidRPr="004B520E">
        <w:t xml:space="preserve">undertaken across </w:t>
      </w:r>
      <w:r w:rsidR="00A5516D" w:rsidRPr="004B520E">
        <w:t>6 Basin Themes (</w:t>
      </w:r>
      <w:r w:rsidR="00460C2B">
        <w:fldChar w:fldCharType="begin"/>
      </w:r>
      <w:r w:rsidR="00460C2B">
        <w:instrText xml:space="preserve"> REF _Ref203664023 \h </w:instrText>
      </w:r>
      <w:r w:rsidR="00460C2B">
        <w:fldChar w:fldCharType="separate"/>
      </w:r>
      <w:r w:rsidR="00C43C1D">
        <w:t>Figure </w:t>
      </w:r>
      <w:r w:rsidR="00C43C1D">
        <w:rPr>
          <w:noProof/>
        </w:rPr>
        <w:t>1</w:t>
      </w:r>
      <w:r w:rsidR="00460C2B">
        <w:fldChar w:fldCharType="end"/>
      </w:r>
      <w:r w:rsidR="00A5516D" w:rsidRPr="004B520E">
        <w:t xml:space="preserve">) </w:t>
      </w:r>
      <w:r w:rsidR="00FE1973" w:rsidRPr="004B520E">
        <w:t xml:space="preserve">based on ecological indicators developed for </w:t>
      </w:r>
      <w:r w:rsidR="00BA3F99" w:rsidRPr="004B520E">
        <w:t xml:space="preserve">the </w:t>
      </w:r>
      <w:r w:rsidR="00FE1973" w:rsidRPr="004B520E">
        <w:t>L</w:t>
      </w:r>
      <w:r w:rsidR="00BA3F99" w:rsidRPr="004B520E">
        <w:t xml:space="preserve">ong </w:t>
      </w:r>
      <w:r w:rsidR="00FE1973" w:rsidRPr="004B520E">
        <w:t>T</w:t>
      </w:r>
      <w:r w:rsidR="00BA3F99" w:rsidRPr="004B520E">
        <w:t xml:space="preserve">erm </w:t>
      </w:r>
      <w:r w:rsidR="00FE1973" w:rsidRPr="004B520E">
        <w:t>I</w:t>
      </w:r>
      <w:r w:rsidR="00BA3F99" w:rsidRPr="004B520E">
        <w:t xml:space="preserve">ntervention </w:t>
      </w:r>
      <w:r w:rsidR="00FE1973" w:rsidRPr="004B520E">
        <w:t>M</w:t>
      </w:r>
      <w:r w:rsidR="00BA3F99" w:rsidRPr="004B520E">
        <w:t>onitoring</w:t>
      </w:r>
      <w:r w:rsidR="008302A1" w:rsidRPr="004B520E">
        <w:t xml:space="preserve"> </w:t>
      </w:r>
      <w:r w:rsidR="00FE27CB">
        <w:t>P</w:t>
      </w:r>
      <w:r w:rsidR="008302A1" w:rsidRPr="004B520E">
        <w:t>roject</w:t>
      </w:r>
      <w:r w:rsidR="00FE1973" w:rsidRPr="004B520E">
        <w:t xml:space="preserve"> and described in the </w:t>
      </w:r>
      <w:hyperlink r:id="rId37" w:history="1">
        <w:r w:rsidR="00FE1973" w:rsidRPr="004B520E">
          <w:rPr>
            <w:rStyle w:val="Hyperlink"/>
            <w:rFonts w:cs="Calibri Light"/>
            <w:i/>
            <w:iCs/>
          </w:rPr>
          <w:t xml:space="preserve">Environmental </w:t>
        </w:r>
        <w:r w:rsidR="00A02DF4" w:rsidRPr="004B520E">
          <w:rPr>
            <w:rStyle w:val="Hyperlink"/>
            <w:rFonts w:cs="Calibri Light"/>
            <w:i/>
            <w:iCs/>
          </w:rPr>
          <w:t>w</w:t>
        </w:r>
        <w:r w:rsidR="00FE1973" w:rsidRPr="004B520E">
          <w:rPr>
            <w:rStyle w:val="Hyperlink"/>
            <w:rFonts w:cs="Calibri Light"/>
            <w:i/>
            <w:iCs/>
          </w:rPr>
          <w:t xml:space="preserve">ater </w:t>
        </w:r>
        <w:r w:rsidR="00A02DF4" w:rsidRPr="004B520E">
          <w:rPr>
            <w:rStyle w:val="Hyperlink"/>
            <w:rFonts w:cs="Calibri Light"/>
            <w:i/>
            <w:iCs/>
          </w:rPr>
          <w:t>o</w:t>
        </w:r>
        <w:r w:rsidR="00FE1973" w:rsidRPr="004B520E">
          <w:rPr>
            <w:rStyle w:val="Hyperlink"/>
            <w:rFonts w:cs="Calibri Light"/>
            <w:i/>
            <w:iCs/>
          </w:rPr>
          <w:t xml:space="preserve">utcomes </w:t>
        </w:r>
        <w:r w:rsidR="00A02DF4" w:rsidRPr="004B520E">
          <w:rPr>
            <w:rStyle w:val="Hyperlink"/>
            <w:rFonts w:cs="Calibri Light"/>
            <w:i/>
            <w:iCs/>
          </w:rPr>
          <w:t>f</w:t>
        </w:r>
        <w:r w:rsidR="00FE1973" w:rsidRPr="004B520E">
          <w:rPr>
            <w:rStyle w:val="Hyperlink"/>
            <w:rFonts w:cs="Calibri Light"/>
            <w:i/>
            <w:iCs/>
          </w:rPr>
          <w:t>ramework</w:t>
        </w:r>
      </w:hyperlink>
      <w:r w:rsidR="00964D45" w:rsidRPr="004B520E">
        <w:rPr>
          <w:color w:val="auto"/>
        </w:rPr>
        <w:t xml:space="preserve"> (the Framework)</w:t>
      </w:r>
      <w:r w:rsidR="008D31F8" w:rsidRPr="004B520E">
        <w:rPr>
          <w:color w:val="auto"/>
        </w:rPr>
        <w:t>.</w:t>
      </w:r>
      <w:r w:rsidR="00E062C7" w:rsidRPr="004B520E">
        <w:t xml:space="preserve"> </w:t>
      </w:r>
      <w:r w:rsidR="00A5516D" w:rsidRPr="004B520E">
        <w:t xml:space="preserve">While there is line of sight to </w:t>
      </w:r>
      <w:r w:rsidR="00033042" w:rsidRPr="004B520E">
        <w:t xml:space="preserve">the </w:t>
      </w:r>
      <w:hyperlink r:id="rId38" w:history="1">
        <w:r w:rsidR="00033042" w:rsidRPr="004B520E">
          <w:rPr>
            <w:rStyle w:val="Hyperlink"/>
            <w:rFonts w:cs="Calibri Light"/>
            <w:i/>
            <w:iCs/>
          </w:rPr>
          <w:t xml:space="preserve">Basin-wide </w:t>
        </w:r>
        <w:r w:rsidR="00A778AC" w:rsidRPr="004B520E">
          <w:rPr>
            <w:rStyle w:val="Hyperlink"/>
            <w:rFonts w:cs="Calibri Light"/>
            <w:i/>
            <w:iCs/>
          </w:rPr>
          <w:t>environmental watering strategy</w:t>
        </w:r>
      </w:hyperlink>
      <w:r w:rsidR="00A778AC" w:rsidRPr="004B520E">
        <w:t xml:space="preserve"> </w:t>
      </w:r>
      <w:r w:rsidR="000841C2" w:rsidRPr="004B520E">
        <w:t xml:space="preserve">(the </w:t>
      </w:r>
      <w:r w:rsidR="009978EC" w:rsidRPr="00125873">
        <w:t xml:space="preserve">Strategy), </w:t>
      </w:r>
      <w:r w:rsidR="009978EC">
        <w:t>links between objectives</w:t>
      </w:r>
      <w:r w:rsidR="009978EC" w:rsidRPr="00125873">
        <w:t xml:space="preserve"> in the Strategy and </w:t>
      </w:r>
      <w:r w:rsidR="009978EC">
        <w:t xml:space="preserve">Flow-MER </w:t>
      </w:r>
      <w:r w:rsidR="009978EC" w:rsidRPr="00125873">
        <w:t>evaluation questions</w:t>
      </w:r>
      <w:r w:rsidR="009978EC">
        <w:t>,</w:t>
      </w:r>
      <w:r w:rsidR="009978EC" w:rsidRPr="00125873">
        <w:t xml:space="preserve"> </w:t>
      </w:r>
      <w:r w:rsidR="009978EC">
        <w:t xml:space="preserve">while implicit, are not well defined, </w:t>
      </w:r>
      <w:r w:rsidR="009978EC" w:rsidRPr="00125873">
        <w:t xml:space="preserve">as the </w:t>
      </w:r>
      <w:r w:rsidR="009978EC">
        <w:t xml:space="preserve">MERI and the </w:t>
      </w:r>
      <w:r w:rsidR="009978EC" w:rsidRPr="00125873">
        <w:t>Framework w</w:t>
      </w:r>
      <w:r w:rsidR="009978EC">
        <w:t>ere</w:t>
      </w:r>
      <w:r w:rsidR="009978EC" w:rsidRPr="00125873">
        <w:t xml:space="preserve"> developed </w:t>
      </w:r>
      <w:r w:rsidR="009978EC">
        <w:t>prior to</w:t>
      </w:r>
      <w:r w:rsidR="009978EC" w:rsidRPr="00125873">
        <w:t xml:space="preserve"> the Strategy</w:t>
      </w:r>
      <w:r w:rsidR="00A5516D" w:rsidRPr="004B520E">
        <w:t>.</w:t>
      </w:r>
      <w:r w:rsidR="00B1685D" w:rsidRPr="004B520E">
        <w:t xml:space="preserve"> </w:t>
      </w:r>
      <w:r w:rsidR="001C56ED" w:rsidRPr="004B520E">
        <w:t>D</w:t>
      </w:r>
      <w:r w:rsidR="00ED3D30" w:rsidRPr="004B520E">
        <w:t xml:space="preserve">ata obtained from evaluation of environmental water outcomes </w:t>
      </w:r>
      <w:r w:rsidR="00B93643">
        <w:t xml:space="preserve">from </w:t>
      </w:r>
      <w:r w:rsidR="00ED3D30" w:rsidRPr="004B520E">
        <w:t xml:space="preserve">within </w:t>
      </w:r>
      <w:r w:rsidR="00FA4CDA" w:rsidRPr="004B520E">
        <w:t>7</w:t>
      </w:r>
      <w:r w:rsidR="00ED3D30" w:rsidRPr="004B520E">
        <w:t xml:space="preserve"> Selected Areas</w:t>
      </w:r>
      <w:r w:rsidR="00850F38" w:rsidRPr="004B520E">
        <w:t xml:space="preserve"> </w:t>
      </w:r>
      <w:r w:rsidR="001C56ED" w:rsidRPr="004B520E">
        <w:t>is</w:t>
      </w:r>
      <w:r w:rsidR="00FC7331" w:rsidRPr="004B520E">
        <w:t xml:space="preserve"> </w:t>
      </w:r>
      <w:r w:rsidR="001C56ED" w:rsidRPr="004B520E">
        <w:t>used</w:t>
      </w:r>
      <w:r w:rsidR="00FC7331" w:rsidRPr="004B520E">
        <w:t xml:space="preserve"> </w:t>
      </w:r>
      <w:r w:rsidR="00A1416C" w:rsidRPr="004B520E">
        <w:t>in this evaluation and</w:t>
      </w:r>
      <w:r w:rsidR="007D146E">
        <w:t xml:space="preserve"> </w:t>
      </w:r>
      <w:r w:rsidR="00FC7331" w:rsidRPr="004B520E">
        <w:t xml:space="preserve">is </w:t>
      </w:r>
      <w:r w:rsidR="00850F38" w:rsidRPr="004B520E">
        <w:t>supplemented by other publicly available data</w:t>
      </w:r>
      <w:r w:rsidR="0035012E" w:rsidRPr="004B520E">
        <w:t>.</w:t>
      </w:r>
    </w:p>
    <w:p w14:paraId="4D634097" w14:textId="2FBEC710" w:rsidR="00DF63E4" w:rsidRPr="004B520E" w:rsidRDefault="0056001D" w:rsidP="00A06FEB">
      <w:pPr>
        <w:pStyle w:val="BodyText"/>
      </w:pPr>
      <w:r w:rsidRPr="004B520E">
        <w:t xml:space="preserve">The </w:t>
      </w:r>
      <w:r w:rsidR="00964D45" w:rsidRPr="004B520E">
        <w:t>Basin-scale</w:t>
      </w:r>
      <w:r w:rsidRPr="004B520E">
        <w:t xml:space="preserve"> evaluation address</w:t>
      </w:r>
      <w:r w:rsidR="007B1498" w:rsidRPr="004B520E">
        <w:t>es</w:t>
      </w:r>
      <w:r w:rsidRPr="004B520E">
        <w:t xml:space="preserve"> how </w:t>
      </w:r>
      <w:r w:rsidR="00312711" w:rsidRPr="004B520E">
        <w:rPr>
          <w:rFonts w:cs="Calibri"/>
        </w:rPr>
        <w:t>C</w:t>
      </w:r>
      <w:r w:rsidR="00CB055B" w:rsidRPr="004B520E">
        <w:rPr>
          <w:rFonts w:cs="Calibri"/>
        </w:rPr>
        <w:t xml:space="preserve">ommonwealth environmental water </w:t>
      </w:r>
      <w:r w:rsidRPr="004B520E">
        <w:t>contributed to,</w:t>
      </w:r>
      <w:r w:rsidR="00833457" w:rsidRPr="004B520E">
        <w:t xml:space="preserve"> </w:t>
      </w:r>
      <w:r w:rsidRPr="004B520E">
        <w:t>supported or influenced</w:t>
      </w:r>
      <w:r w:rsidR="00833457" w:rsidRPr="004B520E">
        <w:t xml:space="preserve"> </w:t>
      </w:r>
      <w:r w:rsidRPr="004B520E">
        <w:t xml:space="preserve">environmental </w:t>
      </w:r>
      <w:r w:rsidR="00F830CF">
        <w:t xml:space="preserve">water </w:t>
      </w:r>
      <w:r w:rsidRPr="004B520E">
        <w:t xml:space="preserve">outcomes. The way in which this is </w:t>
      </w:r>
      <w:r w:rsidR="0025069B" w:rsidRPr="004B520E">
        <w:t>assessed</w:t>
      </w:r>
      <w:r w:rsidRPr="004B520E">
        <w:t xml:space="preserve"> </w:t>
      </w:r>
      <w:r w:rsidR="00EC5037" w:rsidRPr="004B520E">
        <w:t>varies between the 6</w:t>
      </w:r>
      <w:r w:rsidR="00D9795B" w:rsidRPr="004B520E">
        <w:t xml:space="preserve"> Basin</w:t>
      </w:r>
      <w:r w:rsidR="00EC5037" w:rsidRPr="004B520E">
        <w:t xml:space="preserve"> </w:t>
      </w:r>
      <w:r w:rsidR="00CF09BE" w:rsidRPr="004B520E">
        <w:t>T</w:t>
      </w:r>
      <w:r w:rsidR="004B37ED" w:rsidRPr="004B520E">
        <w:t>hemes</w:t>
      </w:r>
      <w:r w:rsidR="00173B0E" w:rsidRPr="004B520E">
        <w:t>,</w:t>
      </w:r>
      <w:r w:rsidRPr="004B520E">
        <w:t xml:space="preserve"> depend</w:t>
      </w:r>
      <w:r w:rsidR="00EC5037" w:rsidRPr="004B520E">
        <w:t>ing</w:t>
      </w:r>
      <w:r w:rsidRPr="004B520E">
        <w:t xml:space="preserve"> on the data </w:t>
      </w:r>
      <w:r w:rsidR="007A3E3D" w:rsidRPr="004B520E">
        <w:t xml:space="preserve">collected at monitoring locations </w:t>
      </w:r>
      <w:r w:rsidR="00DF63E4" w:rsidRPr="004B520E">
        <w:t>in the 7 Selected Areas:</w:t>
      </w:r>
    </w:p>
    <w:p w14:paraId="1E10874D" w14:textId="4F7245B1" w:rsidR="00DF63E4" w:rsidRPr="004B520E" w:rsidRDefault="00DF63E4" w:rsidP="00492542">
      <w:pPr>
        <w:pStyle w:val="ListBullet"/>
      </w:pPr>
      <w:r w:rsidRPr="004B520E">
        <w:t xml:space="preserve">monitoring of ecological response in locations that received </w:t>
      </w:r>
      <w:r w:rsidR="00CB055B" w:rsidRPr="004B520E">
        <w:rPr>
          <w:rFonts w:cs="Calibri"/>
        </w:rPr>
        <w:t>Commonwealth environmental water</w:t>
      </w:r>
      <w:r w:rsidR="00247854" w:rsidRPr="004B520E">
        <w:rPr>
          <w:rFonts w:cs="Calibri"/>
        </w:rPr>
        <w:t xml:space="preserve"> </w:t>
      </w:r>
      <w:r w:rsidRPr="004B520E">
        <w:t>(potentially in conjunction with other sources of environmental water or non-environmental water)</w:t>
      </w:r>
    </w:p>
    <w:p w14:paraId="1E8FECE4" w14:textId="04670CB9" w:rsidR="00DF63E4" w:rsidRPr="004B520E" w:rsidRDefault="009B1AD6" w:rsidP="00492542">
      <w:pPr>
        <w:pStyle w:val="ListBullet"/>
      </w:pPr>
      <w:r w:rsidRPr="004B520E">
        <w:t>m</w:t>
      </w:r>
      <w:r w:rsidR="00CA12B0" w:rsidRPr="004B520E">
        <w:t xml:space="preserve">odelling </w:t>
      </w:r>
      <w:r w:rsidR="00F1130D" w:rsidRPr="004B520E">
        <w:t xml:space="preserve">to </w:t>
      </w:r>
      <w:r w:rsidR="005E74E3" w:rsidRPr="004B520E">
        <w:t xml:space="preserve">compare </w:t>
      </w:r>
      <w:r w:rsidR="0003558E" w:rsidRPr="004B520E">
        <w:t>outcomes</w:t>
      </w:r>
      <w:r w:rsidR="001360FE" w:rsidRPr="004B520E">
        <w:t xml:space="preserve"> with and without </w:t>
      </w:r>
      <w:r w:rsidR="00CB055B" w:rsidRPr="004B520E">
        <w:rPr>
          <w:rFonts w:cs="Calibri"/>
        </w:rPr>
        <w:t>Commonwealth environmental water</w:t>
      </w:r>
    </w:p>
    <w:p w14:paraId="0518730C" w14:textId="51C9A792" w:rsidR="0069337A" w:rsidRPr="004B520E" w:rsidRDefault="009B1AD6" w:rsidP="00492542">
      <w:pPr>
        <w:pStyle w:val="ListBullet"/>
      </w:pPr>
      <w:r w:rsidRPr="004B520E">
        <w:t>u</w:t>
      </w:r>
      <w:r w:rsidR="0069337A" w:rsidRPr="004B520E">
        <w:t xml:space="preserve">se of </w:t>
      </w:r>
      <w:r w:rsidR="000613F9" w:rsidRPr="004B520E">
        <w:t>flow and water</w:t>
      </w:r>
      <w:r w:rsidR="00742CB8">
        <w:t>-</w:t>
      </w:r>
      <w:r w:rsidR="000613F9" w:rsidRPr="004B520E">
        <w:t xml:space="preserve">quality metrics to </w:t>
      </w:r>
      <w:r w:rsidR="000D491A" w:rsidRPr="004B520E">
        <w:t xml:space="preserve">infer </w:t>
      </w:r>
      <w:r w:rsidR="00173B0E" w:rsidRPr="004B520E">
        <w:t xml:space="preserve">unmonitored </w:t>
      </w:r>
      <w:r w:rsidR="000D491A" w:rsidRPr="004B520E">
        <w:t>outcomes</w:t>
      </w:r>
      <w:r w:rsidR="00ED5047" w:rsidRPr="004B520E">
        <w:t xml:space="preserve"> (within and outside of the 7</w:t>
      </w:r>
      <w:r w:rsidR="00743909" w:rsidRPr="004B520E">
        <w:t> </w:t>
      </w:r>
      <w:r w:rsidR="00ED5047" w:rsidRPr="004B520E">
        <w:t>Selected Areas)</w:t>
      </w:r>
    </w:p>
    <w:p w14:paraId="2766E249" w14:textId="56E5B9F9" w:rsidR="00BA6CCA" w:rsidRPr="004B520E" w:rsidRDefault="00D5549C" w:rsidP="00492542">
      <w:pPr>
        <w:pStyle w:val="ListBullet"/>
      </w:pPr>
      <w:r w:rsidRPr="004B520E">
        <w:t xml:space="preserve">summaries </w:t>
      </w:r>
      <w:r w:rsidR="001F6549" w:rsidRPr="004B520E">
        <w:t xml:space="preserve">of </w:t>
      </w:r>
      <w:r w:rsidR="00F13339" w:rsidRPr="004B520E">
        <w:t>findings across Selected Areas</w:t>
      </w:r>
      <w:r w:rsidR="00173B0E" w:rsidRPr="004B520E">
        <w:t xml:space="preserve"> and across years</w:t>
      </w:r>
      <w:r w:rsidR="00522B21" w:rsidRPr="004B520E">
        <w:t>.</w:t>
      </w:r>
    </w:p>
    <w:p w14:paraId="67510685" w14:textId="1B2E7B64" w:rsidR="0035012E" w:rsidRPr="004B520E" w:rsidRDefault="00FA3A16" w:rsidP="00E34E07">
      <w:pPr>
        <w:pStyle w:val="BodyText"/>
      </w:pPr>
      <w:r w:rsidRPr="004B520E">
        <w:t xml:space="preserve">The Basin-scale evaluation reports on the outcomes of </w:t>
      </w:r>
      <w:r w:rsidR="00D5128C" w:rsidRPr="004B520E">
        <w:t xml:space="preserve">delivery of </w:t>
      </w:r>
      <w:r w:rsidR="00CB055B" w:rsidRPr="004B520E">
        <w:rPr>
          <w:rFonts w:cs="Calibri"/>
        </w:rPr>
        <w:t>Commonwealth environmental water</w:t>
      </w:r>
      <w:r w:rsidR="00247854" w:rsidRPr="004B520E">
        <w:rPr>
          <w:rFonts w:cs="Calibri"/>
        </w:rPr>
        <w:t xml:space="preserve"> </w:t>
      </w:r>
      <w:r w:rsidRPr="004B520E">
        <w:t xml:space="preserve">for </w:t>
      </w:r>
      <w:r w:rsidR="00244943" w:rsidRPr="004B520E">
        <w:t>2023–24</w:t>
      </w:r>
      <w:r w:rsidR="00122C71">
        <w:t>,</w:t>
      </w:r>
      <w:r w:rsidR="005577D2" w:rsidRPr="004B520E">
        <w:t xml:space="preserve"> </w:t>
      </w:r>
      <w:r w:rsidR="00122C71">
        <w:t xml:space="preserve">and cumulative since monitoring began in 2014–15, </w:t>
      </w:r>
      <w:r w:rsidR="005577D2" w:rsidRPr="004B520E">
        <w:t xml:space="preserve">against </w:t>
      </w:r>
      <w:r w:rsidR="0059775E">
        <w:t xml:space="preserve">environmental water </w:t>
      </w:r>
      <w:r w:rsidR="001B2347" w:rsidRPr="004B520E">
        <w:t>outcomes from the</w:t>
      </w:r>
      <w:r w:rsidR="00DA6580" w:rsidRPr="004B520E">
        <w:t xml:space="preserve"> Framework</w:t>
      </w:r>
      <w:r w:rsidR="00C355C4" w:rsidRPr="004B520E">
        <w:t xml:space="preserve"> using </w:t>
      </w:r>
      <w:r w:rsidR="008B7414" w:rsidRPr="004B520E">
        <w:t>evaluation questions</w:t>
      </w:r>
      <w:r w:rsidR="0059775E">
        <w:t xml:space="preserve"> described in the Basin-scale Evaluation and Research Plan</w:t>
      </w:r>
      <w:r w:rsidR="008B7414" w:rsidRPr="004B520E">
        <w:t xml:space="preserve">. </w:t>
      </w:r>
      <w:r w:rsidRPr="004B520E">
        <w:t>The evaluation is reported at the Basin scale</w:t>
      </w:r>
      <w:r w:rsidR="001333F9">
        <w:t xml:space="preserve"> using information derived at the </w:t>
      </w:r>
      <w:r w:rsidR="00FE1D2F">
        <w:t>Area scale</w:t>
      </w:r>
      <w:r w:rsidR="00E075DA">
        <w:t xml:space="preserve">. </w:t>
      </w:r>
    </w:p>
    <w:p w14:paraId="72D9A207" w14:textId="05274A58" w:rsidR="00E72A48" w:rsidRDefault="000827FB" w:rsidP="00E34E07">
      <w:pPr>
        <w:pStyle w:val="BodyText"/>
      </w:pPr>
      <w:r w:rsidRPr="004B520E">
        <w:t>The findings</w:t>
      </w:r>
      <w:r w:rsidR="00237C30" w:rsidRPr="004B520E">
        <w:t xml:space="preserve"> of the </w:t>
      </w:r>
      <w:r w:rsidRPr="004B520E">
        <w:t xml:space="preserve">Basin-scale evaluation </w:t>
      </w:r>
      <w:r w:rsidR="00237C30" w:rsidRPr="004B520E">
        <w:t>are summarised</w:t>
      </w:r>
      <w:r w:rsidRPr="004B520E">
        <w:t xml:space="preserve"> in this </w:t>
      </w:r>
      <w:r w:rsidR="001D526D" w:rsidRPr="004B520E">
        <w:t>s</w:t>
      </w:r>
      <w:r w:rsidR="007502CA" w:rsidRPr="004B520E">
        <w:t xml:space="preserve">ynthesis </w:t>
      </w:r>
      <w:r w:rsidR="00237C30" w:rsidRPr="004B520E">
        <w:t xml:space="preserve">and </w:t>
      </w:r>
      <w:r w:rsidRPr="004B520E">
        <w:t xml:space="preserve">complement findings from targeted intervention monitoring (for specific watering events) and </w:t>
      </w:r>
      <w:r w:rsidR="0011474B" w:rsidRPr="004B520E">
        <w:t>evaluations undertaken for each of the 7</w:t>
      </w:r>
      <w:r w:rsidR="00CC77E3" w:rsidRPr="004B520E">
        <w:t> </w:t>
      </w:r>
      <w:r w:rsidR="0011474B" w:rsidRPr="004B520E">
        <w:t xml:space="preserve">Selected Areas (reported separately). </w:t>
      </w:r>
      <w:r w:rsidR="00955713" w:rsidRPr="004B520E">
        <w:t xml:space="preserve">Where information is available, the </w:t>
      </w:r>
      <w:r w:rsidR="00851C25" w:rsidRPr="004B520E">
        <w:t>evaluation</w:t>
      </w:r>
      <w:r w:rsidR="00955713" w:rsidRPr="004B520E">
        <w:t xml:space="preserve"> reports achievement </w:t>
      </w:r>
      <w:r w:rsidR="00955713" w:rsidRPr="004B520E">
        <w:lastRenderedPageBreak/>
        <w:t xml:space="preserve">of expected </w:t>
      </w:r>
      <w:r w:rsidR="00243433">
        <w:t xml:space="preserve">environmental </w:t>
      </w:r>
      <w:r w:rsidR="00955713" w:rsidRPr="004B520E">
        <w:t>outcomes</w:t>
      </w:r>
      <w:r w:rsidR="00460FA7" w:rsidRPr="004B520E">
        <w:t xml:space="preserve"> from the Strategy</w:t>
      </w:r>
      <w:r w:rsidR="00955713" w:rsidRPr="004B520E">
        <w:t xml:space="preserve">. </w:t>
      </w:r>
      <w:r w:rsidR="00493420" w:rsidRPr="004B520E">
        <w:t>E</w:t>
      </w:r>
      <w:r w:rsidRPr="004B520E">
        <w:t xml:space="preserve">valuation of </w:t>
      </w:r>
      <w:r w:rsidR="009C07EB" w:rsidRPr="004B520E">
        <w:t>environmental</w:t>
      </w:r>
      <w:r w:rsidRPr="004B520E">
        <w:t xml:space="preserve"> </w:t>
      </w:r>
      <w:r w:rsidR="00180FA2">
        <w:t xml:space="preserve">water </w:t>
      </w:r>
      <w:r w:rsidRPr="004B520E">
        <w:t xml:space="preserve">outcomes from delivery of </w:t>
      </w:r>
      <w:r w:rsidR="00247854" w:rsidRPr="004B520E">
        <w:rPr>
          <w:rFonts w:cs="Calibri"/>
        </w:rPr>
        <w:t xml:space="preserve">Commonwealth environmental water </w:t>
      </w:r>
      <w:r w:rsidRPr="004B520E">
        <w:t>is presented in 6</w:t>
      </w:r>
      <w:r w:rsidR="00ED5047" w:rsidRPr="004B520E">
        <w:t xml:space="preserve"> separate</w:t>
      </w:r>
      <w:r w:rsidRPr="004B520E">
        <w:t xml:space="preserve"> thematic </w:t>
      </w:r>
      <w:r w:rsidR="009C07EB" w:rsidRPr="004B520E">
        <w:t xml:space="preserve">evaluation </w:t>
      </w:r>
      <w:r w:rsidRPr="004B520E">
        <w:t>reports</w:t>
      </w:r>
      <w:r w:rsidR="00B44AC2" w:rsidRPr="004B520E">
        <w:t>.</w:t>
      </w:r>
      <w:r w:rsidR="004B5136" w:rsidRPr="004B520E">
        <w:rPr>
          <w:rStyle w:val="FootnoteReference"/>
        </w:rPr>
        <w:footnoteReference w:id="2"/>
      </w:r>
      <w:bookmarkStart w:id="91" w:name="_Toc168579818"/>
      <w:bookmarkStart w:id="92" w:name="_Toc172283607"/>
      <w:bookmarkStart w:id="93" w:name="_Toc172290935"/>
      <w:bookmarkStart w:id="94" w:name="_Toc178668835"/>
      <w:bookmarkStart w:id="95" w:name="_Toc200743750"/>
      <w:bookmarkStart w:id="96" w:name="_Toc200743849"/>
    </w:p>
    <w:p w14:paraId="7BAEBFFC" w14:textId="2C24081B" w:rsidR="005365E4" w:rsidRPr="004B520E" w:rsidRDefault="00D100B8" w:rsidP="00113FC9">
      <w:pPr>
        <w:pStyle w:val="Heading2"/>
      </w:pPr>
      <w:bookmarkStart w:id="97" w:name="_Toc203682263"/>
      <w:bookmarkStart w:id="98" w:name="_Toc204606878"/>
      <w:r w:rsidRPr="004B520E">
        <w:t>Evaluation questions</w:t>
      </w:r>
      <w:bookmarkEnd w:id="91"/>
      <w:bookmarkEnd w:id="92"/>
      <w:bookmarkEnd w:id="93"/>
      <w:bookmarkEnd w:id="94"/>
      <w:bookmarkEnd w:id="95"/>
      <w:bookmarkEnd w:id="96"/>
      <w:bookmarkEnd w:id="97"/>
      <w:bookmarkEnd w:id="98"/>
    </w:p>
    <w:p w14:paraId="5101111D" w14:textId="44683814" w:rsidR="0049274B" w:rsidRPr="004B520E" w:rsidRDefault="00100AEA" w:rsidP="009738F5">
      <w:pPr>
        <w:pStyle w:val="Boxedheadingblue"/>
      </w:pPr>
      <w:bookmarkStart w:id="99" w:name="_Toc168579819"/>
      <w:bookmarkStart w:id="100" w:name="_Toc172283608"/>
      <w:bookmarkStart w:id="101" w:name="_Toc172290936"/>
      <w:bookmarkStart w:id="102" w:name="_Toc178668836"/>
      <w:r w:rsidRPr="004B520E">
        <w:t xml:space="preserve">The </w:t>
      </w:r>
      <w:r w:rsidR="00A37D4C" w:rsidRPr="004B520E">
        <w:t xml:space="preserve">contribution of </w:t>
      </w:r>
      <w:r w:rsidR="00247854" w:rsidRPr="004B520E">
        <w:rPr>
          <w:rFonts w:cs="Calibri"/>
        </w:rPr>
        <w:t xml:space="preserve">Commonwealth environmental water </w:t>
      </w:r>
      <w:r w:rsidR="00A37D4C" w:rsidRPr="004B520E">
        <w:t>to</w:t>
      </w:r>
      <w:r w:rsidR="00287CF5" w:rsidRPr="004B520E">
        <w:t xml:space="preserve"> Basin Plan objectives</w:t>
      </w:r>
      <w:bookmarkEnd w:id="99"/>
      <w:bookmarkEnd w:id="100"/>
      <w:bookmarkEnd w:id="101"/>
      <w:bookmarkEnd w:id="102"/>
    </w:p>
    <w:p w14:paraId="1AA27760" w14:textId="7A93D26C" w:rsidR="00A37D4C" w:rsidRPr="004B520E" w:rsidRDefault="00A37D4C" w:rsidP="005A77AB">
      <w:pPr>
        <w:pStyle w:val="Boxedtextblue"/>
        <w:keepNext/>
        <w:rPr>
          <w:rStyle w:val="Bold"/>
          <w:b w:val="0"/>
        </w:rPr>
      </w:pPr>
      <w:r w:rsidRPr="004B520E">
        <w:rPr>
          <w:rStyle w:val="Bold"/>
          <w:bCs/>
          <w:szCs w:val="21"/>
        </w:rPr>
        <w:t>Biodiversity – to protect and restore water</w:t>
      </w:r>
      <w:r w:rsidR="00A27AA6" w:rsidRPr="004B520E">
        <w:rPr>
          <w:rStyle w:val="Bold"/>
          <w:bCs/>
          <w:szCs w:val="21"/>
        </w:rPr>
        <w:t>-</w:t>
      </w:r>
      <w:r w:rsidRPr="004B520E">
        <w:rPr>
          <w:rStyle w:val="Bold"/>
          <w:bCs/>
          <w:szCs w:val="21"/>
        </w:rPr>
        <w:t>dependent ecosystems (</w:t>
      </w:r>
      <w:r w:rsidR="00E062C7" w:rsidRPr="004B520E">
        <w:rPr>
          <w:rStyle w:val="Bold"/>
          <w:bCs/>
          <w:szCs w:val="21"/>
        </w:rPr>
        <w:t xml:space="preserve">Basin Plan </w:t>
      </w:r>
      <w:r w:rsidR="004B0FAC" w:rsidRPr="004B520E">
        <w:rPr>
          <w:rStyle w:val="Bold"/>
          <w:bCs/>
          <w:szCs w:val="21"/>
        </w:rPr>
        <w:t xml:space="preserve">section </w:t>
      </w:r>
      <w:r w:rsidRPr="004B520E">
        <w:rPr>
          <w:rStyle w:val="Bold"/>
          <w:bCs/>
          <w:szCs w:val="21"/>
        </w:rPr>
        <w:t>8.05)</w:t>
      </w:r>
    </w:p>
    <w:p w14:paraId="65CA570B" w14:textId="483E2361" w:rsidR="00A37D4C" w:rsidRPr="004B520E" w:rsidRDefault="00A37D4C" w:rsidP="00DA6E62">
      <w:pPr>
        <w:pStyle w:val="Boxedtextblue"/>
        <w:rPr>
          <w:rStyle w:val="Italics"/>
          <w:i w:val="0"/>
          <w:szCs w:val="21"/>
        </w:rPr>
      </w:pPr>
      <w:r w:rsidRPr="004B520E">
        <w:rPr>
          <w:rStyle w:val="Italics"/>
          <w:i w:val="0"/>
          <w:szCs w:val="21"/>
        </w:rPr>
        <w:t xml:space="preserve">What did </w:t>
      </w:r>
      <w:r w:rsidR="00247854" w:rsidRPr="004B520E">
        <w:rPr>
          <w:rFonts w:cs="Calibri"/>
          <w:szCs w:val="21"/>
        </w:rPr>
        <w:t xml:space="preserve">Commonwealth environmental water </w:t>
      </w:r>
      <w:r w:rsidRPr="004B520E">
        <w:rPr>
          <w:rStyle w:val="Italics"/>
          <w:i w:val="0"/>
          <w:szCs w:val="21"/>
        </w:rPr>
        <w:t>contribute to ecosystem diversity?</w:t>
      </w:r>
    </w:p>
    <w:p w14:paraId="1E7A318A" w14:textId="679A4F4B" w:rsidR="00A37D4C" w:rsidRPr="004B520E" w:rsidRDefault="00A37D4C" w:rsidP="00DA6E62">
      <w:pPr>
        <w:pStyle w:val="Boxedtextblue"/>
        <w:rPr>
          <w:szCs w:val="21"/>
        </w:rPr>
      </w:pPr>
      <w:r w:rsidRPr="004B520E">
        <w:rPr>
          <w:szCs w:val="21"/>
        </w:rPr>
        <w:t xml:space="preserve">What did </w:t>
      </w:r>
      <w:r w:rsidR="00247854" w:rsidRPr="004B520E">
        <w:rPr>
          <w:rFonts w:cs="Calibri"/>
          <w:szCs w:val="21"/>
        </w:rPr>
        <w:t xml:space="preserve">Commonwealth environmental water </w:t>
      </w:r>
      <w:r w:rsidRPr="004B520E">
        <w:rPr>
          <w:szCs w:val="21"/>
        </w:rPr>
        <w:t>contribute to species diversity?</w:t>
      </w:r>
    </w:p>
    <w:p w14:paraId="50CB4E3A" w14:textId="67A49EEE" w:rsidR="00A37D4C" w:rsidRPr="004B520E" w:rsidRDefault="00A37D4C" w:rsidP="00AF72F8">
      <w:pPr>
        <w:pStyle w:val="Boxedtextblue"/>
      </w:pPr>
      <w:r w:rsidRPr="004B520E">
        <w:t xml:space="preserve">What did </w:t>
      </w:r>
      <w:r w:rsidR="00247854" w:rsidRPr="004B520E">
        <w:rPr>
          <w:rFonts w:cs="Calibri"/>
        </w:rPr>
        <w:t xml:space="preserve">Commonwealth environmental water </w:t>
      </w:r>
      <w:r w:rsidRPr="004B520E">
        <w:t>contribute to</w:t>
      </w:r>
      <w:r w:rsidR="00952FB3" w:rsidRPr="004B520E">
        <w:t xml:space="preserve"> vegetation</w:t>
      </w:r>
      <w:r w:rsidRPr="004B520E">
        <w:t xml:space="preserve"> community diversity?</w:t>
      </w:r>
    </w:p>
    <w:p w14:paraId="3AD213BB" w14:textId="71BB0A62" w:rsidR="00A12A3E" w:rsidRPr="004B520E" w:rsidRDefault="00A12A3E" w:rsidP="00AF72F8">
      <w:pPr>
        <w:pStyle w:val="Boxedtextblue"/>
      </w:pPr>
      <w:r w:rsidRPr="004B520E">
        <w:t xml:space="preserve">What did </w:t>
      </w:r>
      <w:r w:rsidR="00247854" w:rsidRPr="004B520E">
        <w:rPr>
          <w:rFonts w:cs="Calibri"/>
        </w:rPr>
        <w:t xml:space="preserve">Commonwealth environmental water </w:t>
      </w:r>
      <w:r w:rsidRPr="004B520E">
        <w:t xml:space="preserve">contribute to </w:t>
      </w:r>
      <w:r w:rsidR="00871FEB" w:rsidRPr="004B520E">
        <w:t>sustaining native fish populations</w:t>
      </w:r>
      <w:r w:rsidRPr="004B520E">
        <w:t>?</w:t>
      </w:r>
    </w:p>
    <w:p w14:paraId="613BDF37" w14:textId="1FF33AB5" w:rsidR="00A37D4C" w:rsidRPr="004B520E" w:rsidRDefault="00A37D4C" w:rsidP="00DA6E62">
      <w:pPr>
        <w:pStyle w:val="Boxedtextblue"/>
        <w:rPr>
          <w:szCs w:val="21"/>
        </w:rPr>
      </w:pPr>
      <w:r w:rsidRPr="004B520E">
        <w:rPr>
          <w:szCs w:val="21"/>
        </w:rPr>
        <w:t xml:space="preserve">What </w:t>
      </w:r>
      <w:r w:rsidR="00100AEA" w:rsidRPr="004B520E">
        <w:rPr>
          <w:szCs w:val="21"/>
        </w:rPr>
        <w:t>did</w:t>
      </w:r>
      <w:r w:rsidRPr="004B520E">
        <w:rPr>
          <w:szCs w:val="21"/>
        </w:rPr>
        <w:t xml:space="preserve"> </w:t>
      </w:r>
      <w:r w:rsidR="00247854" w:rsidRPr="004B520E">
        <w:rPr>
          <w:rFonts w:cs="Calibri"/>
          <w:szCs w:val="21"/>
        </w:rPr>
        <w:t xml:space="preserve">Commonwealth environmental water </w:t>
      </w:r>
      <w:r w:rsidR="00100AEA" w:rsidRPr="004B520E">
        <w:rPr>
          <w:szCs w:val="21"/>
        </w:rPr>
        <w:t>contribute</w:t>
      </w:r>
      <w:r w:rsidR="00822C94" w:rsidRPr="004B520E">
        <w:rPr>
          <w:szCs w:val="21"/>
        </w:rPr>
        <w:t xml:space="preserve"> </w:t>
      </w:r>
      <w:r w:rsidRPr="004B520E">
        <w:rPr>
          <w:szCs w:val="21"/>
        </w:rPr>
        <w:t xml:space="preserve">to Ramsar wetlands </w:t>
      </w:r>
      <w:r w:rsidR="00D12E92" w:rsidRPr="004B520E">
        <w:rPr>
          <w:szCs w:val="21"/>
        </w:rPr>
        <w:t>i</w:t>
      </w:r>
      <w:r w:rsidRPr="004B520E">
        <w:rPr>
          <w:szCs w:val="21"/>
        </w:rPr>
        <w:t>n the Basin?</w:t>
      </w:r>
    </w:p>
    <w:p w14:paraId="50EF3A37" w14:textId="06187A30" w:rsidR="00A37D4C" w:rsidRPr="004B520E" w:rsidRDefault="00A37D4C" w:rsidP="001C2331">
      <w:pPr>
        <w:pStyle w:val="Boxedtextblue"/>
        <w:keepNext/>
        <w:keepLines/>
        <w:rPr>
          <w:rStyle w:val="Bold"/>
          <w:b w:val="0"/>
          <w:bCs/>
          <w:szCs w:val="21"/>
        </w:rPr>
      </w:pPr>
      <w:r w:rsidRPr="004B520E">
        <w:rPr>
          <w:rStyle w:val="Bold"/>
          <w:bCs/>
          <w:szCs w:val="21"/>
        </w:rPr>
        <w:t xml:space="preserve">Ecosystem function – to protect and restore </w:t>
      </w:r>
      <w:r w:rsidR="00FE6849" w:rsidRPr="004B520E">
        <w:rPr>
          <w:rStyle w:val="Bold"/>
          <w:bCs/>
          <w:szCs w:val="21"/>
        </w:rPr>
        <w:t xml:space="preserve">the </w:t>
      </w:r>
      <w:r w:rsidRPr="004B520E">
        <w:rPr>
          <w:rStyle w:val="Bold"/>
          <w:bCs/>
          <w:szCs w:val="21"/>
        </w:rPr>
        <w:t>ecosystem function</w:t>
      </w:r>
      <w:r w:rsidR="00FE6849" w:rsidRPr="004B520E">
        <w:rPr>
          <w:rStyle w:val="Bold"/>
          <w:bCs/>
          <w:szCs w:val="21"/>
        </w:rPr>
        <w:t>s of water-dependent ecosystems</w:t>
      </w:r>
      <w:r w:rsidRPr="004B520E">
        <w:rPr>
          <w:rStyle w:val="Bold"/>
          <w:bCs/>
          <w:szCs w:val="21"/>
        </w:rPr>
        <w:t xml:space="preserve"> (</w:t>
      </w:r>
      <w:r w:rsidR="00E062C7" w:rsidRPr="004B520E">
        <w:rPr>
          <w:rStyle w:val="Bold"/>
          <w:bCs/>
          <w:szCs w:val="21"/>
        </w:rPr>
        <w:t xml:space="preserve">Basin Plan </w:t>
      </w:r>
      <w:r w:rsidR="004B0FAC" w:rsidRPr="004B520E">
        <w:rPr>
          <w:rStyle w:val="Bold"/>
          <w:bCs/>
          <w:szCs w:val="21"/>
        </w:rPr>
        <w:t xml:space="preserve">section </w:t>
      </w:r>
      <w:r w:rsidRPr="004B520E">
        <w:rPr>
          <w:rStyle w:val="Bold"/>
          <w:bCs/>
          <w:szCs w:val="21"/>
        </w:rPr>
        <w:t>8.06)</w:t>
      </w:r>
    </w:p>
    <w:p w14:paraId="049925C7" w14:textId="7075214B" w:rsidR="00A37D4C" w:rsidRPr="004B520E" w:rsidRDefault="00A37D4C" w:rsidP="00DA6E62">
      <w:pPr>
        <w:pStyle w:val="Boxedtextblue"/>
        <w:rPr>
          <w:rStyle w:val="Italics"/>
          <w:i w:val="0"/>
          <w:szCs w:val="21"/>
        </w:rPr>
      </w:pPr>
      <w:r w:rsidRPr="004B520E">
        <w:rPr>
          <w:rStyle w:val="Italics"/>
          <w:i w:val="0"/>
          <w:szCs w:val="21"/>
        </w:rPr>
        <w:t xml:space="preserve">What did </w:t>
      </w:r>
      <w:r w:rsidR="00247854" w:rsidRPr="004B520E">
        <w:rPr>
          <w:rFonts w:cs="Calibri"/>
          <w:szCs w:val="21"/>
        </w:rPr>
        <w:t xml:space="preserve">Commonwealth environmental water </w:t>
      </w:r>
      <w:r w:rsidRPr="004B520E">
        <w:rPr>
          <w:rStyle w:val="Italics"/>
          <w:i w:val="0"/>
          <w:szCs w:val="21"/>
        </w:rPr>
        <w:t xml:space="preserve">contribute to </w:t>
      </w:r>
      <w:r w:rsidR="00757BF5" w:rsidRPr="004B520E">
        <w:rPr>
          <w:rStyle w:val="Italics"/>
          <w:i w:val="0"/>
          <w:szCs w:val="21"/>
        </w:rPr>
        <w:t>the</w:t>
      </w:r>
      <w:r w:rsidRPr="004B520E">
        <w:rPr>
          <w:rStyle w:val="Italics"/>
          <w:i w:val="0"/>
          <w:szCs w:val="21"/>
        </w:rPr>
        <w:t xml:space="preserve"> restoration of </w:t>
      </w:r>
      <w:r w:rsidR="00D64F7E" w:rsidRPr="004B520E">
        <w:rPr>
          <w:rStyle w:val="Italics"/>
          <w:i w:val="0"/>
          <w:szCs w:val="21"/>
        </w:rPr>
        <w:t xml:space="preserve">flow </w:t>
      </w:r>
      <w:r w:rsidRPr="004B520E">
        <w:rPr>
          <w:rStyle w:val="Italics"/>
          <w:i w:val="0"/>
          <w:szCs w:val="21"/>
        </w:rPr>
        <w:t>regime?</w:t>
      </w:r>
    </w:p>
    <w:p w14:paraId="024AF5F3" w14:textId="6B130F2E" w:rsidR="00A37D4C" w:rsidRPr="004B520E" w:rsidRDefault="00A37D4C" w:rsidP="00DA6E62">
      <w:pPr>
        <w:pStyle w:val="Boxedtextblue"/>
        <w:rPr>
          <w:szCs w:val="21"/>
        </w:rPr>
      </w:pPr>
      <w:r w:rsidRPr="004B520E">
        <w:rPr>
          <w:szCs w:val="21"/>
        </w:rPr>
        <w:t xml:space="preserve">What did </w:t>
      </w:r>
      <w:r w:rsidR="00247854" w:rsidRPr="004B520E">
        <w:rPr>
          <w:rFonts w:cs="Calibri"/>
          <w:szCs w:val="21"/>
        </w:rPr>
        <w:t xml:space="preserve">Commonwealth environmental water </w:t>
      </w:r>
      <w:r w:rsidRPr="004B520E">
        <w:rPr>
          <w:szCs w:val="21"/>
        </w:rPr>
        <w:t xml:space="preserve">contribute to </w:t>
      </w:r>
      <w:r w:rsidR="00D64F7E" w:rsidRPr="004B520E">
        <w:rPr>
          <w:szCs w:val="21"/>
        </w:rPr>
        <w:t xml:space="preserve">patterns and rates of </w:t>
      </w:r>
      <w:r w:rsidRPr="004B520E">
        <w:rPr>
          <w:szCs w:val="21"/>
        </w:rPr>
        <w:t>ecosystem respiration and primary productivity?</w:t>
      </w:r>
    </w:p>
    <w:p w14:paraId="10CA16AA" w14:textId="7D30374C" w:rsidR="00A37D4C" w:rsidRPr="004B520E" w:rsidRDefault="00A37D4C" w:rsidP="00F406A4">
      <w:pPr>
        <w:pStyle w:val="Boxedtextblue"/>
        <w:keepNext/>
        <w:rPr>
          <w:rStyle w:val="Bold"/>
          <w:b w:val="0"/>
          <w:bCs/>
          <w:szCs w:val="21"/>
        </w:rPr>
      </w:pPr>
      <w:r w:rsidRPr="004B520E">
        <w:rPr>
          <w:rStyle w:val="Bold"/>
          <w:bCs/>
          <w:szCs w:val="21"/>
        </w:rPr>
        <w:t>Resilience – to ensure water</w:t>
      </w:r>
      <w:r w:rsidR="00FA4CDA" w:rsidRPr="004B520E">
        <w:rPr>
          <w:rStyle w:val="Bold"/>
          <w:bCs/>
          <w:szCs w:val="21"/>
        </w:rPr>
        <w:t>-</w:t>
      </w:r>
      <w:r w:rsidRPr="004B520E">
        <w:rPr>
          <w:rStyle w:val="Bold"/>
          <w:bCs/>
          <w:szCs w:val="21"/>
        </w:rPr>
        <w:t>dependent ecosystems are resilient to climate change and other risks and threats (</w:t>
      </w:r>
      <w:r w:rsidR="00E062C7" w:rsidRPr="004B520E">
        <w:rPr>
          <w:rStyle w:val="Bold"/>
          <w:bCs/>
          <w:szCs w:val="21"/>
        </w:rPr>
        <w:t xml:space="preserve">Basin Plan </w:t>
      </w:r>
      <w:r w:rsidR="00E77ABE" w:rsidRPr="004B520E">
        <w:rPr>
          <w:rStyle w:val="Bold"/>
          <w:bCs/>
          <w:szCs w:val="21"/>
        </w:rPr>
        <w:t xml:space="preserve">section </w:t>
      </w:r>
      <w:r w:rsidRPr="004B520E">
        <w:rPr>
          <w:rStyle w:val="Bold"/>
          <w:bCs/>
          <w:szCs w:val="21"/>
        </w:rPr>
        <w:t>8.07)</w:t>
      </w:r>
    </w:p>
    <w:p w14:paraId="7DA51930" w14:textId="7400D88B" w:rsidR="00E77F67" w:rsidRPr="004B520E" w:rsidRDefault="003007A3" w:rsidP="00DA6E62">
      <w:pPr>
        <w:pStyle w:val="Boxedtextblue"/>
        <w:rPr>
          <w:rStyle w:val="Italics"/>
          <w:i w:val="0"/>
          <w:szCs w:val="21"/>
        </w:rPr>
      </w:pPr>
      <w:r w:rsidRPr="004B520E">
        <w:rPr>
          <w:rStyle w:val="Italics"/>
          <w:i w:val="0"/>
          <w:szCs w:val="21"/>
        </w:rPr>
        <w:t>Addressed through considering refugia</w:t>
      </w:r>
      <w:r w:rsidR="002C301F" w:rsidRPr="004B520E">
        <w:rPr>
          <w:rStyle w:val="Italics"/>
          <w:i w:val="0"/>
          <w:szCs w:val="21"/>
        </w:rPr>
        <w:t>.</w:t>
      </w:r>
    </w:p>
    <w:p w14:paraId="3A2C59CD" w14:textId="2249B36F" w:rsidR="00E72A48" w:rsidRDefault="00A37D4C" w:rsidP="00F406A4">
      <w:pPr>
        <w:pStyle w:val="Boxedtextblue"/>
        <w:keepNext/>
        <w:rPr>
          <w:rStyle w:val="Bold"/>
          <w:bCs/>
          <w:szCs w:val="21"/>
        </w:rPr>
      </w:pPr>
      <w:r w:rsidRPr="004B520E">
        <w:rPr>
          <w:rStyle w:val="Bold"/>
          <w:bCs/>
          <w:szCs w:val="21"/>
        </w:rPr>
        <w:t xml:space="preserve">Water quality – to maintain water quality and meet </w:t>
      </w:r>
      <w:r w:rsidR="00D53E45" w:rsidRPr="004B520E">
        <w:rPr>
          <w:rStyle w:val="Bold"/>
          <w:bCs/>
          <w:szCs w:val="21"/>
        </w:rPr>
        <w:t>targets for</w:t>
      </w:r>
      <w:r w:rsidRPr="004B520E">
        <w:rPr>
          <w:rStyle w:val="Bold"/>
          <w:bCs/>
          <w:szCs w:val="21"/>
        </w:rPr>
        <w:t xml:space="preserve"> salt export, salinity and dissolved oxygen (</w:t>
      </w:r>
      <w:r w:rsidR="00E062C7" w:rsidRPr="004B520E">
        <w:rPr>
          <w:rStyle w:val="Bold"/>
          <w:bCs/>
          <w:szCs w:val="21"/>
        </w:rPr>
        <w:t xml:space="preserve">Basin Plan </w:t>
      </w:r>
      <w:r w:rsidR="001D71FF" w:rsidRPr="004B520E">
        <w:rPr>
          <w:rStyle w:val="Bold"/>
          <w:bCs/>
          <w:szCs w:val="21"/>
        </w:rPr>
        <w:t xml:space="preserve">sections </w:t>
      </w:r>
      <w:r w:rsidRPr="004B520E">
        <w:rPr>
          <w:rStyle w:val="Bold"/>
          <w:bCs/>
          <w:szCs w:val="21"/>
        </w:rPr>
        <w:t>9.08, 9.09, 9.14)</w:t>
      </w:r>
    </w:p>
    <w:p w14:paraId="036D7C2B" w14:textId="09591A29" w:rsidR="001B7732" w:rsidRPr="004B520E" w:rsidRDefault="001B7732" w:rsidP="00DA6E62">
      <w:pPr>
        <w:pStyle w:val="Boxedtextblue"/>
        <w:rPr>
          <w:rStyle w:val="Italics"/>
          <w:i w:val="0"/>
          <w:szCs w:val="21"/>
        </w:rPr>
      </w:pPr>
      <w:r w:rsidRPr="004B520E">
        <w:rPr>
          <w:rStyle w:val="Italics"/>
          <w:i w:val="0"/>
          <w:szCs w:val="21"/>
        </w:rPr>
        <w:t xml:space="preserve">What </w:t>
      </w:r>
      <w:r w:rsidR="00D64F7E" w:rsidRPr="004B520E">
        <w:rPr>
          <w:rStyle w:val="Italics"/>
          <w:i w:val="0"/>
          <w:szCs w:val="21"/>
        </w:rPr>
        <w:t xml:space="preserve">did </w:t>
      </w:r>
      <w:r w:rsidR="00F57E26" w:rsidRPr="004B520E">
        <w:rPr>
          <w:rFonts w:cs="Calibri"/>
          <w:szCs w:val="21"/>
        </w:rPr>
        <w:t xml:space="preserve">Commonwealth environmental water </w:t>
      </w:r>
      <w:r w:rsidR="00100AEA" w:rsidRPr="004B520E">
        <w:rPr>
          <w:rStyle w:val="Italics"/>
          <w:i w:val="0"/>
          <w:szCs w:val="21"/>
        </w:rPr>
        <w:t xml:space="preserve">contribute </w:t>
      </w:r>
      <w:r w:rsidR="00D64F7E" w:rsidRPr="004B520E">
        <w:rPr>
          <w:rStyle w:val="Italics"/>
          <w:i w:val="0"/>
          <w:szCs w:val="21"/>
        </w:rPr>
        <w:t>to dissolved oxygen levels and salinity regimes</w:t>
      </w:r>
      <w:r w:rsidRPr="004B520E">
        <w:rPr>
          <w:rStyle w:val="Italics"/>
          <w:i w:val="0"/>
          <w:szCs w:val="21"/>
        </w:rPr>
        <w:t>?</w:t>
      </w:r>
    </w:p>
    <w:p w14:paraId="5135C418" w14:textId="19ABE5AE" w:rsidR="000A4978" w:rsidRPr="004B520E" w:rsidRDefault="000A4978" w:rsidP="00113FC9">
      <w:pPr>
        <w:pStyle w:val="Heading2"/>
        <w:rPr>
          <w:rStyle w:val="Italics"/>
          <w:i w:val="0"/>
        </w:rPr>
      </w:pPr>
      <w:bookmarkStart w:id="103" w:name="_Toc172283609"/>
      <w:bookmarkStart w:id="104" w:name="_Toc172290937"/>
      <w:bookmarkStart w:id="105" w:name="_Toc178668837"/>
      <w:bookmarkStart w:id="106" w:name="_Toc200743751"/>
      <w:bookmarkStart w:id="107" w:name="_Toc200743850"/>
      <w:bookmarkStart w:id="108" w:name="_Toc203682264"/>
      <w:bookmarkStart w:id="109" w:name="_Toc204606879"/>
      <w:r w:rsidRPr="004B520E">
        <w:rPr>
          <w:rStyle w:val="Italics"/>
          <w:i w:val="0"/>
        </w:rPr>
        <w:t>About this report</w:t>
      </w:r>
      <w:bookmarkEnd w:id="103"/>
      <w:bookmarkEnd w:id="104"/>
      <w:bookmarkEnd w:id="105"/>
      <w:bookmarkEnd w:id="106"/>
      <w:bookmarkEnd w:id="107"/>
      <w:bookmarkEnd w:id="108"/>
      <w:bookmarkEnd w:id="109"/>
    </w:p>
    <w:p w14:paraId="2A740777" w14:textId="7122D5F4" w:rsidR="0035012E" w:rsidRPr="004B520E" w:rsidRDefault="00E400EC" w:rsidP="00E400EC">
      <w:pPr>
        <w:pStyle w:val="BodyText"/>
      </w:pPr>
      <w:r w:rsidRPr="004B520E">
        <w:t>Flow-MER provides the CEWH with evidence</w:t>
      </w:r>
      <w:r w:rsidR="00AD5269" w:rsidRPr="004B520E">
        <w:t xml:space="preserve"> of </w:t>
      </w:r>
      <w:r w:rsidRPr="004B520E">
        <w:t xml:space="preserve">how </w:t>
      </w:r>
      <w:r w:rsidRPr="004B520E">
        <w:rPr>
          <w:rFonts w:cs="Calibri"/>
        </w:rPr>
        <w:t xml:space="preserve">Commonwealth environmental water </w:t>
      </w:r>
      <w:r w:rsidRPr="004B520E">
        <w:t>is helping maintain, protect and restore ecosystems and native species across the Basin.</w:t>
      </w:r>
      <w:r w:rsidRPr="004B520E" w:rsidDel="00B37389">
        <w:t xml:space="preserve"> </w:t>
      </w:r>
      <w:r w:rsidRPr="004B520E">
        <w:t xml:space="preserve">This work supports environmental water managers to demonstrate outcomes, inform adaptive management, and fulfil reporting requirements associated with managing </w:t>
      </w:r>
      <w:r w:rsidRPr="004B520E">
        <w:rPr>
          <w:rFonts w:cs="Calibri"/>
        </w:rPr>
        <w:t>Commonwealth environmental water</w:t>
      </w:r>
      <w:r w:rsidR="0035012E" w:rsidRPr="004B520E">
        <w:t>.</w:t>
      </w:r>
    </w:p>
    <w:p w14:paraId="12430571" w14:textId="68813F81" w:rsidR="00AD5269" w:rsidRPr="004B520E" w:rsidRDefault="00E400EC" w:rsidP="00AD5269">
      <w:pPr>
        <w:pStyle w:val="BodyText"/>
      </w:pPr>
      <w:r w:rsidRPr="004B520E">
        <w:rPr>
          <w:rFonts w:eastAsia="Times New Roman"/>
          <w:color w:val="auto"/>
          <w:lang w:eastAsia="en-US"/>
        </w:rPr>
        <w:t>This</w:t>
      </w:r>
      <w:r w:rsidR="00AD5269" w:rsidRPr="004B520E">
        <w:rPr>
          <w:rFonts w:eastAsia="Times New Roman"/>
          <w:color w:val="auto"/>
          <w:lang w:eastAsia="en-US"/>
        </w:rPr>
        <w:t xml:space="preserve"> report </w:t>
      </w:r>
      <w:r w:rsidRPr="004B520E">
        <w:rPr>
          <w:rFonts w:eastAsia="Times New Roman"/>
          <w:color w:val="auto"/>
          <w:lang w:eastAsia="en-US"/>
        </w:rPr>
        <w:t xml:space="preserve">summarises environmental outcomes from the delivery of </w:t>
      </w:r>
      <w:r w:rsidRPr="004B520E">
        <w:rPr>
          <w:rFonts w:cs="Calibri"/>
        </w:rPr>
        <w:t xml:space="preserve">Commonwealth environmental water </w:t>
      </w:r>
      <w:r w:rsidRPr="004B520E">
        <w:rPr>
          <w:rFonts w:eastAsia="Times New Roman"/>
          <w:color w:val="auto"/>
          <w:lang w:eastAsia="en-US"/>
        </w:rPr>
        <w:t>for the most recent water year (</w:t>
      </w:r>
      <w:r w:rsidR="00244943" w:rsidRPr="004B520E">
        <w:rPr>
          <w:rFonts w:eastAsia="Times New Roman"/>
          <w:color w:val="auto"/>
          <w:lang w:eastAsia="en-US"/>
        </w:rPr>
        <w:t>2023–24</w:t>
      </w:r>
      <w:r w:rsidRPr="004B520E">
        <w:rPr>
          <w:rFonts w:eastAsia="Times New Roman"/>
          <w:color w:val="auto"/>
          <w:lang w:eastAsia="en-US"/>
        </w:rPr>
        <w:t xml:space="preserve">) and cumulative outcomes for the </w:t>
      </w:r>
      <w:r w:rsidR="001A24C3" w:rsidRPr="004B520E">
        <w:rPr>
          <w:rFonts w:eastAsia="Times New Roman"/>
          <w:color w:val="auto"/>
          <w:lang w:eastAsia="en-US"/>
        </w:rPr>
        <w:t>10</w:t>
      </w:r>
      <w:r w:rsidRPr="004B520E">
        <w:rPr>
          <w:rFonts w:eastAsia="Times New Roman"/>
          <w:color w:val="auto"/>
          <w:lang w:eastAsia="en-US"/>
        </w:rPr>
        <w:t xml:space="preserve"> </w:t>
      </w:r>
      <w:r w:rsidR="0088616A">
        <w:rPr>
          <w:rFonts w:eastAsia="Times New Roman"/>
          <w:color w:val="auto"/>
          <w:lang w:eastAsia="en-US"/>
        </w:rPr>
        <w:t xml:space="preserve">water </w:t>
      </w:r>
      <w:r w:rsidRPr="004B520E">
        <w:rPr>
          <w:rFonts w:eastAsia="Times New Roman"/>
          <w:color w:val="auto"/>
          <w:lang w:eastAsia="en-US"/>
        </w:rPr>
        <w:t xml:space="preserve">years since 1 July 2014. </w:t>
      </w:r>
      <w:r w:rsidR="009B6394" w:rsidRPr="004B520E">
        <w:rPr>
          <w:rFonts w:eastAsia="Times New Roman"/>
          <w:color w:val="auto"/>
          <w:lang w:eastAsia="en-US"/>
        </w:rPr>
        <w:t>Its prep</w:t>
      </w:r>
      <w:r w:rsidR="00AD5269" w:rsidRPr="004B520E">
        <w:t xml:space="preserve">aration was led by Dianne Flett </w:t>
      </w:r>
      <w:r w:rsidR="009B6394" w:rsidRPr="004B520E">
        <w:t xml:space="preserve">and </w:t>
      </w:r>
      <w:r w:rsidR="00C125AF" w:rsidRPr="004B520E">
        <w:t xml:space="preserve">Susan Cuddy, </w:t>
      </w:r>
      <w:r w:rsidR="009B6394" w:rsidRPr="004B520E">
        <w:t>CSIRO</w:t>
      </w:r>
      <w:r w:rsidR="00E667FA" w:rsidRPr="004B520E">
        <w:t>,</w:t>
      </w:r>
      <w:r w:rsidR="00AD5269" w:rsidRPr="004B520E">
        <w:t xml:space="preserve"> </w:t>
      </w:r>
      <w:r w:rsidR="00186181">
        <w:t>and</w:t>
      </w:r>
      <w:r w:rsidR="00186181" w:rsidRPr="004B520E">
        <w:t xml:space="preserve"> </w:t>
      </w:r>
      <w:r w:rsidR="002143A7" w:rsidRPr="004B520E">
        <w:t>input</w:t>
      </w:r>
      <w:r w:rsidR="00186181">
        <w:t xml:space="preserve"> was received</w:t>
      </w:r>
      <w:r w:rsidR="002143A7" w:rsidRPr="004B520E">
        <w:t xml:space="preserve"> from all </w:t>
      </w:r>
      <w:r w:rsidR="002143A7" w:rsidRPr="004B520E">
        <w:lastRenderedPageBreak/>
        <w:t xml:space="preserve">other members of the Basin-scale Flow-MER evaluation team. It </w:t>
      </w:r>
      <w:r w:rsidR="00DE278B" w:rsidRPr="004B520E">
        <w:t>summarises and</w:t>
      </w:r>
      <w:r w:rsidR="002143A7" w:rsidRPr="004B520E">
        <w:t xml:space="preserve"> </w:t>
      </w:r>
      <w:r w:rsidR="0038532A" w:rsidRPr="004B520E">
        <w:t xml:space="preserve">synthesises information from the most recent Basin-scale evaluation reports </w:t>
      </w:r>
      <w:r w:rsidR="00627F5B" w:rsidRPr="004B520E">
        <w:t>in a format that</w:t>
      </w:r>
      <w:r w:rsidR="003E59E4" w:rsidRPr="004B520E">
        <w:t xml:space="preserve"> is </w:t>
      </w:r>
      <w:r w:rsidR="00627F5B" w:rsidRPr="004B520E">
        <w:t xml:space="preserve">suitable </w:t>
      </w:r>
      <w:r w:rsidR="00FC3084">
        <w:t xml:space="preserve">for </w:t>
      </w:r>
      <w:r w:rsidR="00F70FB1">
        <w:t xml:space="preserve">Government </w:t>
      </w:r>
      <w:r w:rsidR="00FC3084">
        <w:t xml:space="preserve">briefings </w:t>
      </w:r>
      <w:r w:rsidR="00627F5B" w:rsidRPr="004B520E">
        <w:t xml:space="preserve">and other uses as required by the CEWH. </w:t>
      </w:r>
      <w:r w:rsidR="00350A2E" w:rsidRPr="004B520E">
        <w:t xml:space="preserve">As a </w:t>
      </w:r>
      <w:r w:rsidR="001E0825" w:rsidRPr="004B520E">
        <w:t>s</w:t>
      </w:r>
      <w:r w:rsidR="00350A2E" w:rsidRPr="004B520E">
        <w:t xml:space="preserve">ynthesis of </w:t>
      </w:r>
      <w:r w:rsidR="00C64F4F" w:rsidRPr="004B520E">
        <w:t>the evaluation</w:t>
      </w:r>
      <w:r w:rsidR="00350A2E" w:rsidRPr="004B520E">
        <w:t xml:space="preserve"> reports, it does not include references</w:t>
      </w:r>
      <w:r w:rsidR="00C64F4F" w:rsidRPr="004B520E">
        <w:t>. These</w:t>
      </w:r>
      <w:r w:rsidR="00350A2E" w:rsidRPr="004B520E">
        <w:t xml:space="preserve"> are provided in the </w:t>
      </w:r>
      <w:r w:rsidR="00524D9D" w:rsidRPr="004B520E">
        <w:t>primary</w:t>
      </w:r>
      <w:r w:rsidR="00350A2E" w:rsidRPr="004B520E">
        <w:t xml:space="preserve"> reports</w:t>
      </w:r>
      <w:r w:rsidR="00983283" w:rsidRPr="004B520E">
        <w:t xml:space="preserve"> which are listed below</w:t>
      </w:r>
      <w:r w:rsidR="00524D9D" w:rsidRPr="004B520E">
        <w:t>:</w:t>
      </w:r>
    </w:p>
    <w:p w14:paraId="17DFFB2B" w14:textId="00F49244" w:rsidR="00B07BFE" w:rsidRPr="000B73AA" w:rsidRDefault="00A11DB5" w:rsidP="00B07BFE">
      <w:pPr>
        <w:pStyle w:val="ListBullet"/>
        <w:rPr>
          <w:i/>
          <w:iCs/>
        </w:rPr>
      </w:pPr>
      <w:r w:rsidRPr="000B73AA">
        <w:rPr>
          <w:i/>
          <w:iCs/>
        </w:rPr>
        <w:t xml:space="preserve">Basin-scale evaluation of </w:t>
      </w:r>
      <w:r w:rsidR="00244943" w:rsidRPr="000B73AA">
        <w:rPr>
          <w:i/>
          <w:iCs/>
        </w:rPr>
        <w:t>2023–24</w:t>
      </w:r>
      <w:r w:rsidRPr="000B73AA">
        <w:rPr>
          <w:i/>
          <w:iCs/>
        </w:rPr>
        <w:t xml:space="preserve"> Commonwealth environmental water: Hydrology</w:t>
      </w:r>
    </w:p>
    <w:p w14:paraId="47B1B64C" w14:textId="3C963ADE" w:rsidR="00A11DB5" w:rsidRPr="004B520E" w:rsidRDefault="002F2B76" w:rsidP="00B07BFE">
      <w:pPr>
        <w:pStyle w:val="ListBullet2"/>
      </w:pPr>
      <w:r w:rsidRPr="004B520E">
        <w:t xml:space="preserve">led by Ashmita </w:t>
      </w:r>
      <w:r w:rsidR="005A7E37" w:rsidRPr="004B520E">
        <w:t>Sengupta</w:t>
      </w:r>
      <w:r w:rsidRPr="004B520E">
        <w:t xml:space="preserve"> (CSIRO) </w:t>
      </w:r>
      <w:r w:rsidR="008602F2" w:rsidRPr="004B520E">
        <w:t>with</w:t>
      </w:r>
      <w:r w:rsidRPr="004B520E">
        <w:t xml:space="preserve"> Felix Egger and Tony Weber (Alluvium)</w:t>
      </w:r>
    </w:p>
    <w:p w14:paraId="0F446AA5" w14:textId="17DED770" w:rsidR="00B07BFE" w:rsidRPr="000B73AA" w:rsidRDefault="002D6C30" w:rsidP="00B07BFE">
      <w:pPr>
        <w:pStyle w:val="ListBullet"/>
        <w:rPr>
          <w:i/>
          <w:iCs/>
        </w:rPr>
      </w:pPr>
      <w:r w:rsidRPr="000B73AA">
        <w:rPr>
          <w:i/>
          <w:iCs/>
        </w:rPr>
        <w:t xml:space="preserve">Basin-scale evaluation of </w:t>
      </w:r>
      <w:r w:rsidR="00244943" w:rsidRPr="000B73AA">
        <w:rPr>
          <w:i/>
          <w:iCs/>
        </w:rPr>
        <w:t>2023–24</w:t>
      </w:r>
      <w:r w:rsidRPr="000B73AA">
        <w:rPr>
          <w:i/>
          <w:iCs/>
        </w:rPr>
        <w:t xml:space="preserve"> Commonwealth environmental water: </w:t>
      </w:r>
      <w:r w:rsidR="00524D9D" w:rsidRPr="000B73AA">
        <w:rPr>
          <w:i/>
          <w:iCs/>
        </w:rPr>
        <w:t>Ecosystem Diversity</w:t>
      </w:r>
    </w:p>
    <w:p w14:paraId="672F422D" w14:textId="5AB4B43F" w:rsidR="002D6C30" w:rsidRPr="004B520E" w:rsidRDefault="002D6C30" w:rsidP="00B07BFE">
      <w:pPr>
        <w:pStyle w:val="ListBullet2"/>
      </w:pPr>
      <w:r w:rsidRPr="004B520E">
        <w:t xml:space="preserve">led by </w:t>
      </w:r>
      <w:r w:rsidR="00524D9D" w:rsidRPr="004B520E">
        <w:t>Shane Brooks (Brooks Ecology</w:t>
      </w:r>
      <w:r w:rsidR="007171DD">
        <w:t xml:space="preserve"> &amp; Technology</w:t>
      </w:r>
      <w:r w:rsidR="00524D9D" w:rsidRPr="004B520E">
        <w:t>)</w:t>
      </w:r>
    </w:p>
    <w:p w14:paraId="321094A5" w14:textId="00395F90" w:rsidR="00B07BFE" w:rsidRPr="000B73AA" w:rsidRDefault="002D6C30" w:rsidP="00B07BFE">
      <w:pPr>
        <w:pStyle w:val="ListBullet"/>
        <w:rPr>
          <w:i/>
          <w:iCs/>
        </w:rPr>
      </w:pPr>
      <w:r w:rsidRPr="000B73AA">
        <w:rPr>
          <w:i/>
          <w:iCs/>
        </w:rPr>
        <w:t xml:space="preserve">Basin-scale evaluation of </w:t>
      </w:r>
      <w:r w:rsidR="00244943" w:rsidRPr="000B73AA">
        <w:rPr>
          <w:i/>
          <w:iCs/>
        </w:rPr>
        <w:t>2023–24</w:t>
      </w:r>
      <w:r w:rsidRPr="000B73AA">
        <w:rPr>
          <w:i/>
          <w:iCs/>
        </w:rPr>
        <w:t xml:space="preserve"> Commonwealth environmental water: </w:t>
      </w:r>
      <w:r w:rsidR="00524D9D" w:rsidRPr="000B73AA">
        <w:rPr>
          <w:i/>
          <w:iCs/>
        </w:rPr>
        <w:t>Fish</w:t>
      </w:r>
    </w:p>
    <w:p w14:paraId="1694FA57" w14:textId="624EE89E" w:rsidR="002D6C30" w:rsidRPr="004B520E" w:rsidRDefault="002D6C30" w:rsidP="00B07BFE">
      <w:pPr>
        <w:pStyle w:val="ListBullet2"/>
      </w:pPr>
      <w:r>
        <w:t xml:space="preserve">led by </w:t>
      </w:r>
      <w:r w:rsidR="00524D9D">
        <w:t>Sally Hladyz</w:t>
      </w:r>
      <w:r w:rsidR="0026614A">
        <w:t xml:space="preserve"> </w:t>
      </w:r>
      <w:r w:rsidR="00524D9D">
        <w:t>(Arthur Rylah Institute</w:t>
      </w:r>
      <w:r w:rsidR="00137695">
        <w:t xml:space="preserve"> [ARI]</w:t>
      </w:r>
      <w:r w:rsidR="00524D9D">
        <w:t>,</w:t>
      </w:r>
      <w:r w:rsidR="00137695">
        <w:t xml:space="preserve"> Victorian Department of Energy, Environment and Climate Action [DEECA]</w:t>
      </w:r>
      <w:r w:rsidR="00890F56">
        <w:t>)</w:t>
      </w:r>
      <w:r w:rsidR="00D00048">
        <w:t xml:space="preserve">, </w:t>
      </w:r>
      <w:r w:rsidR="008602F2">
        <w:t xml:space="preserve">with </w:t>
      </w:r>
      <w:r w:rsidR="00D43570">
        <w:t>Zeb Tonkin, Jian Yen</w:t>
      </w:r>
      <w:r w:rsidR="003F3EE6">
        <w:t xml:space="preserve">, Ben Fanson, </w:t>
      </w:r>
      <w:r w:rsidR="00042AE7">
        <w:t xml:space="preserve">Wayne Koster, </w:t>
      </w:r>
      <w:r w:rsidR="00B5386B">
        <w:t>Jarod Lyon</w:t>
      </w:r>
      <w:r w:rsidR="00D43570">
        <w:t xml:space="preserve"> (ARI, DEECA), </w:t>
      </w:r>
      <w:r w:rsidR="008602F2">
        <w:t>Chris</w:t>
      </w:r>
      <w:r w:rsidR="0026614A">
        <w:t xml:space="preserve"> Bice, </w:t>
      </w:r>
      <w:r w:rsidR="0002697F">
        <w:t xml:space="preserve"> </w:t>
      </w:r>
      <w:r w:rsidR="00534CE2">
        <w:t>George Giatas, Qifeng Ye (</w:t>
      </w:r>
      <w:r w:rsidR="005B5680">
        <w:t>South Australian Research and Development Institute</w:t>
      </w:r>
      <w:r w:rsidR="00534CE2">
        <w:t xml:space="preserve">), </w:t>
      </w:r>
      <w:r w:rsidR="000F5736">
        <w:t xml:space="preserve">Lee Baumgartner, </w:t>
      </w:r>
      <w:r w:rsidR="008602F2">
        <w:t>Nicole</w:t>
      </w:r>
      <w:r w:rsidR="0026614A">
        <w:t xml:space="preserve"> McCasker</w:t>
      </w:r>
      <w:r w:rsidR="005445AE">
        <w:t>,</w:t>
      </w:r>
      <w:r w:rsidR="0026614A">
        <w:t xml:space="preserve"> </w:t>
      </w:r>
      <w:r w:rsidR="008602F2">
        <w:t>Ivor</w:t>
      </w:r>
      <w:r w:rsidR="0026614A">
        <w:t xml:space="preserve"> Stuart </w:t>
      </w:r>
      <w:r w:rsidR="008602F2">
        <w:t>(C</w:t>
      </w:r>
      <w:r w:rsidR="005B5680">
        <w:t xml:space="preserve">harles </w:t>
      </w:r>
      <w:r w:rsidR="008602F2">
        <w:t>S</w:t>
      </w:r>
      <w:r w:rsidR="005B5680">
        <w:t xml:space="preserve">turt </w:t>
      </w:r>
      <w:r w:rsidR="008602F2">
        <w:t>U</w:t>
      </w:r>
      <w:r w:rsidR="005B5680">
        <w:t>niversity</w:t>
      </w:r>
      <w:r w:rsidR="001961ED">
        <w:t xml:space="preserve"> [CSU]</w:t>
      </w:r>
      <w:r w:rsidR="008602F2">
        <w:t xml:space="preserve">), </w:t>
      </w:r>
      <w:r w:rsidR="7FE8E779">
        <w:t xml:space="preserve">Gavin Butler, </w:t>
      </w:r>
      <w:r w:rsidR="008602F2">
        <w:t>Jason</w:t>
      </w:r>
      <w:r w:rsidR="0026614A">
        <w:t xml:space="preserve"> Thiem</w:t>
      </w:r>
      <w:r w:rsidR="64C1074F">
        <w:t>, Jerom Stocks</w:t>
      </w:r>
      <w:r w:rsidR="0026614A">
        <w:t xml:space="preserve"> </w:t>
      </w:r>
      <w:r w:rsidR="008602F2">
        <w:t>(NSW D</w:t>
      </w:r>
      <w:r w:rsidR="005B5680">
        <w:t xml:space="preserve">epartment of </w:t>
      </w:r>
      <w:r w:rsidR="008602F2">
        <w:t>P</w:t>
      </w:r>
      <w:r w:rsidR="005B5680">
        <w:t xml:space="preserve">rimary </w:t>
      </w:r>
      <w:r w:rsidR="008602F2">
        <w:t>I</w:t>
      </w:r>
      <w:r w:rsidR="005B5680">
        <w:t>ndustries</w:t>
      </w:r>
      <w:r w:rsidR="008602F2">
        <w:t xml:space="preserve">), </w:t>
      </w:r>
      <w:r w:rsidR="003B734C">
        <w:t>B</w:t>
      </w:r>
      <w:r w:rsidR="306D51EE">
        <w:t>en</w:t>
      </w:r>
      <w:r w:rsidR="003B734C">
        <w:t xml:space="preserve"> Broadhurst (</w:t>
      </w:r>
      <w:r w:rsidR="00D24AAB">
        <w:t>University of Canberra</w:t>
      </w:r>
      <w:r w:rsidR="005B5680">
        <w:t xml:space="preserve"> [UC]</w:t>
      </w:r>
      <w:r w:rsidR="003B734C">
        <w:t>)</w:t>
      </w:r>
      <w:r w:rsidR="00D72DBE">
        <w:t>,</w:t>
      </w:r>
      <w:r w:rsidR="009F4A22">
        <w:t xml:space="preserve"> </w:t>
      </w:r>
      <w:r w:rsidR="008602F2">
        <w:t>Brenton</w:t>
      </w:r>
      <w:r w:rsidR="0026614A">
        <w:t xml:space="preserve"> Zampatti </w:t>
      </w:r>
      <w:r>
        <w:t>(CSIRO</w:t>
      </w:r>
      <w:r w:rsidR="008602F2">
        <w:t>)</w:t>
      </w:r>
    </w:p>
    <w:p w14:paraId="1952F6ED" w14:textId="78378375" w:rsidR="00B07BFE" w:rsidRPr="000B73AA" w:rsidRDefault="002D6C30" w:rsidP="00B07BFE">
      <w:pPr>
        <w:pStyle w:val="ListBullet"/>
        <w:rPr>
          <w:i/>
          <w:iCs/>
        </w:rPr>
      </w:pPr>
      <w:r w:rsidRPr="000B73AA">
        <w:rPr>
          <w:i/>
          <w:iCs/>
        </w:rPr>
        <w:t xml:space="preserve">Basin-scale evaluation of </w:t>
      </w:r>
      <w:r w:rsidR="00244943" w:rsidRPr="000B73AA">
        <w:rPr>
          <w:i/>
          <w:iCs/>
        </w:rPr>
        <w:t>2023–24</w:t>
      </w:r>
      <w:r w:rsidRPr="000B73AA">
        <w:rPr>
          <w:i/>
          <w:iCs/>
        </w:rPr>
        <w:t xml:space="preserve"> Commonwealth environmental water: </w:t>
      </w:r>
      <w:r w:rsidR="009F4A22" w:rsidRPr="000B73AA">
        <w:rPr>
          <w:i/>
          <w:iCs/>
        </w:rPr>
        <w:t>Vegetation</w:t>
      </w:r>
    </w:p>
    <w:p w14:paraId="0C424F35" w14:textId="328429FD" w:rsidR="002D6C30" w:rsidRPr="004B520E" w:rsidRDefault="002D6C30" w:rsidP="00B07BFE">
      <w:pPr>
        <w:pStyle w:val="ListBullet2"/>
      </w:pPr>
      <w:r w:rsidRPr="004B520E">
        <w:t xml:space="preserve">led by </w:t>
      </w:r>
      <w:r w:rsidR="009F4A22" w:rsidRPr="004B520E">
        <w:t>Fiona Dyer (University of Canberra) with Will Higgisson, Alica</w:t>
      </w:r>
      <w:r w:rsidR="00DE69EC" w:rsidRPr="004B520E">
        <w:t xml:space="preserve"> Tschierschke</w:t>
      </w:r>
      <w:r w:rsidR="009F4A22" w:rsidRPr="004B520E">
        <w:t xml:space="preserve">, </w:t>
      </w:r>
      <w:r w:rsidR="00753EA1" w:rsidRPr="004B520E">
        <w:t>M</w:t>
      </w:r>
      <w:r w:rsidR="00DC793E" w:rsidRPr="004B520E">
        <w:t>argarita</w:t>
      </w:r>
      <w:r w:rsidR="00753EA1" w:rsidRPr="004B520E">
        <w:t xml:space="preserve"> Medina</w:t>
      </w:r>
      <w:r w:rsidR="009F4A22" w:rsidRPr="004B520E">
        <w:t xml:space="preserve"> (UC)</w:t>
      </w:r>
      <w:r w:rsidR="00530726">
        <w:t xml:space="preserve"> and</w:t>
      </w:r>
      <w:r w:rsidR="009F4A22" w:rsidRPr="004B520E">
        <w:t xml:space="preserve"> Tanya Doody</w:t>
      </w:r>
      <w:r w:rsidRPr="004B520E">
        <w:t xml:space="preserve"> (CSIRO</w:t>
      </w:r>
      <w:r w:rsidR="009F4A22" w:rsidRPr="004B520E">
        <w:t>)</w:t>
      </w:r>
    </w:p>
    <w:p w14:paraId="1D462628" w14:textId="166C3A94" w:rsidR="00B07BFE" w:rsidRPr="000B73AA" w:rsidRDefault="002D6C30" w:rsidP="00B07BFE">
      <w:pPr>
        <w:pStyle w:val="ListBullet"/>
        <w:rPr>
          <w:i/>
          <w:iCs/>
        </w:rPr>
      </w:pPr>
      <w:r w:rsidRPr="000B73AA">
        <w:rPr>
          <w:i/>
          <w:iCs/>
        </w:rPr>
        <w:t xml:space="preserve">Basin-scale evaluation of </w:t>
      </w:r>
      <w:r w:rsidR="00244943" w:rsidRPr="000B73AA">
        <w:rPr>
          <w:i/>
          <w:iCs/>
        </w:rPr>
        <w:t>2023–24</w:t>
      </w:r>
      <w:r w:rsidRPr="000B73AA">
        <w:rPr>
          <w:i/>
          <w:iCs/>
        </w:rPr>
        <w:t xml:space="preserve"> Commonwealth environmental water: </w:t>
      </w:r>
      <w:r w:rsidR="00C631E1" w:rsidRPr="000B73AA">
        <w:rPr>
          <w:i/>
          <w:iCs/>
        </w:rPr>
        <w:t>Species Diversity</w:t>
      </w:r>
    </w:p>
    <w:p w14:paraId="67F5E674" w14:textId="21041863" w:rsidR="002D6C30" w:rsidRPr="004B520E" w:rsidRDefault="002D6C30" w:rsidP="00732DB8">
      <w:pPr>
        <w:pStyle w:val="ListBullet2"/>
      </w:pPr>
      <w:r w:rsidRPr="004B520E">
        <w:t xml:space="preserve">led by </w:t>
      </w:r>
      <w:r w:rsidR="00B07BFE" w:rsidRPr="004B520E">
        <w:t>Skye Wassens</w:t>
      </w:r>
      <w:r w:rsidR="009A03C5" w:rsidRPr="004B520E">
        <w:t>, Rupert Mathwin</w:t>
      </w:r>
      <w:r w:rsidR="00B07BFE" w:rsidRPr="004B520E">
        <w:t xml:space="preserve"> </w:t>
      </w:r>
      <w:r w:rsidR="00A1416C" w:rsidRPr="004B520E">
        <w:t xml:space="preserve">and </w:t>
      </w:r>
      <w:r w:rsidR="00006BAA" w:rsidRPr="004B520E">
        <w:t>Andrew Hall (</w:t>
      </w:r>
      <w:r w:rsidR="005B5680" w:rsidRPr="004B520E">
        <w:t>CSU</w:t>
      </w:r>
      <w:r w:rsidRPr="004B520E">
        <w:t>)</w:t>
      </w:r>
    </w:p>
    <w:p w14:paraId="6CC2509D" w14:textId="6FD8D651" w:rsidR="00732DB8" w:rsidRPr="000B73AA" w:rsidRDefault="002D6C30" w:rsidP="00B07BFE">
      <w:pPr>
        <w:pStyle w:val="ListBullet"/>
        <w:rPr>
          <w:i/>
          <w:iCs/>
        </w:rPr>
      </w:pPr>
      <w:r w:rsidRPr="000B73AA">
        <w:rPr>
          <w:i/>
          <w:iCs/>
        </w:rPr>
        <w:t xml:space="preserve">Basin-scale evaluation of </w:t>
      </w:r>
      <w:r w:rsidR="00244943" w:rsidRPr="000B73AA">
        <w:rPr>
          <w:i/>
          <w:iCs/>
        </w:rPr>
        <w:t>2023–24</w:t>
      </w:r>
      <w:r w:rsidRPr="000B73AA">
        <w:rPr>
          <w:i/>
          <w:iCs/>
        </w:rPr>
        <w:t xml:space="preserve"> Commonwealth environmental water: </w:t>
      </w:r>
      <w:r w:rsidR="00C631E1" w:rsidRPr="000B73AA">
        <w:rPr>
          <w:i/>
          <w:iCs/>
        </w:rPr>
        <w:t>Food Webs and Water Quality</w:t>
      </w:r>
    </w:p>
    <w:p w14:paraId="459728CA" w14:textId="1112BDD9" w:rsidR="00E72A48" w:rsidRDefault="002D6C30">
      <w:pPr>
        <w:pStyle w:val="ListBullet2"/>
      </w:pPr>
      <w:r w:rsidRPr="004B520E">
        <w:t xml:space="preserve">led by </w:t>
      </w:r>
      <w:r w:rsidR="00C631E1" w:rsidRPr="004B520E">
        <w:t>Paul Mc</w:t>
      </w:r>
      <w:r w:rsidR="0002251F" w:rsidRPr="004B520E">
        <w:t>I</w:t>
      </w:r>
      <w:r w:rsidR="00C631E1" w:rsidRPr="004B520E">
        <w:t xml:space="preserve">nerney with </w:t>
      </w:r>
      <w:r w:rsidR="00732DB8" w:rsidRPr="004B520E">
        <w:t>Simon Linke</w:t>
      </w:r>
      <w:r w:rsidR="00DE2AB2" w:rsidRPr="004B520E">
        <w:t xml:space="preserve"> and </w:t>
      </w:r>
      <w:r w:rsidR="00CC57EC" w:rsidRPr="004B520E">
        <w:t>Darren Giling</w:t>
      </w:r>
      <w:r w:rsidR="00DE2AB2" w:rsidRPr="004B520E">
        <w:t xml:space="preserve"> (CSIRO)</w:t>
      </w:r>
    </w:p>
    <w:p w14:paraId="4BC18D4B" w14:textId="3E10222C" w:rsidR="006329D8" w:rsidRPr="000B73AA" w:rsidRDefault="006329D8" w:rsidP="006329D8">
      <w:pPr>
        <w:pStyle w:val="ListBullet"/>
        <w:rPr>
          <w:i/>
          <w:iCs/>
        </w:rPr>
      </w:pPr>
      <w:r w:rsidRPr="000B73AA">
        <w:rPr>
          <w:i/>
          <w:iCs/>
        </w:rPr>
        <w:t xml:space="preserve">Basin-scale evaluation of </w:t>
      </w:r>
      <w:r w:rsidR="00244943" w:rsidRPr="000B73AA">
        <w:rPr>
          <w:i/>
          <w:iCs/>
        </w:rPr>
        <w:t>2023–24</w:t>
      </w:r>
      <w:r w:rsidRPr="000B73AA">
        <w:rPr>
          <w:i/>
          <w:iCs/>
        </w:rPr>
        <w:t xml:space="preserve"> Commonwealth environmental water: Report summary dashboards</w:t>
      </w:r>
    </w:p>
    <w:p w14:paraId="5B56546E" w14:textId="325C0224" w:rsidR="006329D8" w:rsidRPr="004B520E" w:rsidRDefault="006329D8" w:rsidP="006329D8">
      <w:pPr>
        <w:pStyle w:val="ListBullet2"/>
      </w:pPr>
      <w:r w:rsidRPr="004B520E">
        <w:t xml:space="preserve">led by </w:t>
      </w:r>
      <w:r w:rsidR="001D56B8" w:rsidRPr="004B520E">
        <w:t>Martin Nolan</w:t>
      </w:r>
      <w:r w:rsidRPr="004B520E">
        <w:t xml:space="preserve"> (CSIRO) w</w:t>
      </w:r>
      <w:r w:rsidR="001D56B8" w:rsidRPr="004B520E">
        <w:t xml:space="preserve">ith input from </w:t>
      </w:r>
      <w:r w:rsidR="00D72DBE" w:rsidRPr="004B520E">
        <w:t xml:space="preserve">Basin </w:t>
      </w:r>
      <w:r w:rsidR="001D56B8" w:rsidRPr="004B520E">
        <w:t>Theme</w:t>
      </w:r>
      <w:r w:rsidR="009A03C5" w:rsidRPr="004B520E">
        <w:t xml:space="preserve"> evaluation</w:t>
      </w:r>
      <w:r w:rsidR="001D56B8" w:rsidRPr="004B520E">
        <w:t xml:space="preserve"> leads</w:t>
      </w:r>
      <w:r w:rsidR="00083258" w:rsidRPr="004B520E">
        <w:t>.</w:t>
      </w:r>
    </w:p>
    <w:p w14:paraId="4B818FD4" w14:textId="42C674A3" w:rsidR="00350A2E" w:rsidRDefault="00350A2E" w:rsidP="00AD5269">
      <w:pPr>
        <w:pStyle w:val="BodyText"/>
      </w:pPr>
      <w:r w:rsidRPr="004B520E">
        <w:t xml:space="preserve">This report, together with the </w:t>
      </w:r>
      <w:r w:rsidR="00AF56F0">
        <w:t>6</w:t>
      </w:r>
      <w:r w:rsidR="00456D2D">
        <w:t xml:space="preserve"> </w:t>
      </w:r>
      <w:r w:rsidRPr="004B520E">
        <w:t xml:space="preserve">contributing Basin-scale evaluation reports, </w:t>
      </w:r>
      <w:r w:rsidR="00B06E9F" w:rsidRPr="004B520E">
        <w:t>is available from the</w:t>
      </w:r>
      <w:r w:rsidR="00A11F19">
        <w:t xml:space="preserve"> Australian Department of Climate Change, Energy, the Environment and Water</w:t>
      </w:r>
      <w:r w:rsidR="00D55063">
        <w:t>’s</w:t>
      </w:r>
      <w:r w:rsidR="00A11F19">
        <w:t xml:space="preserve"> (DCCEEW)</w:t>
      </w:r>
      <w:r w:rsidR="00B06E9F" w:rsidRPr="004B520E">
        <w:t xml:space="preserve"> </w:t>
      </w:r>
      <w:hyperlink r:id="rId39" w:history="1">
        <w:r w:rsidR="00B06E9F" w:rsidRPr="004B520E">
          <w:rPr>
            <w:rStyle w:val="Hyperlink"/>
            <w:rFonts w:cs="Calibri Light"/>
          </w:rPr>
          <w:t>Flow-MER Basin-scale Project publications</w:t>
        </w:r>
      </w:hyperlink>
      <w:r w:rsidR="00B06E9F" w:rsidRPr="004B520E">
        <w:t xml:space="preserve"> </w:t>
      </w:r>
      <w:r w:rsidR="00D94ACD">
        <w:t>web</w:t>
      </w:r>
      <w:r w:rsidR="00B06E9F" w:rsidRPr="004B520E">
        <w:t>page</w:t>
      </w:r>
      <w:r w:rsidR="00A11DB5" w:rsidRPr="004B520E">
        <w:t>.</w:t>
      </w:r>
    </w:p>
    <w:p w14:paraId="0424E81C" w14:textId="3F66A1E9" w:rsidR="00243307" w:rsidRPr="004B520E" w:rsidRDefault="00243307" w:rsidP="00AD5269">
      <w:pPr>
        <w:pStyle w:val="BodyText"/>
      </w:pPr>
      <w:r w:rsidRPr="000120F3">
        <w:rPr>
          <w:noProof/>
        </w:rPr>
        <w:drawing>
          <wp:inline distT="0" distB="0" distL="0" distR="0" wp14:anchorId="5F5E3BB6" wp14:editId="0A2D6B5D">
            <wp:extent cx="4384040" cy="3364676"/>
            <wp:effectExtent l="0" t="0" r="0" b="7620"/>
            <wp:docPr id="29029309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93098" name="Picture 1">
                      <a:extLst>
                        <a:ext uri="{C183D7F6-B498-43B3-948B-1728B52AA6E4}">
                          <adec:decorative xmlns:adec="http://schemas.microsoft.com/office/drawing/2017/decorative" val="1"/>
                        </a:ext>
                      </a:extLst>
                    </pic:cNvPr>
                    <pic:cNvPicPr/>
                  </pic:nvPicPr>
                  <pic:blipFill>
                    <a:blip r:embed="rId40"/>
                    <a:stretch>
                      <a:fillRect/>
                    </a:stretch>
                  </pic:blipFill>
                  <pic:spPr>
                    <a:xfrm>
                      <a:off x="0" y="0"/>
                      <a:ext cx="4402597" cy="3378918"/>
                    </a:xfrm>
                    <a:prstGeom prst="rect">
                      <a:avLst/>
                    </a:prstGeom>
                  </pic:spPr>
                </pic:pic>
              </a:graphicData>
            </a:graphic>
          </wp:inline>
        </w:drawing>
      </w:r>
    </w:p>
    <w:p w14:paraId="770855A7" w14:textId="32915288" w:rsidR="00DD5118" w:rsidRPr="004B520E" w:rsidRDefault="00051BDE" w:rsidP="00113FC9">
      <w:pPr>
        <w:pStyle w:val="Heading1"/>
      </w:pPr>
      <w:bookmarkStart w:id="110" w:name="_Toc172283368"/>
      <w:bookmarkStart w:id="111" w:name="_Toc172283489"/>
      <w:bookmarkStart w:id="112" w:name="_Toc172283610"/>
      <w:bookmarkStart w:id="113" w:name="_Toc172290938"/>
      <w:bookmarkStart w:id="114" w:name="_Toc172291414"/>
      <w:bookmarkStart w:id="115" w:name="_Toc172299187"/>
      <w:bookmarkStart w:id="116" w:name="_Toc168579820"/>
      <w:bookmarkStart w:id="117" w:name="_Toc172283611"/>
      <w:bookmarkStart w:id="118" w:name="_Toc172290939"/>
      <w:bookmarkStart w:id="119" w:name="_Toc178668838"/>
      <w:bookmarkStart w:id="120" w:name="_Toc200743752"/>
      <w:bookmarkStart w:id="121" w:name="_Toc200743851"/>
      <w:bookmarkStart w:id="122" w:name="_Toc203682265"/>
      <w:bookmarkStart w:id="123" w:name="_Toc204606880"/>
      <w:bookmarkEnd w:id="110"/>
      <w:bookmarkEnd w:id="111"/>
      <w:bookmarkEnd w:id="112"/>
      <w:bookmarkEnd w:id="113"/>
      <w:bookmarkEnd w:id="114"/>
      <w:bookmarkEnd w:id="115"/>
      <w:r w:rsidRPr="004B520E">
        <w:lastRenderedPageBreak/>
        <w:t>H</w:t>
      </w:r>
      <w:r w:rsidR="00F0139E" w:rsidRPr="004B520E">
        <w:t>ydrology</w:t>
      </w:r>
      <w:r w:rsidR="00D50F39" w:rsidRPr="004B520E">
        <w:t xml:space="preserve"> and connectivity</w:t>
      </w:r>
      <w:bookmarkEnd w:id="116"/>
      <w:bookmarkEnd w:id="117"/>
      <w:bookmarkEnd w:id="118"/>
      <w:bookmarkEnd w:id="119"/>
      <w:bookmarkEnd w:id="120"/>
      <w:bookmarkEnd w:id="121"/>
      <w:bookmarkEnd w:id="122"/>
      <w:bookmarkEnd w:id="123"/>
    </w:p>
    <w:p w14:paraId="32BBB683" w14:textId="717FC095" w:rsidR="007558AA" w:rsidRPr="00A610B2" w:rsidRDefault="007558AA" w:rsidP="00833DA0">
      <w:pPr>
        <w:pStyle w:val="ChapterSignposting"/>
        <w:rPr>
          <w:color w:val="57575A" w:themeColor="accent3" w:themeShade="BF"/>
        </w:rPr>
      </w:pPr>
      <w:r w:rsidRPr="00A610B2">
        <w:rPr>
          <w:color w:val="57575A" w:themeColor="accent3" w:themeShade="BF"/>
        </w:rPr>
        <w:t>This chapter</w:t>
      </w:r>
      <w:r w:rsidR="00226F10" w:rsidRPr="00A610B2">
        <w:rPr>
          <w:color w:val="57575A" w:themeColor="accent3" w:themeShade="BF"/>
        </w:rPr>
        <w:t xml:space="preserve"> describes the</w:t>
      </w:r>
      <w:r w:rsidR="00F841DD" w:rsidRPr="00A610B2">
        <w:rPr>
          <w:color w:val="57575A" w:themeColor="accent3" w:themeShade="BF"/>
        </w:rPr>
        <w:t xml:space="preserve"> hydrological</w:t>
      </w:r>
      <w:r w:rsidR="00226F10" w:rsidRPr="00A610B2">
        <w:rPr>
          <w:color w:val="57575A" w:themeColor="accent3" w:themeShade="BF"/>
        </w:rPr>
        <w:t xml:space="preserve"> conditions (rainfall,</w:t>
      </w:r>
      <w:r w:rsidR="00010B9A" w:rsidRPr="00A610B2">
        <w:rPr>
          <w:color w:val="57575A" w:themeColor="accent3" w:themeShade="BF"/>
        </w:rPr>
        <w:t xml:space="preserve"> surface water runoff) </w:t>
      </w:r>
      <w:r w:rsidR="00420420" w:rsidRPr="00A610B2">
        <w:rPr>
          <w:color w:val="57575A" w:themeColor="accent3" w:themeShade="BF"/>
        </w:rPr>
        <w:t xml:space="preserve">in the Basin </w:t>
      </w:r>
      <w:r w:rsidR="00010B9A" w:rsidRPr="00A610B2">
        <w:rPr>
          <w:color w:val="57575A" w:themeColor="accent3" w:themeShade="BF"/>
        </w:rPr>
        <w:t>that affect the planning of Commonwealth environmental water delivery – volume</w:t>
      </w:r>
      <w:r w:rsidR="009C1642" w:rsidRPr="00A610B2">
        <w:rPr>
          <w:color w:val="57575A" w:themeColor="accent3" w:themeShade="BF"/>
        </w:rPr>
        <w:t>s</w:t>
      </w:r>
      <w:r w:rsidR="00DC022F" w:rsidRPr="00A610B2">
        <w:rPr>
          <w:color w:val="57575A" w:themeColor="accent3" w:themeShade="BF"/>
        </w:rPr>
        <w:t>,</w:t>
      </w:r>
      <w:r w:rsidR="00010B9A" w:rsidRPr="00A610B2">
        <w:rPr>
          <w:color w:val="57575A" w:themeColor="accent3" w:themeShade="BF"/>
        </w:rPr>
        <w:t xml:space="preserve"> location</w:t>
      </w:r>
      <w:r w:rsidR="009C1642" w:rsidRPr="00A610B2">
        <w:rPr>
          <w:color w:val="57575A" w:themeColor="accent3" w:themeShade="BF"/>
        </w:rPr>
        <w:t>s</w:t>
      </w:r>
      <w:r w:rsidR="00420420" w:rsidRPr="00A610B2">
        <w:rPr>
          <w:color w:val="57575A" w:themeColor="accent3" w:themeShade="BF"/>
        </w:rPr>
        <w:t>,</w:t>
      </w:r>
      <w:r w:rsidR="009C1642" w:rsidRPr="00A610B2">
        <w:rPr>
          <w:color w:val="57575A" w:themeColor="accent3" w:themeShade="BF"/>
        </w:rPr>
        <w:t xml:space="preserve"> and how Commonwealth environmental water has contributed to restoring the hydrological regime.</w:t>
      </w:r>
    </w:p>
    <w:p w14:paraId="48AD8948" w14:textId="54853DCF" w:rsidR="000D007D" w:rsidRPr="004B520E" w:rsidRDefault="00244943" w:rsidP="00261157">
      <w:pPr>
        <w:pStyle w:val="Boxedheadingteal"/>
      </w:pPr>
      <w:bookmarkStart w:id="124" w:name="_Toc168579821"/>
      <w:bookmarkStart w:id="125" w:name="_Toc172283612"/>
      <w:bookmarkStart w:id="126" w:name="_Toc172290940"/>
      <w:bookmarkStart w:id="127" w:name="_Toc178668839"/>
      <w:r w:rsidRPr="004B520E">
        <w:t>2023–24</w:t>
      </w:r>
      <w:r w:rsidR="000D007D" w:rsidRPr="004B520E">
        <w:t xml:space="preserve"> </w:t>
      </w:r>
      <w:r w:rsidR="00120FC8" w:rsidRPr="004B520E">
        <w:t>At a glance</w:t>
      </w:r>
      <w:bookmarkEnd w:id="124"/>
      <w:bookmarkEnd w:id="125"/>
      <w:bookmarkEnd w:id="126"/>
      <w:bookmarkEnd w:id="127"/>
    </w:p>
    <w:p w14:paraId="564C90AD" w14:textId="457D9F15" w:rsidR="00E72A48" w:rsidRDefault="001A14CF" w:rsidP="00261157">
      <w:pPr>
        <w:pStyle w:val="Boxedlistbullet"/>
      </w:pPr>
      <w:r w:rsidRPr="004B520E">
        <w:t xml:space="preserve">Following </w:t>
      </w:r>
      <w:r w:rsidR="00DC022F">
        <w:t>2</w:t>
      </w:r>
      <w:r w:rsidR="00DC022F" w:rsidRPr="004B520E">
        <w:t xml:space="preserve"> </w:t>
      </w:r>
      <w:r w:rsidRPr="004B520E">
        <w:t>wetter years, rainfall in 2023–24 was similar to the long-term average in most valleys in the Basin</w:t>
      </w:r>
      <w:r w:rsidR="003434EF">
        <w:t>,</w:t>
      </w:r>
      <w:r w:rsidRPr="004B520E">
        <w:t xml:space="preserve"> return</w:t>
      </w:r>
      <w:r w:rsidR="005B573E" w:rsidRPr="004B520E">
        <w:t>ing</w:t>
      </w:r>
      <w:r w:rsidRPr="004B520E">
        <w:t xml:space="preserve"> to conditions </w:t>
      </w:r>
      <w:r w:rsidR="001A24C3" w:rsidRPr="004B520E">
        <w:t>comparable to 2020–21</w:t>
      </w:r>
      <w:r w:rsidRPr="004B520E">
        <w:t>.</w:t>
      </w:r>
    </w:p>
    <w:p w14:paraId="47EF47CD" w14:textId="7F8F30D4" w:rsidR="001A24C3" w:rsidRPr="004B520E" w:rsidRDefault="001A14CF" w:rsidP="00261157">
      <w:pPr>
        <w:pStyle w:val="Boxedlistbullet"/>
      </w:pPr>
      <w:r w:rsidRPr="004B520E">
        <w:t xml:space="preserve">Rainfall varied </w:t>
      </w:r>
      <w:r w:rsidR="007A4FD7" w:rsidRPr="004B520E">
        <w:t xml:space="preserve">significantly </w:t>
      </w:r>
      <w:r w:rsidRPr="004B520E">
        <w:t>between and within valleys. Compared to the long-term average, conditions were</w:t>
      </w:r>
      <w:r w:rsidR="001A24C3" w:rsidRPr="004B520E">
        <w:t xml:space="preserve"> wetter in central N</w:t>
      </w:r>
      <w:r w:rsidR="001E4C8D">
        <w:t xml:space="preserve">ew </w:t>
      </w:r>
      <w:r w:rsidR="001A24C3" w:rsidRPr="004B520E">
        <w:t>S</w:t>
      </w:r>
      <w:r w:rsidR="001E4C8D">
        <w:t xml:space="preserve">outh </w:t>
      </w:r>
      <w:r w:rsidR="001A24C3" w:rsidRPr="004B520E">
        <w:t>W</w:t>
      </w:r>
      <w:r w:rsidR="001E4C8D">
        <w:t>ales</w:t>
      </w:r>
      <w:r w:rsidR="007A4FD7" w:rsidRPr="004B520E">
        <w:t>, Queensland and Victoria</w:t>
      </w:r>
      <w:r w:rsidRPr="004B520E">
        <w:t xml:space="preserve"> and</w:t>
      </w:r>
      <w:r w:rsidR="001A24C3" w:rsidRPr="004B520E">
        <w:t xml:space="preserve"> </w:t>
      </w:r>
      <w:r w:rsidR="007A4FD7" w:rsidRPr="004B520E">
        <w:t>very dry</w:t>
      </w:r>
      <w:r w:rsidR="001A24C3" w:rsidRPr="004B520E">
        <w:t xml:space="preserve"> in </w:t>
      </w:r>
      <w:r w:rsidR="00875FEF" w:rsidRPr="001A24C3">
        <w:t>head</w:t>
      </w:r>
      <w:r w:rsidR="00875FEF">
        <w:t>waters</w:t>
      </w:r>
      <w:r w:rsidR="00875FEF" w:rsidRPr="001A24C3">
        <w:t xml:space="preserve"> </w:t>
      </w:r>
      <w:r w:rsidR="007A4FD7" w:rsidRPr="004B520E">
        <w:t>and the lower Murray</w:t>
      </w:r>
      <w:r w:rsidR="001A24C3" w:rsidRPr="004B520E">
        <w:t>.</w:t>
      </w:r>
    </w:p>
    <w:p w14:paraId="7E0EBD62" w14:textId="081BB978" w:rsidR="00E72A48" w:rsidRDefault="001A24C3" w:rsidP="00261157">
      <w:pPr>
        <w:pStyle w:val="Boxedlistbullet"/>
      </w:pPr>
      <w:r w:rsidRPr="004B520E">
        <w:t xml:space="preserve">Surface water runoff in the Basin </w:t>
      </w:r>
      <w:r w:rsidR="005B573E" w:rsidRPr="004B520E">
        <w:t xml:space="preserve">was significantly less than the previous year, dropping from 67,760 GL in 2022–23 to 22,509 GL in 2023–24, most likely </w:t>
      </w:r>
      <w:r w:rsidR="007A4FD7" w:rsidRPr="004B520E">
        <w:t>because of</w:t>
      </w:r>
      <w:r w:rsidR="005B573E" w:rsidRPr="004B520E">
        <w:t xml:space="preserve"> drier conditions in headwaters feeding Basin storages. </w:t>
      </w:r>
      <w:r w:rsidR="002315B9">
        <w:t>Whole-of-Basin s</w:t>
      </w:r>
      <w:r w:rsidR="00A300E0">
        <w:t xml:space="preserve">torages were at 94% </w:t>
      </w:r>
      <w:r w:rsidR="00AA1BFC">
        <w:t xml:space="preserve">(of 22,258 GL of total storage) </w:t>
      </w:r>
      <w:r w:rsidR="00A300E0">
        <w:t xml:space="preserve">in </w:t>
      </w:r>
      <w:r w:rsidR="005B573E" w:rsidRPr="004B520E">
        <w:t xml:space="preserve">July 2023, dropping over the year to </w:t>
      </w:r>
      <w:r w:rsidR="00437D0E">
        <w:t xml:space="preserve">a winter low of </w:t>
      </w:r>
      <w:r w:rsidR="005B573E" w:rsidRPr="004B520E">
        <w:t>77% by June 2024.</w:t>
      </w:r>
    </w:p>
    <w:p w14:paraId="3F5BE44F" w14:textId="7EEE0258" w:rsidR="007A4FD7" w:rsidRPr="004B520E" w:rsidRDefault="005B573E" w:rsidP="00261157">
      <w:pPr>
        <w:pStyle w:val="Boxedlistbullet"/>
      </w:pPr>
      <w:r w:rsidRPr="004B520E">
        <w:t>2,870 GL of</w:t>
      </w:r>
      <w:r w:rsidR="001A24C3" w:rsidRPr="004B520E">
        <w:t xml:space="preserve"> Commonwealth environmental water </w:t>
      </w:r>
      <w:r w:rsidRPr="004B520E">
        <w:t xml:space="preserve">was </w:t>
      </w:r>
      <w:r w:rsidR="001A24C3" w:rsidRPr="004B520E">
        <w:t>delivered in 2023–24</w:t>
      </w:r>
      <w:r w:rsidRPr="004B520E">
        <w:t xml:space="preserve">, </w:t>
      </w:r>
      <w:r w:rsidR="001A24C3" w:rsidRPr="004B520E">
        <w:t xml:space="preserve">the </w:t>
      </w:r>
      <w:r w:rsidRPr="004B520E">
        <w:t>largest volume</w:t>
      </w:r>
      <w:r w:rsidR="001A24C3" w:rsidRPr="004B520E">
        <w:t xml:space="preserve"> over the 10</w:t>
      </w:r>
      <w:r w:rsidRPr="004B520E">
        <w:t xml:space="preserve"> </w:t>
      </w:r>
      <w:r w:rsidR="001A24C3" w:rsidRPr="004B520E">
        <w:t>year</w:t>
      </w:r>
      <w:r w:rsidRPr="004B520E">
        <w:t>s</w:t>
      </w:r>
      <w:r w:rsidR="001A24C3" w:rsidRPr="004B520E">
        <w:t xml:space="preserve"> </w:t>
      </w:r>
      <w:r w:rsidRPr="004B520E">
        <w:t xml:space="preserve">since 2014, in part </w:t>
      </w:r>
      <w:r w:rsidR="001A24C3" w:rsidRPr="004B520E">
        <w:t xml:space="preserve">due to storages being relatively full </w:t>
      </w:r>
      <w:r w:rsidRPr="004B520E">
        <w:t>following</w:t>
      </w:r>
      <w:r w:rsidR="001A24C3" w:rsidRPr="004B520E">
        <w:t xml:space="preserve"> </w:t>
      </w:r>
      <w:r w:rsidRPr="004B520E">
        <w:t>a</w:t>
      </w:r>
      <w:r w:rsidR="001A24C3" w:rsidRPr="004B520E">
        <w:t xml:space="preserve"> very wet year </w:t>
      </w:r>
      <w:r w:rsidRPr="004B520E">
        <w:t xml:space="preserve">in </w:t>
      </w:r>
      <w:r w:rsidR="001A24C3" w:rsidRPr="004B520E">
        <w:t>2022–23.</w:t>
      </w:r>
      <w:r w:rsidR="007A4FD7" w:rsidRPr="000B73AA">
        <w:t xml:space="preserve"> </w:t>
      </w:r>
      <w:r w:rsidR="007A4FD7" w:rsidRPr="004B520E">
        <w:t xml:space="preserve">This equates to 12.9% of </w:t>
      </w:r>
      <w:r w:rsidR="00EC5930" w:rsidRPr="007A4FD7">
        <w:t xml:space="preserve">Basin storage volume </w:t>
      </w:r>
      <w:r w:rsidR="007A4FD7" w:rsidRPr="004B520E">
        <w:t xml:space="preserve">or 12.8% </w:t>
      </w:r>
      <w:r w:rsidR="00154EAA">
        <w:t xml:space="preserve">of </w:t>
      </w:r>
      <w:r w:rsidR="00074BD3">
        <w:t>total surface water runoff.</w:t>
      </w:r>
    </w:p>
    <w:p w14:paraId="008B276B" w14:textId="44892821" w:rsidR="00E72A48" w:rsidRDefault="001A24C3" w:rsidP="00261157">
      <w:pPr>
        <w:pStyle w:val="Boxedlistbullet"/>
      </w:pPr>
      <w:r w:rsidRPr="004B520E">
        <w:t xml:space="preserve">Commonwealth environmental water was </w:t>
      </w:r>
      <w:r w:rsidR="00645D14">
        <w:t xml:space="preserve">mostly </w:t>
      </w:r>
      <w:r w:rsidRPr="004B520E">
        <w:t>delivered in spring and summer</w:t>
      </w:r>
      <w:r w:rsidR="005B573E" w:rsidRPr="004B520E">
        <w:t xml:space="preserve"> in 114 watering actions</w:t>
      </w:r>
      <w:r w:rsidRPr="004B520E">
        <w:t xml:space="preserve">. </w:t>
      </w:r>
      <w:r w:rsidR="005B573E" w:rsidRPr="004B520E">
        <w:t xml:space="preserve">In some cases, </w:t>
      </w:r>
      <w:r w:rsidRPr="004B520E">
        <w:t>Commonwealth environmental water contribut</w:t>
      </w:r>
      <w:r w:rsidR="005B573E" w:rsidRPr="004B520E">
        <w:t>ed</w:t>
      </w:r>
      <w:r w:rsidRPr="004B520E">
        <w:t xml:space="preserve"> to flow</w:t>
      </w:r>
      <w:r w:rsidR="005B573E" w:rsidRPr="004B520E">
        <w:t>s</w:t>
      </w:r>
      <w:r w:rsidRPr="004B520E">
        <w:t xml:space="preserve"> for extended periods of time. </w:t>
      </w:r>
      <w:r w:rsidR="007A4FD7" w:rsidRPr="004B520E">
        <w:t>As the southern Basin was wetter during the winter, some planned watering actions could not be delivered.</w:t>
      </w:r>
    </w:p>
    <w:p w14:paraId="33F96F61" w14:textId="02ABC9BF" w:rsidR="001A24C3" w:rsidRPr="004B520E" w:rsidRDefault="001A24C3" w:rsidP="00261157">
      <w:pPr>
        <w:pStyle w:val="Boxedlistbullet"/>
      </w:pPr>
      <w:r w:rsidRPr="004B520E">
        <w:t>Most Commonwealth environmental water was delivered as base flow actions in the southern Basin</w:t>
      </w:r>
      <w:r w:rsidR="005B573E" w:rsidRPr="004B520E">
        <w:t>.</w:t>
      </w:r>
      <w:r w:rsidR="007A4FD7" w:rsidRPr="004B520E">
        <w:t xml:space="preserve"> Actions in the northern Basin were predominantly for fresh and overbank flows except for a </w:t>
      </w:r>
      <w:r w:rsidRPr="004B520E">
        <w:t xml:space="preserve">base flow action in the </w:t>
      </w:r>
      <w:r w:rsidR="007A4FD7" w:rsidRPr="004B520E">
        <w:t xml:space="preserve">Warrego and </w:t>
      </w:r>
      <w:r w:rsidRPr="004B520E">
        <w:t>Barwon</w:t>
      </w:r>
      <w:r w:rsidR="00B239D2">
        <w:t xml:space="preserve"> </w:t>
      </w:r>
      <w:r w:rsidRPr="004B520E">
        <w:t xml:space="preserve">Darling. </w:t>
      </w:r>
      <w:r w:rsidR="007A4FD7" w:rsidRPr="004B520E">
        <w:t>B</w:t>
      </w:r>
      <w:r w:rsidRPr="004B520E">
        <w:t xml:space="preserve">ase flow actions </w:t>
      </w:r>
      <w:r w:rsidR="007A4FD7" w:rsidRPr="004B520E">
        <w:t>aimed</w:t>
      </w:r>
      <w:r w:rsidRPr="004B520E">
        <w:t xml:space="preserve"> </w:t>
      </w:r>
      <w:r w:rsidR="007A4FD7" w:rsidRPr="004B520E">
        <w:t>to improve</w:t>
      </w:r>
      <w:r w:rsidRPr="004B520E">
        <w:t xml:space="preserve"> flow regime.</w:t>
      </w:r>
    </w:p>
    <w:p w14:paraId="0332B93B" w14:textId="0BDCEB86" w:rsidR="001A24C3" w:rsidRPr="004B520E" w:rsidRDefault="007A4FD7" w:rsidP="00261157">
      <w:pPr>
        <w:pStyle w:val="Boxedlistbullet"/>
      </w:pPr>
      <w:r w:rsidRPr="004B520E">
        <w:t>Commonwealth environmental water deliver</w:t>
      </w:r>
      <w:r w:rsidR="00E22D63">
        <w:t>ed</w:t>
      </w:r>
      <w:r w:rsidRPr="004B520E">
        <w:t xml:space="preserve"> f</w:t>
      </w:r>
      <w:r w:rsidR="001A24C3" w:rsidRPr="004B520E">
        <w:t>resh</w:t>
      </w:r>
      <w:r w:rsidRPr="004B520E">
        <w:t>es (higher in</w:t>
      </w:r>
      <w:r w:rsidR="00955C93">
        <w:t>stream</w:t>
      </w:r>
      <w:r w:rsidR="00955C93" w:rsidRPr="004B520E">
        <w:t xml:space="preserve"> </w:t>
      </w:r>
      <w:r w:rsidRPr="004B520E">
        <w:t xml:space="preserve">flows) </w:t>
      </w:r>
      <w:r w:rsidR="001A24C3" w:rsidRPr="004B520E">
        <w:t>and contributed to increased duration of freshes</w:t>
      </w:r>
      <w:r w:rsidRPr="004B520E">
        <w:t xml:space="preserve"> in most valleys</w:t>
      </w:r>
      <w:r w:rsidR="001A24C3" w:rsidRPr="004B520E">
        <w:t>. While freshes were not delivered in the Barwon</w:t>
      </w:r>
      <w:r w:rsidR="00620064">
        <w:t xml:space="preserve"> </w:t>
      </w:r>
      <w:r w:rsidR="001A24C3" w:rsidRPr="004B520E">
        <w:t xml:space="preserve">Darling, </w:t>
      </w:r>
      <w:r w:rsidRPr="004B520E">
        <w:t>flows were higher in</w:t>
      </w:r>
      <w:r w:rsidR="001A24C3" w:rsidRPr="004B520E">
        <w:t xml:space="preserve"> late summer </w:t>
      </w:r>
      <w:r w:rsidRPr="004B520E">
        <w:t>due to</w:t>
      </w:r>
      <w:r w:rsidR="001A24C3" w:rsidRPr="004B520E">
        <w:t xml:space="preserve"> contributions from </w:t>
      </w:r>
      <w:r w:rsidRPr="004B520E">
        <w:t>upstream</w:t>
      </w:r>
      <w:r w:rsidR="001A24C3" w:rsidRPr="004B520E">
        <w:t xml:space="preserve"> valleys.</w:t>
      </w:r>
    </w:p>
    <w:p w14:paraId="7ABC0958" w14:textId="132C6494" w:rsidR="007A4FD7" w:rsidRPr="004B520E" w:rsidRDefault="007A4FD7" w:rsidP="00261157">
      <w:pPr>
        <w:pStyle w:val="Boxedlistbullet"/>
      </w:pPr>
      <w:r w:rsidRPr="004B520E">
        <w:t>2,615 GL (91% by volume of total 2023–24 delivery) of Commonwealth environmental water were delivered in the southern Basin. The northern Basin received 255 GL</w:t>
      </w:r>
      <w:r w:rsidR="00CD64E9">
        <w:t xml:space="preserve"> –</w:t>
      </w:r>
      <w:r w:rsidRPr="004B520E">
        <w:t xml:space="preserve"> 71 GL of this (28% of northern Basin total or 2.5% of Basin total) w</w:t>
      </w:r>
      <w:r w:rsidR="00E050F3">
        <w:t>ere</w:t>
      </w:r>
      <w:r w:rsidRPr="004B520E">
        <w:t xml:space="preserve"> delivered in the Condamine Balonne to support the Narran Lakes.</w:t>
      </w:r>
    </w:p>
    <w:p w14:paraId="0937C3ED" w14:textId="1A322C1E" w:rsidR="00E72A48" w:rsidRDefault="001A24C3" w:rsidP="00261157">
      <w:pPr>
        <w:pStyle w:val="Boxedlistbullet"/>
      </w:pPr>
      <w:r w:rsidRPr="004B520E">
        <w:t xml:space="preserve">Commonwealth environmental water </w:t>
      </w:r>
      <w:r w:rsidR="007A4FD7" w:rsidRPr="004B520E">
        <w:t xml:space="preserve">inundated </w:t>
      </w:r>
      <w:r w:rsidRPr="004B520E">
        <w:t>23,768 ha of estuary, 200,890 ha of lakes and wetlands, and 47,770 ha of floodplain area</w:t>
      </w:r>
      <w:r w:rsidR="007A4FD7" w:rsidRPr="004B520E">
        <w:t xml:space="preserve"> and connected </w:t>
      </w:r>
      <w:r w:rsidRPr="004B520E">
        <w:t>21,075 km of waterways</w:t>
      </w:r>
      <w:r w:rsidR="007A4FD7" w:rsidRPr="004B520E">
        <w:t>.</w:t>
      </w:r>
    </w:p>
    <w:p w14:paraId="5DE1AE80" w14:textId="70BA871C" w:rsidR="274CDD74" w:rsidRPr="004B520E" w:rsidRDefault="007926D6" w:rsidP="00261157">
      <w:pPr>
        <w:pStyle w:val="Boxedlistbullet"/>
      </w:pPr>
      <w:r>
        <w:t>1,835</w:t>
      </w:r>
      <w:r w:rsidR="274CDD74" w:rsidRPr="004B520E">
        <w:t xml:space="preserve"> GL of Commonwealth environmental water were delivered to 8 Ramsar </w:t>
      </w:r>
      <w:r w:rsidR="00137A50">
        <w:t>S</w:t>
      </w:r>
      <w:r w:rsidR="274CDD74" w:rsidRPr="004B520E">
        <w:t>ites in 2023–24.</w:t>
      </w:r>
    </w:p>
    <w:p w14:paraId="02CF97C5" w14:textId="6FDCD156" w:rsidR="00A7510A" w:rsidRDefault="00A7510A" w:rsidP="00261157">
      <w:pPr>
        <w:pStyle w:val="Boxedlistbullet"/>
      </w:pPr>
      <w:r w:rsidRPr="004B520E">
        <w:t xml:space="preserve">Basin Plan target flow volumes were achieved for the Coorong, Lower Lakes and Murray Mouth in </w:t>
      </w:r>
      <w:r w:rsidR="00244943" w:rsidRPr="004B520E">
        <w:t>2023–24</w:t>
      </w:r>
      <w:r w:rsidRPr="004B520E">
        <w:t>. Water level thresholds in the Lower Lakes were maintained (Basin Plan objective 8.06).</w:t>
      </w:r>
    </w:p>
    <w:p w14:paraId="0BC7CEAB" w14:textId="7C157909" w:rsidR="000D007D" w:rsidRPr="004B520E" w:rsidRDefault="00244943" w:rsidP="00892768">
      <w:pPr>
        <w:pStyle w:val="Boxedheadingteal"/>
      </w:pPr>
      <w:bookmarkStart w:id="128" w:name="_Toc172283613"/>
      <w:bookmarkStart w:id="129" w:name="_Toc172290941"/>
      <w:bookmarkStart w:id="130" w:name="_Toc178668840"/>
      <w:r w:rsidRPr="004B520E">
        <w:lastRenderedPageBreak/>
        <w:t>2014–24</w:t>
      </w:r>
      <w:r w:rsidR="000D007D" w:rsidRPr="004B520E">
        <w:t xml:space="preserve"> At a glance</w:t>
      </w:r>
      <w:bookmarkEnd w:id="128"/>
      <w:bookmarkEnd w:id="129"/>
      <w:bookmarkEnd w:id="130"/>
    </w:p>
    <w:p w14:paraId="67F0AD8C" w14:textId="54F61234" w:rsidR="00E409D2" w:rsidRPr="004B520E" w:rsidRDefault="000008C7" w:rsidP="006E5A7F">
      <w:pPr>
        <w:pStyle w:val="Boxedlistbullet"/>
        <w:keepNext/>
      </w:pPr>
      <w:r>
        <w:rPr>
          <w:spacing w:val="-2"/>
        </w:rPr>
        <w:t>Mean annual system f</w:t>
      </w:r>
      <w:r w:rsidRPr="001A24C3">
        <w:rPr>
          <w:spacing w:val="-2"/>
        </w:rPr>
        <w:t xml:space="preserve">lows </w:t>
      </w:r>
      <w:r w:rsidR="00E409D2" w:rsidRPr="004B520E">
        <w:t xml:space="preserve">over the last 10 years have been close to or above the longer-term (24-year) average in the northern </w:t>
      </w:r>
      <w:r w:rsidR="00145CC1">
        <w:t xml:space="preserve">Basin </w:t>
      </w:r>
      <w:r w:rsidR="00E409D2" w:rsidRPr="004B520E">
        <w:t>and southern Basin, mostly due to 3 of the 5 wettest years occurring in the last 10 years.</w:t>
      </w:r>
    </w:p>
    <w:p w14:paraId="2D53E3A0" w14:textId="568849E3" w:rsidR="00E72A48" w:rsidRDefault="001A24C3" w:rsidP="00731436">
      <w:pPr>
        <w:pStyle w:val="Boxedlistbullet"/>
      </w:pPr>
      <w:r w:rsidRPr="004B520E">
        <w:t xml:space="preserve">Over the 10 years of the Commonwealth monitoring program, </w:t>
      </w:r>
      <w:r w:rsidR="00E409D2" w:rsidRPr="004B520E">
        <w:t>18,310 GL of water w</w:t>
      </w:r>
      <w:r w:rsidR="000F6D13">
        <w:t>ere</w:t>
      </w:r>
      <w:r w:rsidR="00E409D2" w:rsidRPr="004B520E">
        <w:t xml:space="preserve"> delivered through a total of </w:t>
      </w:r>
      <w:r w:rsidRPr="004B520E">
        <w:t>1,194 independent Commonwealth environmental watering actions</w:t>
      </w:r>
      <w:r w:rsidR="00E409D2" w:rsidRPr="004B520E">
        <w:t>.</w:t>
      </w:r>
    </w:p>
    <w:p w14:paraId="508E5473" w14:textId="557C42B4" w:rsidR="001A24C3" w:rsidRPr="004B520E" w:rsidRDefault="001A24C3" w:rsidP="00731436">
      <w:pPr>
        <w:pStyle w:val="Boxedlistbullet"/>
      </w:pPr>
      <w:r w:rsidRPr="004B520E">
        <w:t xml:space="preserve">Over the last 10 years, Commonwealth environmental water contributed flows to a maximum </w:t>
      </w:r>
      <w:r w:rsidR="21C989E5" w:rsidRPr="004B520E">
        <w:t>extent of 28,549 km of waterways</w:t>
      </w:r>
      <w:r w:rsidRPr="004B520E">
        <w:t xml:space="preserve">. Recent wetter years have generally shown higher connectivity, </w:t>
      </w:r>
      <w:r w:rsidR="00F64247">
        <w:t>and</w:t>
      </w:r>
      <w:r w:rsidR="00F64247" w:rsidRPr="004B520E">
        <w:t xml:space="preserve"> </w:t>
      </w:r>
      <w:r w:rsidRPr="004B520E">
        <w:t>Commonwealth environmental water (in conjunction with other flows) led to greater achievement of environmental outcomes. The total length of waterways connected over the 10-year period was highest in the Murrumbidgee and the Central Murray system</w:t>
      </w:r>
      <w:r w:rsidR="009B067E">
        <w:t>s</w:t>
      </w:r>
      <w:r w:rsidRPr="004B520E">
        <w:t>. Even in wetter years (2021–23), Commonwealth environmental water extended the duration of flows in some periods.</w:t>
      </w:r>
    </w:p>
    <w:p w14:paraId="2F72C759" w14:textId="64583C00" w:rsidR="00E72A48" w:rsidRDefault="001A24C3" w:rsidP="00731436">
      <w:pPr>
        <w:pStyle w:val="Boxedlistbullet"/>
      </w:pPr>
      <w:r w:rsidRPr="004B520E">
        <w:t>Commonwealth environmental water was often delivered in partnership with state and other environmental water holders. Of the 1,194 watering actions, about 50% were in collaboration with partners</w:t>
      </w:r>
      <w:r w:rsidR="00835D1E">
        <w:t>, and</w:t>
      </w:r>
      <w:r w:rsidR="00E409D2" w:rsidRPr="004B520E">
        <w:t xml:space="preserve"> </w:t>
      </w:r>
      <w:r w:rsidRPr="004B520E">
        <w:t xml:space="preserve">Commonwealth environmental water </w:t>
      </w:r>
      <w:r w:rsidR="00926E8D" w:rsidRPr="001A24C3">
        <w:rPr>
          <w:spacing w:val="-2"/>
        </w:rPr>
        <w:t xml:space="preserve">contributed about 50% </w:t>
      </w:r>
      <w:r w:rsidR="00926E8D">
        <w:rPr>
          <w:spacing w:val="-2"/>
        </w:rPr>
        <w:t xml:space="preserve">in volume. </w:t>
      </w:r>
    </w:p>
    <w:p w14:paraId="59803807" w14:textId="487A7B17" w:rsidR="001A24C3" w:rsidRPr="004B520E" w:rsidRDefault="001A24C3" w:rsidP="00731436">
      <w:pPr>
        <w:pStyle w:val="Boxedlistbullet"/>
      </w:pPr>
      <w:r w:rsidRPr="004B520E">
        <w:t xml:space="preserve">Cumulatively over the </w:t>
      </w:r>
      <w:r w:rsidR="00AF362E">
        <w:t xml:space="preserve">last </w:t>
      </w:r>
      <w:r w:rsidRPr="004B520E">
        <w:t>10-year</w:t>
      </w:r>
      <w:r w:rsidR="00AF362E">
        <w:t>s</w:t>
      </w:r>
      <w:r w:rsidRPr="004B520E">
        <w:t xml:space="preserve">, 446,264 ha </w:t>
      </w:r>
      <w:r w:rsidR="00E409D2" w:rsidRPr="004B520E">
        <w:t xml:space="preserve">of wetlands, lakes and floodplains </w:t>
      </w:r>
      <w:r w:rsidRPr="004B520E">
        <w:t>(including the Coorong</w:t>
      </w:r>
      <w:r w:rsidR="00D15059">
        <w:t>,</w:t>
      </w:r>
      <w:r w:rsidRPr="004B520E">
        <w:t xml:space="preserve"> Lower Lakes and Murray Mouth) received Commonwealth environmental water.</w:t>
      </w:r>
    </w:p>
    <w:p w14:paraId="173CEC9B" w14:textId="2CFC3A5E" w:rsidR="00FE77CB" w:rsidRPr="004B520E" w:rsidRDefault="00FE77CB" w:rsidP="00731436">
      <w:pPr>
        <w:pStyle w:val="Boxedlistbullet"/>
      </w:pPr>
      <w:r w:rsidRPr="004B520E">
        <w:t xml:space="preserve">Between 2014 and 2023, all 11 of the Ramsar wetlands in the Basin that can receive </w:t>
      </w:r>
      <w:r w:rsidR="00CB055B" w:rsidRPr="004B520E">
        <w:t>Commonwealth environmental water</w:t>
      </w:r>
      <w:r w:rsidRPr="004B520E">
        <w:t xml:space="preserve"> (11 of 16 in total) </w:t>
      </w:r>
      <w:r w:rsidR="00E937A4" w:rsidRPr="004B520E">
        <w:t>were</w:t>
      </w:r>
      <w:r w:rsidRPr="004B520E">
        <w:t xml:space="preserve"> inundated</w:t>
      </w:r>
      <w:r w:rsidR="00ED5047" w:rsidRPr="004B520E">
        <w:t xml:space="preserve"> at least once</w:t>
      </w:r>
      <w:r w:rsidRPr="004B520E">
        <w:t>.</w:t>
      </w:r>
    </w:p>
    <w:p w14:paraId="5636D743" w14:textId="07E3FEFD" w:rsidR="000904F2" w:rsidRPr="004B520E" w:rsidRDefault="000904F2" w:rsidP="00731436">
      <w:pPr>
        <w:pStyle w:val="Boxedlistbullet"/>
      </w:pPr>
      <w:r w:rsidRPr="004B520E">
        <w:t>Over the 10-year period, 18,310 GL of Commonwealth environmental water were delivered to 56 ecosystem types (88% of Australian National Aquatic Ecosystems [ANAE] types on the managed floodplain</w:t>
      </w:r>
      <w:r w:rsidR="00446001">
        <w:t xml:space="preserve">, </w:t>
      </w:r>
      <w:r w:rsidR="00446001" w:rsidRPr="00446001">
        <w:t>the area of the Basin where watering with Commonwealth environmental water is possible</w:t>
      </w:r>
      <w:r w:rsidRPr="004B520E">
        <w:t>) on at least one occasion, supporting 124,091 ha of lakes, 130,574 ha of wetlands, 191,599 ha of floodplain, 28,549 km of waterways and 23,768 ha of estuarine ecosystems.</w:t>
      </w:r>
    </w:p>
    <w:p w14:paraId="20914852" w14:textId="1BF60AC8" w:rsidR="009352F6" w:rsidRPr="004B520E" w:rsidRDefault="003C64B7" w:rsidP="00113FC9">
      <w:pPr>
        <w:pStyle w:val="Heading2"/>
      </w:pPr>
      <w:bookmarkStart w:id="131" w:name="_Toc168579822"/>
      <w:bookmarkStart w:id="132" w:name="_Toc172283614"/>
      <w:bookmarkStart w:id="133" w:name="_Toc172290942"/>
      <w:bookmarkStart w:id="134" w:name="_Toc178668841"/>
      <w:bookmarkStart w:id="135" w:name="_Toc200743753"/>
      <w:bookmarkStart w:id="136" w:name="_Toc200743852"/>
      <w:bookmarkStart w:id="137" w:name="_Toc203682266"/>
      <w:bookmarkStart w:id="138" w:name="_Toc204606881"/>
      <w:r w:rsidRPr="004B520E">
        <w:t>Rainfall</w:t>
      </w:r>
      <w:bookmarkEnd w:id="131"/>
      <w:bookmarkEnd w:id="132"/>
      <w:bookmarkEnd w:id="133"/>
      <w:bookmarkEnd w:id="134"/>
      <w:bookmarkEnd w:id="135"/>
      <w:bookmarkEnd w:id="136"/>
      <w:bookmarkEnd w:id="137"/>
      <w:bookmarkEnd w:id="138"/>
    </w:p>
    <w:p w14:paraId="4737095D" w14:textId="44C6DC7D" w:rsidR="00E72A48" w:rsidRDefault="00E409D2" w:rsidP="00A03775">
      <w:pPr>
        <w:pStyle w:val="BodyText"/>
      </w:pPr>
      <w:r w:rsidRPr="004B520E">
        <w:t>While rainfall across Australia was above the long-term average in 2023–24</w:t>
      </w:r>
      <w:r w:rsidR="001A24C3" w:rsidRPr="004B520E">
        <w:t xml:space="preserve">, </w:t>
      </w:r>
      <w:r w:rsidRPr="004B520E">
        <w:t>the average rainfall of 479.9</w:t>
      </w:r>
      <w:r w:rsidR="004D3035">
        <w:t> </w:t>
      </w:r>
      <w:r w:rsidRPr="004B520E">
        <w:t>mm for the Basin was below the long-term average</w:t>
      </w:r>
      <w:r w:rsidR="001A24C3" w:rsidRPr="004B520E">
        <w:t xml:space="preserve"> (</w:t>
      </w:r>
      <w:r w:rsidR="00AA5409">
        <w:rPr>
          <w:rFonts w:cs="Calibri"/>
        </w:rPr>
        <w:t>−</w:t>
      </w:r>
      <w:r w:rsidR="001A24C3" w:rsidRPr="004B520E">
        <w:t xml:space="preserve">3%). </w:t>
      </w:r>
      <w:r w:rsidRPr="004B520E">
        <w:t>There was high variability within and between valleys. S</w:t>
      </w:r>
      <w:r w:rsidR="001A24C3" w:rsidRPr="004B520E">
        <w:t xml:space="preserve">outhern and northern </w:t>
      </w:r>
      <w:r w:rsidRPr="004B520E">
        <w:t>areas</w:t>
      </w:r>
      <w:r w:rsidR="001A24C3" w:rsidRPr="004B520E">
        <w:t xml:space="preserve"> of the Basin received average rainfall, large parts of central New South Wales and central Victoria </w:t>
      </w:r>
      <w:r w:rsidRPr="004B520E">
        <w:t>were</w:t>
      </w:r>
      <w:r w:rsidR="001A24C3" w:rsidRPr="004B520E">
        <w:t xml:space="preserve"> above</w:t>
      </w:r>
      <w:r w:rsidR="003809DA">
        <w:t xml:space="preserve"> </w:t>
      </w:r>
      <w:r w:rsidR="001A24C3" w:rsidRPr="004B520E">
        <w:t>average</w:t>
      </w:r>
      <w:r w:rsidR="003809DA">
        <w:t>,</w:t>
      </w:r>
      <w:r w:rsidR="001A24C3" w:rsidRPr="004B520E">
        <w:t xml:space="preserve"> </w:t>
      </w:r>
      <w:r w:rsidRPr="004B520E">
        <w:t xml:space="preserve">and </w:t>
      </w:r>
      <w:r w:rsidR="001A24C3" w:rsidRPr="004B520E">
        <w:t xml:space="preserve">South Australia, the upper Murray and </w:t>
      </w:r>
      <w:r w:rsidRPr="004B520E">
        <w:t>highland areas of</w:t>
      </w:r>
      <w:r w:rsidR="001A24C3" w:rsidRPr="004B520E">
        <w:t xml:space="preserve"> north-eastern New South Wales experienced below average rainfall</w:t>
      </w:r>
      <w:r w:rsidR="005577D2" w:rsidRPr="004B520E">
        <w:t xml:space="preserve"> </w:t>
      </w:r>
      <w:r w:rsidR="00CC1F07" w:rsidRPr="004B520E">
        <w:t>(</w:t>
      </w:r>
      <w:r w:rsidR="00A218CF" w:rsidRPr="004B520E">
        <w:fldChar w:fldCharType="begin"/>
      </w:r>
      <w:r w:rsidR="00A218CF" w:rsidRPr="004B520E">
        <w:instrText xml:space="preserve"> REF _Ref103622476 \h </w:instrText>
      </w:r>
      <w:r w:rsidR="00496883" w:rsidRPr="004B520E">
        <w:instrText xml:space="preserve"> \* MERGEFORMAT </w:instrText>
      </w:r>
      <w:r w:rsidR="00A218CF" w:rsidRPr="004B520E">
        <w:fldChar w:fldCharType="separate"/>
      </w:r>
      <w:r w:rsidR="00C43C1D" w:rsidRPr="004B520E">
        <w:t>Figure </w:t>
      </w:r>
      <w:r w:rsidR="00C43C1D">
        <w:t>2</w:t>
      </w:r>
      <w:r w:rsidR="00C43C1D" w:rsidRPr="004B520E">
        <w:t>.</w:t>
      </w:r>
      <w:r w:rsidR="00C43C1D">
        <w:t>1</w:t>
      </w:r>
      <w:r w:rsidR="00A218CF" w:rsidRPr="004B520E">
        <w:fldChar w:fldCharType="end"/>
      </w:r>
      <w:r w:rsidR="00CC1F07" w:rsidRPr="004B520E">
        <w:t>).</w:t>
      </w:r>
    </w:p>
    <w:p w14:paraId="6F7EBC5C" w14:textId="6454ED72" w:rsidR="001A24C3" w:rsidRPr="004B520E" w:rsidRDefault="001A24C3" w:rsidP="00A03775">
      <w:pPr>
        <w:pStyle w:val="BodyText"/>
      </w:pPr>
      <w:r w:rsidRPr="004B520E">
        <w:t>Temporal variations were also observed over the water year. Many of the southern Basin valleys received very much above average rainfall in the winter months. These variations</w:t>
      </w:r>
      <w:r w:rsidR="00266A20">
        <w:t xml:space="preserve"> affected the</w:t>
      </w:r>
      <w:r w:rsidRPr="004B520E">
        <w:t xml:space="preserve"> </w:t>
      </w:r>
      <w:r w:rsidR="00E409D2" w:rsidRPr="004B520E">
        <w:t>delivery of Commonwealth environmental water – s</w:t>
      </w:r>
      <w:r w:rsidRPr="004B520E">
        <w:t>ome scheduled actions were not delivered due to high natural flows, and many base flow events were delivered in the southern Basin in the summer months.</w:t>
      </w:r>
    </w:p>
    <w:p w14:paraId="256F0EDA" w14:textId="77761C36" w:rsidR="00E72A48" w:rsidRDefault="00E409D2" w:rsidP="00E409D2">
      <w:pPr>
        <w:pStyle w:val="BodyText"/>
      </w:pPr>
      <w:r w:rsidRPr="004B520E">
        <w:t xml:space="preserve">During the 10-year period (2014–24) of Basin-scale monitoring and evaluation, the first 2 years were dry, particularly in the southern Basin, </w:t>
      </w:r>
      <w:r w:rsidR="00436314">
        <w:t>where</w:t>
      </w:r>
      <w:r w:rsidR="00436314" w:rsidRPr="004B520E">
        <w:t xml:space="preserve"> </w:t>
      </w:r>
      <w:r w:rsidRPr="004B520E">
        <w:t>rainfall</w:t>
      </w:r>
      <w:r w:rsidR="00436314">
        <w:t xml:space="preserve"> was</w:t>
      </w:r>
      <w:r w:rsidRPr="004B520E">
        <w:t xml:space="preserve"> the lowest on record (</w:t>
      </w:r>
      <w:r w:rsidRPr="004B520E">
        <w:fldChar w:fldCharType="begin"/>
      </w:r>
      <w:r w:rsidRPr="004B520E">
        <w:instrText xml:space="preserve"> REF _Ref103622476 \h  \* MERGEFORMAT </w:instrText>
      </w:r>
      <w:r w:rsidRPr="004B520E">
        <w:fldChar w:fldCharType="separate"/>
      </w:r>
      <w:r w:rsidR="00C43C1D" w:rsidRPr="004B520E">
        <w:t>Figure </w:t>
      </w:r>
      <w:r w:rsidR="00C43C1D">
        <w:t>2</w:t>
      </w:r>
      <w:r w:rsidR="00C43C1D" w:rsidRPr="004B520E">
        <w:t>.</w:t>
      </w:r>
      <w:r w:rsidR="00C43C1D">
        <w:t>1</w:t>
      </w:r>
      <w:r w:rsidRPr="004B520E">
        <w:fldChar w:fldCharType="end"/>
      </w:r>
      <w:r w:rsidRPr="004B520E">
        <w:t>). In 2016–17, conditions were wetter in the southern Basin and the headwaters of some northern Basin tributaries. Conditions returned to dry across the whole Basin over the period 2017–20.</w:t>
      </w:r>
    </w:p>
    <w:p w14:paraId="6180DD6D" w14:textId="2B39EFB7" w:rsidR="00E409D2" w:rsidRPr="004B520E" w:rsidRDefault="00E409D2" w:rsidP="00E409D2">
      <w:pPr>
        <w:pStyle w:val="BodyText"/>
        <w:rPr>
          <w:noProof/>
        </w:rPr>
      </w:pPr>
      <w:r w:rsidRPr="004B520E">
        <w:t>In 2020</w:t>
      </w:r>
      <w:r w:rsidRPr="004B520E">
        <w:rPr>
          <w:rFonts w:cs="Calibri"/>
        </w:rPr>
        <w:t>–</w:t>
      </w:r>
      <w:r w:rsidRPr="004B520E">
        <w:t xml:space="preserve">21, the Basin returned to wetter conditions, </w:t>
      </w:r>
      <w:r w:rsidR="00436314">
        <w:t>and</w:t>
      </w:r>
      <w:r w:rsidR="00436314" w:rsidRPr="004B520E">
        <w:t xml:space="preserve"> </w:t>
      </w:r>
      <w:r w:rsidRPr="004B520E">
        <w:t xml:space="preserve">average, above average or very much above average rainfall </w:t>
      </w:r>
      <w:r w:rsidR="00436314">
        <w:t xml:space="preserve">was </w:t>
      </w:r>
      <w:r w:rsidRPr="004B520E">
        <w:t>experienced across the Basin. Those conditions persisted through to 2022–23, although it should be noted that some valleys saw a dry start in the early months of 2023, especially in the southern Basin.</w:t>
      </w:r>
      <w:r w:rsidRPr="004B520E">
        <w:rPr>
          <w:noProof/>
        </w:rPr>
        <w:t xml:space="preserve"> In 2023–24, the Basin returned to more ‘average’ conditions, similar to 2020–21.</w:t>
      </w:r>
    </w:p>
    <w:p w14:paraId="518E626C" w14:textId="4996A940" w:rsidR="008E3E56" w:rsidRPr="004B520E" w:rsidRDefault="009315F7" w:rsidP="007326AB">
      <w:pPr>
        <w:pStyle w:val="CaptionWithNote"/>
      </w:pPr>
      <w:bookmarkStart w:id="139" w:name="_Ref103622476"/>
      <w:bookmarkStart w:id="140" w:name="_Toc172283742"/>
      <w:bookmarkStart w:id="141" w:name="_Toc172283766"/>
      <w:bookmarkStart w:id="142" w:name="_Toc172290263"/>
      <w:bookmarkStart w:id="143" w:name="_Toc206528478"/>
      <w:r w:rsidRPr="004B520E">
        <w:lastRenderedPageBreak/>
        <w:t>Figure</w:t>
      </w:r>
      <w:r w:rsidR="00835CA5"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1</w:t>
      </w:r>
      <w:r>
        <w:fldChar w:fldCharType="end"/>
      </w:r>
      <w:bookmarkEnd w:id="139"/>
      <w:r w:rsidRPr="004B520E">
        <w:t xml:space="preserve"> Maps of annual rainfall conditions</w:t>
      </w:r>
      <w:r w:rsidR="004C15D3" w:rsidRPr="004B520E">
        <w:t xml:space="preserve"> across the Basin</w:t>
      </w:r>
      <w:r w:rsidR="00047C24" w:rsidRPr="004B520E">
        <w:t>,</w:t>
      </w:r>
      <w:r w:rsidRPr="004B520E">
        <w:t xml:space="preserve"> </w:t>
      </w:r>
      <w:r w:rsidR="007F2A72">
        <w:t xml:space="preserve">per year </w:t>
      </w:r>
      <w:r w:rsidR="00244943" w:rsidRPr="004B520E">
        <w:t>2014–24</w:t>
      </w:r>
      <w:bookmarkEnd w:id="140"/>
      <w:bookmarkEnd w:id="141"/>
      <w:bookmarkEnd w:id="142"/>
      <w:bookmarkEnd w:id="143"/>
    </w:p>
    <w:p w14:paraId="4C4B4556" w14:textId="71109CB9" w:rsidR="008E3E56" w:rsidRPr="004B520E" w:rsidRDefault="00EF52FE" w:rsidP="007326AB">
      <w:pPr>
        <w:pStyle w:val="CaptionNote"/>
      </w:pPr>
      <w:r>
        <w:t xml:space="preserve">Maps include </w:t>
      </w:r>
      <w:r w:rsidR="00DF2CC5">
        <w:t>valley boundaries</w:t>
      </w:r>
      <w:r w:rsidR="006F2F37">
        <w:t xml:space="preserve">. Maps are coloured by the 7 </w:t>
      </w:r>
      <w:r w:rsidR="00F76613">
        <w:t xml:space="preserve">condition categories </w:t>
      </w:r>
      <w:r w:rsidR="006F14C5">
        <w:t xml:space="preserve">which are deciles rankings </w:t>
      </w:r>
      <w:r w:rsidR="00F76613">
        <w:t>from lowest to highest on record</w:t>
      </w:r>
      <w:r w:rsidR="006F14C5">
        <w:t>, and are those used by the Bureau of Meteorology</w:t>
      </w:r>
      <w:r w:rsidR="00CB22F5">
        <w:t>. D</w:t>
      </w:r>
      <w:r w:rsidR="008E3E56" w:rsidRPr="004B520E">
        <w:t>ata source: Bureau of Meteorology</w:t>
      </w:r>
      <w:r w:rsidR="009D6C7C" w:rsidRPr="004B520E">
        <w:t>.</w:t>
      </w:r>
    </w:p>
    <w:p w14:paraId="6B9FAE95" w14:textId="77777777" w:rsidR="00E67F4B" w:rsidRPr="004B520E" w:rsidRDefault="00E67F4B" w:rsidP="00E67F4B">
      <w:pPr>
        <w:pStyle w:val="Figure"/>
      </w:pPr>
      <w:bookmarkStart w:id="144" w:name="_Toc168579823"/>
      <w:bookmarkStart w:id="145" w:name="_Toc172283615"/>
      <w:bookmarkStart w:id="146" w:name="_Toc172290943"/>
      <w:bookmarkStart w:id="147" w:name="_Toc178668842"/>
      <w:r w:rsidRPr="004B520E">
        <w:rPr>
          <w:noProof/>
        </w:rPr>
        <w:drawing>
          <wp:inline distT="0" distB="0" distL="0" distR="0" wp14:anchorId="5BDBF66A" wp14:editId="6F109BFA">
            <wp:extent cx="6120130" cy="4850130"/>
            <wp:effectExtent l="0" t="0" r="1270" b="1270"/>
            <wp:docPr id="827150681" name="Picture 4" descr="10 maps coloured by rainfall condition - lowest on record, very much below average, below average, average, above average, very much above average, highest on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50681" name="Picture 4" descr="10 maps coloured by rainfall condition - lowest on record, very much below average, below average, average, above average, very much above average, highest on record."/>
                    <pic:cNvPicPr/>
                  </pic:nvPicPr>
                  <pic:blipFill>
                    <a:blip r:embed="rId41"/>
                    <a:stretch>
                      <a:fillRect/>
                    </a:stretch>
                  </pic:blipFill>
                  <pic:spPr>
                    <a:xfrm>
                      <a:off x="0" y="0"/>
                      <a:ext cx="6120130" cy="4850130"/>
                    </a:xfrm>
                    <a:prstGeom prst="rect">
                      <a:avLst/>
                    </a:prstGeom>
                  </pic:spPr>
                </pic:pic>
              </a:graphicData>
            </a:graphic>
          </wp:inline>
        </w:drawing>
      </w:r>
    </w:p>
    <w:p w14:paraId="653D4D52" w14:textId="182BE10D" w:rsidR="00F0139E" w:rsidRPr="004B520E" w:rsidRDefault="00AC368F" w:rsidP="00113FC9">
      <w:pPr>
        <w:pStyle w:val="Heading2"/>
      </w:pPr>
      <w:bookmarkStart w:id="148" w:name="_Toc200743754"/>
      <w:bookmarkStart w:id="149" w:name="_Toc200743853"/>
      <w:bookmarkStart w:id="150" w:name="_Toc203682267"/>
      <w:bookmarkStart w:id="151" w:name="_Toc204606882"/>
      <w:r w:rsidRPr="004B520E">
        <w:t>Total runoff</w:t>
      </w:r>
      <w:r w:rsidR="003C64B7" w:rsidRPr="004B520E">
        <w:t xml:space="preserve"> </w:t>
      </w:r>
      <w:r w:rsidR="0079128C" w:rsidRPr="004B520E">
        <w:t>in the Basin</w:t>
      </w:r>
      <w:bookmarkEnd w:id="144"/>
      <w:bookmarkEnd w:id="145"/>
      <w:bookmarkEnd w:id="146"/>
      <w:bookmarkEnd w:id="147"/>
      <w:bookmarkEnd w:id="148"/>
      <w:bookmarkEnd w:id="149"/>
      <w:bookmarkEnd w:id="150"/>
      <w:bookmarkEnd w:id="151"/>
    </w:p>
    <w:p w14:paraId="4C3A5986" w14:textId="76CE1B67" w:rsidR="00D93922" w:rsidRPr="004B520E" w:rsidRDefault="00D93922" w:rsidP="00D93922">
      <w:pPr>
        <w:pStyle w:val="BodyText"/>
      </w:pPr>
      <w:r w:rsidRPr="004B520E">
        <w:t>The last 20 years were a dry period for the Basin</w:t>
      </w:r>
      <w:r w:rsidR="00C2446B">
        <w:t>. There were</w:t>
      </w:r>
      <w:r w:rsidRPr="004B520E">
        <w:t xml:space="preserve"> persistent low inflows during the Millennium Drought and only brief respite</w:t>
      </w:r>
      <w:r w:rsidR="005B219F">
        <w:t>s</w:t>
      </w:r>
      <w:r w:rsidRPr="004B520E">
        <w:t xml:space="preserve"> in 2010–11</w:t>
      </w:r>
      <w:r w:rsidR="005B219F">
        <w:t xml:space="preserve">, </w:t>
      </w:r>
      <w:r w:rsidRPr="004B520E">
        <w:t>2011–12</w:t>
      </w:r>
      <w:r w:rsidR="005B219F">
        <w:t xml:space="preserve"> and </w:t>
      </w:r>
      <w:r w:rsidR="005B219F" w:rsidRPr="004B520E">
        <w:t>2016–17</w:t>
      </w:r>
      <w:r w:rsidR="005B219F">
        <w:t>,</w:t>
      </w:r>
      <w:r w:rsidR="005B219F" w:rsidRPr="004B520E">
        <w:t xml:space="preserve"> </w:t>
      </w:r>
      <w:r w:rsidRPr="004B520E">
        <w:t>before returning to dry conditions</w:t>
      </w:r>
      <w:r w:rsidR="00C2446B">
        <w:t xml:space="preserve">. </w:t>
      </w:r>
      <w:r w:rsidRPr="004B520E">
        <w:t xml:space="preserve">Over recent years, total runoff has been above the average for this century, </w:t>
      </w:r>
      <w:r w:rsidR="007712D0">
        <w:t>and</w:t>
      </w:r>
      <w:r w:rsidR="007712D0" w:rsidRPr="004B520E">
        <w:t xml:space="preserve"> </w:t>
      </w:r>
      <w:r w:rsidRPr="004B520E">
        <w:t>most valleys experienc</w:t>
      </w:r>
      <w:r w:rsidR="007712D0">
        <w:t>ed</w:t>
      </w:r>
      <w:r w:rsidRPr="004B520E">
        <w:t xml:space="preserve"> much wetter conditions (</w:t>
      </w:r>
      <w:r w:rsidRPr="004B520E">
        <w:fldChar w:fldCharType="begin"/>
      </w:r>
      <w:r w:rsidRPr="004B520E">
        <w:instrText xml:space="preserve"> REF _Ref103623062 \h  \* MERGEFORMAT </w:instrText>
      </w:r>
      <w:r w:rsidRPr="004B520E">
        <w:fldChar w:fldCharType="separate"/>
      </w:r>
      <w:r w:rsidR="00C43C1D" w:rsidRPr="004B520E">
        <w:t>Figure </w:t>
      </w:r>
      <w:r w:rsidR="00C43C1D">
        <w:t>2</w:t>
      </w:r>
      <w:r w:rsidR="00C43C1D" w:rsidRPr="004B520E">
        <w:t>.</w:t>
      </w:r>
      <w:r w:rsidR="00C43C1D">
        <w:t>2</w:t>
      </w:r>
      <w:r w:rsidRPr="004B520E">
        <w:fldChar w:fldCharType="end"/>
      </w:r>
      <w:r w:rsidRPr="004B520E">
        <w:t>).</w:t>
      </w:r>
    </w:p>
    <w:p w14:paraId="7632F84F" w14:textId="0A55B645" w:rsidR="00D93922" w:rsidRPr="004B520E" w:rsidRDefault="00D93922" w:rsidP="00D93922">
      <w:pPr>
        <w:pStyle w:val="BodyText"/>
      </w:pPr>
      <w:r w:rsidRPr="004B520E">
        <w:t>Total surface water runoff</w:t>
      </w:r>
      <w:r w:rsidRPr="004B520E">
        <w:rPr>
          <w:rStyle w:val="FootnoteReference"/>
        </w:rPr>
        <w:footnoteReference w:id="3"/>
      </w:r>
      <w:r w:rsidRPr="004B520E">
        <w:t xml:space="preserve"> in the Basin in 2023–24 was 22,509 GL, </w:t>
      </w:r>
      <w:r w:rsidR="007A4085" w:rsidRPr="004B520E">
        <w:t>much less</w:t>
      </w:r>
      <w:r w:rsidRPr="004B520E">
        <w:t xml:space="preserve"> than the 10-year average of ~36,500 GL and 24-year average of ~31,700 GL (</w:t>
      </w:r>
      <w:r w:rsidRPr="004B520E">
        <w:fldChar w:fldCharType="begin"/>
      </w:r>
      <w:r w:rsidRPr="004B520E">
        <w:instrText xml:space="preserve"> REF _Ref172015021 \h  \* MERGEFORMAT </w:instrText>
      </w:r>
      <w:r w:rsidRPr="004B520E">
        <w:fldChar w:fldCharType="separate"/>
      </w:r>
      <w:r w:rsidR="00C43C1D" w:rsidRPr="004B520E">
        <w:t>Figure </w:t>
      </w:r>
      <w:r w:rsidR="00C43C1D">
        <w:t>2</w:t>
      </w:r>
      <w:r w:rsidR="00C43C1D" w:rsidRPr="004B520E">
        <w:t>.</w:t>
      </w:r>
      <w:r w:rsidR="00C43C1D">
        <w:t>3</w:t>
      </w:r>
      <w:r w:rsidRPr="004B520E">
        <w:fldChar w:fldCharType="end"/>
      </w:r>
      <w:r w:rsidRPr="004B520E">
        <w:t xml:space="preserve">). Following </w:t>
      </w:r>
      <w:r w:rsidR="007A4085" w:rsidRPr="004B520E">
        <w:t>a</w:t>
      </w:r>
      <w:r w:rsidR="001A24C3" w:rsidRPr="004B520E">
        <w:t xml:space="preserve"> wet 2022–23 with little soil moisture capacity available, </w:t>
      </w:r>
      <w:r w:rsidRPr="004B520E">
        <w:t>lower</w:t>
      </w:r>
      <w:r w:rsidR="001A24C3" w:rsidRPr="004B520E">
        <w:t xml:space="preserve"> rainfall conditions</w:t>
      </w:r>
      <w:r w:rsidRPr="004B520E">
        <w:t xml:space="preserve"> in 2023–24 </w:t>
      </w:r>
      <w:r w:rsidR="001A24C3" w:rsidRPr="004B520E">
        <w:t>resulted in</w:t>
      </w:r>
      <w:r w:rsidRPr="004B520E">
        <w:t xml:space="preserve"> only</w:t>
      </w:r>
      <w:r w:rsidR="001A24C3" w:rsidRPr="004B520E">
        <w:t xml:space="preserve"> slightly less than average surface flows across the Basin. </w:t>
      </w:r>
      <w:r w:rsidRPr="004B520E">
        <w:t>Storages were at a 94% in July 2023, peaked at 95% during spring (21,077 GL out of 22,258 GL of total storage), then dropped over the remainder of the water year to 77% by June 2024.</w:t>
      </w:r>
    </w:p>
    <w:p w14:paraId="1AE259B6" w14:textId="206FECB5" w:rsidR="006F3B0D" w:rsidRDefault="00D93922" w:rsidP="00644DB4">
      <w:pPr>
        <w:pStyle w:val="BodyText"/>
        <w:keepLines/>
      </w:pPr>
      <w:r w:rsidRPr="004B520E">
        <w:t xml:space="preserve">Variability in rainfall within and between valleys, as well as </w:t>
      </w:r>
      <w:r w:rsidR="004D7FEE" w:rsidRPr="004B520E">
        <w:t>during</w:t>
      </w:r>
      <w:r w:rsidRPr="004B520E">
        <w:t xml:space="preserve"> the water yea</w:t>
      </w:r>
      <w:r w:rsidR="00174CFF" w:rsidRPr="004B520E">
        <w:t xml:space="preserve">r, resulted in significant </w:t>
      </w:r>
      <w:r w:rsidR="007A4085" w:rsidRPr="004B520E">
        <w:t xml:space="preserve">seasonal </w:t>
      </w:r>
      <w:r w:rsidR="00174CFF" w:rsidRPr="004B520E">
        <w:t>variability in flow at monitoring areas (Selected Areas, shown in</w:t>
      </w:r>
      <w:r w:rsidR="00CD6D50">
        <w:t xml:space="preserve"> </w:t>
      </w:r>
      <w:r w:rsidR="00CD6D50">
        <w:fldChar w:fldCharType="begin"/>
      </w:r>
      <w:r w:rsidR="00CD6D50">
        <w:instrText xml:space="preserve"> REF _Ref203664023 \h </w:instrText>
      </w:r>
      <w:r w:rsidR="00CD6D50">
        <w:fldChar w:fldCharType="separate"/>
      </w:r>
      <w:r w:rsidR="00C43C1D">
        <w:t>Figure </w:t>
      </w:r>
      <w:r w:rsidR="00C43C1D">
        <w:rPr>
          <w:noProof/>
        </w:rPr>
        <w:t>1</w:t>
      </w:r>
      <w:r w:rsidR="00CD6D50">
        <w:fldChar w:fldCharType="end"/>
      </w:r>
      <w:r w:rsidR="00174CFF" w:rsidRPr="004B520E">
        <w:t xml:space="preserve">) </w:t>
      </w:r>
      <w:r w:rsidR="00CC3E8F">
        <w:t>(</w:t>
      </w:r>
      <w:r w:rsidR="00174CFF" w:rsidRPr="004B520E">
        <w:fldChar w:fldCharType="begin"/>
      </w:r>
      <w:r w:rsidR="00174CFF" w:rsidRPr="004B520E">
        <w:instrText xml:space="preserve"> REF _Ref165282237 \h  \* MERGEFORMAT </w:instrText>
      </w:r>
      <w:r w:rsidR="00174CFF" w:rsidRPr="004B520E">
        <w:fldChar w:fldCharType="separate"/>
      </w:r>
      <w:r w:rsidR="00C43C1D" w:rsidRPr="004B520E">
        <w:t>Figure </w:t>
      </w:r>
      <w:r w:rsidR="00C43C1D">
        <w:t>2</w:t>
      </w:r>
      <w:r w:rsidR="00C43C1D" w:rsidRPr="004B520E">
        <w:t>.</w:t>
      </w:r>
      <w:r w:rsidR="00C43C1D">
        <w:t>4</w:t>
      </w:r>
      <w:r w:rsidR="00174CFF" w:rsidRPr="004B520E">
        <w:fldChar w:fldCharType="end"/>
      </w:r>
      <w:r w:rsidR="00CC3E8F">
        <w:t>)</w:t>
      </w:r>
      <w:r w:rsidR="00174CFF" w:rsidRPr="004B520E">
        <w:t>.</w:t>
      </w:r>
      <w:r w:rsidRPr="004B520E">
        <w:t xml:space="preserve"> </w:t>
      </w:r>
      <w:r w:rsidR="00174CFF" w:rsidRPr="004B520E">
        <w:t>River f</w:t>
      </w:r>
      <w:r w:rsidRPr="004B520E">
        <w:t>lows across</w:t>
      </w:r>
      <w:r w:rsidR="004D7FEE" w:rsidRPr="004B520E">
        <w:t xml:space="preserve"> most </w:t>
      </w:r>
      <w:r w:rsidRPr="004B520E">
        <w:t>Basin river systems</w:t>
      </w:r>
      <w:r w:rsidR="00174CFF" w:rsidRPr="004B520E">
        <w:t xml:space="preserve"> were higher </w:t>
      </w:r>
      <w:r w:rsidRPr="004B520E">
        <w:t>in winter of 202</w:t>
      </w:r>
      <w:r w:rsidR="004D7FEE" w:rsidRPr="004B520E">
        <w:t>4</w:t>
      </w:r>
      <w:r w:rsidRPr="004B520E">
        <w:t>, resulting in overbank flooding and floodplain inundation</w:t>
      </w:r>
      <w:r w:rsidR="004D7FEE" w:rsidRPr="004B520E">
        <w:t xml:space="preserve"> in some areas</w:t>
      </w:r>
      <w:r w:rsidR="00313B46">
        <w:t xml:space="preserve"> and</w:t>
      </w:r>
      <w:r w:rsidR="00174CFF" w:rsidRPr="004B520E">
        <w:t xml:space="preserve"> then much lower t</w:t>
      </w:r>
      <w:r w:rsidR="004D7FEE" w:rsidRPr="004B520E">
        <w:t xml:space="preserve">hrough summer and </w:t>
      </w:r>
      <w:r w:rsidR="006F3B0D">
        <w:t>autumn, impacting base flows.</w:t>
      </w:r>
    </w:p>
    <w:p w14:paraId="2CC71103" w14:textId="7F5353CA" w:rsidR="00A7510A" w:rsidRPr="004B520E" w:rsidRDefault="00A7510A" w:rsidP="007326AB">
      <w:pPr>
        <w:pStyle w:val="CaptionWithNote"/>
      </w:pPr>
      <w:bookmarkStart w:id="152" w:name="_Ref103623062"/>
      <w:bookmarkStart w:id="153" w:name="_Ref167521542"/>
      <w:bookmarkStart w:id="154" w:name="_Toc172283743"/>
      <w:bookmarkStart w:id="155" w:name="_Toc172283767"/>
      <w:bookmarkStart w:id="156" w:name="_Toc172290264"/>
      <w:bookmarkStart w:id="157" w:name="_Toc206528479"/>
      <w:r w:rsidRPr="004B520E">
        <w:lastRenderedPageBreak/>
        <w:t>Figure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2</w:t>
      </w:r>
      <w:r>
        <w:fldChar w:fldCharType="end"/>
      </w:r>
      <w:bookmarkEnd w:id="152"/>
      <w:r w:rsidRPr="004B520E">
        <w:t xml:space="preserve"> Maps of annual surface water runoff in the Basin by river valley, </w:t>
      </w:r>
      <w:r w:rsidR="007F2A72">
        <w:t xml:space="preserve">per year </w:t>
      </w:r>
      <w:r w:rsidR="00244943" w:rsidRPr="004B520E">
        <w:t>2014–24</w:t>
      </w:r>
      <w:bookmarkEnd w:id="153"/>
      <w:bookmarkEnd w:id="154"/>
      <w:bookmarkEnd w:id="155"/>
      <w:bookmarkEnd w:id="156"/>
      <w:bookmarkEnd w:id="157"/>
    </w:p>
    <w:p w14:paraId="3FBA2131" w14:textId="727D422E" w:rsidR="00A7510A" w:rsidRPr="004B520E" w:rsidRDefault="00A7510A" w:rsidP="007326AB">
      <w:pPr>
        <w:pStyle w:val="CaptionNote"/>
      </w:pPr>
      <w:r w:rsidRPr="004B520E">
        <w:t>Data is modelled annual surface water volumes in the Basin, generated from rainfall-runoff modelling. The colours indicate total volume of runoff predicted for each year</w:t>
      </w:r>
      <w:r w:rsidR="007712D0">
        <w:t xml:space="preserve"> –</w:t>
      </w:r>
      <w:r w:rsidRPr="004B520E">
        <w:t xml:space="preserve"> lighter colours indicat</w:t>
      </w:r>
      <w:r w:rsidR="007712D0">
        <w:t>e</w:t>
      </w:r>
      <w:r w:rsidRPr="004B520E">
        <w:t xml:space="preserve"> lower runoff volumes. Data source: CSIRO</w:t>
      </w:r>
      <w:r w:rsidR="00070529" w:rsidRPr="004B520E">
        <w:t>.</w:t>
      </w:r>
    </w:p>
    <w:p w14:paraId="40DDD62F" w14:textId="77777777" w:rsidR="006924EF" w:rsidRPr="004B520E" w:rsidRDefault="006924EF" w:rsidP="006924EF">
      <w:pPr>
        <w:pStyle w:val="Figure"/>
      </w:pPr>
      <w:r w:rsidRPr="004B520E">
        <w:rPr>
          <w:noProof/>
        </w:rPr>
        <w:drawing>
          <wp:inline distT="0" distB="0" distL="0" distR="0" wp14:anchorId="7AA920A2" wp14:editId="1EC31935">
            <wp:extent cx="6120130" cy="4850130"/>
            <wp:effectExtent l="0" t="0" r="1270" b="1270"/>
            <wp:docPr id="1590327504" name="Picture 5" descr="10 maps coloured by runoff volume: 7 classes, less than 50, 50-100, 100-500, 500-1.000, 1.000-2.000, 2.000-5.000, greater than 5,000 GL/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27504" name="Picture 5" descr="10 maps coloured by runoff volume: 7 classes, less than 50, 50-100, 100-500, 500-1.000, 1.000-2.000, 2.000-5.000, greater than 5,000 GL/year"/>
                    <pic:cNvPicPr/>
                  </pic:nvPicPr>
                  <pic:blipFill>
                    <a:blip r:embed="rId42"/>
                    <a:stretch>
                      <a:fillRect/>
                    </a:stretch>
                  </pic:blipFill>
                  <pic:spPr>
                    <a:xfrm>
                      <a:off x="0" y="0"/>
                      <a:ext cx="6120130" cy="4850130"/>
                    </a:xfrm>
                    <a:prstGeom prst="rect">
                      <a:avLst/>
                    </a:prstGeom>
                  </pic:spPr>
                </pic:pic>
              </a:graphicData>
            </a:graphic>
          </wp:inline>
        </w:drawing>
      </w:r>
    </w:p>
    <w:p w14:paraId="22DD37FE" w14:textId="376FB261" w:rsidR="009315F7" w:rsidRPr="004B520E" w:rsidRDefault="009315F7" w:rsidP="00AB3856">
      <w:pPr>
        <w:pStyle w:val="CaptionWithNote"/>
      </w:pPr>
      <w:bookmarkStart w:id="158" w:name="_Ref103622744"/>
      <w:bookmarkStart w:id="159" w:name="_Ref172015021"/>
      <w:bookmarkStart w:id="160" w:name="_Toc172283744"/>
      <w:bookmarkStart w:id="161" w:name="_Toc172283768"/>
      <w:bookmarkStart w:id="162" w:name="_Toc172290265"/>
      <w:bookmarkStart w:id="163" w:name="_Toc206528480"/>
      <w:r w:rsidRPr="004B520E">
        <w:lastRenderedPageBreak/>
        <w:t>Figure</w:t>
      </w:r>
      <w:r w:rsidR="00835CA5"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3</w:t>
      </w:r>
      <w:r>
        <w:fldChar w:fldCharType="end"/>
      </w:r>
      <w:bookmarkEnd w:id="158"/>
      <w:bookmarkEnd w:id="159"/>
      <w:r w:rsidRPr="004B520E">
        <w:t xml:space="preserve"> Annual </w:t>
      </w:r>
      <w:r w:rsidR="000D007D" w:rsidRPr="004B520E">
        <w:t>total runoff in the Basin</w:t>
      </w:r>
      <w:r w:rsidR="00EA290F">
        <w:t xml:space="preserve">, per year </w:t>
      </w:r>
      <w:r w:rsidR="000D007D" w:rsidRPr="004B520E">
        <w:t>2000–2</w:t>
      </w:r>
      <w:bookmarkEnd w:id="160"/>
      <w:bookmarkEnd w:id="161"/>
      <w:bookmarkEnd w:id="162"/>
      <w:r w:rsidR="001A24C3" w:rsidRPr="004B520E">
        <w:t>4</w:t>
      </w:r>
      <w:bookmarkEnd w:id="163"/>
    </w:p>
    <w:p w14:paraId="6EC13F84" w14:textId="3CE58A11" w:rsidR="00A7510A" w:rsidRPr="004B520E" w:rsidRDefault="000D007D" w:rsidP="007326AB">
      <w:pPr>
        <w:pStyle w:val="CaptionNote"/>
      </w:pPr>
      <w:bookmarkStart w:id="164" w:name="_Toc36129366"/>
      <w:bookmarkStart w:id="165" w:name="_Toc66693853"/>
      <w:bookmarkStart w:id="166" w:name="_Toc67604304"/>
      <w:r w:rsidRPr="004B520E">
        <w:t>Top chart shows total runoff in the Basin, middle chart shows southern Basin total runoff, bottom chart shows northern Basin total runoff. All charts include 2</w:t>
      </w:r>
      <w:r w:rsidR="001A24C3" w:rsidRPr="004B520E">
        <w:t>4</w:t>
      </w:r>
      <w:r w:rsidRPr="004B520E">
        <w:t>-</w:t>
      </w:r>
      <w:r w:rsidR="00514B31" w:rsidRPr="004B520E">
        <w:t>year</w:t>
      </w:r>
      <w:r w:rsidRPr="004B520E">
        <w:t xml:space="preserve"> </w:t>
      </w:r>
      <w:r w:rsidR="00EA290F">
        <w:t xml:space="preserve">2000–24) </w:t>
      </w:r>
      <w:r w:rsidRPr="004B520E">
        <w:t xml:space="preserve">and </w:t>
      </w:r>
      <w:r w:rsidR="00244943" w:rsidRPr="004B520E">
        <w:t>10-year</w:t>
      </w:r>
      <w:r w:rsidRPr="004B520E">
        <w:t xml:space="preserve"> </w:t>
      </w:r>
      <w:r w:rsidR="00EA290F">
        <w:t xml:space="preserve">(2014 –24) </w:t>
      </w:r>
      <w:r w:rsidRPr="004B520E">
        <w:t xml:space="preserve">averages. </w:t>
      </w:r>
      <w:r w:rsidR="00A7510A" w:rsidRPr="004B520E">
        <w:t>Data source: CSIRO</w:t>
      </w:r>
      <w:r w:rsidR="00514B31" w:rsidRPr="004B520E">
        <w:t>.</w:t>
      </w:r>
    </w:p>
    <w:bookmarkEnd w:id="164"/>
    <w:bookmarkEnd w:id="165"/>
    <w:bookmarkEnd w:id="166"/>
    <w:p w14:paraId="032023B4" w14:textId="77777777" w:rsidR="006924EF" w:rsidRPr="004B520E" w:rsidRDefault="006924EF" w:rsidP="006924EF">
      <w:pPr>
        <w:pStyle w:val="Figure"/>
      </w:pPr>
      <w:r w:rsidRPr="004B520E">
        <w:rPr>
          <w:noProof/>
        </w:rPr>
        <w:drawing>
          <wp:inline distT="0" distB="0" distL="0" distR="0" wp14:anchorId="1CCF51C8" wp14:editId="58EBB609">
            <wp:extent cx="6120130" cy="5318125"/>
            <wp:effectExtent l="0" t="0" r="1270" b="3175"/>
            <wp:docPr id="1540886632" name="Picture 6" descr="3 vertical 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86632" name="Picture 6" descr="3 vertical bar charts"/>
                    <pic:cNvPicPr/>
                  </pic:nvPicPr>
                  <pic:blipFill>
                    <a:blip r:embed="rId43"/>
                    <a:stretch>
                      <a:fillRect/>
                    </a:stretch>
                  </pic:blipFill>
                  <pic:spPr>
                    <a:xfrm>
                      <a:off x="0" y="0"/>
                      <a:ext cx="6120130" cy="5318125"/>
                    </a:xfrm>
                    <a:prstGeom prst="rect">
                      <a:avLst/>
                    </a:prstGeom>
                  </pic:spPr>
                </pic:pic>
              </a:graphicData>
            </a:graphic>
          </wp:inline>
        </w:drawing>
      </w:r>
    </w:p>
    <w:p w14:paraId="6EDC3F50" w14:textId="2D933311" w:rsidR="00575605" w:rsidRPr="004B520E" w:rsidRDefault="00575605" w:rsidP="00575605">
      <w:pPr>
        <w:pStyle w:val="CaptionWithNote"/>
      </w:pPr>
      <w:bookmarkStart w:id="167" w:name="_Ref165282237"/>
      <w:bookmarkStart w:id="168" w:name="_Toc167890846"/>
      <w:bookmarkStart w:id="169" w:name="_Toc172283745"/>
      <w:bookmarkStart w:id="170" w:name="_Toc172283769"/>
      <w:bookmarkStart w:id="171" w:name="_Toc172290266"/>
      <w:bookmarkStart w:id="172" w:name="_Toc206528481"/>
      <w:r w:rsidRPr="004B520E">
        <w:lastRenderedPageBreak/>
        <w:t>Figure</w:t>
      </w:r>
      <w:r w:rsidR="00835CA5"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4</w:t>
      </w:r>
      <w:r>
        <w:fldChar w:fldCharType="end"/>
      </w:r>
      <w:bookmarkEnd w:id="167"/>
      <w:r w:rsidRPr="004B520E">
        <w:t xml:space="preserve"> Gauge plot showing </w:t>
      </w:r>
      <w:r w:rsidR="00244943" w:rsidRPr="004B520E">
        <w:t>2023–24</w:t>
      </w:r>
      <w:r w:rsidR="00E71A42" w:rsidRPr="004B520E">
        <w:t xml:space="preserve"> </w:t>
      </w:r>
      <w:r w:rsidR="0060645A" w:rsidRPr="004B520E">
        <w:t xml:space="preserve">seasonal </w:t>
      </w:r>
      <w:r w:rsidRPr="004B520E">
        <w:t xml:space="preserve">flows </w:t>
      </w:r>
      <w:r w:rsidR="00E71A42" w:rsidRPr="004B520E">
        <w:t xml:space="preserve">in Selected Areas, </w:t>
      </w:r>
      <w:r w:rsidRPr="004B520E">
        <w:t xml:space="preserve">compared to previous </w:t>
      </w:r>
      <w:bookmarkEnd w:id="168"/>
      <w:r w:rsidR="004D7FEE" w:rsidRPr="004B520E">
        <w:t>years</w:t>
      </w:r>
      <w:r w:rsidR="004F6694" w:rsidRPr="004B520E">
        <w:t xml:space="preserve"> </w:t>
      </w:r>
      <w:r w:rsidR="00244943" w:rsidRPr="004B520E">
        <w:t>2014–2</w:t>
      </w:r>
      <w:bookmarkEnd w:id="169"/>
      <w:bookmarkEnd w:id="170"/>
      <w:bookmarkEnd w:id="171"/>
      <w:r w:rsidR="004F60AE" w:rsidRPr="004B520E">
        <w:t>3</w:t>
      </w:r>
      <w:bookmarkEnd w:id="172"/>
    </w:p>
    <w:p w14:paraId="181E35F7" w14:textId="6F46A9B8" w:rsidR="00AB048A" w:rsidRPr="004B520E" w:rsidRDefault="00575605" w:rsidP="007326AB">
      <w:pPr>
        <w:pStyle w:val="CaptionNote"/>
      </w:pPr>
      <w:r w:rsidRPr="004B520E">
        <w:t xml:space="preserve">For each Selected Area, the mean flow for each season </w:t>
      </w:r>
      <w:r w:rsidR="00C6174E" w:rsidRPr="004B520E">
        <w:t>was calculated</w:t>
      </w:r>
      <w:r w:rsidR="005F2168" w:rsidRPr="004B520E">
        <w:t>.</w:t>
      </w:r>
      <w:r w:rsidRPr="004B520E">
        <w:t xml:space="preserve"> </w:t>
      </w:r>
      <w:r w:rsidR="00F00C6B" w:rsidRPr="004B520E">
        <w:t xml:space="preserve">This was </w:t>
      </w:r>
      <w:r w:rsidRPr="004B520E">
        <w:t xml:space="preserve">then </w:t>
      </w:r>
      <w:r w:rsidR="00631E4C" w:rsidRPr="004B520E">
        <w:t>expressed as</w:t>
      </w:r>
      <w:r w:rsidRPr="004B520E">
        <w:t xml:space="preserve"> </w:t>
      </w:r>
      <w:r w:rsidR="00EE1055" w:rsidRPr="004B520E">
        <w:t xml:space="preserve">a </w:t>
      </w:r>
      <w:r w:rsidRPr="004B520E">
        <w:t xml:space="preserve">percentage of the maximum </w:t>
      </w:r>
      <w:r w:rsidR="00BF304E" w:rsidRPr="004B520E">
        <w:t xml:space="preserve">mean </w:t>
      </w:r>
      <w:r w:rsidRPr="004B520E">
        <w:t xml:space="preserve">flow </w:t>
      </w:r>
      <w:r w:rsidR="001C4C27" w:rsidRPr="004B520E">
        <w:t xml:space="preserve">recorded </w:t>
      </w:r>
      <w:r w:rsidR="00724CE0" w:rsidRPr="004B520E">
        <w:t xml:space="preserve">for that season </w:t>
      </w:r>
      <w:r w:rsidR="00357E34" w:rsidRPr="004B520E">
        <w:t xml:space="preserve">between </w:t>
      </w:r>
      <w:r w:rsidRPr="004B520E">
        <w:t xml:space="preserve">2014 </w:t>
      </w:r>
      <w:r w:rsidR="00514994" w:rsidRPr="004B520E">
        <w:t xml:space="preserve">and </w:t>
      </w:r>
      <w:r w:rsidRPr="004B520E">
        <w:t>202</w:t>
      </w:r>
      <w:r w:rsidR="004D7FEE" w:rsidRPr="004B520E">
        <w:t>4</w:t>
      </w:r>
      <w:r w:rsidRPr="004B520E">
        <w:t xml:space="preserve">. Therefore, 100% indicates </w:t>
      </w:r>
      <w:r w:rsidR="002670BE" w:rsidRPr="004B520E">
        <w:t xml:space="preserve">that </w:t>
      </w:r>
      <w:r w:rsidR="00244943" w:rsidRPr="004B520E">
        <w:t>2023–24</w:t>
      </w:r>
      <w:r w:rsidRPr="004B520E">
        <w:t xml:space="preserve"> </w:t>
      </w:r>
      <w:r w:rsidR="00B76A86" w:rsidRPr="004B520E">
        <w:t>recorded</w:t>
      </w:r>
      <w:r w:rsidRPr="004B520E">
        <w:t xml:space="preserve"> the maximum </w:t>
      </w:r>
      <w:r w:rsidR="0044365C" w:rsidRPr="004B520E">
        <w:t xml:space="preserve">flow </w:t>
      </w:r>
      <w:r w:rsidRPr="004B520E">
        <w:t>mean</w:t>
      </w:r>
      <w:r w:rsidR="00C70266" w:rsidRPr="004B520E">
        <w:t xml:space="preserve"> since 2014</w:t>
      </w:r>
      <w:r w:rsidRPr="004B520E">
        <w:t xml:space="preserve"> for that </w:t>
      </w:r>
      <w:r w:rsidR="00B1776D" w:rsidRPr="004466D1">
        <w:t>season</w:t>
      </w:r>
      <w:r w:rsidRPr="004B520E">
        <w:t>.</w:t>
      </w:r>
      <w:r w:rsidR="00386FE8" w:rsidRPr="00386FE8">
        <w:t xml:space="preserve"> </w:t>
      </w:r>
      <w:r w:rsidR="00386FE8">
        <w:t xml:space="preserve">Data is not available for the </w:t>
      </w:r>
      <w:r w:rsidR="00386FE8" w:rsidRPr="004B520E">
        <w:t>Junction of Warrego and Darling rivers Selected Area.</w:t>
      </w:r>
    </w:p>
    <w:p w14:paraId="3A1E5735" w14:textId="77777777" w:rsidR="00553981" w:rsidRPr="004B520E" w:rsidRDefault="00553981" w:rsidP="00553981">
      <w:pPr>
        <w:pStyle w:val="Figure"/>
      </w:pPr>
      <w:bookmarkStart w:id="173" w:name="_Toc172283616"/>
      <w:bookmarkStart w:id="174" w:name="_Toc172290944"/>
      <w:bookmarkStart w:id="175" w:name="_Toc178668843"/>
      <w:r w:rsidRPr="004B520E">
        <w:rPr>
          <w:noProof/>
        </w:rPr>
        <w:drawing>
          <wp:inline distT="0" distB="0" distL="0" distR="0" wp14:anchorId="6889C7DD" wp14:editId="1C8B65DD">
            <wp:extent cx="5720400" cy="8449200"/>
            <wp:effectExtent l="0" t="0" r="0" b="9525"/>
            <wp:docPr id="536082178" name="Picture 7"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82178" name="Picture 7"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rotWithShape="1">
                    <a:blip r:embed="rId44"/>
                    <a:srcRect b="1439"/>
                    <a:stretch>
                      <a:fillRect/>
                    </a:stretch>
                  </pic:blipFill>
                  <pic:spPr bwMode="auto">
                    <a:xfrm>
                      <a:off x="0" y="0"/>
                      <a:ext cx="5720400" cy="8449200"/>
                    </a:xfrm>
                    <a:prstGeom prst="rect">
                      <a:avLst/>
                    </a:prstGeom>
                    <a:ln>
                      <a:noFill/>
                    </a:ln>
                    <a:extLst>
                      <a:ext uri="{53640926-AAD7-44D8-BBD7-CCE9431645EC}">
                        <a14:shadowObscured xmlns:a14="http://schemas.microsoft.com/office/drawing/2010/main"/>
                      </a:ext>
                    </a:extLst>
                  </pic:spPr>
                </pic:pic>
              </a:graphicData>
            </a:graphic>
          </wp:inline>
        </w:drawing>
      </w:r>
    </w:p>
    <w:p w14:paraId="1088D36B" w14:textId="07A29324" w:rsidR="00DD5118" w:rsidRPr="004B520E" w:rsidRDefault="004E460A" w:rsidP="00113FC9">
      <w:pPr>
        <w:pStyle w:val="Heading2"/>
      </w:pPr>
      <w:bookmarkStart w:id="176" w:name="_Toc200743755"/>
      <w:bookmarkStart w:id="177" w:name="_Toc200743854"/>
      <w:bookmarkStart w:id="178" w:name="_Toc203682268"/>
      <w:bookmarkStart w:id="179" w:name="_Toc204606883"/>
      <w:r w:rsidRPr="004B520E">
        <w:lastRenderedPageBreak/>
        <w:t>Delivery of Commonwealth environmental water</w:t>
      </w:r>
      <w:bookmarkEnd w:id="173"/>
      <w:bookmarkEnd w:id="174"/>
      <w:bookmarkEnd w:id="175"/>
      <w:bookmarkEnd w:id="176"/>
      <w:bookmarkEnd w:id="177"/>
      <w:bookmarkEnd w:id="178"/>
      <w:bookmarkEnd w:id="179"/>
    </w:p>
    <w:p w14:paraId="63461428" w14:textId="0CCDB61B" w:rsidR="002508E7" w:rsidRPr="004B520E" w:rsidRDefault="002F4C8F" w:rsidP="001C5A5D">
      <w:pPr>
        <w:pStyle w:val="BodyText"/>
      </w:pPr>
      <w:r w:rsidRPr="004B520E">
        <w:t>Water for the e</w:t>
      </w:r>
      <w:r w:rsidR="00ED3D30" w:rsidRPr="004B520E">
        <w:t xml:space="preserve">nvironment </w:t>
      </w:r>
      <w:r w:rsidR="003D4DB9" w:rsidRPr="004B520E">
        <w:t>is</w:t>
      </w:r>
      <w:r w:rsidR="00ED3D30" w:rsidRPr="004B520E">
        <w:t xml:space="preserve"> strategically </w:t>
      </w:r>
      <w:r w:rsidR="00FF20F4" w:rsidRPr="004B520E">
        <w:t xml:space="preserve">used </w:t>
      </w:r>
      <w:r w:rsidR="00502D2B" w:rsidRPr="004B520E">
        <w:t xml:space="preserve">by the </w:t>
      </w:r>
      <w:r w:rsidR="00CB055B" w:rsidRPr="004B520E">
        <w:t>CEWH</w:t>
      </w:r>
      <w:r w:rsidR="00502D2B" w:rsidRPr="004B520E">
        <w:t xml:space="preserve"> </w:t>
      </w:r>
      <w:r w:rsidR="00ED3D30" w:rsidRPr="004B520E">
        <w:t xml:space="preserve">to </w:t>
      </w:r>
      <w:r w:rsidR="00422CAC" w:rsidRPr="004B520E">
        <w:t>protect and restore hydrologic</w:t>
      </w:r>
      <w:r w:rsidR="007D57B4" w:rsidRPr="004B520E">
        <w:t>al</w:t>
      </w:r>
      <w:r w:rsidR="00F009B2" w:rsidRPr="004B520E">
        <w:t xml:space="preserve"> regimes and</w:t>
      </w:r>
      <w:r w:rsidR="00422CAC" w:rsidRPr="004B520E">
        <w:t xml:space="preserve"> connectivity within and between water-dependent ecosystems (Basin Plan </w:t>
      </w:r>
      <w:r w:rsidR="00CE3082" w:rsidRPr="004B520E">
        <w:t>S</w:t>
      </w:r>
      <w:r w:rsidR="00422CAC" w:rsidRPr="004B520E">
        <w:t>8.06)</w:t>
      </w:r>
      <w:r w:rsidR="00ED3D30" w:rsidRPr="004B520E">
        <w:t>.</w:t>
      </w:r>
      <w:r w:rsidR="00502D2B" w:rsidRPr="004B520E">
        <w:t xml:space="preserve"> This in</w:t>
      </w:r>
      <w:r w:rsidR="00422CAC" w:rsidRPr="004B520E">
        <w:t xml:space="preserve">volves </w:t>
      </w:r>
      <w:r w:rsidR="00D23337" w:rsidRPr="004B520E">
        <w:t>connect</w:t>
      </w:r>
      <w:r w:rsidR="00290881" w:rsidRPr="004B520E">
        <w:t>ing</w:t>
      </w:r>
      <w:r w:rsidR="00D23337" w:rsidRPr="004B520E">
        <w:t xml:space="preserve"> river reaches during dry times and </w:t>
      </w:r>
      <w:r w:rsidR="00ED3D30" w:rsidRPr="004B520E">
        <w:t>connecti</w:t>
      </w:r>
      <w:r w:rsidR="00290881" w:rsidRPr="004B520E">
        <w:t xml:space="preserve">ng </w:t>
      </w:r>
      <w:r w:rsidR="00ED3D30" w:rsidRPr="004B520E">
        <w:t xml:space="preserve">the river </w:t>
      </w:r>
      <w:r w:rsidR="00290881" w:rsidRPr="004B520E">
        <w:t xml:space="preserve">to </w:t>
      </w:r>
      <w:r w:rsidR="00D23337" w:rsidRPr="004B520E">
        <w:t>the</w:t>
      </w:r>
      <w:r w:rsidR="00ED3D30" w:rsidRPr="004B520E">
        <w:t xml:space="preserve"> floodplain</w:t>
      </w:r>
      <w:r w:rsidR="00D23337" w:rsidRPr="004B520E">
        <w:t xml:space="preserve"> during wetter periods</w:t>
      </w:r>
      <w:r w:rsidR="00AA1CD6" w:rsidRPr="004B520E">
        <w:t>,</w:t>
      </w:r>
      <w:r w:rsidR="005577D2" w:rsidRPr="004B520E">
        <w:t xml:space="preserve"> as well as connecting and maintaining in</w:t>
      </w:r>
      <w:r w:rsidR="00955C93">
        <w:t>stream</w:t>
      </w:r>
      <w:r w:rsidR="00955C93" w:rsidRPr="004B520E">
        <w:t xml:space="preserve"> </w:t>
      </w:r>
      <w:r w:rsidR="005577D2" w:rsidRPr="004B520E">
        <w:t xml:space="preserve">habitat and providing cues for breeding and movement. </w:t>
      </w:r>
      <w:r w:rsidR="00ED3D30" w:rsidRPr="004B520E">
        <w:t>Th</w:t>
      </w:r>
      <w:r w:rsidR="00422CAC" w:rsidRPr="004B520E">
        <w:t>e</w:t>
      </w:r>
      <w:r w:rsidR="00ED3D30" w:rsidRPr="004B520E">
        <w:t xml:space="preserve"> evaluation </w:t>
      </w:r>
      <w:r w:rsidR="00A87F67" w:rsidRPr="004B520E">
        <w:t xml:space="preserve">considered the </w:t>
      </w:r>
      <w:r w:rsidR="00ED3D30" w:rsidRPr="004B520E">
        <w:t>impact</w:t>
      </w:r>
      <w:r w:rsidR="00A87F67" w:rsidRPr="004B520E">
        <w:t xml:space="preserve"> of</w:t>
      </w:r>
      <w:r w:rsidR="00ED3D30" w:rsidRPr="004B520E">
        <w:t xml:space="preserve"> </w:t>
      </w:r>
      <w:r w:rsidR="00CB055B" w:rsidRPr="004B520E">
        <w:rPr>
          <w:rFonts w:cs="Calibri"/>
        </w:rPr>
        <w:t>Commonwealth environmental water</w:t>
      </w:r>
      <w:r w:rsidR="00FB4101" w:rsidRPr="004B520E">
        <w:rPr>
          <w:rFonts w:cs="Calibri"/>
        </w:rPr>
        <w:t xml:space="preserve"> </w:t>
      </w:r>
      <w:r w:rsidR="00E94FE4" w:rsidRPr="004B520E">
        <w:t xml:space="preserve">on </w:t>
      </w:r>
      <w:r w:rsidR="00294933">
        <w:t>5</w:t>
      </w:r>
      <w:r w:rsidR="00294933" w:rsidRPr="004B520E">
        <w:t xml:space="preserve"> </w:t>
      </w:r>
      <w:r w:rsidR="00E94FE4" w:rsidRPr="004B520E">
        <w:t xml:space="preserve">ecologically </w:t>
      </w:r>
      <w:r w:rsidR="00A058E1" w:rsidRPr="004B520E">
        <w:t>important</w:t>
      </w:r>
      <w:r w:rsidR="00E94FE4" w:rsidRPr="004B520E">
        <w:t xml:space="preserve"> flow</w:t>
      </w:r>
      <w:r w:rsidR="00CE3082" w:rsidRPr="004B520E">
        <w:t xml:space="preserve"> components</w:t>
      </w:r>
      <w:r w:rsidR="00236614" w:rsidRPr="004B520E">
        <w:t xml:space="preserve"> (depicted in </w:t>
      </w:r>
      <w:r w:rsidR="00236614" w:rsidRPr="004B520E">
        <w:fldChar w:fldCharType="begin"/>
      </w:r>
      <w:r w:rsidR="00236614" w:rsidRPr="004B520E">
        <w:instrText xml:space="preserve"> REF _Ref172081369 \h </w:instrText>
      </w:r>
      <w:r w:rsidR="00236614" w:rsidRPr="004B520E">
        <w:fldChar w:fldCharType="separate"/>
      </w:r>
      <w:r w:rsidR="00C43C1D" w:rsidRPr="004B520E">
        <w:t>Figure </w:t>
      </w:r>
      <w:r w:rsidR="00C43C1D">
        <w:rPr>
          <w:noProof/>
        </w:rPr>
        <w:t>2</w:t>
      </w:r>
      <w:r w:rsidR="00C43C1D" w:rsidRPr="004B520E">
        <w:t>.</w:t>
      </w:r>
      <w:r w:rsidR="00C43C1D">
        <w:rPr>
          <w:noProof/>
        </w:rPr>
        <w:t>5</w:t>
      </w:r>
      <w:r w:rsidR="00236614" w:rsidRPr="004B520E">
        <w:fldChar w:fldCharType="end"/>
      </w:r>
      <w:r w:rsidR="00236614" w:rsidRPr="004B520E">
        <w:t>):</w:t>
      </w:r>
    </w:p>
    <w:p w14:paraId="338A7EEB" w14:textId="318CE20F" w:rsidR="002508E7" w:rsidRPr="004B520E" w:rsidRDefault="002508E7" w:rsidP="00553981">
      <w:pPr>
        <w:pStyle w:val="ListBullet"/>
      </w:pPr>
      <w:r w:rsidRPr="004B520E">
        <w:t>Base flows (low flows) maintain longitudinal connectivity in river systems so that they do not become dry or isolated pools.</w:t>
      </w:r>
    </w:p>
    <w:p w14:paraId="6CBB10FB" w14:textId="62BD34E0" w:rsidR="002508E7" w:rsidRPr="004B520E" w:rsidRDefault="002508E7" w:rsidP="00553981">
      <w:pPr>
        <w:pStyle w:val="ListBullet"/>
      </w:pPr>
      <w:r w:rsidRPr="004B520E">
        <w:t>Freshes are small, in</w:t>
      </w:r>
      <w:r w:rsidR="00955C93">
        <w:t>stream</w:t>
      </w:r>
      <w:r w:rsidR="00955C93" w:rsidRPr="004B520E">
        <w:t xml:space="preserve"> </w:t>
      </w:r>
      <w:r w:rsidRPr="004B520E">
        <w:t>events that replenish pools and are important for managing water quality (e.g. algal blooms), allowing fish to move between refugia and supporting the quality, persistence and resilience of in</w:t>
      </w:r>
      <w:r w:rsidR="00061D76">
        <w:t>stream</w:t>
      </w:r>
      <w:r w:rsidR="00061D76" w:rsidRPr="004B520E">
        <w:t xml:space="preserve"> </w:t>
      </w:r>
      <w:r w:rsidRPr="004B520E">
        <w:t>refuge pools. Freshes are commonly used to inundate benches or lower levels of the channel environment</w:t>
      </w:r>
      <w:r w:rsidR="00CF4D6E" w:rsidRPr="004B520E">
        <w:t>,</w:t>
      </w:r>
      <w:r w:rsidRPr="004B520E">
        <w:t xml:space="preserve"> pulsing nutrients and carbon into the system and creating habitat for fish, bugs and plants.</w:t>
      </w:r>
    </w:p>
    <w:p w14:paraId="1E8785C2" w14:textId="35E3EE01" w:rsidR="00236614" w:rsidRPr="004B520E" w:rsidRDefault="00EF6B20" w:rsidP="00553981">
      <w:pPr>
        <w:pStyle w:val="ListBullet"/>
      </w:pPr>
      <w:r w:rsidRPr="004B520E">
        <w:t>Lateral connectivity refers to the movement of water between the channel and floodplain, including in</w:t>
      </w:r>
      <w:r w:rsidR="00236614" w:rsidRPr="004B520E">
        <w:t>undation of floodplain wetlands through overbank flows.</w:t>
      </w:r>
    </w:p>
    <w:p w14:paraId="24B9ECF2" w14:textId="03BECE7C" w:rsidR="001C5A5D" w:rsidRPr="004B520E" w:rsidRDefault="00236614" w:rsidP="00553981">
      <w:pPr>
        <w:pStyle w:val="ListBullet"/>
      </w:pPr>
      <w:r w:rsidRPr="004B520E">
        <w:t>U</w:t>
      </w:r>
      <w:r w:rsidR="00E70189" w:rsidRPr="004B520E">
        <w:t>pstream</w:t>
      </w:r>
      <w:r w:rsidR="00E0120D" w:rsidRPr="004B520E">
        <w:t>–</w:t>
      </w:r>
      <w:r w:rsidR="00E70189" w:rsidRPr="004B520E">
        <w:t>downst</w:t>
      </w:r>
      <w:r w:rsidR="00412BE7" w:rsidRPr="004B520E">
        <w:t>r</w:t>
      </w:r>
      <w:r w:rsidR="00E70189" w:rsidRPr="004B520E">
        <w:t>eam (</w:t>
      </w:r>
      <w:r w:rsidR="00ED3D30" w:rsidRPr="004B520E">
        <w:t>longitudinal</w:t>
      </w:r>
      <w:r w:rsidR="00E70189" w:rsidRPr="004B520E">
        <w:t>)</w:t>
      </w:r>
      <w:r w:rsidR="00ED3D30" w:rsidRPr="004B520E">
        <w:t xml:space="preserve"> </w:t>
      </w:r>
      <w:r w:rsidR="001C5A5D" w:rsidRPr="004B520E">
        <w:t>connectivity</w:t>
      </w:r>
      <w:r w:rsidRPr="004B520E">
        <w:t>.</w:t>
      </w:r>
    </w:p>
    <w:p w14:paraId="027C394C" w14:textId="5A550FAB" w:rsidR="008723B8" w:rsidRPr="004B520E" w:rsidRDefault="001C5A5D" w:rsidP="000B73AA">
      <w:pPr>
        <w:pStyle w:val="CaptionWithNote"/>
      </w:pPr>
      <w:bookmarkStart w:id="180" w:name="_Ref172081369"/>
      <w:bookmarkStart w:id="181" w:name="_Toc172290267"/>
      <w:bookmarkStart w:id="182" w:name="_Toc206528482"/>
      <w:bookmarkStart w:id="183" w:name="_Ref172081327"/>
      <w:bookmarkStart w:id="184" w:name="_Toc172283746"/>
      <w:bookmarkStart w:id="185" w:name="_Toc172283770"/>
      <w:r w:rsidRPr="004B520E">
        <w:t>Figure</w:t>
      </w:r>
      <w:r w:rsidR="00ED3CFB"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5</w:t>
      </w:r>
      <w:r>
        <w:fldChar w:fldCharType="end"/>
      </w:r>
      <w:bookmarkEnd w:id="180"/>
      <w:r w:rsidRPr="004B520E">
        <w:t xml:space="preserve"> An illustrative river cross-section showing </w:t>
      </w:r>
      <w:r w:rsidR="00092FBF" w:rsidRPr="00092FBF">
        <w:t xml:space="preserve">4 river flow components </w:t>
      </w:r>
      <w:r w:rsidR="00C434C5">
        <w:t xml:space="preserve">(base flow, fresh, bankfull and overbank) </w:t>
      </w:r>
      <w:r w:rsidR="00092FBF" w:rsidRPr="00092FBF">
        <w:t>and wetland inundation</w:t>
      </w:r>
      <w:r w:rsidRPr="004B520E">
        <w:t xml:space="preserve"> referenced in this evaluation</w:t>
      </w:r>
      <w:bookmarkEnd w:id="181"/>
      <w:bookmarkEnd w:id="182"/>
    </w:p>
    <w:p w14:paraId="71664B3A" w14:textId="0657397D" w:rsidR="001C5A5D" w:rsidRPr="004B520E" w:rsidRDefault="001C5A5D" w:rsidP="00102311">
      <w:pPr>
        <w:pStyle w:val="CaptionNote"/>
      </w:pPr>
      <w:r w:rsidRPr="004B520E">
        <w:t>Source</w:t>
      </w:r>
      <w:r w:rsidR="00014E12" w:rsidRPr="004B520E">
        <w:t>:</w:t>
      </w:r>
      <w:r w:rsidRPr="004B520E">
        <w:t xml:space="preserve"> Figure 10, </w:t>
      </w:r>
      <w:r w:rsidR="0038286B" w:rsidRPr="004B520E">
        <w:t xml:space="preserve">the </w:t>
      </w:r>
      <w:r w:rsidR="0038286B" w:rsidRPr="00102311">
        <w:t>Strategy</w:t>
      </w:r>
      <w:bookmarkEnd w:id="183"/>
      <w:bookmarkEnd w:id="184"/>
      <w:bookmarkEnd w:id="185"/>
      <w:r w:rsidR="00C0301F">
        <w:t xml:space="preserve"> 2019.</w:t>
      </w:r>
    </w:p>
    <w:p w14:paraId="33E293CC" w14:textId="77777777" w:rsidR="00553981" w:rsidRPr="004B520E" w:rsidRDefault="00553981" w:rsidP="00553981">
      <w:pPr>
        <w:pStyle w:val="Figure"/>
      </w:pPr>
      <w:r w:rsidRPr="004B520E">
        <w:rPr>
          <w:noProof/>
        </w:rPr>
        <w:drawing>
          <wp:inline distT="0" distB="0" distL="0" distR="0" wp14:anchorId="7C60D512" wp14:editId="3B6FD750">
            <wp:extent cx="6120000" cy="3805502"/>
            <wp:effectExtent l="0" t="0" r="0" b="5080"/>
            <wp:docPr id="2112359096" name="Picture 1" descr="Diagram showing 5 flow components – base flows, freshes, bankfull flows, overbank flows and wetland wa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61416" name="Picture 1" descr="Diagram showing 5 flow components – base flows, freshes, bankfull flows, overbank flows and wetland watering."/>
                    <pic:cNvPicPr>
                      <a:picLocks noChangeAspect="1" noChangeArrowheads="1"/>
                    </pic:cNvPicPr>
                  </pic:nvPicPr>
                  <pic:blipFill rotWithShape="1">
                    <a:blip r:embed="rId45">
                      <a:extLst>
                        <a:ext uri="{28A0092B-C50C-407E-A947-70E740481C1C}">
                          <a14:useLocalDpi xmlns:a14="http://schemas.microsoft.com/office/drawing/2010/main" val="0"/>
                        </a:ext>
                      </a:extLst>
                    </a:blip>
                    <a:srcRect t="1185" r="1400" b="5249"/>
                    <a:stretch/>
                  </pic:blipFill>
                  <pic:spPr bwMode="auto">
                    <a:xfrm>
                      <a:off x="0" y="0"/>
                      <a:ext cx="6120000" cy="3805502"/>
                    </a:xfrm>
                    <a:prstGeom prst="rect">
                      <a:avLst/>
                    </a:prstGeom>
                    <a:noFill/>
                    <a:ln>
                      <a:noFill/>
                    </a:ln>
                    <a:extLst>
                      <a:ext uri="{53640926-AAD7-44D8-BBD7-CCE9431645EC}">
                        <a14:shadowObscured xmlns:a14="http://schemas.microsoft.com/office/drawing/2010/main"/>
                      </a:ext>
                    </a:extLst>
                  </pic:spPr>
                </pic:pic>
              </a:graphicData>
            </a:graphic>
          </wp:inline>
        </w:drawing>
      </w:r>
    </w:p>
    <w:p w14:paraId="2D7808EB" w14:textId="11ECC890" w:rsidR="00ED3D30" w:rsidRPr="004B520E" w:rsidRDefault="00ED3D30" w:rsidP="00113FC9">
      <w:pPr>
        <w:pStyle w:val="Heading3"/>
      </w:pPr>
      <w:bookmarkStart w:id="186" w:name="_Toc168579826"/>
      <w:bookmarkStart w:id="187" w:name="_Toc172283617"/>
      <w:r w:rsidRPr="004B520E">
        <w:t xml:space="preserve">Water year </w:t>
      </w:r>
      <w:r w:rsidR="00244943" w:rsidRPr="004B520E">
        <w:t>2023–24</w:t>
      </w:r>
      <w:bookmarkEnd w:id="186"/>
      <w:bookmarkEnd w:id="187"/>
    </w:p>
    <w:p w14:paraId="427287A4" w14:textId="12597667" w:rsidR="007A4085" w:rsidRPr="004B520E" w:rsidRDefault="007A4085" w:rsidP="007A4085">
      <w:pPr>
        <w:pStyle w:val="BodyText"/>
        <w:rPr>
          <w:rFonts w:cs="Calibri"/>
        </w:rPr>
      </w:pPr>
      <w:r w:rsidRPr="004B520E">
        <w:t>In 2023–24, 2,870 GL of Commonwealth environmental water were delivered through 114 watering actions for rivers, wetlands and floodplains in the 19 valleys where CEWH holds water entitlements (</w:t>
      </w:r>
      <w:r w:rsidRPr="004B520E">
        <w:fldChar w:fldCharType="begin"/>
      </w:r>
      <w:r w:rsidRPr="004B520E">
        <w:instrText xml:space="preserve"> REF _Ref103654960 \h  \* MERGEFORMAT </w:instrText>
      </w:r>
      <w:r w:rsidRPr="004B520E">
        <w:fldChar w:fldCharType="separate"/>
      </w:r>
      <w:r w:rsidR="00C43C1D" w:rsidRPr="004B520E">
        <w:t>Figure </w:t>
      </w:r>
      <w:r w:rsidR="00C43C1D">
        <w:t>2</w:t>
      </w:r>
      <w:r w:rsidR="00C43C1D" w:rsidRPr="004B520E">
        <w:t>.</w:t>
      </w:r>
      <w:r w:rsidR="00C43C1D">
        <w:t>6</w:t>
      </w:r>
      <w:r w:rsidRPr="004B520E">
        <w:fldChar w:fldCharType="end"/>
      </w:r>
      <w:r w:rsidRPr="004B520E">
        <w:t xml:space="preserve"> and </w:t>
      </w:r>
      <w:r w:rsidRPr="004B520E">
        <w:rPr>
          <w:rFonts w:cs="Calibri"/>
        </w:rPr>
        <w:lastRenderedPageBreak/>
        <w:t xml:space="preserve">refer to </w:t>
      </w:r>
      <w:r w:rsidRPr="004B520E">
        <w:rPr>
          <w:rFonts w:cs="Calibri"/>
        </w:rPr>
        <w:fldChar w:fldCharType="begin"/>
      </w:r>
      <w:r w:rsidRPr="004B520E">
        <w:rPr>
          <w:rFonts w:cs="Calibri"/>
        </w:rPr>
        <w:instrText xml:space="preserve"> REF _Ref172289036 \h  \* MERGEFORMAT </w:instrText>
      </w:r>
      <w:r w:rsidRPr="004B520E">
        <w:rPr>
          <w:rFonts w:cs="Calibri"/>
        </w:rPr>
      </w:r>
      <w:r w:rsidRPr="004B520E">
        <w:rPr>
          <w:rFonts w:cs="Calibri"/>
        </w:rPr>
        <w:fldChar w:fldCharType="separate"/>
      </w:r>
      <w:r w:rsidR="00C43C1D" w:rsidRPr="004B520E">
        <w:t>Table </w:t>
      </w:r>
      <w:r w:rsidR="00C43C1D">
        <w:t>A.</w:t>
      </w:r>
      <w:r w:rsidR="00C43C1D">
        <w:rPr>
          <w:noProof/>
        </w:rPr>
        <w:t>1</w:t>
      </w:r>
      <w:r w:rsidRPr="004B520E">
        <w:rPr>
          <w:rFonts w:cs="Calibri"/>
        </w:rPr>
        <w:fldChar w:fldCharType="end"/>
      </w:r>
      <w:r w:rsidR="004857AB">
        <w:rPr>
          <w:rFonts w:cs="Calibri"/>
        </w:rPr>
        <w:t xml:space="preserve">, </w:t>
      </w:r>
      <w:r w:rsidR="004857AB">
        <w:rPr>
          <w:rFonts w:cs="Calibri"/>
        </w:rPr>
        <w:fldChar w:fldCharType="begin"/>
      </w:r>
      <w:r w:rsidR="004857AB">
        <w:rPr>
          <w:rFonts w:cs="Calibri"/>
        </w:rPr>
        <w:instrText xml:space="preserve"> REF _Ref201668602 \h </w:instrText>
      </w:r>
      <w:r w:rsidR="004857AB">
        <w:rPr>
          <w:rFonts w:cs="Calibri"/>
        </w:rPr>
      </w:r>
      <w:r w:rsidR="004857AB">
        <w:rPr>
          <w:rFonts w:cs="Calibri"/>
        </w:rPr>
        <w:fldChar w:fldCharType="separate"/>
      </w:r>
      <w:r w:rsidR="00C43C1D" w:rsidRPr="004B520E">
        <w:t>Table </w:t>
      </w:r>
      <w:r w:rsidR="00C43C1D">
        <w:rPr>
          <w:noProof/>
        </w:rPr>
        <w:t>A</w:t>
      </w:r>
      <w:r w:rsidR="00C43C1D">
        <w:t>.</w:t>
      </w:r>
      <w:r w:rsidR="00C43C1D">
        <w:rPr>
          <w:noProof/>
        </w:rPr>
        <w:t>2</w:t>
      </w:r>
      <w:r w:rsidR="004857AB">
        <w:rPr>
          <w:rFonts w:cs="Calibri"/>
        </w:rPr>
        <w:fldChar w:fldCharType="end"/>
      </w:r>
      <w:r w:rsidR="004857AB">
        <w:rPr>
          <w:rFonts w:cs="Calibri"/>
        </w:rPr>
        <w:t xml:space="preserve"> and </w:t>
      </w:r>
      <w:r w:rsidR="004857AB">
        <w:rPr>
          <w:rFonts w:cs="Calibri"/>
        </w:rPr>
        <w:fldChar w:fldCharType="begin"/>
      </w:r>
      <w:r w:rsidR="004857AB">
        <w:rPr>
          <w:rFonts w:cs="Calibri"/>
        </w:rPr>
        <w:instrText xml:space="preserve"> REF _Ref201668605 \h </w:instrText>
      </w:r>
      <w:r w:rsidR="004857AB">
        <w:rPr>
          <w:rFonts w:cs="Calibri"/>
        </w:rPr>
      </w:r>
      <w:r w:rsidR="004857AB">
        <w:rPr>
          <w:rFonts w:cs="Calibri"/>
        </w:rPr>
        <w:fldChar w:fldCharType="separate"/>
      </w:r>
      <w:r w:rsidR="00C43C1D" w:rsidRPr="004B520E">
        <w:t>Table </w:t>
      </w:r>
      <w:r w:rsidR="00C43C1D">
        <w:rPr>
          <w:noProof/>
        </w:rPr>
        <w:t>A</w:t>
      </w:r>
      <w:r w:rsidR="00C43C1D">
        <w:t>.</w:t>
      </w:r>
      <w:r w:rsidR="00C43C1D">
        <w:rPr>
          <w:noProof/>
        </w:rPr>
        <w:t>3</w:t>
      </w:r>
      <w:r w:rsidR="004857AB">
        <w:rPr>
          <w:rFonts w:cs="Calibri"/>
        </w:rPr>
        <w:fldChar w:fldCharType="end"/>
      </w:r>
      <w:r w:rsidRPr="004B520E">
        <w:t>). This equates to 12.9% of Basin storage volume or 12.8% the total volume of Basin runoff in 2023–24. T</w:t>
      </w:r>
      <w:r w:rsidRPr="004B520E">
        <w:rPr>
          <w:rFonts w:cs="Calibri"/>
        </w:rPr>
        <w:t>his is</w:t>
      </w:r>
      <w:r w:rsidRPr="004B520E">
        <w:t xml:space="preserve"> the largest volume of Commonwealth environmental water delivered over the 10 years since 2014, in part due to storages being relatively full following a very wet year in 2022–23.</w:t>
      </w:r>
    </w:p>
    <w:p w14:paraId="6331A6A4" w14:textId="34720F94" w:rsidR="007A4085" w:rsidRPr="004B520E" w:rsidRDefault="007A4085" w:rsidP="007A4085">
      <w:pPr>
        <w:pStyle w:val="BodyText"/>
      </w:pPr>
      <w:r w:rsidRPr="004B520E">
        <w:t>Larger environmental water entitlements are held and delivered in the southern Basin compared to the northern Basin</w:t>
      </w:r>
      <w:r w:rsidRPr="004B520E" w:rsidDel="00A4758F">
        <w:t xml:space="preserve"> </w:t>
      </w:r>
      <w:r w:rsidRPr="004B520E">
        <w:t>and are accompanied by a wider range of options for active water management. For the water year 2023–24, 2,615 GL (91% by volume of total 2023–24 delivery) and 74% (or 84) actions were delivered in the southern Basin. The northern Basin received 255 GL</w:t>
      </w:r>
      <w:r w:rsidR="0017401E">
        <w:t xml:space="preserve"> –</w:t>
      </w:r>
      <w:r w:rsidRPr="004B520E">
        <w:t xml:space="preserve"> 71 GL of this (28% of northern Basin total or 2.5% of Basin total) was delivered in the Condamine Balonne to support </w:t>
      </w:r>
      <w:r w:rsidRPr="004B520E">
        <w:rPr>
          <w:rFonts w:eastAsiaTheme="majorEastAsia" w:cs="Calibri"/>
        </w:rPr>
        <w:t>the Narran Lakes.</w:t>
      </w:r>
    </w:p>
    <w:p w14:paraId="0EAAD724" w14:textId="3855A2C7" w:rsidR="00E72A48" w:rsidRDefault="001C5A5D" w:rsidP="007A4085">
      <w:pPr>
        <w:pStyle w:val="BodyText"/>
      </w:pPr>
      <w:r w:rsidRPr="004B520E">
        <w:rPr>
          <w:rFonts w:cs="Calibri"/>
        </w:rPr>
        <w:t xml:space="preserve">In </w:t>
      </w:r>
      <w:r w:rsidR="00244943" w:rsidRPr="004B520E">
        <w:rPr>
          <w:rFonts w:cs="Calibri"/>
        </w:rPr>
        <w:t>2023–24</w:t>
      </w:r>
      <w:r w:rsidRPr="004B520E">
        <w:rPr>
          <w:rFonts w:cs="Calibri"/>
        </w:rPr>
        <w:t xml:space="preserve">, </w:t>
      </w:r>
      <w:r w:rsidR="00ED6967">
        <w:t>88</w:t>
      </w:r>
      <w:r w:rsidR="00ED6967" w:rsidRPr="004B520E">
        <w:t xml:space="preserve"> </w:t>
      </w:r>
      <w:r w:rsidR="007A4085" w:rsidRPr="004B520E">
        <w:t>watering actions (</w:t>
      </w:r>
      <w:r w:rsidR="00ED6967">
        <w:t>77</w:t>
      </w:r>
      <w:r w:rsidR="007A4085" w:rsidRPr="004B520E">
        <w:t xml:space="preserve">% by volume) were delivered to support instream flows </w:t>
      </w:r>
      <w:r w:rsidR="00915D8B">
        <w:t>across</w:t>
      </w:r>
      <w:r w:rsidR="00915D8B" w:rsidRPr="004B520E">
        <w:t xml:space="preserve"> </w:t>
      </w:r>
      <w:r w:rsidR="007A4085" w:rsidRPr="004B520E">
        <w:t xml:space="preserve">all 19 of the Basin valleys where Commonwealth environmental water is delivered (refer to </w:t>
      </w:r>
      <w:r w:rsidR="007A4085" w:rsidRPr="004B520E">
        <w:fldChar w:fldCharType="begin"/>
      </w:r>
      <w:r w:rsidR="007A4085" w:rsidRPr="004B520E">
        <w:instrText xml:space="preserve"> REF _Ref172080286 \h  \* MERGEFORMAT </w:instrText>
      </w:r>
      <w:r w:rsidR="007A4085" w:rsidRPr="004B520E">
        <w:fldChar w:fldCharType="separate"/>
      </w:r>
      <w:r w:rsidR="00C43C1D" w:rsidRPr="004B520E">
        <w:t>Table </w:t>
      </w:r>
      <w:r w:rsidR="00C43C1D">
        <w:t>A.</w:t>
      </w:r>
      <w:r w:rsidR="00C43C1D">
        <w:rPr>
          <w:noProof/>
        </w:rPr>
        <w:t>1</w:t>
      </w:r>
      <w:r w:rsidR="007A4085" w:rsidRPr="004B520E">
        <w:fldChar w:fldCharType="end"/>
      </w:r>
      <w:r w:rsidR="004857AB">
        <w:t xml:space="preserve">, </w:t>
      </w:r>
      <w:r w:rsidR="004857AB">
        <w:fldChar w:fldCharType="begin"/>
      </w:r>
      <w:r w:rsidR="004857AB">
        <w:instrText xml:space="preserve"> REF _Ref201668602 \h </w:instrText>
      </w:r>
      <w:r w:rsidR="004857AB">
        <w:fldChar w:fldCharType="separate"/>
      </w:r>
      <w:r w:rsidR="00C43C1D" w:rsidRPr="004B520E">
        <w:t>Table </w:t>
      </w:r>
      <w:r w:rsidR="00C43C1D">
        <w:rPr>
          <w:noProof/>
        </w:rPr>
        <w:t>A</w:t>
      </w:r>
      <w:r w:rsidR="00C43C1D">
        <w:t>.</w:t>
      </w:r>
      <w:r w:rsidR="00C43C1D">
        <w:rPr>
          <w:noProof/>
        </w:rPr>
        <w:t>2</w:t>
      </w:r>
      <w:r w:rsidR="004857AB">
        <w:fldChar w:fldCharType="end"/>
      </w:r>
      <w:r w:rsidR="004857AB">
        <w:t xml:space="preserve"> and </w:t>
      </w:r>
      <w:r w:rsidR="004857AB">
        <w:fldChar w:fldCharType="begin"/>
      </w:r>
      <w:r w:rsidR="004857AB">
        <w:instrText xml:space="preserve"> REF _Ref201668605 \h </w:instrText>
      </w:r>
      <w:r w:rsidR="004857AB">
        <w:fldChar w:fldCharType="separate"/>
      </w:r>
      <w:r w:rsidR="00C43C1D" w:rsidRPr="004B520E">
        <w:t>Table </w:t>
      </w:r>
      <w:r w:rsidR="00C43C1D">
        <w:rPr>
          <w:noProof/>
        </w:rPr>
        <w:t>A</w:t>
      </w:r>
      <w:r w:rsidR="00C43C1D">
        <w:t>.</w:t>
      </w:r>
      <w:r w:rsidR="00C43C1D">
        <w:rPr>
          <w:noProof/>
        </w:rPr>
        <w:t>3</w:t>
      </w:r>
      <w:r w:rsidR="004857AB">
        <w:fldChar w:fldCharType="end"/>
      </w:r>
      <w:r w:rsidR="007A4085" w:rsidRPr="004B520E">
        <w:t xml:space="preserve">). </w:t>
      </w:r>
      <w:r w:rsidRPr="004B520E">
        <w:rPr>
          <w:rFonts w:cs="Calibri"/>
        </w:rPr>
        <w:t>Commonwealth environmental water</w:t>
      </w:r>
      <w:r w:rsidRPr="004B520E">
        <w:rPr>
          <w:rFonts w:eastAsiaTheme="majorEastAsia" w:cs="Calibri"/>
        </w:rPr>
        <w:t xml:space="preserve"> </w:t>
      </w:r>
      <w:r w:rsidR="007A4085" w:rsidRPr="004B520E">
        <w:t>connected 21,075 km of waterways</w:t>
      </w:r>
      <w:r w:rsidR="00BF60AD">
        <w:t>,</w:t>
      </w:r>
      <w:r w:rsidR="007A4085" w:rsidRPr="004B520E">
        <w:t xml:space="preserve"> including channels on the managed floodplain.</w:t>
      </w:r>
    </w:p>
    <w:p w14:paraId="0AAE3826" w14:textId="79D329E8" w:rsidR="007A4085" w:rsidRPr="004B520E" w:rsidRDefault="007A4085" w:rsidP="007A4085">
      <w:pPr>
        <w:pStyle w:val="BodyText"/>
      </w:pPr>
      <w:r w:rsidRPr="004B520E">
        <w:t xml:space="preserve">Wetlands in the Gwydir, Macquarie, Edward/Kolety–Wakool, Lachlan, Lower Murray and Murrumbidgee benefited from delivery of Commonwealth environmental water in 2023–24, including internationally significant Ramsar </w:t>
      </w:r>
      <w:r w:rsidR="00B6484F">
        <w:t>S</w:t>
      </w:r>
      <w:r w:rsidRPr="004B520E">
        <w:t>ites. 23 actions were delivered to support floodplains (overbank) or wetlands</w:t>
      </w:r>
      <w:r w:rsidR="00E44F81">
        <w:t>,</w:t>
      </w:r>
      <w:r w:rsidRPr="004B520E">
        <w:t xml:space="preserve"> inundating 23,768 ha of estuary, 200,890 ha of lakes and wetlands and 47,770 ha of floodplain area.</w:t>
      </w:r>
    </w:p>
    <w:p w14:paraId="4CD4521B" w14:textId="65C12115" w:rsidR="0035012E" w:rsidRPr="004B520E" w:rsidRDefault="007A4085" w:rsidP="00F464CD">
      <w:pPr>
        <w:pStyle w:val="BodyText"/>
      </w:pPr>
      <w:r w:rsidRPr="004B520E">
        <w:t>The timing and duration of high flow events, as well as the maintenance of baseflow, are important for Basin ecosystems and delivery of Commonwealth environmental water. In 2023–24, Commonwealth environmental water was used to maintain baseflows as well as extend the duration of natural freshes to water wetlands, improve water quality by maintaining dissolved oxygen levels above critical thresholds, maintain high flow rates during spring and summer</w:t>
      </w:r>
      <w:r w:rsidR="008C1BC5">
        <w:t>,</w:t>
      </w:r>
      <w:r w:rsidRPr="004B520E">
        <w:t xml:space="preserve"> and reduce rapid recessions. </w:t>
      </w:r>
      <w:r w:rsidR="004E460A" w:rsidRPr="004B520E">
        <w:t>The use of Commonwealth environmental water deliveries to maintain water quality and dissolved oxygen levels likely lessened the impact of hypoxic water conditions and associated fish deaths</w:t>
      </w:r>
      <w:r w:rsidR="0035012E" w:rsidRPr="004B520E">
        <w:t>.</w:t>
      </w:r>
    </w:p>
    <w:p w14:paraId="13D558F0" w14:textId="05FDA153" w:rsidR="00BC3510" w:rsidRPr="004B520E" w:rsidRDefault="009315F7" w:rsidP="007326AB">
      <w:pPr>
        <w:pStyle w:val="CaptionWithNote"/>
      </w:pPr>
      <w:bookmarkStart w:id="188" w:name="_Ref103654960"/>
      <w:bookmarkStart w:id="189" w:name="_Toc172283747"/>
      <w:bookmarkStart w:id="190" w:name="_Toc172283771"/>
      <w:bookmarkStart w:id="191" w:name="_Toc172290268"/>
      <w:bookmarkStart w:id="192" w:name="_Toc206528483"/>
      <w:r w:rsidRPr="004B520E">
        <w:t>Figure</w:t>
      </w:r>
      <w:r w:rsidR="00835CA5"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6</w:t>
      </w:r>
      <w:r>
        <w:fldChar w:fldCharType="end"/>
      </w:r>
      <w:bookmarkEnd w:id="188"/>
      <w:r w:rsidRPr="004B520E">
        <w:t xml:space="preserve"> Volume of water and number of watering actions delivered </w:t>
      </w:r>
      <w:r w:rsidR="00276422" w:rsidRPr="004B520E">
        <w:t xml:space="preserve">(left) </w:t>
      </w:r>
      <w:r w:rsidRPr="004B520E">
        <w:t xml:space="preserve">and the </w:t>
      </w:r>
      <w:r w:rsidR="00276422" w:rsidRPr="004B520E">
        <w:t>watercourses</w:t>
      </w:r>
      <w:r w:rsidR="008C7C59" w:rsidRPr="004B520E">
        <w:t xml:space="preserve"> and </w:t>
      </w:r>
      <w:r w:rsidRPr="004B520E">
        <w:t xml:space="preserve">area inundated </w:t>
      </w:r>
      <w:r w:rsidR="0081365E" w:rsidRPr="004B520E">
        <w:t xml:space="preserve">or connected </w:t>
      </w:r>
      <w:r w:rsidR="008C7C59" w:rsidRPr="004B520E">
        <w:t xml:space="preserve">(right) </w:t>
      </w:r>
      <w:r w:rsidRPr="004B520E">
        <w:t xml:space="preserve">by Commonwealth environmental water, </w:t>
      </w:r>
      <w:r w:rsidR="00244943" w:rsidRPr="004B520E">
        <w:t>2023–24</w:t>
      </w:r>
      <w:bookmarkEnd w:id="189"/>
      <w:bookmarkEnd w:id="190"/>
      <w:bookmarkEnd w:id="191"/>
      <w:bookmarkEnd w:id="192"/>
    </w:p>
    <w:p w14:paraId="17650B1B" w14:textId="1A48D3AF" w:rsidR="00443B81" w:rsidRPr="004B520E" w:rsidRDefault="00A95F0D" w:rsidP="007326AB">
      <w:pPr>
        <w:pStyle w:val="CaptionNote"/>
      </w:pPr>
      <w:r>
        <w:t>In these 2 maps, t</w:t>
      </w:r>
      <w:r w:rsidR="00443B81" w:rsidRPr="004B520E">
        <w:t xml:space="preserve">hose valleys shaded grey </w:t>
      </w:r>
      <w:r w:rsidR="0056325A" w:rsidRPr="004B520E">
        <w:t xml:space="preserve">are </w:t>
      </w:r>
      <w:r w:rsidR="00443B81" w:rsidRPr="004B520E">
        <w:t xml:space="preserve">the 5 valleys where </w:t>
      </w:r>
      <w:r w:rsidR="00102311">
        <w:t xml:space="preserve">the </w:t>
      </w:r>
      <w:r w:rsidR="00443B81" w:rsidRPr="004B520E">
        <w:t>C</w:t>
      </w:r>
      <w:r w:rsidR="00102311">
        <w:t xml:space="preserve">ommonwealth </w:t>
      </w:r>
      <w:r w:rsidR="00443B81" w:rsidRPr="004B520E">
        <w:t>E</w:t>
      </w:r>
      <w:r w:rsidR="00102311">
        <w:t xml:space="preserve">nvironmental </w:t>
      </w:r>
      <w:r w:rsidR="00443B81" w:rsidRPr="004B520E">
        <w:t>W</w:t>
      </w:r>
      <w:r w:rsidR="00102311">
        <w:t xml:space="preserve">ater </w:t>
      </w:r>
      <w:r w:rsidR="00443B81" w:rsidRPr="004B520E">
        <w:t>H</w:t>
      </w:r>
      <w:r w:rsidR="00102311">
        <w:t>older</w:t>
      </w:r>
      <w:r w:rsidR="00443B81" w:rsidRPr="004B520E">
        <w:t xml:space="preserve"> does not hold water entitlements</w:t>
      </w:r>
      <w:r w:rsidR="009D6C7C" w:rsidRPr="004B520E">
        <w:t>.</w:t>
      </w:r>
      <w:r w:rsidR="00102311">
        <w:t xml:space="preserve"> CEW = Commonwealth environmental water. Volumes are in megalitres</w:t>
      </w:r>
      <w:r w:rsidR="00DE27F1">
        <w:t xml:space="preserve"> and number of watering actions are in brackets.</w:t>
      </w:r>
    </w:p>
    <w:p w14:paraId="40A82919" w14:textId="77777777" w:rsidR="005E1E68" w:rsidRPr="004B520E" w:rsidRDefault="005E1E68" w:rsidP="005E1E68">
      <w:pPr>
        <w:pStyle w:val="Figure"/>
      </w:pPr>
      <w:bookmarkStart w:id="193" w:name="_Toc168579827"/>
      <w:bookmarkStart w:id="194" w:name="_Toc172283618"/>
      <w:bookmarkStart w:id="195" w:name="_Ref67599747"/>
      <w:bookmarkStart w:id="196" w:name="_Toc36129363"/>
      <w:bookmarkStart w:id="197" w:name="_Toc66693850"/>
      <w:bookmarkStart w:id="198" w:name="_Toc69466202"/>
      <w:r w:rsidRPr="004B520E">
        <w:rPr>
          <w:noProof/>
        </w:rPr>
        <w:drawing>
          <wp:inline distT="0" distB="0" distL="0" distR="0" wp14:anchorId="7E7903BC" wp14:editId="11E19B83">
            <wp:extent cx="6120130" cy="3237865"/>
            <wp:effectExtent l="0" t="0" r="0" b="635"/>
            <wp:docPr id="41343896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38960" name="Picture 8">
                      <a:extLst>
                        <a:ext uri="{C183D7F6-B498-43B3-948B-1728B52AA6E4}">
                          <adec:decorative xmlns:adec="http://schemas.microsoft.com/office/drawing/2017/decorative" val="1"/>
                        </a:ext>
                      </a:extLst>
                    </pic:cNvPr>
                    <pic:cNvPicPr/>
                  </pic:nvPicPr>
                  <pic:blipFill>
                    <a:blip r:embed="rId46"/>
                    <a:stretch>
                      <a:fillRect/>
                    </a:stretch>
                  </pic:blipFill>
                  <pic:spPr>
                    <a:xfrm>
                      <a:off x="0" y="0"/>
                      <a:ext cx="6120130" cy="3237865"/>
                    </a:xfrm>
                    <a:prstGeom prst="rect">
                      <a:avLst/>
                    </a:prstGeom>
                  </pic:spPr>
                </pic:pic>
              </a:graphicData>
            </a:graphic>
          </wp:inline>
        </w:drawing>
      </w:r>
    </w:p>
    <w:p w14:paraId="227CB601" w14:textId="7D9D56DA" w:rsidR="00ED3D30" w:rsidRPr="004B520E" w:rsidRDefault="00C32C08" w:rsidP="00113FC9">
      <w:pPr>
        <w:pStyle w:val="Heading3"/>
      </w:pPr>
      <w:r w:rsidRPr="004B520E">
        <w:lastRenderedPageBreak/>
        <w:t>Water years</w:t>
      </w:r>
      <w:r w:rsidR="00ED3D30" w:rsidRPr="004B520E">
        <w:t xml:space="preserve"> </w:t>
      </w:r>
      <w:r w:rsidR="00244943" w:rsidRPr="004B520E">
        <w:t>2014–24</w:t>
      </w:r>
      <w:bookmarkEnd w:id="193"/>
      <w:bookmarkEnd w:id="194"/>
    </w:p>
    <w:p w14:paraId="4B0C3A26" w14:textId="46DA0662" w:rsidR="00E72A48" w:rsidRDefault="0070196C" w:rsidP="007A4085">
      <w:pPr>
        <w:pStyle w:val="BodyText"/>
        <w:rPr>
          <w:rFonts w:cs="Calibri"/>
        </w:rPr>
      </w:pPr>
      <w:r>
        <w:t>All</w:t>
      </w:r>
      <w:r w:rsidR="007A4085" w:rsidRPr="004B520E">
        <w:t xml:space="preserve"> 19 valleys where the Commonwealth holds water entitlements (</w:t>
      </w:r>
      <w:r w:rsidR="00F424A3">
        <w:fldChar w:fldCharType="begin"/>
      </w:r>
      <w:r w:rsidR="00F424A3">
        <w:instrText xml:space="preserve"> REF _Ref103654960 \h </w:instrText>
      </w:r>
      <w:r w:rsidR="00F424A3">
        <w:fldChar w:fldCharType="separate"/>
      </w:r>
      <w:r w:rsidR="00C43C1D" w:rsidRPr="004B520E">
        <w:t>Figure </w:t>
      </w:r>
      <w:r w:rsidR="00C43C1D">
        <w:rPr>
          <w:noProof/>
        </w:rPr>
        <w:t>2</w:t>
      </w:r>
      <w:r w:rsidR="00C43C1D" w:rsidRPr="004B520E">
        <w:t>.</w:t>
      </w:r>
      <w:r w:rsidR="00C43C1D">
        <w:rPr>
          <w:noProof/>
        </w:rPr>
        <w:t>6</w:t>
      </w:r>
      <w:r w:rsidR="00F424A3">
        <w:fldChar w:fldCharType="end"/>
      </w:r>
      <w:r w:rsidR="007A4085" w:rsidRPr="004B520E">
        <w:t xml:space="preserve">) received </w:t>
      </w:r>
      <w:r w:rsidR="007A4085" w:rsidRPr="004B520E">
        <w:rPr>
          <w:rFonts w:cs="Calibri"/>
        </w:rPr>
        <w:t>Commonwealth environmental water</w:t>
      </w:r>
      <w:r w:rsidR="007A4085" w:rsidRPr="004B520E">
        <w:rPr>
          <w:rFonts w:eastAsiaTheme="majorEastAsia" w:cs="Calibri"/>
        </w:rPr>
        <w:t xml:space="preserve"> at some time </w:t>
      </w:r>
      <w:r w:rsidR="007A4085" w:rsidRPr="004B520E">
        <w:t xml:space="preserve">between </w:t>
      </w:r>
      <w:r w:rsidR="007A4085" w:rsidRPr="004B520E">
        <w:rPr>
          <w:rFonts w:cs="Calibri"/>
        </w:rPr>
        <w:t>2014</w:t>
      </w:r>
      <w:r w:rsidR="007A4085" w:rsidRPr="004B520E">
        <w:t xml:space="preserve"> and 20</w:t>
      </w:r>
      <w:r w:rsidR="007A4085" w:rsidRPr="004B520E">
        <w:rPr>
          <w:rFonts w:cs="Calibri"/>
        </w:rPr>
        <w:t>24</w:t>
      </w:r>
      <w:r w:rsidR="00C836D2">
        <w:rPr>
          <w:rFonts w:cs="Calibri"/>
        </w:rPr>
        <w:t xml:space="preserve"> (</w:t>
      </w:r>
      <w:r w:rsidR="00376C40">
        <w:rPr>
          <w:rFonts w:cs="Calibri"/>
        </w:rPr>
        <w:fldChar w:fldCharType="begin"/>
      </w:r>
      <w:r w:rsidR="00376C40">
        <w:rPr>
          <w:rFonts w:cs="Calibri"/>
        </w:rPr>
        <w:instrText xml:space="preserve"> REF _Ref172300795 \h </w:instrText>
      </w:r>
      <w:r w:rsidR="00376C40">
        <w:rPr>
          <w:rFonts w:cs="Calibri"/>
        </w:rPr>
      </w:r>
      <w:r w:rsidR="00376C40">
        <w:rPr>
          <w:rFonts w:cs="Calibri"/>
        </w:rPr>
        <w:fldChar w:fldCharType="separate"/>
      </w:r>
      <w:r w:rsidR="00C43C1D" w:rsidRPr="004B520E">
        <w:t>Figure</w:t>
      </w:r>
      <w:r w:rsidR="00C43C1D">
        <w:t> </w:t>
      </w:r>
      <w:r w:rsidR="00C43C1D">
        <w:rPr>
          <w:noProof/>
        </w:rPr>
        <w:t>A</w:t>
      </w:r>
      <w:r w:rsidR="00C43C1D" w:rsidRPr="004B520E">
        <w:t>.</w:t>
      </w:r>
      <w:r w:rsidR="00C43C1D">
        <w:rPr>
          <w:noProof/>
        </w:rPr>
        <w:t>1</w:t>
      </w:r>
      <w:r w:rsidR="00376C40">
        <w:rPr>
          <w:rFonts w:cs="Calibri"/>
        </w:rPr>
        <w:fldChar w:fldCharType="end"/>
      </w:r>
      <w:r w:rsidR="00376C40">
        <w:rPr>
          <w:rFonts w:cs="Calibri"/>
        </w:rPr>
        <w:t>)</w:t>
      </w:r>
      <w:r w:rsidR="007A4085" w:rsidRPr="004B520E">
        <w:t xml:space="preserve">. </w:t>
      </w:r>
      <w:r w:rsidR="007A4085" w:rsidRPr="004B520E">
        <w:rPr>
          <w:rFonts w:cs="Calibri"/>
        </w:rPr>
        <w:t xml:space="preserve">Over the 10 years from 2014–24, </w:t>
      </w:r>
      <w:r w:rsidR="007A4085" w:rsidRPr="004B520E">
        <w:t xml:space="preserve">18,310 GL </w:t>
      </w:r>
      <w:r w:rsidR="007A4085" w:rsidRPr="004B520E">
        <w:rPr>
          <w:rFonts w:cs="Calibri"/>
        </w:rPr>
        <w:t>of Commonwealth environmental water</w:t>
      </w:r>
      <w:r w:rsidR="007A4085" w:rsidRPr="004B520E">
        <w:rPr>
          <w:rFonts w:eastAsiaTheme="majorEastAsia" w:cs="Calibri"/>
        </w:rPr>
        <w:t xml:space="preserve"> </w:t>
      </w:r>
      <w:r w:rsidR="007A4085" w:rsidRPr="004B520E">
        <w:rPr>
          <w:rFonts w:cs="Calibri"/>
        </w:rPr>
        <w:t>were d</w:t>
      </w:r>
      <w:r w:rsidR="007A4085" w:rsidRPr="004B520E">
        <w:t>elivered in</w:t>
      </w:r>
      <w:r w:rsidR="007A4085" w:rsidRPr="004B520E">
        <w:rPr>
          <w:rFonts w:cs="Calibri"/>
        </w:rPr>
        <w:t xml:space="preserve"> </w:t>
      </w:r>
      <w:r w:rsidR="007A4085" w:rsidRPr="004B520E">
        <w:t xml:space="preserve">1,194 independent </w:t>
      </w:r>
      <w:r w:rsidR="007A4085" w:rsidRPr="004B520E">
        <w:rPr>
          <w:rFonts w:cs="Calibri"/>
        </w:rPr>
        <w:t>watering actions.</w:t>
      </w:r>
    </w:p>
    <w:p w14:paraId="42078003" w14:textId="15C1B859" w:rsidR="007A4085" w:rsidRPr="004B520E" w:rsidRDefault="007A4085" w:rsidP="007A4085">
      <w:pPr>
        <w:pStyle w:val="BodyText"/>
        <w:rPr>
          <w:rFonts w:cs="Calibri"/>
        </w:rPr>
      </w:pPr>
      <w:r w:rsidRPr="004B520E">
        <w:rPr>
          <w:rFonts w:cs="Calibri"/>
        </w:rPr>
        <w:t xml:space="preserve">The </w:t>
      </w:r>
      <w:r w:rsidR="002E4C93" w:rsidRPr="004B520E">
        <w:rPr>
          <w:rFonts w:cs="Calibri"/>
        </w:rPr>
        <w:t>1</w:t>
      </w:r>
      <w:r w:rsidR="002E4C93">
        <w:rPr>
          <w:rFonts w:cs="Calibri"/>
        </w:rPr>
        <w:t>2</w:t>
      </w:r>
      <w:r w:rsidRPr="004B520E">
        <w:rPr>
          <w:rFonts w:cs="Calibri"/>
        </w:rPr>
        <w:t> southern Basin valleys received most of the water by volume as well as by the number of actions</w:t>
      </w:r>
      <w:r w:rsidR="001734DE">
        <w:rPr>
          <w:rFonts w:cs="Calibri"/>
        </w:rPr>
        <w:t>.</w:t>
      </w:r>
      <w:r w:rsidRPr="004B520E">
        <w:rPr>
          <w:rFonts w:cs="Calibri"/>
        </w:rPr>
        <w:t xml:space="preserve"> </w:t>
      </w:r>
      <w:r w:rsidRPr="004B520E">
        <w:t>Among the southern Basin valleys, the Lower Murray Valley received the largest deliveries (7,339 GL</w:t>
      </w:r>
      <w:r w:rsidR="004F60AE" w:rsidRPr="004B520E">
        <w:t xml:space="preserve"> through</w:t>
      </w:r>
      <w:r w:rsidRPr="004B520E">
        <w:t xml:space="preserve"> 421 watering actions), </w:t>
      </w:r>
      <w:r w:rsidRPr="004B520E">
        <w:rPr>
          <w:rFonts w:cs="Calibri"/>
        </w:rPr>
        <w:t xml:space="preserve">supporting </w:t>
      </w:r>
      <w:r w:rsidRPr="004B520E">
        <w:rPr>
          <w:lang w:eastAsia="en-US"/>
        </w:rPr>
        <w:t>end-of-system flows to the Coorong, Lower Lakes and Murray Mouth</w:t>
      </w:r>
      <w:r w:rsidR="002E4C93">
        <w:rPr>
          <w:lang w:eastAsia="en-US"/>
        </w:rPr>
        <w:t xml:space="preserve"> and creeks and wetlands</w:t>
      </w:r>
      <w:r w:rsidRPr="004B520E">
        <w:rPr>
          <w:lang w:eastAsia="en-US"/>
        </w:rPr>
        <w:t>.</w:t>
      </w:r>
      <w:r w:rsidRPr="004B520E">
        <w:t xml:space="preserve"> </w:t>
      </w:r>
      <w:r w:rsidRPr="004B520E">
        <w:rPr>
          <w:rFonts w:cs="Calibri"/>
        </w:rPr>
        <w:t xml:space="preserve">The Murrumbidgee, Central Murray and Goulburn river systems also received a large portion of the environmental water portfolio. </w:t>
      </w:r>
      <w:r w:rsidR="007F23F2">
        <w:rPr>
          <w:rFonts w:cs="Calibri"/>
        </w:rPr>
        <w:t xml:space="preserve">Of </w:t>
      </w:r>
      <w:r w:rsidRPr="004B520E">
        <w:rPr>
          <w:rFonts w:cs="Calibri"/>
        </w:rPr>
        <w:t xml:space="preserve">the </w:t>
      </w:r>
      <w:r w:rsidR="001E2F68">
        <w:rPr>
          <w:rFonts w:cs="Calibri"/>
        </w:rPr>
        <w:t xml:space="preserve">7 </w:t>
      </w:r>
      <w:r w:rsidRPr="004B520E">
        <w:rPr>
          <w:rFonts w:cs="Calibri"/>
        </w:rPr>
        <w:t xml:space="preserve">northern Basin valleys, the Condamine Balonne received the highest volume of Commonwealth environmental water </w:t>
      </w:r>
      <w:r w:rsidRPr="00D1382C">
        <w:rPr>
          <w:rFonts w:cs="Calibri"/>
        </w:rPr>
        <w:t>(</w:t>
      </w:r>
      <w:r w:rsidR="00A26F7E" w:rsidRPr="00D324EB">
        <w:rPr>
          <w:rFonts w:cs="Calibri"/>
        </w:rPr>
        <w:t>797</w:t>
      </w:r>
      <w:r w:rsidR="002F619B" w:rsidRPr="00D324EB">
        <w:rPr>
          <w:rFonts w:cs="Calibri"/>
        </w:rPr>
        <w:t xml:space="preserve"> GL</w:t>
      </w:r>
      <w:r w:rsidRPr="00D324EB">
        <w:rPr>
          <w:rFonts w:cs="Calibri"/>
        </w:rPr>
        <w:t xml:space="preserve"> through </w:t>
      </w:r>
      <w:r w:rsidR="002F619B" w:rsidRPr="00D324EB">
        <w:rPr>
          <w:rFonts w:cs="Calibri"/>
        </w:rPr>
        <w:t>20 </w:t>
      </w:r>
      <w:r w:rsidRPr="00D324EB">
        <w:rPr>
          <w:rFonts w:cs="Calibri"/>
        </w:rPr>
        <w:t>actions</w:t>
      </w:r>
      <w:r w:rsidRPr="00D1382C">
        <w:rPr>
          <w:rFonts w:cs="Calibri"/>
        </w:rPr>
        <w:t>)</w:t>
      </w:r>
      <w:r w:rsidR="00482313" w:rsidRPr="00D1382C">
        <w:rPr>
          <w:rFonts w:cs="Calibri"/>
        </w:rPr>
        <w:t xml:space="preserve"> primarily</w:t>
      </w:r>
      <w:r w:rsidR="00482313">
        <w:rPr>
          <w:rFonts w:cs="Calibri"/>
        </w:rPr>
        <w:t xml:space="preserve"> to support the Narran Lakes</w:t>
      </w:r>
      <w:r w:rsidRPr="004B520E">
        <w:rPr>
          <w:rFonts w:cs="Calibri"/>
        </w:rPr>
        <w:t>.</w:t>
      </w:r>
    </w:p>
    <w:p w14:paraId="58869B1C" w14:textId="3790BE1F" w:rsidR="00E32139" w:rsidRDefault="00D16A8E" w:rsidP="007A4085">
      <w:pPr>
        <w:pStyle w:val="BodyText"/>
      </w:pPr>
      <w:r>
        <w:t>Most</w:t>
      </w:r>
      <w:r w:rsidR="0073362A">
        <w:t xml:space="preserve"> </w:t>
      </w:r>
      <w:r w:rsidR="004F60AE" w:rsidRPr="004B520E">
        <w:rPr>
          <w:rFonts w:cs="Calibri"/>
        </w:rPr>
        <w:t xml:space="preserve">Commonwealth environmental water was </w:t>
      </w:r>
      <w:r w:rsidR="004F60AE" w:rsidRPr="004B520E">
        <w:t>delivered for instream flows</w:t>
      </w:r>
      <w:r w:rsidR="000220CD" w:rsidRPr="000220CD">
        <w:t xml:space="preserve"> –</w:t>
      </w:r>
      <w:r w:rsidR="004034AA">
        <w:t xml:space="preserve"> </w:t>
      </w:r>
      <w:r w:rsidR="003925C9" w:rsidRPr="003925C9">
        <w:rPr>
          <w:lang w:val="en-US"/>
        </w:rPr>
        <w:t>643</w:t>
      </w:r>
      <w:r w:rsidR="002624B9">
        <w:rPr>
          <w:lang w:val="en-US"/>
        </w:rPr>
        <w:t xml:space="preserve"> actions</w:t>
      </w:r>
      <w:r w:rsidR="003925C9" w:rsidRPr="003925C9">
        <w:rPr>
          <w:lang w:val="en-US"/>
        </w:rPr>
        <w:t xml:space="preserve"> (54%</w:t>
      </w:r>
      <w:r w:rsidR="0003066F">
        <w:rPr>
          <w:lang w:val="en-US"/>
        </w:rPr>
        <w:t xml:space="preserve"> of total number of actions</w:t>
      </w:r>
      <w:r w:rsidR="003925C9" w:rsidRPr="003925C9">
        <w:rPr>
          <w:lang w:val="en-US"/>
        </w:rPr>
        <w:t>)</w:t>
      </w:r>
      <w:r w:rsidR="002F7B1C">
        <w:rPr>
          <w:lang w:val="en-US"/>
        </w:rPr>
        <w:t xml:space="preserve"> </w:t>
      </w:r>
      <w:r w:rsidR="00F106B2">
        <w:rPr>
          <w:lang w:val="en-US"/>
        </w:rPr>
        <w:t>totaling</w:t>
      </w:r>
      <w:r w:rsidR="003925C9" w:rsidRPr="003925C9">
        <w:rPr>
          <w:lang w:val="en-US"/>
        </w:rPr>
        <w:t xml:space="preserve"> 15,532 GL</w:t>
      </w:r>
      <w:r w:rsidR="00D504E3">
        <w:rPr>
          <w:lang w:val="en-US"/>
        </w:rPr>
        <w:t>,</w:t>
      </w:r>
      <w:r w:rsidR="003925C9" w:rsidRPr="003925C9">
        <w:rPr>
          <w:lang w:val="en-US"/>
        </w:rPr>
        <w:t xml:space="preserve"> </w:t>
      </w:r>
      <w:r w:rsidR="0003066F">
        <w:rPr>
          <w:lang w:val="en-US"/>
        </w:rPr>
        <w:t xml:space="preserve">representing </w:t>
      </w:r>
      <w:r w:rsidR="003925C9" w:rsidRPr="00D1382C">
        <w:rPr>
          <w:lang w:val="en-US"/>
        </w:rPr>
        <w:t>85%</w:t>
      </w:r>
      <w:r w:rsidR="002F7B1C" w:rsidRPr="00D324EB">
        <w:t xml:space="preserve"> of </w:t>
      </w:r>
      <w:r w:rsidR="006C2EDF" w:rsidRPr="00D324EB">
        <w:t>the total volume</w:t>
      </w:r>
      <w:r w:rsidR="004F60AE" w:rsidRPr="00D324EB">
        <w:t xml:space="preserve"> over the 10 years</w:t>
      </w:r>
      <w:r w:rsidR="004034AA">
        <w:t xml:space="preserve"> </w:t>
      </w:r>
      <w:r w:rsidR="00FA64CF" w:rsidRPr="000220CD">
        <w:t>–</w:t>
      </w:r>
      <w:r w:rsidR="004034AA">
        <w:t xml:space="preserve"> </w:t>
      </w:r>
      <w:r w:rsidR="00AD21F0" w:rsidRPr="00D324EB">
        <w:t>although</w:t>
      </w:r>
      <w:r w:rsidR="006C2EDF" w:rsidRPr="00D1382C">
        <w:t xml:space="preserve"> some </w:t>
      </w:r>
      <w:r w:rsidR="004034AA">
        <w:t xml:space="preserve">of these </w:t>
      </w:r>
      <w:r w:rsidR="006C2EDF" w:rsidRPr="00D1382C">
        <w:t xml:space="preserve">actions also having an overbank component. </w:t>
      </w:r>
      <w:r w:rsidR="00AD21F0" w:rsidRPr="00D1382C">
        <w:t>In comparison, 551 actions (</w:t>
      </w:r>
      <w:r w:rsidR="001C0654" w:rsidRPr="00236CD3">
        <w:t>46% of actions over the 10 years</w:t>
      </w:r>
      <w:r w:rsidR="001C0654">
        <w:t xml:space="preserve">) </w:t>
      </w:r>
      <w:r w:rsidR="00F106B2">
        <w:t>tota</w:t>
      </w:r>
      <w:r w:rsidR="002D2ABF">
        <w:t>l</w:t>
      </w:r>
      <w:r w:rsidR="00F106B2">
        <w:t>ling</w:t>
      </w:r>
      <w:r w:rsidR="001C0654">
        <w:t xml:space="preserve"> </w:t>
      </w:r>
      <w:r w:rsidRPr="001C0654">
        <w:rPr>
          <w:lang w:val="en-US"/>
        </w:rPr>
        <w:t>2,778</w:t>
      </w:r>
      <w:r w:rsidR="00F106B2">
        <w:rPr>
          <w:lang w:val="en-US"/>
        </w:rPr>
        <w:t xml:space="preserve"> GL</w:t>
      </w:r>
      <w:r w:rsidR="001C0654" w:rsidRPr="00236CD3">
        <w:t>,</w:t>
      </w:r>
      <w:r>
        <w:t xml:space="preserve"> representing 15</w:t>
      </w:r>
      <w:r w:rsidR="001C0654" w:rsidRPr="00236CD3">
        <w:t>% of total volume</w:t>
      </w:r>
      <w:r w:rsidR="00F106B2">
        <w:t xml:space="preserve"> over 10 years</w:t>
      </w:r>
      <w:r w:rsidR="00E32139">
        <w:t xml:space="preserve">. </w:t>
      </w:r>
      <w:r w:rsidR="00414AD5">
        <w:t>Base flows</w:t>
      </w:r>
      <w:r w:rsidR="00CD5C60">
        <w:t xml:space="preserve"> and </w:t>
      </w:r>
      <w:r w:rsidR="00EB5BEE">
        <w:t>freshes</w:t>
      </w:r>
      <w:r w:rsidR="00CD5C60">
        <w:t xml:space="preserve"> were delivered in all years (</w:t>
      </w:r>
      <w:r w:rsidR="00CD5C60">
        <w:fldChar w:fldCharType="begin"/>
      </w:r>
      <w:r w:rsidR="00CD5C60">
        <w:instrText xml:space="preserve"> REF _Ref172085316 \h </w:instrText>
      </w:r>
      <w:r w:rsidR="00CD5C60">
        <w:fldChar w:fldCharType="separate"/>
      </w:r>
      <w:r w:rsidR="00C43C1D" w:rsidRPr="004B520E">
        <w:t>Figure </w:t>
      </w:r>
      <w:r w:rsidR="00C43C1D">
        <w:rPr>
          <w:noProof/>
        </w:rPr>
        <w:t>2</w:t>
      </w:r>
      <w:r w:rsidR="00C43C1D" w:rsidRPr="004B520E">
        <w:t>.</w:t>
      </w:r>
      <w:r w:rsidR="00C43C1D">
        <w:rPr>
          <w:noProof/>
        </w:rPr>
        <w:t>7</w:t>
      </w:r>
      <w:r w:rsidR="00CD5C60">
        <w:fldChar w:fldCharType="end"/>
      </w:r>
      <w:r w:rsidR="00774EB7">
        <w:t xml:space="preserve">, </w:t>
      </w:r>
      <w:r w:rsidR="00774EB7">
        <w:fldChar w:fldCharType="begin"/>
      </w:r>
      <w:r w:rsidR="00774EB7">
        <w:instrText xml:space="preserve"> REF _Ref172085378 \h </w:instrText>
      </w:r>
      <w:r w:rsidR="00774EB7">
        <w:fldChar w:fldCharType="separate"/>
      </w:r>
      <w:r w:rsidR="00C43C1D" w:rsidRPr="004B520E">
        <w:t>Figure </w:t>
      </w:r>
      <w:r w:rsidR="00C43C1D">
        <w:rPr>
          <w:noProof/>
        </w:rPr>
        <w:t>2</w:t>
      </w:r>
      <w:r w:rsidR="00C43C1D" w:rsidRPr="004B520E">
        <w:t>.</w:t>
      </w:r>
      <w:r w:rsidR="00C43C1D">
        <w:rPr>
          <w:noProof/>
        </w:rPr>
        <w:t>8</w:t>
      </w:r>
      <w:r w:rsidR="00774EB7">
        <w:fldChar w:fldCharType="end"/>
      </w:r>
      <w:r w:rsidR="00CD5C60">
        <w:t>).</w:t>
      </w:r>
    </w:p>
    <w:p w14:paraId="6EB5493E" w14:textId="00F9D467" w:rsidR="007A4085" w:rsidRPr="004B520E" w:rsidRDefault="00E32139" w:rsidP="007A4085">
      <w:pPr>
        <w:pStyle w:val="BodyText"/>
      </w:pPr>
      <w:r>
        <w:rPr>
          <w:rFonts w:cs="Calibri"/>
        </w:rPr>
        <w:t xml:space="preserve">Over the </w:t>
      </w:r>
      <w:r w:rsidR="00600894">
        <w:rPr>
          <w:rFonts w:cs="Calibri"/>
        </w:rPr>
        <w:t xml:space="preserve">10 </w:t>
      </w:r>
      <w:r>
        <w:rPr>
          <w:rFonts w:cs="Calibri"/>
        </w:rPr>
        <w:t xml:space="preserve">years, </w:t>
      </w:r>
      <w:r w:rsidRPr="004B520E">
        <w:rPr>
          <w:rFonts w:cs="Calibri"/>
        </w:rPr>
        <w:t>Commonwealth environmental water</w:t>
      </w:r>
      <w:r w:rsidR="00F106B2">
        <w:t xml:space="preserve"> </w:t>
      </w:r>
      <w:r w:rsidR="007A4085" w:rsidRPr="004B520E">
        <w:rPr>
          <w:rFonts w:cs="Calibri"/>
        </w:rPr>
        <w:t xml:space="preserve">were </w:t>
      </w:r>
      <w:r w:rsidR="007A4085" w:rsidRPr="004B520E">
        <w:rPr>
          <w:rFonts w:eastAsiaTheme="majorEastAsia" w:cs="Calibri"/>
        </w:rPr>
        <w:t xml:space="preserve">delivered to </w:t>
      </w:r>
      <w:r w:rsidR="007A4085" w:rsidRPr="004B520E">
        <w:rPr>
          <w:rFonts w:cs="Calibri"/>
        </w:rPr>
        <w:t xml:space="preserve">inundate </w:t>
      </w:r>
      <w:r w:rsidR="007A4085" w:rsidRPr="004B520E">
        <w:t xml:space="preserve">wetlands and floodplains in 11 of the </w:t>
      </w:r>
      <w:r w:rsidR="0023042B" w:rsidRPr="0023042B">
        <w:rPr>
          <w:lang w:val="en-US"/>
        </w:rPr>
        <w:t>19 Basin valleys where the Commonwealth holds water entitlement</w:t>
      </w:r>
      <w:r w:rsidR="0023042B">
        <w:rPr>
          <w:lang w:val="en-US"/>
        </w:rPr>
        <w:t>s</w:t>
      </w:r>
      <w:r w:rsidR="00832A48">
        <w:rPr>
          <w:lang w:val="en-US"/>
        </w:rPr>
        <w:t>, with at least some overbank flows being delivered each year (</w:t>
      </w:r>
      <w:r w:rsidR="00832A48">
        <w:rPr>
          <w:lang w:val="en-US"/>
        </w:rPr>
        <w:fldChar w:fldCharType="begin"/>
      </w:r>
      <w:r w:rsidR="00832A48">
        <w:rPr>
          <w:lang w:val="en-US"/>
        </w:rPr>
        <w:instrText xml:space="preserve"> REF _Ref172085316 \h </w:instrText>
      </w:r>
      <w:r w:rsidR="00832A48">
        <w:rPr>
          <w:lang w:val="en-US"/>
        </w:rPr>
      </w:r>
      <w:r w:rsidR="00832A48">
        <w:rPr>
          <w:lang w:val="en-US"/>
        </w:rPr>
        <w:fldChar w:fldCharType="separate"/>
      </w:r>
      <w:r w:rsidR="00C43C1D" w:rsidRPr="004B520E">
        <w:t>Figure </w:t>
      </w:r>
      <w:r w:rsidR="00C43C1D">
        <w:rPr>
          <w:noProof/>
        </w:rPr>
        <w:t>2</w:t>
      </w:r>
      <w:r w:rsidR="00C43C1D" w:rsidRPr="004B520E">
        <w:t>.</w:t>
      </w:r>
      <w:r w:rsidR="00C43C1D">
        <w:rPr>
          <w:noProof/>
        </w:rPr>
        <w:t>7</w:t>
      </w:r>
      <w:r w:rsidR="00832A48">
        <w:rPr>
          <w:lang w:val="en-US"/>
        </w:rPr>
        <w:fldChar w:fldCharType="end"/>
      </w:r>
      <w:r w:rsidR="00774EB7">
        <w:rPr>
          <w:lang w:val="en-US"/>
        </w:rPr>
        <w:t xml:space="preserve">, </w:t>
      </w:r>
      <w:r w:rsidR="00774EB7">
        <w:rPr>
          <w:lang w:val="en-US"/>
        </w:rPr>
        <w:fldChar w:fldCharType="begin"/>
      </w:r>
      <w:r w:rsidR="00774EB7">
        <w:rPr>
          <w:lang w:val="en-US"/>
        </w:rPr>
        <w:instrText xml:space="preserve"> REF _Ref172085378 \h </w:instrText>
      </w:r>
      <w:r w:rsidR="00774EB7">
        <w:rPr>
          <w:lang w:val="en-US"/>
        </w:rPr>
      </w:r>
      <w:r w:rsidR="00774EB7">
        <w:rPr>
          <w:lang w:val="en-US"/>
        </w:rPr>
        <w:fldChar w:fldCharType="separate"/>
      </w:r>
      <w:r w:rsidR="00C43C1D" w:rsidRPr="004B520E">
        <w:t>Figure </w:t>
      </w:r>
      <w:r w:rsidR="00C43C1D">
        <w:rPr>
          <w:noProof/>
        </w:rPr>
        <w:t>2</w:t>
      </w:r>
      <w:r w:rsidR="00C43C1D" w:rsidRPr="004B520E">
        <w:t>.</w:t>
      </w:r>
      <w:r w:rsidR="00C43C1D">
        <w:rPr>
          <w:noProof/>
        </w:rPr>
        <w:t>8</w:t>
      </w:r>
      <w:r w:rsidR="00774EB7">
        <w:rPr>
          <w:lang w:val="en-US"/>
        </w:rPr>
        <w:fldChar w:fldCharType="end"/>
      </w:r>
      <w:r w:rsidR="00071492">
        <w:rPr>
          <w:lang w:val="en-US"/>
        </w:rPr>
        <w:t>)</w:t>
      </w:r>
      <w:r w:rsidR="007A4085" w:rsidRPr="004B520E">
        <w:t>. In the other 8 valleys</w:t>
      </w:r>
      <w:r w:rsidR="0023042B">
        <w:t xml:space="preserve"> </w:t>
      </w:r>
      <w:r w:rsidR="007A4085" w:rsidRPr="004B520E">
        <w:t>– the Barwon Darling, Broken, Campaspe, Goulburn, Loddon, Namoi, Ovens and Wimmera rivers – flows are managed with little overbank inundation, but in</w:t>
      </w:r>
      <w:r w:rsidR="00061D76">
        <w:t>stream</w:t>
      </w:r>
      <w:r w:rsidR="00061D76" w:rsidRPr="004B520E">
        <w:t xml:space="preserve"> </w:t>
      </w:r>
      <w:r w:rsidR="007A4085" w:rsidRPr="004B520E">
        <w:t>base flows and freshes were delivered most.</w:t>
      </w:r>
    </w:p>
    <w:p w14:paraId="2F1F94E1" w14:textId="5C52EF08" w:rsidR="00E72A48" w:rsidRDefault="001A24C3" w:rsidP="001A24C3">
      <w:pPr>
        <w:pStyle w:val="BodyText"/>
      </w:pPr>
      <w:r w:rsidRPr="004B520E">
        <w:t xml:space="preserve">Across the 10 years </w:t>
      </w:r>
      <w:r w:rsidR="004F60AE" w:rsidRPr="004B520E">
        <w:t xml:space="preserve">2014–24, </w:t>
      </w:r>
      <w:r w:rsidR="004F60AE" w:rsidRPr="004B520E">
        <w:rPr>
          <w:rFonts w:cs="Calibri"/>
        </w:rPr>
        <w:t xml:space="preserve">Commonwealth environmental water </w:t>
      </w:r>
      <w:r w:rsidRPr="004B520E">
        <w:t xml:space="preserve">was generally delivered with a similar seasonal pattern. </w:t>
      </w:r>
      <w:r w:rsidR="004F60AE" w:rsidRPr="004B520E">
        <w:t>I</w:t>
      </w:r>
      <w:r w:rsidRPr="004B520E">
        <w:t>n the southern Basin</w:t>
      </w:r>
      <w:r w:rsidR="004F60AE" w:rsidRPr="004B520E">
        <w:t>, most deliveries</w:t>
      </w:r>
      <w:r w:rsidRPr="004B520E">
        <w:t xml:space="preserve"> were released in spring and summer pulses, even in the drier years (water years 2017–20)</w:t>
      </w:r>
      <w:r w:rsidR="004F60AE" w:rsidRPr="004B520E">
        <w:t xml:space="preserve">. </w:t>
      </w:r>
      <w:r w:rsidRPr="004B520E">
        <w:t>In the northern Basin, releases were spread across the year.</w:t>
      </w:r>
    </w:p>
    <w:p w14:paraId="5D1AEB1B" w14:textId="46671BCF" w:rsidR="004F60AE" w:rsidRPr="004B520E" w:rsidRDefault="001C5A5D" w:rsidP="001C5A5D">
      <w:pPr>
        <w:pStyle w:val="BodyText"/>
      </w:pPr>
      <w:r w:rsidRPr="004B520E">
        <w:rPr>
          <w:rFonts w:cs="Calibri"/>
        </w:rPr>
        <w:t>Delivery of Commonwealth environmental water</w:t>
      </w:r>
      <w:r w:rsidRPr="004B520E">
        <w:t xml:space="preserve"> over the </w:t>
      </w:r>
      <w:r w:rsidR="00244943" w:rsidRPr="004B520E">
        <w:t>10-year period</w:t>
      </w:r>
      <w:r w:rsidRPr="004B520E">
        <w:t xml:space="preserve"> typically targeted Basin Plan environmental outcomes for vegetation, fish and waterbirds</w:t>
      </w:r>
      <w:r w:rsidR="00D07F03" w:rsidRPr="004F60AE">
        <w:t xml:space="preserve"> (</w:t>
      </w:r>
      <w:r w:rsidR="00D07F03" w:rsidRPr="004F60AE">
        <w:fldChar w:fldCharType="begin"/>
      </w:r>
      <w:r w:rsidR="00D07F03" w:rsidRPr="004F60AE">
        <w:instrText xml:space="preserve"> REF _Ref75391160 \h  \* MERGEFORMAT </w:instrText>
      </w:r>
      <w:r w:rsidR="00D07F03" w:rsidRPr="004F60AE">
        <w:fldChar w:fldCharType="separate"/>
      </w:r>
      <w:r w:rsidR="00C43C1D" w:rsidRPr="004B520E">
        <w:t>Figure </w:t>
      </w:r>
      <w:r w:rsidR="00C43C1D">
        <w:t>2</w:t>
      </w:r>
      <w:r w:rsidR="00C43C1D" w:rsidRPr="004B520E">
        <w:t>.</w:t>
      </w:r>
      <w:r w:rsidR="00C43C1D">
        <w:t>9</w:t>
      </w:r>
      <w:r w:rsidR="00D07F03" w:rsidRPr="004F60AE">
        <w:fldChar w:fldCharType="end"/>
      </w:r>
      <w:r w:rsidR="00D07F03" w:rsidRPr="004F60AE">
        <w:t xml:space="preserve">). </w:t>
      </w:r>
      <w:r w:rsidRPr="004B520E">
        <w:rPr>
          <w:rFonts w:cs="Calibri"/>
        </w:rPr>
        <w:t>Commonwealth environmental water</w:t>
      </w:r>
      <w:r w:rsidRPr="004B520E">
        <w:t xml:space="preserve"> also supported longitudinal river connectivity for instream ecosystem processes and water quality objectives, including mitigation of hypoxic </w:t>
      </w:r>
      <w:r w:rsidR="002E5787" w:rsidRPr="004B520E">
        <w:t>conditions</w:t>
      </w:r>
      <w:r w:rsidRPr="004B520E">
        <w:t xml:space="preserve"> and algal blooms</w:t>
      </w:r>
      <w:r w:rsidR="00837236" w:rsidRPr="004B520E">
        <w:t>.</w:t>
      </w:r>
    </w:p>
    <w:p w14:paraId="4D1B446B" w14:textId="01FCF8F4" w:rsidR="001C5A5D" w:rsidRPr="004B520E" w:rsidRDefault="001C5A5D" w:rsidP="00582308">
      <w:pPr>
        <w:pStyle w:val="CaptionWithNote"/>
      </w:pPr>
      <w:bookmarkStart w:id="199" w:name="_Ref172085316"/>
      <w:bookmarkStart w:id="200" w:name="_Toc172283748"/>
      <w:bookmarkStart w:id="201" w:name="_Toc172283772"/>
      <w:bookmarkStart w:id="202" w:name="_Toc172290269"/>
      <w:bookmarkStart w:id="203" w:name="_Toc206528484"/>
      <w:r w:rsidRPr="004B520E">
        <w:lastRenderedPageBreak/>
        <w:t>Figure</w:t>
      </w:r>
      <w:r w:rsidR="00ED3CFB"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7</w:t>
      </w:r>
      <w:r>
        <w:fldChar w:fldCharType="end"/>
      </w:r>
      <w:bookmarkEnd w:id="199"/>
      <w:r w:rsidRPr="004B520E">
        <w:t xml:space="preserve"> </w:t>
      </w:r>
      <w:r w:rsidR="006E1938">
        <w:t>C</w:t>
      </w:r>
      <w:r w:rsidRPr="004B520E">
        <w:t xml:space="preserve">ommonwealth environmental water portfolio showing volume of watering actions by flow component and year, </w:t>
      </w:r>
      <w:r w:rsidR="00244943" w:rsidRPr="004B520E">
        <w:t>2014–24</w:t>
      </w:r>
      <w:bookmarkEnd w:id="200"/>
      <w:bookmarkEnd w:id="201"/>
      <w:bookmarkEnd w:id="202"/>
      <w:bookmarkEnd w:id="203"/>
    </w:p>
    <w:p w14:paraId="2A1C8B06" w14:textId="77777777" w:rsidR="001C5A5D" w:rsidRPr="004B520E" w:rsidRDefault="001C5A5D" w:rsidP="007326AB">
      <w:pPr>
        <w:pStyle w:val="CaptionNote"/>
      </w:pPr>
      <w:r w:rsidRPr="004B520E">
        <w:t>Volumes per component are displayed above each bar. Annual volumes are displayed inside boxes at the bottom of the figure.</w:t>
      </w:r>
    </w:p>
    <w:p w14:paraId="40C62ABC" w14:textId="4C9DED4A" w:rsidR="005E1E68" w:rsidRPr="004B520E" w:rsidRDefault="002C2151" w:rsidP="003C48FB">
      <w:pPr>
        <w:pStyle w:val="Figure"/>
      </w:pPr>
      <w:r w:rsidRPr="002C2151">
        <w:rPr>
          <w:noProof/>
        </w:rPr>
        <w:drawing>
          <wp:inline distT="0" distB="0" distL="0" distR="0" wp14:anchorId="6DCFACB8" wp14:editId="761A59C8">
            <wp:extent cx="6120130" cy="3265805"/>
            <wp:effectExtent l="0" t="0" r="0" b="0"/>
            <wp:docPr id="1934806781" name="Picture 1"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06781" name="Picture 1"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a:blip r:embed="rId47"/>
                    <a:stretch>
                      <a:fillRect/>
                    </a:stretch>
                  </pic:blipFill>
                  <pic:spPr>
                    <a:xfrm>
                      <a:off x="0" y="0"/>
                      <a:ext cx="6120130" cy="3265805"/>
                    </a:xfrm>
                    <a:prstGeom prst="rect">
                      <a:avLst/>
                    </a:prstGeom>
                  </pic:spPr>
                </pic:pic>
              </a:graphicData>
            </a:graphic>
          </wp:inline>
        </w:drawing>
      </w:r>
    </w:p>
    <w:p w14:paraId="4E6CB8D4" w14:textId="22F22C9F" w:rsidR="001C5A5D" w:rsidRPr="004B520E" w:rsidRDefault="001C5A5D" w:rsidP="001C5A5D">
      <w:pPr>
        <w:pStyle w:val="CaptionWithNote"/>
      </w:pPr>
      <w:bookmarkStart w:id="204" w:name="_Ref172085378"/>
      <w:bookmarkStart w:id="205" w:name="_Toc172283749"/>
      <w:bookmarkStart w:id="206" w:name="_Toc172283773"/>
      <w:bookmarkStart w:id="207" w:name="_Toc172290270"/>
      <w:bookmarkStart w:id="208" w:name="_Toc206528485"/>
      <w:r w:rsidRPr="004B520E">
        <w:t>Figure</w:t>
      </w:r>
      <w:r w:rsidR="00ED3CFB"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8</w:t>
      </w:r>
      <w:r>
        <w:fldChar w:fldCharType="end"/>
      </w:r>
      <w:bookmarkEnd w:id="204"/>
      <w:r w:rsidRPr="004B520E">
        <w:t xml:space="preserve"> </w:t>
      </w:r>
      <w:r w:rsidR="00EC619F">
        <w:t xml:space="preserve">Commonwealth </w:t>
      </w:r>
      <w:r w:rsidRPr="004B520E">
        <w:t xml:space="preserve">environmental water portfolio showing the number of watering actions and the proportioning of flow components each year, by flow component and year, </w:t>
      </w:r>
      <w:r w:rsidR="00244943" w:rsidRPr="004B520E">
        <w:t>2014–24</w:t>
      </w:r>
      <w:bookmarkEnd w:id="205"/>
      <w:bookmarkEnd w:id="206"/>
      <w:bookmarkEnd w:id="207"/>
      <w:bookmarkEnd w:id="208"/>
    </w:p>
    <w:p w14:paraId="3BFB7D86" w14:textId="665C8D46" w:rsidR="001C5A5D" w:rsidRPr="004B520E" w:rsidRDefault="001C5A5D" w:rsidP="007326AB">
      <w:pPr>
        <w:pStyle w:val="CaptionNote"/>
      </w:pPr>
      <w:r w:rsidRPr="004B520E">
        <w:t xml:space="preserve">The number of watering actions is displayed inside each component of the stacked </w:t>
      </w:r>
      <w:r w:rsidR="008A59D2">
        <w:t xml:space="preserve">horizontal </w:t>
      </w:r>
      <w:r w:rsidRPr="004B520E">
        <w:t>bar.</w:t>
      </w:r>
    </w:p>
    <w:p w14:paraId="3A60602F" w14:textId="61A51B7A" w:rsidR="003C48FB" w:rsidRPr="004B520E" w:rsidRDefault="008A59D2" w:rsidP="003C48FB">
      <w:pPr>
        <w:pStyle w:val="Figure"/>
      </w:pPr>
      <w:r w:rsidRPr="008A59D2">
        <w:rPr>
          <w:noProof/>
        </w:rPr>
        <w:drawing>
          <wp:inline distT="0" distB="0" distL="0" distR="0" wp14:anchorId="1D5C9140" wp14:editId="19CD671A">
            <wp:extent cx="6120130" cy="1935480"/>
            <wp:effectExtent l="0" t="0" r="0" b="7620"/>
            <wp:docPr id="1435418827" name="Picture 1"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18827" name="Picture 1"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a:blip r:embed="rId48"/>
                    <a:stretch>
                      <a:fillRect/>
                    </a:stretch>
                  </pic:blipFill>
                  <pic:spPr>
                    <a:xfrm>
                      <a:off x="0" y="0"/>
                      <a:ext cx="6120130" cy="1935480"/>
                    </a:xfrm>
                    <a:prstGeom prst="rect">
                      <a:avLst/>
                    </a:prstGeom>
                  </pic:spPr>
                </pic:pic>
              </a:graphicData>
            </a:graphic>
          </wp:inline>
        </w:drawing>
      </w:r>
    </w:p>
    <w:p w14:paraId="56383EB6" w14:textId="4F2D3151" w:rsidR="00F56B3B" w:rsidRPr="004B520E" w:rsidRDefault="007973B6" w:rsidP="000B73AA">
      <w:pPr>
        <w:pStyle w:val="CaptionWithNote"/>
        <w:tabs>
          <w:tab w:val="left" w:pos="8931"/>
        </w:tabs>
        <w:ind w:right="567"/>
      </w:pPr>
      <w:bookmarkStart w:id="209" w:name="_Ref73410956"/>
      <w:bookmarkStart w:id="210" w:name="_Ref75391160"/>
      <w:bookmarkStart w:id="211" w:name="_Toc172283750"/>
      <w:bookmarkStart w:id="212" w:name="_Toc172283774"/>
      <w:bookmarkStart w:id="213" w:name="_Toc172290271"/>
      <w:bookmarkStart w:id="214" w:name="_Toc206528486"/>
      <w:r w:rsidRPr="004B520E">
        <w:lastRenderedPageBreak/>
        <w:t>Figure</w:t>
      </w:r>
      <w:r w:rsidR="004E0C71"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9</w:t>
      </w:r>
      <w:r>
        <w:fldChar w:fldCharType="end"/>
      </w:r>
      <w:bookmarkEnd w:id="209"/>
      <w:bookmarkEnd w:id="210"/>
      <w:r w:rsidR="00F41588" w:rsidRPr="004B520E">
        <w:t xml:space="preserve"> </w:t>
      </w:r>
      <w:r w:rsidR="00F75E63" w:rsidRPr="004B520E">
        <w:t xml:space="preserve">Number </w:t>
      </w:r>
      <w:r w:rsidR="00A04A2D" w:rsidRPr="004B520E">
        <w:t xml:space="preserve">of </w:t>
      </w:r>
      <w:r w:rsidR="002F4C8F" w:rsidRPr="004B520E">
        <w:rPr>
          <w:rFonts w:cs="Calibri"/>
        </w:rPr>
        <w:t>Commonwealth environm</w:t>
      </w:r>
      <w:r w:rsidR="00395C33" w:rsidRPr="004B520E">
        <w:rPr>
          <w:rFonts w:cs="Calibri"/>
        </w:rPr>
        <w:t>ent</w:t>
      </w:r>
      <w:r w:rsidR="00A22458" w:rsidRPr="004B520E">
        <w:rPr>
          <w:rFonts w:cs="Calibri"/>
        </w:rPr>
        <w:t>al watering</w:t>
      </w:r>
      <w:r w:rsidR="00395C33" w:rsidRPr="004B520E">
        <w:rPr>
          <w:rFonts w:cs="Calibri"/>
        </w:rPr>
        <w:t xml:space="preserve"> actions t</w:t>
      </w:r>
      <w:r w:rsidR="00A04A2D" w:rsidRPr="004B520E">
        <w:t xml:space="preserve">argeted to specific </w:t>
      </w:r>
      <w:r w:rsidR="00F41588" w:rsidRPr="004B520E">
        <w:t>outcomes</w:t>
      </w:r>
      <w:r w:rsidR="00E46A7F" w:rsidRPr="004B520E">
        <w:t>,</w:t>
      </w:r>
      <w:r w:rsidR="00603503" w:rsidRPr="004B520E">
        <w:t xml:space="preserve"> </w:t>
      </w:r>
      <w:r w:rsidR="00244943" w:rsidRPr="004B520E">
        <w:t>2014–24</w:t>
      </w:r>
      <w:bookmarkEnd w:id="211"/>
      <w:bookmarkEnd w:id="212"/>
      <w:bookmarkEnd w:id="213"/>
      <w:bookmarkEnd w:id="214"/>
    </w:p>
    <w:p w14:paraId="006B314C" w14:textId="33FE4E36" w:rsidR="00DB0D7D" w:rsidRPr="004B520E" w:rsidRDefault="00B20457" w:rsidP="007326AB">
      <w:pPr>
        <w:pStyle w:val="CaptionNote"/>
      </w:pPr>
      <w:r w:rsidRPr="004B520E">
        <w:t>Actions include multiple objective</w:t>
      </w:r>
      <w:r w:rsidR="00944FAD" w:rsidRPr="004B520E">
        <w:t>s. Note that very few watering actions explicitly target resilience or connectivit</w:t>
      </w:r>
      <w:r w:rsidR="004A0083" w:rsidRPr="004B520E">
        <w:t>y</w:t>
      </w:r>
      <w:r w:rsidR="00AF7CD4" w:rsidRPr="004B520E">
        <w:t>.</w:t>
      </w:r>
      <w:bookmarkStart w:id="215" w:name="_Toc168579828"/>
      <w:bookmarkStart w:id="216" w:name="_Toc172283619"/>
      <w:bookmarkStart w:id="217" w:name="_Toc172290945"/>
    </w:p>
    <w:p w14:paraId="2BC9DE4E" w14:textId="77777777" w:rsidR="003C48FB" w:rsidRPr="004B520E" w:rsidRDefault="003C48FB" w:rsidP="003C48FB">
      <w:pPr>
        <w:pStyle w:val="Figure"/>
      </w:pPr>
      <w:bookmarkStart w:id="218" w:name="_Toc178668844"/>
      <w:r w:rsidRPr="004B520E">
        <w:rPr>
          <w:noProof/>
        </w:rPr>
        <w:drawing>
          <wp:inline distT="0" distB="0" distL="0" distR="0" wp14:anchorId="780F0103" wp14:editId="5D23FD04">
            <wp:extent cx="5796000" cy="8694000"/>
            <wp:effectExtent l="0" t="0" r="0" b="0"/>
            <wp:docPr id="1707343508" name="Picture 15"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43508" name="Picture 15"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a:blip r:embed="rId49"/>
                    <a:stretch>
                      <a:fillRect/>
                    </a:stretch>
                  </pic:blipFill>
                  <pic:spPr>
                    <a:xfrm>
                      <a:off x="0" y="0"/>
                      <a:ext cx="5796000" cy="8694000"/>
                    </a:xfrm>
                    <a:prstGeom prst="rect">
                      <a:avLst/>
                    </a:prstGeom>
                  </pic:spPr>
                </pic:pic>
              </a:graphicData>
            </a:graphic>
          </wp:inline>
        </w:drawing>
      </w:r>
    </w:p>
    <w:p w14:paraId="09B2156E" w14:textId="25DF3E71" w:rsidR="00ED3D30" w:rsidRPr="004B520E" w:rsidRDefault="009D2125" w:rsidP="00113FC9">
      <w:pPr>
        <w:pStyle w:val="Heading2"/>
      </w:pPr>
      <w:bookmarkStart w:id="219" w:name="_Toc200743756"/>
      <w:bookmarkStart w:id="220" w:name="_Toc200743855"/>
      <w:bookmarkStart w:id="221" w:name="_Toc203682269"/>
      <w:bookmarkStart w:id="222" w:name="_Toc204606884"/>
      <w:r w:rsidRPr="004B520E">
        <w:lastRenderedPageBreak/>
        <w:t>Restoring flows</w:t>
      </w:r>
      <w:bookmarkEnd w:id="215"/>
      <w:bookmarkEnd w:id="216"/>
      <w:bookmarkEnd w:id="217"/>
      <w:bookmarkEnd w:id="218"/>
      <w:bookmarkEnd w:id="219"/>
      <w:bookmarkEnd w:id="220"/>
      <w:bookmarkEnd w:id="221"/>
      <w:bookmarkEnd w:id="222"/>
    </w:p>
    <w:p w14:paraId="10A1DA4F" w14:textId="77D9632D" w:rsidR="0085594E" w:rsidRPr="004B520E" w:rsidRDefault="0085594E" w:rsidP="005821CB">
      <w:pPr>
        <w:pStyle w:val="ChapterSignposting"/>
        <w:spacing w:after="0"/>
        <w:rPr>
          <w:iCs/>
          <w:szCs w:val="20"/>
        </w:rPr>
      </w:pPr>
      <w:r w:rsidRPr="004B520E">
        <w:t xml:space="preserve">This section presents findings from the Hydrology evaluation for the </w:t>
      </w:r>
      <w:r w:rsidR="00244943" w:rsidRPr="004B520E">
        <w:t>2023–24</w:t>
      </w:r>
      <w:r w:rsidRPr="004B520E">
        <w:t xml:space="preserve"> water year, compared with the prior </w:t>
      </w:r>
      <w:r w:rsidR="004F60AE" w:rsidRPr="004B520E">
        <w:t>9</w:t>
      </w:r>
      <w:r w:rsidR="000B3078" w:rsidRPr="004B520E">
        <w:t> </w:t>
      </w:r>
      <w:r w:rsidRPr="004B520E">
        <w:rPr>
          <w:iCs/>
          <w:szCs w:val="20"/>
        </w:rPr>
        <w:t xml:space="preserve">years of monitoring, presented in the </w:t>
      </w:r>
      <w:r w:rsidR="0080109B" w:rsidRPr="004B520E">
        <w:rPr>
          <w:iCs/>
          <w:szCs w:val="20"/>
        </w:rPr>
        <w:t xml:space="preserve">‘Basin-scale evaluation of </w:t>
      </w:r>
      <w:r w:rsidR="00DE7965" w:rsidRPr="004B520E">
        <w:rPr>
          <w:iCs/>
          <w:szCs w:val="20"/>
        </w:rPr>
        <w:t>202</w:t>
      </w:r>
      <w:r w:rsidR="00DE7965">
        <w:rPr>
          <w:iCs/>
          <w:szCs w:val="20"/>
        </w:rPr>
        <w:t>3</w:t>
      </w:r>
      <w:r w:rsidR="00244943" w:rsidRPr="004B520E">
        <w:rPr>
          <w:iCs/>
          <w:szCs w:val="20"/>
        </w:rPr>
        <w:t>–</w:t>
      </w:r>
      <w:r w:rsidR="00CA1F75" w:rsidRPr="004B520E">
        <w:rPr>
          <w:iCs/>
          <w:szCs w:val="20"/>
        </w:rPr>
        <w:t>2</w:t>
      </w:r>
      <w:r w:rsidR="00CA1F75">
        <w:rPr>
          <w:iCs/>
          <w:szCs w:val="20"/>
        </w:rPr>
        <w:t>4</w:t>
      </w:r>
      <w:r w:rsidR="00CA1F75" w:rsidRPr="004B520E">
        <w:rPr>
          <w:iCs/>
          <w:szCs w:val="20"/>
        </w:rPr>
        <w:t xml:space="preserve"> </w:t>
      </w:r>
      <w:r w:rsidR="0080109B" w:rsidRPr="004B520E">
        <w:rPr>
          <w:iCs/>
          <w:szCs w:val="20"/>
        </w:rPr>
        <w:t>Commonwealth environmental water: Hydrology’</w:t>
      </w:r>
      <w:r w:rsidR="0080109B" w:rsidRPr="004B520E" w:rsidDel="0080109B">
        <w:rPr>
          <w:iCs/>
          <w:szCs w:val="20"/>
        </w:rPr>
        <w:t xml:space="preserve"> </w:t>
      </w:r>
      <w:r w:rsidR="0080109B" w:rsidRPr="004B520E">
        <w:rPr>
          <w:iCs/>
          <w:szCs w:val="20"/>
        </w:rPr>
        <w:t>report</w:t>
      </w:r>
      <w:r w:rsidRPr="004B520E">
        <w:rPr>
          <w:iCs/>
          <w:szCs w:val="20"/>
        </w:rPr>
        <w:t xml:space="preserve"> </w:t>
      </w:r>
      <w:r w:rsidR="00A953C8" w:rsidRPr="004B520E">
        <w:t>(</w:t>
      </w:r>
      <w:r w:rsidR="00AA7597" w:rsidRPr="00AA7597">
        <w:rPr>
          <w:lang w:val="en-US"/>
        </w:rPr>
        <w:t xml:space="preserve">will be </w:t>
      </w:r>
      <w:r w:rsidR="00A953C8" w:rsidRPr="004B520E">
        <w:t xml:space="preserve">available from </w:t>
      </w:r>
      <w:r w:rsidR="00AA192C">
        <w:t>DCCEEW’s</w:t>
      </w:r>
      <w:r w:rsidR="00AA192C" w:rsidRPr="004B520E">
        <w:t xml:space="preserve"> </w:t>
      </w:r>
      <w:hyperlink r:id="rId50" w:history="1">
        <w:r w:rsidR="00A953C8" w:rsidRPr="004B520E">
          <w:rPr>
            <w:rStyle w:val="Hyperlink"/>
            <w:rFonts w:cs="Calibri Light"/>
          </w:rPr>
          <w:t>Flow-MER Basin-scale Project publications</w:t>
        </w:r>
      </w:hyperlink>
      <w:r w:rsidR="00A953C8" w:rsidRPr="004B520E">
        <w:t xml:space="preserve"> </w:t>
      </w:r>
      <w:r w:rsidR="00D94ACD">
        <w:t>web</w:t>
      </w:r>
      <w:r w:rsidR="00A953C8" w:rsidRPr="004B520E">
        <w:t>page).</w:t>
      </w:r>
    </w:p>
    <w:p w14:paraId="699F43BE" w14:textId="4093BE8E" w:rsidR="00E72A48" w:rsidRDefault="00AB2851" w:rsidP="003C48FB">
      <w:pPr>
        <w:pStyle w:val="Boxedheadingblue"/>
      </w:pPr>
      <w:bookmarkStart w:id="223" w:name="_Toc172283620"/>
      <w:bookmarkStart w:id="224" w:name="_Toc172290946"/>
      <w:bookmarkStart w:id="225" w:name="_Toc178668845"/>
      <w:r w:rsidRPr="004B520E">
        <w:t xml:space="preserve">What did </w:t>
      </w:r>
      <w:r w:rsidR="00CB055B" w:rsidRPr="004B520E">
        <w:t>Commonwealth environmental water</w:t>
      </w:r>
      <w:r w:rsidR="002F4C8F" w:rsidRPr="004B520E">
        <w:t xml:space="preserve"> </w:t>
      </w:r>
      <w:r w:rsidRPr="004B520E">
        <w:t>contribute to restoration of the hydrological regime?</w:t>
      </w:r>
      <w:bookmarkEnd w:id="223"/>
      <w:bookmarkEnd w:id="224"/>
      <w:bookmarkEnd w:id="225"/>
    </w:p>
    <w:p w14:paraId="1DF6BF38" w14:textId="23838965" w:rsidR="00E72A48" w:rsidRDefault="00025ACF" w:rsidP="003B2694">
      <w:pPr>
        <w:pStyle w:val="Boxedtextblue"/>
        <w:spacing w:after="120"/>
      </w:pPr>
      <w:r w:rsidRPr="004B520E">
        <w:t xml:space="preserve">In </w:t>
      </w:r>
      <w:r w:rsidR="00244943" w:rsidRPr="004B520E">
        <w:t>2023–24</w:t>
      </w:r>
      <w:r w:rsidRPr="004B520E">
        <w:t>, Commonwealth environmental water:</w:t>
      </w:r>
    </w:p>
    <w:p w14:paraId="36A00EC6" w14:textId="4BF65614" w:rsidR="0000579C" w:rsidRPr="004B520E" w:rsidRDefault="009B6174" w:rsidP="00D9058A">
      <w:pPr>
        <w:pStyle w:val="Boxedlistbulletblue"/>
      </w:pPr>
      <w:r w:rsidRPr="004B520E">
        <w:t>i</w:t>
      </w:r>
      <w:r w:rsidR="00B809AF" w:rsidRPr="004B520E">
        <w:t>mproved flow</w:t>
      </w:r>
      <w:r w:rsidR="00AB60C1" w:rsidRPr="004B520E">
        <w:t xml:space="preserve"> </w:t>
      </w:r>
      <w:r w:rsidR="00B809AF" w:rsidRPr="004B520E">
        <w:t xml:space="preserve">regime in </w:t>
      </w:r>
      <w:r w:rsidR="004C72D9" w:rsidRPr="004B520E">
        <w:t>strategic locations through provision of baseflows</w:t>
      </w:r>
    </w:p>
    <w:p w14:paraId="367BD5D0" w14:textId="773229FE" w:rsidR="0035012E" w:rsidRPr="004B520E" w:rsidRDefault="009B6174" w:rsidP="00D9058A">
      <w:pPr>
        <w:pStyle w:val="Boxedlistbulletblue"/>
      </w:pPr>
      <w:r w:rsidRPr="004B520E">
        <w:t>i</w:t>
      </w:r>
      <w:r w:rsidR="00EB6DCF" w:rsidRPr="004B520E">
        <w:t xml:space="preserve">mproved </w:t>
      </w:r>
      <w:r w:rsidR="00A8415D" w:rsidRPr="004B520E">
        <w:t xml:space="preserve">lateral and longitudinal </w:t>
      </w:r>
      <w:r w:rsidR="00EB6DCF" w:rsidRPr="004B520E">
        <w:t xml:space="preserve">connectivity in most valleys </w:t>
      </w:r>
      <w:r w:rsidR="003B4A45" w:rsidRPr="004B520E">
        <w:t>by extending extent and duration of natural flooding</w:t>
      </w:r>
      <w:r w:rsidR="0035012E" w:rsidRPr="004B520E">
        <w:t>.</w:t>
      </w:r>
    </w:p>
    <w:p w14:paraId="7B6CD78C" w14:textId="5CFCF066" w:rsidR="009D2125" w:rsidRPr="004B520E" w:rsidRDefault="001C4EF1" w:rsidP="00A06FEB">
      <w:pPr>
        <w:pStyle w:val="BodyText"/>
      </w:pPr>
      <w:r w:rsidRPr="004B520E">
        <w:t>The Basin Plan</w:t>
      </w:r>
      <w:r w:rsidR="004E460A" w:rsidRPr="004B520E">
        <w:t xml:space="preserve"> (Section 8.06 </w:t>
      </w:r>
      <w:r w:rsidR="004E460A" w:rsidRPr="004B520E">
        <w:rPr>
          <w:i/>
          <w:iCs/>
        </w:rPr>
        <w:t>Protection and restoration of ecosystem functions of water-dependent ecosystems</w:t>
      </w:r>
      <w:r w:rsidR="004E460A" w:rsidRPr="004B520E">
        <w:t>)</w:t>
      </w:r>
      <w:r w:rsidR="001C5A5D" w:rsidRPr="004B520E">
        <w:t xml:space="preserve"> </w:t>
      </w:r>
      <w:r w:rsidR="00031279" w:rsidRPr="004B520E">
        <w:t xml:space="preserve">requires the protection and restoration of </w:t>
      </w:r>
      <w:r w:rsidR="005B2299" w:rsidRPr="004B520E">
        <w:t>hydrologic</w:t>
      </w:r>
      <w:r w:rsidR="007F4CDF" w:rsidRPr="004B520E">
        <w:t>al</w:t>
      </w:r>
      <w:r w:rsidR="005B2299" w:rsidRPr="004B520E">
        <w:t xml:space="preserve"> connectivity within and between water-dependent ecosystems</w:t>
      </w:r>
      <w:r w:rsidR="009D2125" w:rsidRPr="004B520E">
        <w:t>, including:</w:t>
      </w:r>
    </w:p>
    <w:p w14:paraId="1995FDDD" w14:textId="78245768" w:rsidR="009D2125" w:rsidRPr="004B520E" w:rsidRDefault="009D2125" w:rsidP="003576C7">
      <w:pPr>
        <w:pStyle w:val="ListBullet"/>
      </w:pPr>
      <w:r w:rsidRPr="004B520E">
        <w:t>longitudinally along watercourses</w:t>
      </w:r>
    </w:p>
    <w:p w14:paraId="2A38BF42" w14:textId="74C77FF8" w:rsidR="009D2125" w:rsidRPr="004B520E" w:rsidRDefault="009D2125" w:rsidP="003576C7">
      <w:pPr>
        <w:pStyle w:val="ListBullet"/>
      </w:pPr>
      <w:r w:rsidRPr="004B520E">
        <w:t>laterally between watercourses and their floodplains (and associated wetlands)</w:t>
      </w:r>
    </w:p>
    <w:p w14:paraId="47C667AD" w14:textId="4673DDEA" w:rsidR="0035012E" w:rsidRPr="004B520E" w:rsidRDefault="009D2125" w:rsidP="003576C7">
      <w:pPr>
        <w:pStyle w:val="ListBullet"/>
      </w:pPr>
      <w:r w:rsidRPr="004B520E">
        <w:t>vertically between the surface and subsurface</w:t>
      </w:r>
      <w:r w:rsidR="0035012E" w:rsidRPr="004B520E">
        <w:t>.</w:t>
      </w:r>
    </w:p>
    <w:p w14:paraId="21842CE5" w14:textId="72773618" w:rsidR="0035012E" w:rsidRPr="004B520E" w:rsidRDefault="00E500C1" w:rsidP="00053727">
      <w:pPr>
        <w:pStyle w:val="BodyText"/>
      </w:pPr>
      <w:r w:rsidRPr="004B520E">
        <w:t>The Strategy sets expected environmental outcomes for river flows and connectivity</w:t>
      </w:r>
      <w:r w:rsidR="004E460A" w:rsidRPr="004B520E">
        <w:t xml:space="preserve"> (</w:t>
      </w:r>
      <w:r w:rsidR="00A17E87" w:rsidRPr="004B520E">
        <w:fldChar w:fldCharType="begin"/>
      </w:r>
      <w:r w:rsidR="00A17E87" w:rsidRPr="004B520E">
        <w:instrText xml:space="preserve"> REF _Ref200028704 \h </w:instrText>
      </w:r>
      <w:r w:rsidR="00A17E87" w:rsidRPr="004B520E">
        <w:fldChar w:fldCharType="separate"/>
      </w:r>
      <w:r w:rsidR="00C43C1D" w:rsidRPr="004B520E">
        <w:t>Table </w:t>
      </w:r>
      <w:r w:rsidR="00C43C1D">
        <w:rPr>
          <w:noProof/>
        </w:rPr>
        <w:t>2</w:t>
      </w:r>
      <w:r w:rsidR="00C43C1D" w:rsidRPr="004B520E">
        <w:t>.</w:t>
      </w:r>
      <w:r w:rsidR="00C43C1D">
        <w:rPr>
          <w:noProof/>
        </w:rPr>
        <w:t>1</w:t>
      </w:r>
      <w:r w:rsidR="00A17E87" w:rsidRPr="004B520E">
        <w:fldChar w:fldCharType="end"/>
      </w:r>
      <w:r w:rsidR="004E460A" w:rsidRPr="004B520E">
        <w:t>)</w:t>
      </w:r>
      <w:r w:rsidRPr="004B520E">
        <w:t xml:space="preserve">. </w:t>
      </w:r>
      <w:r w:rsidR="004E460A" w:rsidRPr="004B520E">
        <w:t xml:space="preserve">This evaluation considers the impact of delivery of </w:t>
      </w:r>
      <w:r w:rsidR="004E460A" w:rsidRPr="004B520E">
        <w:rPr>
          <w:rFonts w:cs="Calibri"/>
        </w:rPr>
        <w:t>Commonwealth environmental water</w:t>
      </w:r>
      <w:r w:rsidR="004E460A" w:rsidRPr="004B520E">
        <w:t xml:space="preserve"> on restoration of flows, including low flows (base flows), flow increases in the river channel (freshes and bankfull), floodplain inundation (overbank), and longitudinal and lateral (wetland) connectivity</w:t>
      </w:r>
      <w:bookmarkStart w:id="226" w:name="_Ref172032139"/>
      <w:bookmarkStart w:id="227" w:name="_Ref172089562"/>
      <w:bookmarkStart w:id="228" w:name="_Toc172291857"/>
      <w:r w:rsidR="0035012E" w:rsidRPr="004B520E">
        <w:t>.</w:t>
      </w:r>
    </w:p>
    <w:p w14:paraId="00D16923" w14:textId="1F08D4EE" w:rsidR="004E460A" w:rsidRPr="004B520E" w:rsidRDefault="004E460A" w:rsidP="00D9058A">
      <w:pPr>
        <w:pStyle w:val="Caption"/>
      </w:pPr>
      <w:bookmarkStart w:id="229" w:name="_Ref200028704"/>
      <w:bookmarkStart w:id="230" w:name="_Toc204609869"/>
      <w:r w:rsidRPr="004B520E">
        <w:t>Table</w:t>
      </w:r>
      <w:r w:rsidR="00AB60C1" w:rsidRPr="004B520E">
        <w:t> </w:t>
      </w:r>
      <w:r>
        <w:fldChar w:fldCharType="begin"/>
      </w:r>
      <w:r>
        <w:instrText>STYLEREF 1 \s</w:instrText>
      </w:r>
      <w:r>
        <w:fldChar w:fldCharType="separate"/>
      </w:r>
      <w:r w:rsidR="00C43C1D">
        <w:rPr>
          <w:noProof/>
        </w:rPr>
        <w:t>2</w:t>
      </w:r>
      <w:r>
        <w:fldChar w:fldCharType="end"/>
      </w:r>
      <w:r w:rsidR="000B3078" w:rsidRPr="004B520E">
        <w:t>.</w:t>
      </w:r>
      <w:r>
        <w:fldChar w:fldCharType="begin"/>
      </w:r>
      <w:r>
        <w:instrText>SEQ Table \* ARABIC \s 1</w:instrText>
      </w:r>
      <w:r>
        <w:fldChar w:fldCharType="separate"/>
      </w:r>
      <w:r w:rsidR="00C43C1D">
        <w:rPr>
          <w:noProof/>
        </w:rPr>
        <w:t>1</w:t>
      </w:r>
      <w:r>
        <w:fldChar w:fldCharType="end"/>
      </w:r>
      <w:bookmarkEnd w:id="226"/>
      <w:bookmarkEnd w:id="227"/>
      <w:bookmarkEnd w:id="229"/>
      <w:r w:rsidRPr="004B520E">
        <w:t xml:space="preserve"> River flows and connectivity expected environmental outcomes as set out in the Strategy</w:t>
      </w:r>
      <w:bookmarkEnd w:id="228"/>
      <w:bookmarkEnd w:id="230"/>
    </w:p>
    <w:tbl>
      <w:tblPr>
        <w:tblStyle w:val="TableFlow-Mer0"/>
        <w:tblW w:w="9526" w:type="dxa"/>
        <w:tblLook w:val="0420" w:firstRow="1" w:lastRow="0" w:firstColumn="0" w:lastColumn="0" w:noHBand="0" w:noVBand="1"/>
      </w:tblPr>
      <w:tblGrid>
        <w:gridCol w:w="3006"/>
        <w:gridCol w:w="6520"/>
      </w:tblGrid>
      <w:tr w:rsidR="004E460A" w:rsidRPr="004B520E" w14:paraId="7C03000B" w14:textId="77777777" w:rsidTr="00F60AF5">
        <w:trPr>
          <w:cnfStyle w:val="100000000000" w:firstRow="1" w:lastRow="0" w:firstColumn="0" w:lastColumn="0" w:oddVBand="0" w:evenVBand="0" w:oddHBand="0" w:evenHBand="0" w:firstRowFirstColumn="0" w:firstRowLastColumn="0" w:lastRowFirstColumn="0" w:lastRowLastColumn="0"/>
        </w:trPr>
        <w:tc>
          <w:tcPr>
            <w:tcW w:w="3006" w:type="dxa"/>
          </w:tcPr>
          <w:p w14:paraId="3FDF98B3" w14:textId="7653F691" w:rsidR="004E460A" w:rsidRPr="004B520E" w:rsidRDefault="003D29F6" w:rsidP="00345FDD">
            <w:pPr>
              <w:pStyle w:val="ColumnHeading"/>
            </w:pPr>
            <w:r w:rsidRPr="004B520E">
              <w:t>O</w:t>
            </w:r>
            <w:r>
              <w:t>utcome</w:t>
            </w:r>
          </w:p>
        </w:tc>
        <w:tc>
          <w:tcPr>
            <w:tcW w:w="6520" w:type="dxa"/>
          </w:tcPr>
          <w:p w14:paraId="7FF1D846" w14:textId="77777777" w:rsidR="004E460A" w:rsidRPr="004B520E" w:rsidRDefault="004E460A" w:rsidP="00345FDD">
            <w:pPr>
              <w:pStyle w:val="ColumnHeading"/>
            </w:pPr>
            <w:r w:rsidRPr="004B520E">
              <w:t>Quantified expected environmental outcome</w:t>
            </w:r>
          </w:p>
        </w:tc>
      </w:tr>
      <w:tr w:rsidR="004E460A" w:rsidRPr="004B520E" w14:paraId="45A7D79A" w14:textId="77777777" w:rsidTr="00F60AF5">
        <w:trPr>
          <w:cnfStyle w:val="000000100000" w:firstRow="0" w:lastRow="0" w:firstColumn="0" w:lastColumn="0" w:oddVBand="0" w:evenVBand="0" w:oddHBand="1" w:evenHBand="0" w:firstRowFirstColumn="0" w:firstRowLastColumn="0" w:lastRowFirstColumn="0" w:lastRowLastColumn="0"/>
        </w:trPr>
        <w:tc>
          <w:tcPr>
            <w:tcW w:w="3006" w:type="dxa"/>
          </w:tcPr>
          <w:p w14:paraId="1A25A7B3" w14:textId="77777777" w:rsidR="004E460A" w:rsidRPr="004B520E" w:rsidRDefault="004E460A">
            <w:pPr>
              <w:pStyle w:val="TableText"/>
            </w:pPr>
            <w:r w:rsidRPr="004B520E">
              <w:t>Maintained base flows</w:t>
            </w:r>
          </w:p>
        </w:tc>
        <w:tc>
          <w:tcPr>
            <w:tcW w:w="6520" w:type="dxa"/>
          </w:tcPr>
          <w:p w14:paraId="319F41B0" w14:textId="77777777" w:rsidR="004E460A" w:rsidRPr="004B520E" w:rsidRDefault="004E460A">
            <w:pPr>
              <w:pStyle w:val="TableText"/>
            </w:pPr>
            <w:r w:rsidRPr="004B520E">
              <w:t>At least 60% of natural levels</w:t>
            </w:r>
          </w:p>
        </w:tc>
      </w:tr>
      <w:tr w:rsidR="004E460A" w:rsidRPr="004B520E" w14:paraId="508C57B7" w14:textId="77777777" w:rsidTr="00F60AF5">
        <w:tc>
          <w:tcPr>
            <w:tcW w:w="3006" w:type="dxa"/>
          </w:tcPr>
          <w:p w14:paraId="5307008B" w14:textId="77777777" w:rsidR="004E460A" w:rsidRPr="004B520E" w:rsidRDefault="004E460A">
            <w:pPr>
              <w:pStyle w:val="TableText"/>
            </w:pPr>
            <w:r w:rsidRPr="004B520E">
              <w:t>Improved overall flow</w:t>
            </w:r>
          </w:p>
        </w:tc>
        <w:tc>
          <w:tcPr>
            <w:tcW w:w="6520" w:type="dxa"/>
          </w:tcPr>
          <w:p w14:paraId="4EACA6EB" w14:textId="3A9266D4" w:rsidR="00F5200B" w:rsidRPr="004B520E" w:rsidRDefault="004E460A">
            <w:pPr>
              <w:pStyle w:val="TableText"/>
            </w:pPr>
            <w:r w:rsidRPr="004B520E">
              <w:t>10% more into the Barwon</w:t>
            </w:r>
            <w:r w:rsidR="001E657F">
              <w:t xml:space="preserve"> </w:t>
            </w:r>
            <w:r w:rsidRPr="004B520E">
              <w:t>Darling, 30% more into the River Murray, 30</w:t>
            </w:r>
            <w:r w:rsidR="002F4803">
              <w:t xml:space="preserve">% to </w:t>
            </w:r>
            <w:r w:rsidRPr="004B520E">
              <w:t>40% more to the Murray Mouth</w:t>
            </w:r>
            <w:r w:rsidR="003C7719">
              <w:t xml:space="preserve">; </w:t>
            </w:r>
            <w:r w:rsidRPr="004B520E">
              <w:t>open to the sea 90% of time</w:t>
            </w:r>
            <w:r w:rsidR="003C7719">
              <w:t xml:space="preserve">; </w:t>
            </w:r>
            <w:r w:rsidR="00042CF2" w:rsidRPr="004B520E">
              <w:t>b</w:t>
            </w:r>
            <w:r w:rsidR="00F5200B" w:rsidRPr="004B520E">
              <w:t>arrage flows &gt;</w:t>
            </w:r>
            <w:r w:rsidR="00F078C2">
              <w:t> </w:t>
            </w:r>
            <w:r w:rsidR="00F5200B" w:rsidRPr="004B520E">
              <w:t>2,000</w:t>
            </w:r>
            <w:r w:rsidR="00F078C2">
              <w:t> </w:t>
            </w:r>
            <w:r w:rsidR="00F5200B" w:rsidRPr="004B520E">
              <w:t>GL/year</w:t>
            </w:r>
          </w:p>
        </w:tc>
      </w:tr>
      <w:tr w:rsidR="004E460A" w:rsidRPr="004B520E" w14:paraId="4AFFF361" w14:textId="77777777" w:rsidTr="00F60AF5">
        <w:trPr>
          <w:cnfStyle w:val="000000100000" w:firstRow="0" w:lastRow="0" w:firstColumn="0" w:lastColumn="0" w:oddVBand="0" w:evenVBand="0" w:oddHBand="1" w:evenHBand="0" w:firstRowFirstColumn="0" w:firstRowLastColumn="0" w:lastRowFirstColumn="0" w:lastRowLastColumn="0"/>
        </w:trPr>
        <w:tc>
          <w:tcPr>
            <w:tcW w:w="3006" w:type="dxa"/>
          </w:tcPr>
          <w:p w14:paraId="330DF939" w14:textId="77777777" w:rsidR="004E460A" w:rsidRPr="004B520E" w:rsidRDefault="004E460A">
            <w:pPr>
              <w:pStyle w:val="TableText"/>
            </w:pPr>
            <w:r w:rsidRPr="004B520E">
              <w:t>Maintained connectivity in areas where it is relatively unaffected</w:t>
            </w:r>
          </w:p>
        </w:tc>
        <w:tc>
          <w:tcPr>
            <w:tcW w:w="6520" w:type="dxa"/>
          </w:tcPr>
          <w:p w14:paraId="3A1ECF35" w14:textId="77777777" w:rsidR="004E460A" w:rsidRPr="004B520E" w:rsidRDefault="004E460A">
            <w:pPr>
              <w:pStyle w:val="TableText"/>
            </w:pPr>
            <w:r w:rsidRPr="004B520E">
              <w:t>Between rivers and floodplains in the Paroo, Moonie, Nebine, Warrego and Ovens</w:t>
            </w:r>
          </w:p>
        </w:tc>
      </w:tr>
      <w:tr w:rsidR="004E460A" w:rsidRPr="004B520E" w14:paraId="35B61A87" w14:textId="77777777" w:rsidTr="00F60AF5">
        <w:tc>
          <w:tcPr>
            <w:tcW w:w="3006" w:type="dxa"/>
          </w:tcPr>
          <w:p w14:paraId="5828A2E2" w14:textId="1D7FB240" w:rsidR="004E460A" w:rsidRPr="004B520E" w:rsidRDefault="004E460A">
            <w:pPr>
              <w:pStyle w:val="TableText"/>
            </w:pPr>
            <w:r w:rsidRPr="004B520E">
              <w:t>Improved connectivity with bankfull or low floodplain flows</w:t>
            </w:r>
          </w:p>
        </w:tc>
        <w:tc>
          <w:tcPr>
            <w:tcW w:w="6520" w:type="dxa"/>
          </w:tcPr>
          <w:p w14:paraId="29FD9F5B" w14:textId="4BAE122A" w:rsidR="004E460A" w:rsidRPr="004B520E" w:rsidRDefault="004E460A">
            <w:pPr>
              <w:pStyle w:val="TableText"/>
            </w:pPr>
            <w:r w:rsidRPr="004B520E">
              <w:t>By 30</w:t>
            </w:r>
            <w:r w:rsidR="002F4803">
              <w:t xml:space="preserve">% to </w:t>
            </w:r>
            <w:r w:rsidRPr="004B520E">
              <w:t>60% in the Murray, Murrumbidgee, Goulburn and Condamine</w:t>
            </w:r>
            <w:r w:rsidR="006914EA">
              <w:t xml:space="preserve"> </w:t>
            </w:r>
            <w:r w:rsidRPr="004B520E">
              <w:t>Balonne</w:t>
            </w:r>
          </w:p>
          <w:p w14:paraId="01D72514" w14:textId="6FFBBFE1" w:rsidR="004E460A" w:rsidRPr="004B520E" w:rsidRDefault="004E460A">
            <w:pPr>
              <w:pStyle w:val="TableText"/>
            </w:pPr>
            <w:r w:rsidRPr="004B520E">
              <w:t>By 10</w:t>
            </w:r>
            <w:r w:rsidR="002F4803">
              <w:t xml:space="preserve">% to </w:t>
            </w:r>
            <w:r w:rsidRPr="004B520E">
              <w:t>20% in remaining catchments</w:t>
            </w:r>
          </w:p>
        </w:tc>
      </w:tr>
      <w:tr w:rsidR="004E460A" w:rsidRPr="004B520E" w14:paraId="7A0A4DAA" w14:textId="77777777" w:rsidTr="00F60AF5">
        <w:trPr>
          <w:cnfStyle w:val="000000100000" w:firstRow="0" w:lastRow="0" w:firstColumn="0" w:lastColumn="0" w:oddVBand="0" w:evenVBand="0" w:oddHBand="1" w:evenHBand="0" w:firstRowFirstColumn="0" w:firstRowLastColumn="0" w:lastRowFirstColumn="0" w:lastRowLastColumn="0"/>
        </w:trPr>
        <w:tc>
          <w:tcPr>
            <w:tcW w:w="3006" w:type="dxa"/>
          </w:tcPr>
          <w:p w14:paraId="2624719B" w14:textId="46E615EB" w:rsidR="004E460A" w:rsidRPr="004B520E" w:rsidRDefault="004E460A">
            <w:pPr>
              <w:pStyle w:val="TableText"/>
            </w:pPr>
            <w:r w:rsidRPr="004B520E">
              <w:t>Maintain Lower Lakes above sea level</w:t>
            </w:r>
          </w:p>
        </w:tc>
        <w:tc>
          <w:tcPr>
            <w:tcW w:w="6520" w:type="dxa"/>
          </w:tcPr>
          <w:p w14:paraId="5F271981" w14:textId="173CAC48" w:rsidR="004E460A" w:rsidRPr="004B520E" w:rsidRDefault="00F5200B">
            <w:pPr>
              <w:pStyle w:val="TableText"/>
            </w:pPr>
            <w:r w:rsidRPr="004B520E">
              <w:t>Maintain the water level in Lake Alexandrina above 0.4 m </w:t>
            </w:r>
            <w:r w:rsidR="00283F96" w:rsidRPr="004B520E">
              <w:t>Australian Height Datum</w:t>
            </w:r>
          </w:p>
        </w:tc>
      </w:tr>
    </w:tbl>
    <w:p w14:paraId="3647862E" w14:textId="3A8FF1C4" w:rsidR="00ED3D30" w:rsidRPr="004B520E" w:rsidRDefault="00ED3D30" w:rsidP="00113FC9">
      <w:pPr>
        <w:pStyle w:val="Heading3"/>
      </w:pPr>
      <w:bookmarkStart w:id="231" w:name="_Toc168579830"/>
      <w:bookmarkStart w:id="232" w:name="_Toc172283621"/>
      <w:bookmarkEnd w:id="195"/>
      <w:bookmarkEnd w:id="196"/>
      <w:bookmarkEnd w:id="197"/>
      <w:bookmarkEnd w:id="198"/>
      <w:r w:rsidRPr="004B520E">
        <w:t>Base flows</w:t>
      </w:r>
      <w:bookmarkEnd w:id="231"/>
      <w:bookmarkEnd w:id="232"/>
    </w:p>
    <w:p w14:paraId="308EE355" w14:textId="0E52CE34" w:rsidR="00E72A48" w:rsidRDefault="00236614" w:rsidP="00D9058A">
      <w:pPr>
        <w:pStyle w:val="Boxedtextblue"/>
      </w:pPr>
      <w:r w:rsidRPr="004B520E">
        <w:t xml:space="preserve">The Strategy sets environmental outcomes for base flows </w:t>
      </w:r>
      <w:r w:rsidR="00AE67CB" w:rsidRPr="004B520E">
        <w:t>(</w:t>
      </w:r>
      <w:r w:rsidR="00AE67CB" w:rsidRPr="004B520E">
        <w:fldChar w:fldCharType="begin"/>
      </w:r>
      <w:r w:rsidR="00AE67CB" w:rsidRPr="004B520E">
        <w:instrText xml:space="preserve"> REF _Ref200028704 \h </w:instrText>
      </w:r>
      <w:r w:rsidR="00AE67CB" w:rsidRPr="004B520E">
        <w:fldChar w:fldCharType="separate"/>
      </w:r>
      <w:r w:rsidR="00C43C1D" w:rsidRPr="004B520E">
        <w:t>Table </w:t>
      </w:r>
      <w:r w:rsidR="00C43C1D">
        <w:rPr>
          <w:noProof/>
        </w:rPr>
        <w:t>2</w:t>
      </w:r>
      <w:r w:rsidR="00C43C1D" w:rsidRPr="004B520E">
        <w:t>.</w:t>
      </w:r>
      <w:r w:rsidR="00C43C1D">
        <w:rPr>
          <w:noProof/>
        </w:rPr>
        <w:t>1</w:t>
      </w:r>
      <w:r w:rsidR="00AE67CB" w:rsidRPr="004B520E">
        <w:fldChar w:fldCharType="end"/>
      </w:r>
      <w:r w:rsidRPr="004B520E">
        <w:t xml:space="preserve">). In </w:t>
      </w:r>
      <w:r w:rsidR="00244943" w:rsidRPr="004B520E">
        <w:t>2023–24</w:t>
      </w:r>
      <w:r w:rsidRPr="004B520E">
        <w:t>, at least 60% of natural base flow levels</w:t>
      </w:r>
      <w:r w:rsidRPr="004B520E">
        <w:rPr>
          <w:iCs/>
        </w:rPr>
        <w:t xml:space="preserve"> </w:t>
      </w:r>
      <w:r w:rsidR="008D2F78">
        <w:t>was achieved</w:t>
      </w:r>
      <w:r w:rsidRPr="004B520E">
        <w:t xml:space="preserve"> in all valleys </w:t>
      </w:r>
      <w:r w:rsidR="002119F6" w:rsidRPr="004B520E">
        <w:t>except for the Wimmera and Broken</w:t>
      </w:r>
      <w:r w:rsidRPr="004B520E">
        <w:t xml:space="preserve">. </w:t>
      </w:r>
      <w:r w:rsidR="008D2F78">
        <w:t>D</w:t>
      </w:r>
      <w:r w:rsidRPr="004B520E">
        <w:t>elivery of base flows led to flow regime improvement in many valleys and</w:t>
      </w:r>
      <w:r w:rsidR="002119F6" w:rsidRPr="004B520E">
        <w:t xml:space="preserve"> contributed to </w:t>
      </w:r>
      <w:r w:rsidRPr="004B520E">
        <w:t>improved flow regimes</w:t>
      </w:r>
      <w:r w:rsidR="002119F6" w:rsidRPr="004B520E">
        <w:t xml:space="preserve"> in some valleys</w:t>
      </w:r>
      <w:r w:rsidRPr="004B520E">
        <w:t>.</w:t>
      </w:r>
      <w:r w:rsidR="002119F6" w:rsidRPr="004B520E">
        <w:t xml:space="preserve"> Since 2014, the Strategy </w:t>
      </w:r>
      <w:r w:rsidR="00A16037">
        <w:t>outcome</w:t>
      </w:r>
      <w:r w:rsidR="00A16037" w:rsidRPr="004B520E">
        <w:t xml:space="preserve"> </w:t>
      </w:r>
      <w:r w:rsidR="002119F6" w:rsidRPr="004B520E">
        <w:t>was met in all valleys in at least some years, ranging from all 10 years for the Central Murray to twice in the Barwon Darling, Edward/Kolety</w:t>
      </w:r>
      <w:r w:rsidR="00A52C6E">
        <w:t>–</w:t>
      </w:r>
      <w:r w:rsidR="002119F6" w:rsidRPr="004B520E">
        <w:t>Wakool and Lower Darling</w:t>
      </w:r>
      <w:r w:rsidR="006914EA">
        <w:t>/Baaka</w:t>
      </w:r>
      <w:r w:rsidR="002119F6" w:rsidRPr="004B520E">
        <w:t>.</w:t>
      </w:r>
    </w:p>
    <w:p w14:paraId="1CF43E6F" w14:textId="00A2160D" w:rsidR="00886A8D" w:rsidRPr="004B520E" w:rsidRDefault="00886A8D" w:rsidP="00886A8D">
      <w:pPr>
        <w:pStyle w:val="BodyText"/>
        <w:rPr>
          <w:highlight w:val="yellow"/>
        </w:rPr>
      </w:pPr>
      <w:r w:rsidRPr="004B520E">
        <w:lastRenderedPageBreak/>
        <w:t>In 2023–24, Commonwealth environmental water was mostly delivered as base flows. Over the 10-year period of the program, the most Commonwealth environmental water was delivered in 2023–24 and most of that was delivered as base flow watering actions (67%</w:t>
      </w:r>
      <w:r w:rsidR="00D946CD">
        <w:t xml:space="preserve"> by volume</w:t>
      </w:r>
      <w:r w:rsidRPr="004B520E">
        <w:t>). Overall, targeted base flow releases led to flow regime improvement and</w:t>
      </w:r>
      <w:r w:rsidR="006F47BF">
        <w:t>,</w:t>
      </w:r>
      <w:r w:rsidRPr="004B520E">
        <w:t xml:space="preserve"> in some cases</w:t>
      </w:r>
      <w:r w:rsidR="006F47BF">
        <w:t>,</w:t>
      </w:r>
      <w:r w:rsidRPr="004B520E">
        <w:t xml:space="preserve"> provided progress towards the pre</w:t>
      </w:r>
      <w:r w:rsidR="006F47BF">
        <w:t>-</w:t>
      </w:r>
      <w:r w:rsidRPr="004B520E">
        <w:t>development flow regime.</w:t>
      </w:r>
    </w:p>
    <w:p w14:paraId="6484326D" w14:textId="246BA286" w:rsidR="002119F6" w:rsidRPr="004B520E" w:rsidRDefault="002E5787" w:rsidP="002119F6">
      <w:pPr>
        <w:pStyle w:val="BodyText"/>
      </w:pPr>
      <w:r w:rsidRPr="004B520E">
        <w:t xml:space="preserve">Of the </w:t>
      </w:r>
      <w:r w:rsidR="005F2D84">
        <w:t xml:space="preserve">114 </w:t>
      </w:r>
      <w:r w:rsidRPr="004B520E">
        <w:t>watering actions delivered in 2023–24, 34 were dedicated to supporting base flows and 18 were delivered for base flows as part of multi</w:t>
      </w:r>
      <w:r w:rsidR="00134847">
        <w:t>-</w:t>
      </w:r>
      <w:r w:rsidRPr="004B520E">
        <w:t xml:space="preserve">component flow events. </w:t>
      </w:r>
      <w:r w:rsidRPr="004B520E">
        <w:rPr>
          <w:rStyle w:val="BodyTextChar"/>
        </w:rPr>
        <w:t>Where base flow actions were delivered, they improved the flow regime by progressing the hydrograph closer to ‘natural’ (modelled pre-development) flows.</w:t>
      </w:r>
    </w:p>
    <w:p w14:paraId="74B3F836" w14:textId="32969034" w:rsidR="00E72A48" w:rsidRDefault="00196D86" w:rsidP="00421C13">
      <w:pPr>
        <w:pStyle w:val="BodyText"/>
      </w:pPr>
      <w:r w:rsidRPr="004B520E">
        <w:t>Rivers in the n</w:t>
      </w:r>
      <w:r w:rsidR="00421C13" w:rsidRPr="004B520E">
        <w:t>orthern Basin are naturally intermittent, becoming disconnected waterholes in drier periods.</w:t>
      </w:r>
      <w:r w:rsidR="001F1118" w:rsidRPr="004B520E">
        <w:t xml:space="preserve"> In the </w:t>
      </w:r>
      <w:r w:rsidR="00AF3AF6" w:rsidRPr="004B520E">
        <w:t>norther</w:t>
      </w:r>
      <w:r w:rsidR="00B222CE" w:rsidRPr="004B520E">
        <w:t>n Basin</w:t>
      </w:r>
      <w:r w:rsidR="001C26D1">
        <w:t>,</w:t>
      </w:r>
      <w:r w:rsidR="002E5787" w:rsidRPr="004B520E">
        <w:rPr>
          <w:rStyle w:val="BodyTextChar"/>
        </w:rPr>
        <w:t xml:space="preserve"> </w:t>
      </w:r>
      <w:r w:rsidR="008F2BAF" w:rsidRPr="002119F6">
        <w:rPr>
          <w:rStyle w:val="BodyTextChar"/>
        </w:rPr>
        <w:t xml:space="preserve">high-volume </w:t>
      </w:r>
      <w:r w:rsidR="00F83417">
        <w:rPr>
          <w:rStyle w:val="BodyTextChar"/>
        </w:rPr>
        <w:t xml:space="preserve">(63.4 GL) </w:t>
      </w:r>
      <w:r w:rsidR="008F2BAF">
        <w:rPr>
          <w:rStyle w:val="BodyTextChar"/>
        </w:rPr>
        <w:t>delivery</w:t>
      </w:r>
      <w:r w:rsidR="008F2BAF" w:rsidRPr="002119F6">
        <w:rPr>
          <w:rStyle w:val="BodyTextChar"/>
        </w:rPr>
        <w:t xml:space="preserve"> </w:t>
      </w:r>
      <w:r w:rsidR="008F2BAF">
        <w:rPr>
          <w:rStyle w:val="BodyTextChar"/>
        </w:rPr>
        <w:t>was used to maintain base</w:t>
      </w:r>
      <w:r w:rsidR="001E6C5D">
        <w:rPr>
          <w:rStyle w:val="BodyTextChar"/>
        </w:rPr>
        <w:t xml:space="preserve"> </w:t>
      </w:r>
      <w:r w:rsidR="008F2BAF">
        <w:rPr>
          <w:rStyle w:val="BodyTextChar"/>
        </w:rPr>
        <w:t xml:space="preserve">flows </w:t>
      </w:r>
      <w:r w:rsidR="008F2BAF" w:rsidRPr="002119F6">
        <w:rPr>
          <w:rStyle w:val="BodyTextChar"/>
        </w:rPr>
        <w:t>in the Barwon-Darling</w:t>
      </w:r>
      <w:r w:rsidR="00886A8D" w:rsidRPr="004B520E">
        <w:t xml:space="preserve">. </w:t>
      </w:r>
      <w:r w:rsidR="002E5787" w:rsidRPr="004B520E">
        <w:t>In 2023–24, Commonwealth environmental water contributed to improving base flows in the Barwon, Gwydir, Macquarie, Namoi and Peel rivers, although most northern river systems met base flow requirements without additional water. Over the 10 years since 2014, Commonwealth environmental water contributed to improving base</w:t>
      </w:r>
      <w:r w:rsidR="001E6C5D">
        <w:t xml:space="preserve"> </w:t>
      </w:r>
      <w:r w:rsidR="002E5787" w:rsidRPr="004B520E">
        <w:t>flows (of up to 20%) in some years in the Namoi and Macquarie valleys and &lt; 5% in other northern Basin valleys.</w:t>
      </w:r>
    </w:p>
    <w:p w14:paraId="374622A2" w14:textId="54EC2C04" w:rsidR="00E72A48" w:rsidRDefault="002E5787" w:rsidP="004F60AE">
      <w:pPr>
        <w:pStyle w:val="BodyText"/>
      </w:pPr>
      <w:r w:rsidRPr="004B520E">
        <w:t xml:space="preserve">In 2023–24, </w:t>
      </w:r>
      <w:r w:rsidRPr="004B520E">
        <w:rPr>
          <w:rStyle w:val="BodyTextChar"/>
        </w:rPr>
        <w:t>most Commonwealth environmental water was delivere</w:t>
      </w:r>
      <w:r w:rsidR="00886A8D" w:rsidRPr="004B520E">
        <w:rPr>
          <w:rStyle w:val="BodyTextChar"/>
        </w:rPr>
        <w:t>d</w:t>
      </w:r>
      <w:r w:rsidRPr="004B520E">
        <w:rPr>
          <w:rStyle w:val="BodyTextChar"/>
        </w:rPr>
        <w:t xml:space="preserve"> in the southern Basin</w:t>
      </w:r>
      <w:r w:rsidR="00B954B4">
        <w:rPr>
          <w:rStyle w:val="BodyTextChar"/>
        </w:rPr>
        <w:t>,</w:t>
      </w:r>
      <w:r w:rsidRPr="004B520E">
        <w:rPr>
          <w:rStyle w:val="BodyTextChar"/>
        </w:rPr>
        <w:t xml:space="preserve"> </w:t>
      </w:r>
      <w:r w:rsidR="00886A8D" w:rsidRPr="004B520E">
        <w:rPr>
          <w:rStyle w:val="BodyTextChar"/>
        </w:rPr>
        <w:t>where</w:t>
      </w:r>
      <w:r w:rsidR="001F1118" w:rsidRPr="004B520E">
        <w:t xml:space="preserve"> river systems are more naturally connected</w:t>
      </w:r>
      <w:r w:rsidRPr="004B520E">
        <w:t xml:space="preserve">. </w:t>
      </w:r>
      <w:r w:rsidR="00CB055B" w:rsidRPr="004B520E">
        <w:t>Commonwealth environmental water</w:t>
      </w:r>
      <w:r w:rsidR="001F1118" w:rsidRPr="004B520E">
        <w:t xml:space="preserve"> contributed to maintaining base</w:t>
      </w:r>
      <w:r w:rsidR="00A650AA" w:rsidRPr="004B520E">
        <w:t xml:space="preserve"> </w:t>
      </w:r>
      <w:r w:rsidR="001F1118" w:rsidRPr="004B520E">
        <w:t xml:space="preserve">flows </w:t>
      </w:r>
      <w:r w:rsidR="00886A8D" w:rsidRPr="004B520E">
        <w:t xml:space="preserve">in the southern Basin </w:t>
      </w:r>
      <w:r w:rsidRPr="004B520E">
        <w:t xml:space="preserve">in autumn, which also improved the base flow in the Murray River in autumn and winter. </w:t>
      </w:r>
      <w:r w:rsidR="00886A8D" w:rsidRPr="004B520E">
        <w:t>An</w:t>
      </w:r>
      <w:r w:rsidRPr="004B520E">
        <w:t xml:space="preserve"> autumn fresh action in the Lachlan </w:t>
      </w:r>
      <w:r w:rsidR="00886A8D" w:rsidRPr="004B520E">
        <w:t xml:space="preserve">also </w:t>
      </w:r>
      <w:r w:rsidRPr="004B520E">
        <w:t>served to maintain base flows</w:t>
      </w:r>
      <w:r w:rsidR="00886A8D" w:rsidRPr="004B520E">
        <w:t>.</w:t>
      </w:r>
    </w:p>
    <w:p w14:paraId="18AB73CD" w14:textId="6C145974" w:rsidR="00E72A48" w:rsidRDefault="004F60AE" w:rsidP="004F60AE">
      <w:pPr>
        <w:pStyle w:val="BodyText"/>
      </w:pPr>
      <w:r w:rsidRPr="004B520E">
        <w:t xml:space="preserve">Over the </w:t>
      </w:r>
      <w:r w:rsidR="00396648">
        <w:t>10</w:t>
      </w:r>
      <w:r w:rsidR="00396648" w:rsidRPr="004B520E">
        <w:t xml:space="preserve"> </w:t>
      </w:r>
      <w:r w:rsidRPr="004B520E">
        <w:t>years since 2014, Commonwealth environmental water contributed to improving base</w:t>
      </w:r>
      <w:r w:rsidR="001E6C5D">
        <w:t xml:space="preserve"> </w:t>
      </w:r>
      <w:r w:rsidRPr="004B520E">
        <w:t>flows (of between 5</w:t>
      </w:r>
      <w:r w:rsidR="00396648">
        <w:t>%</w:t>
      </w:r>
      <w:r w:rsidRPr="004B520E">
        <w:t xml:space="preserve"> and 10%) in the Goulburn, Lower Murray, Campaspe, Edward/Kolety–Wakool, Murrumbidgee and Lachlan. In other southern valleys</w:t>
      </w:r>
      <w:r w:rsidR="004F7422">
        <w:t>,</w:t>
      </w:r>
      <w:r w:rsidRPr="004B520E">
        <w:t xml:space="preserve"> improvements to base flow were less than 5%. </w:t>
      </w:r>
      <w:r w:rsidR="00437052" w:rsidRPr="004F60AE">
        <w:t>In most systems in the southern Basin</w:t>
      </w:r>
      <w:r w:rsidR="002832EB">
        <w:t xml:space="preserve"> during</w:t>
      </w:r>
      <w:r w:rsidR="00437052" w:rsidRPr="004F60AE">
        <w:t xml:space="preserve"> the drier years (2017–20)</w:t>
      </w:r>
      <w:r w:rsidR="002832EB">
        <w:t xml:space="preserve">, </w:t>
      </w:r>
      <w:r w:rsidR="00437052">
        <w:t xml:space="preserve">Commonwealth environmental water supported base flows, </w:t>
      </w:r>
      <w:r w:rsidR="002E5787" w:rsidRPr="004B520E">
        <w:t>especially</w:t>
      </w:r>
      <w:r w:rsidRPr="004B520E">
        <w:t xml:space="preserve"> in the Goulburn, Central Murray and Lower Murray.</w:t>
      </w:r>
      <w:bookmarkStart w:id="233" w:name="_Toc168579831"/>
      <w:bookmarkStart w:id="234" w:name="_Toc172283622"/>
      <w:bookmarkStart w:id="235" w:name="_Toc172290947"/>
      <w:bookmarkStart w:id="236" w:name="_Toc178668846"/>
    </w:p>
    <w:p w14:paraId="214A054C" w14:textId="48DE5AC4" w:rsidR="00ED3D30" w:rsidRPr="004B520E" w:rsidRDefault="00ED3D30" w:rsidP="00113FC9">
      <w:pPr>
        <w:pStyle w:val="Heading3"/>
      </w:pPr>
      <w:bookmarkStart w:id="237" w:name="_Ref167852765"/>
      <w:bookmarkStart w:id="238" w:name="_Toc168579832"/>
      <w:bookmarkStart w:id="239" w:name="_Toc172283623"/>
      <w:bookmarkEnd w:id="233"/>
      <w:bookmarkEnd w:id="234"/>
      <w:bookmarkEnd w:id="235"/>
      <w:bookmarkEnd w:id="236"/>
      <w:r w:rsidRPr="004B520E">
        <w:t>Freshes</w:t>
      </w:r>
      <w:bookmarkEnd w:id="237"/>
      <w:bookmarkEnd w:id="238"/>
      <w:bookmarkEnd w:id="239"/>
    </w:p>
    <w:p w14:paraId="38E69200" w14:textId="0D3A04A6" w:rsidR="00E72A48" w:rsidRDefault="002E5787" w:rsidP="00886A8D">
      <w:pPr>
        <w:pStyle w:val="BodyText"/>
      </w:pPr>
      <w:r w:rsidRPr="004B520E">
        <w:rPr>
          <w:rFonts w:asciiTheme="minorHAnsi" w:hAnsiTheme="minorHAnsi"/>
        </w:rPr>
        <w:t>All Basin valleys, except the Lower Darling</w:t>
      </w:r>
      <w:r w:rsidR="001D0F55">
        <w:rPr>
          <w:rFonts w:asciiTheme="minorHAnsi" w:hAnsiTheme="minorHAnsi"/>
        </w:rPr>
        <w:t>/Baaka</w:t>
      </w:r>
      <w:r w:rsidRPr="004B520E">
        <w:rPr>
          <w:rFonts w:asciiTheme="minorHAnsi" w:hAnsiTheme="minorHAnsi"/>
        </w:rPr>
        <w:t xml:space="preserve">, received Commonwealth environmental water for freshes in 2023–24. </w:t>
      </w:r>
      <w:r w:rsidR="00886A8D" w:rsidRPr="004B520E">
        <w:t xml:space="preserve">Compared to the previous year, the climate was drier </w:t>
      </w:r>
      <w:r w:rsidR="00E43EAA">
        <w:t xml:space="preserve">with lower likelihood for </w:t>
      </w:r>
      <w:r w:rsidR="00886A8D" w:rsidRPr="004B520E">
        <w:t xml:space="preserve">natural freshes. Delivery of </w:t>
      </w:r>
      <w:r w:rsidR="00886A8D" w:rsidRPr="004B520E">
        <w:rPr>
          <w:rFonts w:asciiTheme="minorHAnsi" w:hAnsiTheme="minorHAnsi"/>
        </w:rPr>
        <w:t xml:space="preserve">Commonwealth environmental water </w:t>
      </w:r>
      <w:r w:rsidR="00886A8D" w:rsidRPr="004B520E">
        <w:t xml:space="preserve">increased the frequency of freshes in multiple valleys and added to duration of freshes to support the inundation of wetlands in the Basin. </w:t>
      </w:r>
      <w:r w:rsidRPr="004B520E">
        <w:t xml:space="preserve">33 watering actions were delivered </w:t>
      </w:r>
      <w:r w:rsidR="00886A8D" w:rsidRPr="004B520E">
        <w:t>for</w:t>
      </w:r>
      <w:r w:rsidRPr="004B520E">
        <w:t xml:space="preserve"> freshes, and another </w:t>
      </w:r>
      <w:r w:rsidR="00A046C0">
        <w:t>3</w:t>
      </w:r>
      <w:r w:rsidR="00A046C0" w:rsidRPr="004B520E">
        <w:t xml:space="preserve"> </w:t>
      </w:r>
      <w:r w:rsidRPr="004B520E">
        <w:t xml:space="preserve">actions were delivered </w:t>
      </w:r>
      <w:r w:rsidR="00886A8D" w:rsidRPr="004B520E">
        <w:t>for</w:t>
      </w:r>
      <w:r w:rsidRPr="004B520E">
        <w:t xml:space="preserve"> freshes </w:t>
      </w:r>
      <w:r w:rsidR="00886A8D" w:rsidRPr="004B520E">
        <w:t>as well as</w:t>
      </w:r>
      <w:r w:rsidRPr="004B520E">
        <w:t xml:space="preserve"> supporting base flows.</w:t>
      </w:r>
    </w:p>
    <w:p w14:paraId="007BCB0B" w14:textId="5A055B12" w:rsidR="00E72A48" w:rsidRDefault="00886A8D" w:rsidP="00886A8D">
      <w:pPr>
        <w:pStyle w:val="BodyText"/>
        <w:rPr>
          <w:rStyle w:val="BodyTextChar"/>
        </w:rPr>
      </w:pPr>
      <w:r w:rsidRPr="004B520E">
        <w:t>In 2023</w:t>
      </w:r>
      <w:r w:rsidR="00272ACA">
        <w:t>–</w:t>
      </w:r>
      <w:r w:rsidRPr="004B520E">
        <w:t xml:space="preserve">24, </w:t>
      </w:r>
      <w:r w:rsidRPr="004B520E">
        <w:rPr>
          <w:rFonts w:asciiTheme="minorHAnsi" w:hAnsiTheme="minorHAnsi"/>
        </w:rPr>
        <w:t xml:space="preserve">Commonwealth environmental water was delivered as </w:t>
      </w:r>
      <w:r w:rsidRPr="004B520E">
        <w:rPr>
          <w:rStyle w:val="BodyTextChar"/>
        </w:rPr>
        <w:t xml:space="preserve">freshes in spring and summer to support inundation of Basin wetlands – Narran Lakes, Macquarie </w:t>
      </w:r>
      <w:r w:rsidR="005D2888">
        <w:rPr>
          <w:rStyle w:val="BodyTextChar"/>
        </w:rPr>
        <w:t>M</w:t>
      </w:r>
      <w:r w:rsidRPr="004B520E">
        <w:rPr>
          <w:rStyle w:val="BodyTextChar"/>
        </w:rPr>
        <w:t>arshes, Barmah</w:t>
      </w:r>
      <w:r w:rsidR="005D2888">
        <w:rPr>
          <w:rStyle w:val="BodyTextChar"/>
        </w:rPr>
        <w:t>–</w:t>
      </w:r>
      <w:r w:rsidRPr="004B520E">
        <w:rPr>
          <w:rStyle w:val="BodyTextChar"/>
        </w:rPr>
        <w:t>Millewa Forest, Lower Murrumbidgee wetlands – and in the autumn in the Lachlan and Goulburn. Many fresh actions, specifically targeted at wetland inundation</w:t>
      </w:r>
      <w:r w:rsidR="00FB2E82">
        <w:rPr>
          <w:rStyle w:val="BodyTextChar"/>
        </w:rPr>
        <w:t>,</w:t>
      </w:r>
      <w:r w:rsidRPr="004B520E">
        <w:rPr>
          <w:rStyle w:val="BodyTextChar"/>
        </w:rPr>
        <w:t xml:space="preserve"> were delivered to extend the duration of flow and thus prolong the time the wetlands were inundated, rather than delivering freshes as singular events.</w:t>
      </w:r>
    </w:p>
    <w:p w14:paraId="28290B96" w14:textId="0A9AEF94" w:rsidR="00E72A48" w:rsidRDefault="00886A8D" w:rsidP="00886A8D">
      <w:pPr>
        <w:pStyle w:val="BodyText"/>
      </w:pPr>
      <w:r w:rsidRPr="004B520E">
        <w:rPr>
          <w:rFonts w:asciiTheme="minorHAnsi" w:hAnsiTheme="minorHAnsi"/>
        </w:rPr>
        <w:t xml:space="preserve">In the northern Basin, Commonwealth environmental water </w:t>
      </w:r>
      <w:r w:rsidRPr="004B520E">
        <w:t>extended the duration of fresh flows in the Condamine</w:t>
      </w:r>
      <w:r w:rsidR="00794F6E">
        <w:t xml:space="preserve"> </w:t>
      </w:r>
      <w:r w:rsidRPr="004B520E">
        <w:t>Balonne, Barwon</w:t>
      </w:r>
      <w:r w:rsidR="00794F6E">
        <w:t xml:space="preserve"> </w:t>
      </w:r>
      <w:r w:rsidRPr="004B520E">
        <w:t xml:space="preserve">Darling, Macquarie and Warrego. In the </w:t>
      </w:r>
      <w:r w:rsidR="00794F6E">
        <w:t>s</w:t>
      </w:r>
      <w:r w:rsidRPr="004B520E">
        <w:t xml:space="preserve">outhern Basin, </w:t>
      </w:r>
      <w:r w:rsidRPr="004B520E">
        <w:rPr>
          <w:rFonts w:asciiTheme="minorHAnsi" w:hAnsiTheme="minorHAnsi"/>
        </w:rPr>
        <w:t xml:space="preserve">Commonwealth environmental water </w:t>
      </w:r>
      <w:r w:rsidRPr="004B520E">
        <w:t>contributed to increased frequency and duration of freshes in the Goulburn (5</w:t>
      </w:r>
      <w:r w:rsidR="007F7859" w:rsidRPr="004B520E">
        <w:t> </w:t>
      </w:r>
      <w:r w:rsidRPr="004B520E">
        <w:t>instances) as well as the Lachlan, Loddon, Central Murray and Murrumbidgee valleys. In the Edward</w:t>
      </w:r>
      <w:r w:rsidR="005D3C62">
        <w:t>/</w:t>
      </w:r>
      <w:r w:rsidRPr="004B520E">
        <w:t>Kolety</w:t>
      </w:r>
      <w:r w:rsidR="005D3C62">
        <w:t>–</w:t>
      </w:r>
      <w:r w:rsidRPr="004B520E">
        <w:t xml:space="preserve">Wakool, </w:t>
      </w:r>
      <w:r w:rsidRPr="004B520E">
        <w:rPr>
          <w:rFonts w:asciiTheme="minorHAnsi" w:hAnsiTheme="minorHAnsi"/>
        </w:rPr>
        <w:t xml:space="preserve">Commonwealth environmental water </w:t>
      </w:r>
      <w:r w:rsidRPr="004B520E">
        <w:t>extended the duration of naturally occurring freshes.</w:t>
      </w:r>
    </w:p>
    <w:p w14:paraId="49AE41E0" w14:textId="01DDA002" w:rsidR="00E72A48" w:rsidRDefault="00886A8D" w:rsidP="00886A8D">
      <w:pPr>
        <w:pStyle w:val="BodyText"/>
      </w:pPr>
      <w:r w:rsidRPr="004B520E">
        <w:lastRenderedPageBreak/>
        <w:t xml:space="preserve">Over the </w:t>
      </w:r>
      <w:r w:rsidR="005D3C62">
        <w:t>10</w:t>
      </w:r>
      <w:r w:rsidR="005D3C62" w:rsidRPr="004B520E">
        <w:t xml:space="preserve"> </w:t>
      </w:r>
      <w:r w:rsidRPr="004B520E">
        <w:t>years since 2014, Commonwealth environmental water consistently contributed to freshes, most notably in the Goulburn, Campaspe and Lower Murray valleys. In some drier years, Commonwealth environmental water resulted in the delivery of a fresh in the Goulburn, Campaspe, Lachlan, Lower</w:t>
      </w:r>
      <w:r w:rsidR="00F018A1">
        <w:t xml:space="preserve"> </w:t>
      </w:r>
      <w:r w:rsidRPr="004B520E">
        <w:t>Darling</w:t>
      </w:r>
      <w:r w:rsidR="00F018A1">
        <w:t>/Baaka</w:t>
      </w:r>
      <w:r w:rsidRPr="004B520E">
        <w:t xml:space="preserve"> and Condamine</w:t>
      </w:r>
      <w:r w:rsidR="00F018A1">
        <w:t xml:space="preserve"> </w:t>
      </w:r>
      <w:r w:rsidRPr="004B520E">
        <w:t>Balonne rivers</w:t>
      </w:r>
      <w:r w:rsidR="00F018A1">
        <w:t>,</w:t>
      </w:r>
      <w:r w:rsidRPr="004B520E">
        <w:t xml:space="preserve"> where otherwise a fresh would not have occurred.</w:t>
      </w:r>
      <w:bookmarkStart w:id="240" w:name="_Toc172283625"/>
      <w:bookmarkStart w:id="241" w:name="_Ref200378804"/>
    </w:p>
    <w:p w14:paraId="2F16E74E" w14:textId="77777777" w:rsidR="00236614" w:rsidRPr="004B520E" w:rsidRDefault="00236614" w:rsidP="00113FC9">
      <w:pPr>
        <w:pStyle w:val="Heading3"/>
      </w:pPr>
      <w:r w:rsidRPr="004B520E">
        <w:t>Connectivity along rivers</w:t>
      </w:r>
      <w:bookmarkEnd w:id="240"/>
      <w:bookmarkEnd w:id="241"/>
    </w:p>
    <w:p w14:paraId="5926BD7B" w14:textId="38A19BE9" w:rsidR="0035012E" w:rsidRPr="004B520E" w:rsidRDefault="00EF6B20" w:rsidP="007F7859">
      <w:pPr>
        <w:pStyle w:val="Boxedtextblue"/>
        <w:keepLines/>
      </w:pPr>
      <w:r w:rsidRPr="004B520E">
        <w:t xml:space="preserve">Commonwealth environmental water </w:t>
      </w:r>
      <w:r w:rsidR="00886A8D" w:rsidRPr="004B520E">
        <w:t xml:space="preserve">has </w:t>
      </w:r>
      <w:r w:rsidRPr="004B520E">
        <w:t>improved the overall connectivity in the Basin (</w:t>
      </w:r>
      <w:r w:rsidRPr="004B520E">
        <w:fldChar w:fldCharType="begin"/>
      </w:r>
      <w:r w:rsidRPr="004B520E">
        <w:instrText xml:space="preserve"> REF _Ref172102371 \h </w:instrText>
      </w:r>
      <w:r w:rsidR="00555077" w:rsidRPr="004B520E">
        <w:instrText xml:space="preserve"> \* MERGEFORMAT </w:instrText>
      </w:r>
      <w:r w:rsidRPr="004B520E">
        <w:fldChar w:fldCharType="separate"/>
      </w:r>
      <w:r w:rsidR="00C43C1D" w:rsidRPr="004B520E">
        <w:t>Figure </w:t>
      </w:r>
      <w:r w:rsidR="00C43C1D">
        <w:t>2</w:t>
      </w:r>
      <w:r w:rsidR="00C43C1D" w:rsidRPr="004B520E">
        <w:t>.</w:t>
      </w:r>
      <w:r w:rsidR="00C43C1D">
        <w:t>10</w:t>
      </w:r>
      <w:r w:rsidRPr="004B520E">
        <w:fldChar w:fldCharType="end"/>
      </w:r>
      <w:r w:rsidRPr="004B520E">
        <w:t xml:space="preserve">). In </w:t>
      </w:r>
      <w:r w:rsidR="00244943" w:rsidRPr="004B520E">
        <w:t>2023–24</w:t>
      </w:r>
      <w:r w:rsidRPr="004B520E">
        <w:t xml:space="preserve">, Commonwealth environmental water supported longitudinal connectivity through </w:t>
      </w:r>
      <w:r w:rsidRPr="006B7914">
        <w:t>2</w:t>
      </w:r>
      <w:r w:rsidR="00886A8D" w:rsidRPr="006B7914">
        <w:t>1</w:t>
      </w:r>
      <w:r w:rsidRPr="006B7914">
        <w:t>,</w:t>
      </w:r>
      <w:r w:rsidR="00886A8D" w:rsidRPr="006B7914">
        <w:t>07</w:t>
      </w:r>
      <w:r w:rsidRPr="006B7914">
        <w:t xml:space="preserve">5 km of Basin waterways along </w:t>
      </w:r>
      <w:r w:rsidR="0010751D" w:rsidRPr="00D324EB">
        <w:t>40</w:t>
      </w:r>
      <w:r w:rsidRPr="00D324EB">
        <w:t>%</w:t>
      </w:r>
      <w:r w:rsidRPr="006B7914">
        <w:t xml:space="preserve"> of the river length on the managed floodplain</w:t>
      </w:r>
      <w:r w:rsidR="0035012E" w:rsidRPr="006B7914">
        <w:t>.</w:t>
      </w:r>
      <w:r w:rsidR="00886A8D" w:rsidRPr="006B7914">
        <w:t xml:space="preserve"> Over the last</w:t>
      </w:r>
      <w:r w:rsidR="00886A8D" w:rsidRPr="004B520E">
        <w:t xml:space="preserve"> 10 years, Commonwealth environmental water delivered flows to a maximum length in any one year of </w:t>
      </w:r>
      <w:r w:rsidR="006563C6" w:rsidRPr="00886A8D">
        <w:t>22,164</w:t>
      </w:r>
      <w:r w:rsidR="006563C6">
        <w:t xml:space="preserve"> </w:t>
      </w:r>
      <w:r w:rsidR="006563C6" w:rsidRPr="00886A8D">
        <w:t>km</w:t>
      </w:r>
      <w:r w:rsidR="00886A8D" w:rsidRPr="004B520E">
        <w:t>.</w:t>
      </w:r>
    </w:p>
    <w:p w14:paraId="16C71DCF" w14:textId="72EED068" w:rsidR="00886A8D" w:rsidRPr="004B520E" w:rsidRDefault="00886A8D" w:rsidP="00886A8D">
      <w:pPr>
        <w:pStyle w:val="BodyText"/>
      </w:pPr>
      <w:r w:rsidRPr="004B520E">
        <w:t>In the northern Basin in 2023–24, the Barwon Darling, Condamine Balonne, Border Rivers, Macquarie and Warrego river systems experienced improved longitudinal connectivity due to Commonwealth environmental water. In southern Basin valleys, the Central Murray, Edward/Kolety–Wakool, Lachlan, Lower Darling, Lower Murray and Murrumbidgee valleys saw an increase in in</w:t>
      </w:r>
      <w:r w:rsidR="00626CFD" w:rsidRPr="004B520E">
        <w:t>stream</w:t>
      </w:r>
      <w:r w:rsidRPr="004B520E">
        <w:t xml:space="preserve"> connectivity.</w:t>
      </w:r>
    </w:p>
    <w:p w14:paraId="7DC4F4AF" w14:textId="5095310F" w:rsidR="00316EFA" w:rsidRDefault="002119F6" w:rsidP="00886A8D">
      <w:pPr>
        <w:pStyle w:val="BodyText"/>
      </w:pPr>
      <w:r w:rsidRPr="004B520E">
        <w:t>Over the last 10 years, Commonwealth environmental water contributed flows to a maximum length in any one year of 22,164</w:t>
      </w:r>
      <w:r w:rsidR="00886A8D" w:rsidRPr="004B520E">
        <w:t xml:space="preserve"> </w:t>
      </w:r>
      <w:r w:rsidRPr="004B520E">
        <w:t xml:space="preserve">km (in 2021–22). Recent wetter years have generally shown higher connectivity, </w:t>
      </w:r>
      <w:r w:rsidR="0077295E">
        <w:t>and</w:t>
      </w:r>
      <w:r w:rsidR="0077295E" w:rsidRPr="004B520E">
        <w:t xml:space="preserve"> </w:t>
      </w:r>
      <w:r w:rsidRPr="004B520E">
        <w:t xml:space="preserve">Commonwealth environmental water (in conjunction with other flows) led to greater achievement of environmental outcomes. The total length of waterways connected over the 10-year period was highest in the Murrumbidgee </w:t>
      </w:r>
      <w:r w:rsidR="00886A8D" w:rsidRPr="004B520E">
        <w:t>f</w:t>
      </w:r>
      <w:r w:rsidR="00316EFA" w:rsidRPr="004B520E">
        <w:t>ollowed by the Barwon Darling.</w:t>
      </w:r>
    </w:p>
    <w:p w14:paraId="3AB2760B" w14:textId="515AD193" w:rsidR="00EF6B20" w:rsidRDefault="00EF6B20" w:rsidP="00B93816">
      <w:pPr>
        <w:pStyle w:val="CaptionWithNote"/>
      </w:pPr>
      <w:bookmarkStart w:id="242" w:name="_Ref172102371"/>
      <w:bookmarkStart w:id="243" w:name="_Toc172283754"/>
      <w:bookmarkStart w:id="244" w:name="_Toc172283778"/>
      <w:bookmarkStart w:id="245" w:name="_Toc172290275"/>
      <w:bookmarkStart w:id="246" w:name="_Toc206528487"/>
      <w:r w:rsidRPr="004B520E">
        <w:lastRenderedPageBreak/>
        <w:t>Figure</w:t>
      </w:r>
      <w:r w:rsidR="00AF166A" w:rsidRPr="004B520E">
        <w:t> </w:t>
      </w:r>
      <w:r>
        <w:fldChar w:fldCharType="begin"/>
      </w:r>
      <w:r>
        <w:instrText>STYLEREF 1 \s</w:instrText>
      </w:r>
      <w:r>
        <w:fldChar w:fldCharType="separate"/>
      </w:r>
      <w:r w:rsidR="00C43C1D">
        <w:rPr>
          <w:noProof/>
        </w:rPr>
        <w:t>2</w:t>
      </w:r>
      <w:r>
        <w:fldChar w:fldCharType="end"/>
      </w:r>
      <w:r w:rsidR="00D958FA" w:rsidRPr="004B520E">
        <w:t>.</w:t>
      </w:r>
      <w:r>
        <w:fldChar w:fldCharType="begin"/>
      </w:r>
      <w:r>
        <w:instrText>SEQ Figure \* ARABIC \s 1</w:instrText>
      </w:r>
      <w:r>
        <w:fldChar w:fldCharType="separate"/>
      </w:r>
      <w:r w:rsidR="00C43C1D">
        <w:rPr>
          <w:noProof/>
        </w:rPr>
        <w:t>10</w:t>
      </w:r>
      <w:r>
        <w:fldChar w:fldCharType="end"/>
      </w:r>
      <w:bookmarkEnd w:id="242"/>
      <w:r w:rsidRPr="004B520E">
        <w:t xml:space="preserve"> </w:t>
      </w:r>
      <w:r w:rsidR="00E01A68">
        <w:t>Map showing l</w:t>
      </w:r>
      <w:r w:rsidRPr="004B520E">
        <w:t>ength of waterways connected and wetland inundation</w:t>
      </w:r>
      <w:r w:rsidR="00544619" w:rsidRPr="004B520E">
        <w:t xml:space="preserve">, </w:t>
      </w:r>
      <w:r w:rsidR="00244943" w:rsidRPr="004B520E">
        <w:t>2023–24</w:t>
      </w:r>
      <w:bookmarkEnd w:id="243"/>
      <w:bookmarkEnd w:id="244"/>
      <w:bookmarkEnd w:id="245"/>
      <w:bookmarkEnd w:id="246"/>
    </w:p>
    <w:p w14:paraId="0FB2E554" w14:textId="77777777" w:rsidR="007F7859" w:rsidRPr="004B520E" w:rsidRDefault="007F7859" w:rsidP="007F7859">
      <w:pPr>
        <w:pStyle w:val="Figure"/>
      </w:pPr>
      <w:r w:rsidRPr="004B520E">
        <w:rPr>
          <w:noProof/>
        </w:rPr>
        <w:drawing>
          <wp:inline distT="0" distB="0" distL="0" distR="0" wp14:anchorId="1FE14B36" wp14:editId="0BAD4949">
            <wp:extent cx="5802275" cy="6120130"/>
            <wp:effectExtent l="0" t="0" r="8255" b="0"/>
            <wp:docPr id="16199511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5111" name="Picture 4">
                      <a:extLst>
                        <a:ext uri="{C183D7F6-B498-43B3-948B-1728B52AA6E4}">
                          <adec:decorative xmlns:adec="http://schemas.microsoft.com/office/drawing/2017/decorative" val="1"/>
                        </a:ext>
                      </a:extLst>
                    </pic:cNvPr>
                    <pic:cNvPicPr/>
                  </pic:nvPicPr>
                  <pic:blipFill>
                    <a:blip r:embed="rId51"/>
                    <a:stretch>
                      <a:fillRect/>
                    </a:stretch>
                  </pic:blipFill>
                  <pic:spPr>
                    <a:xfrm>
                      <a:off x="0" y="0"/>
                      <a:ext cx="5802275" cy="6120130"/>
                    </a:xfrm>
                    <a:prstGeom prst="rect">
                      <a:avLst/>
                    </a:prstGeom>
                  </pic:spPr>
                </pic:pic>
              </a:graphicData>
            </a:graphic>
          </wp:inline>
        </w:drawing>
      </w:r>
    </w:p>
    <w:p w14:paraId="681B3E2F" w14:textId="06D4192C" w:rsidR="00EF6B20" w:rsidRPr="004B520E" w:rsidRDefault="00EF6B20" w:rsidP="000F5AB5">
      <w:pPr>
        <w:pStyle w:val="BodyText"/>
      </w:pPr>
      <w:r w:rsidRPr="006B7914">
        <w:t xml:space="preserve">Over the </w:t>
      </w:r>
      <w:r w:rsidR="00244943" w:rsidRPr="006B7914">
        <w:t>10-year period</w:t>
      </w:r>
      <w:r w:rsidRPr="006B7914">
        <w:t xml:space="preserve">, </w:t>
      </w:r>
      <w:r w:rsidR="00635023" w:rsidRPr="00D324EB">
        <w:t>54</w:t>
      </w:r>
      <w:r w:rsidRPr="00D324EB">
        <w:t xml:space="preserve">% </w:t>
      </w:r>
      <w:r w:rsidRPr="006B7914">
        <w:t xml:space="preserve">of all the river length on the managed floodplain (representing </w:t>
      </w:r>
      <w:r w:rsidR="000904F2" w:rsidRPr="006B7914">
        <w:t>28,549</w:t>
      </w:r>
      <w:r w:rsidRPr="006B7914">
        <w:t> km of river) was supported by Commonwealth environmental water (</w:t>
      </w:r>
      <w:r w:rsidRPr="006B7914">
        <w:fldChar w:fldCharType="begin"/>
      </w:r>
      <w:r w:rsidRPr="006B7914">
        <w:instrText xml:space="preserve"> REF _Ref172104650 \h </w:instrText>
      </w:r>
      <w:r w:rsidR="00F9598F" w:rsidRPr="006B7914">
        <w:instrText xml:space="preserve"> \* MERGEFORMAT </w:instrText>
      </w:r>
      <w:r w:rsidRPr="006B7914">
        <w:fldChar w:fldCharType="separate"/>
      </w:r>
      <w:r w:rsidR="00C43C1D" w:rsidRPr="004B520E">
        <w:t>Figure </w:t>
      </w:r>
      <w:r w:rsidR="00C43C1D">
        <w:t>2</w:t>
      </w:r>
      <w:r w:rsidR="00C43C1D" w:rsidRPr="004B520E">
        <w:t>.</w:t>
      </w:r>
      <w:r w:rsidR="00C43C1D">
        <w:t>11</w:t>
      </w:r>
      <w:r w:rsidRPr="006B7914">
        <w:fldChar w:fldCharType="end"/>
      </w:r>
      <w:r w:rsidRPr="006B7914">
        <w:t>).</w:t>
      </w:r>
      <w:r w:rsidRPr="00D324EB">
        <w:t xml:space="preserve"> </w:t>
      </w:r>
      <w:r w:rsidR="00635023" w:rsidRPr="00D324EB">
        <w:t>33</w:t>
      </w:r>
      <w:r w:rsidRPr="00D324EB">
        <w:t xml:space="preserve">% (or </w:t>
      </w:r>
      <w:r w:rsidR="006A2FD1" w:rsidRPr="00D324EB">
        <w:t>9,419</w:t>
      </w:r>
      <w:r w:rsidRPr="00D324EB">
        <w:t xml:space="preserve"> km) </w:t>
      </w:r>
      <w:r w:rsidRPr="006B7914">
        <w:t>was</w:t>
      </w:r>
      <w:r w:rsidRPr="004B520E">
        <w:t xml:space="preserve"> watered in every year along permanent lowland sections of the Barwon, Macquarie, Gwydir, Lachlan, Murrumbidgee, Edward/Kolety–Wakool, Murray, Ovens, Broken, Goulburn and Loddon rivers. Permanent reaches in the lowland sections of the Bokhara, Culgoa, Darling and Campaspe rivers, and the smaller upland, transitional Severn River, received Commonwealth environmental water in </w:t>
      </w:r>
      <w:r w:rsidR="00626CFD" w:rsidRPr="000B73AA">
        <w:t>9</w:t>
      </w:r>
      <w:r w:rsidRPr="000B73AA">
        <w:t xml:space="preserve"> of the </w:t>
      </w:r>
      <w:r w:rsidR="00626CFD" w:rsidRPr="000B73AA">
        <w:t>10</w:t>
      </w:r>
      <w:r w:rsidRPr="000B73AA">
        <w:t xml:space="preserve"> years</w:t>
      </w:r>
      <w:r w:rsidRPr="004B520E">
        <w:t xml:space="preserve">. Some temporary rivers also received water in </w:t>
      </w:r>
      <w:r w:rsidR="000F73AB">
        <w:t>7–8</w:t>
      </w:r>
      <w:r w:rsidRPr="004B520E">
        <w:t xml:space="preserve"> of the years: Gunbower Creek, Tuppal Creek, Moonie River and the lower end of the Warrego River (</w:t>
      </w:r>
      <w:r w:rsidRPr="004B520E">
        <w:fldChar w:fldCharType="begin"/>
      </w:r>
      <w:r w:rsidRPr="004B520E">
        <w:instrText xml:space="preserve"> REF _Ref172104650 \h </w:instrText>
      </w:r>
      <w:r w:rsidR="00F9598F" w:rsidRPr="004B520E">
        <w:instrText xml:space="preserve"> \* MERGEFORMAT </w:instrText>
      </w:r>
      <w:r w:rsidRPr="004B520E">
        <w:fldChar w:fldCharType="separate"/>
      </w:r>
      <w:r w:rsidR="00C43C1D" w:rsidRPr="004B520E">
        <w:t>Figure </w:t>
      </w:r>
      <w:r w:rsidR="00C43C1D">
        <w:t>2</w:t>
      </w:r>
      <w:r w:rsidR="00C43C1D" w:rsidRPr="004B520E">
        <w:t>.</w:t>
      </w:r>
      <w:r w:rsidR="00C43C1D">
        <w:t>11</w:t>
      </w:r>
      <w:r w:rsidRPr="004B520E">
        <w:fldChar w:fldCharType="end"/>
      </w:r>
      <w:r w:rsidRPr="004B520E">
        <w:t>).</w:t>
      </w:r>
    </w:p>
    <w:p w14:paraId="5C479746" w14:textId="31E3AAA5" w:rsidR="00E72A48" w:rsidRDefault="00EF6B20" w:rsidP="00C17E23">
      <w:pPr>
        <w:pStyle w:val="CaptionWithNote"/>
      </w:pPr>
      <w:bookmarkStart w:id="247" w:name="_Ref172104650"/>
      <w:bookmarkStart w:id="248" w:name="_Toc172283755"/>
      <w:bookmarkStart w:id="249" w:name="_Toc172283779"/>
      <w:bookmarkStart w:id="250" w:name="_Toc172290276"/>
      <w:bookmarkStart w:id="251" w:name="_Toc206528488"/>
      <w:r w:rsidRPr="004B520E">
        <w:lastRenderedPageBreak/>
        <w:t>Figure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11</w:t>
      </w:r>
      <w:r>
        <w:fldChar w:fldCharType="end"/>
      </w:r>
      <w:bookmarkEnd w:id="247"/>
      <w:r w:rsidRPr="004B520E">
        <w:t xml:space="preserve"> Map of annual frequency (from 1 in </w:t>
      </w:r>
      <w:r w:rsidR="00626CFD" w:rsidRPr="004B520E">
        <w:t>10</w:t>
      </w:r>
      <w:r w:rsidRPr="004B520E">
        <w:t xml:space="preserve"> years to </w:t>
      </w:r>
      <w:r w:rsidR="00626CFD" w:rsidRPr="004B520E">
        <w:t>10</w:t>
      </w:r>
      <w:r w:rsidRPr="004B520E">
        <w:t xml:space="preserve"> in </w:t>
      </w:r>
      <w:r w:rsidR="00626CFD" w:rsidRPr="004B520E">
        <w:t>10</w:t>
      </w:r>
      <w:r w:rsidRPr="004B520E">
        <w:t xml:space="preserve"> years) of Commonwealth environmental water in rivers in the Murray–Darling Basin, </w:t>
      </w:r>
      <w:r w:rsidR="00244943" w:rsidRPr="004B520E">
        <w:t>2014–24</w:t>
      </w:r>
      <w:bookmarkEnd w:id="248"/>
      <w:bookmarkEnd w:id="249"/>
      <w:bookmarkEnd w:id="250"/>
      <w:bookmarkEnd w:id="251"/>
      <w:r w:rsidR="006F5CCD" w:rsidRPr="00125873">
        <w:t xml:space="preserve"> </w:t>
      </w:r>
    </w:p>
    <w:p w14:paraId="2A5C29D2" w14:textId="73770CB6" w:rsidR="00C17E23" w:rsidRPr="00C17E23" w:rsidRDefault="00C17E23" w:rsidP="000B73AA">
      <w:pPr>
        <w:pStyle w:val="CaptionNote"/>
      </w:pPr>
      <w:r>
        <w:t>CEW = Commonwealth environmental water.</w:t>
      </w:r>
    </w:p>
    <w:p w14:paraId="67ED1B4C" w14:textId="77777777" w:rsidR="000F5AB5" w:rsidRPr="004B520E" w:rsidRDefault="000F5AB5" w:rsidP="000F5AB5">
      <w:pPr>
        <w:pStyle w:val="Figure"/>
      </w:pPr>
      <w:r w:rsidRPr="004B520E">
        <w:rPr>
          <w:noProof/>
        </w:rPr>
        <w:drawing>
          <wp:inline distT="0" distB="0" distL="0" distR="0" wp14:anchorId="06F8D643" wp14:editId="7FF760C4">
            <wp:extent cx="6120130" cy="6039663"/>
            <wp:effectExtent l="0" t="0" r="0" b="0"/>
            <wp:docPr id="306454454" name="Picture 5"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54454" name="Picture 5"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rotWithShape="1">
                    <a:blip r:embed="rId52"/>
                    <a:srcRect l="-3" t="1912" r="3" b="-599"/>
                    <a:stretch>
                      <a:fillRect/>
                    </a:stretch>
                  </pic:blipFill>
                  <pic:spPr bwMode="auto">
                    <a:xfrm>
                      <a:off x="0" y="0"/>
                      <a:ext cx="6120130" cy="6039663"/>
                    </a:xfrm>
                    <a:prstGeom prst="rect">
                      <a:avLst/>
                    </a:prstGeom>
                    <a:ln>
                      <a:noFill/>
                    </a:ln>
                    <a:extLst>
                      <a:ext uri="{53640926-AAD7-44D8-BBD7-CCE9431645EC}">
                        <a14:shadowObscured xmlns:a14="http://schemas.microsoft.com/office/drawing/2010/main"/>
                      </a:ext>
                    </a:extLst>
                  </pic:spPr>
                </pic:pic>
              </a:graphicData>
            </a:graphic>
          </wp:inline>
        </w:drawing>
      </w:r>
    </w:p>
    <w:p w14:paraId="4183332B" w14:textId="46673DE0" w:rsidR="00E72A48" w:rsidRDefault="00EF6B20" w:rsidP="00886A8D">
      <w:pPr>
        <w:pStyle w:val="Boxedtextblue"/>
      </w:pPr>
      <w:r w:rsidRPr="004B520E">
        <w:t xml:space="preserve">The Strategy sets expected outcomes for connectivity as increased flows into the Murray and </w:t>
      </w:r>
      <w:r w:rsidR="009F018C" w:rsidRPr="004B520E">
        <w:t>Barwon</w:t>
      </w:r>
      <w:r w:rsidR="0060218C">
        <w:t xml:space="preserve"> </w:t>
      </w:r>
      <w:r w:rsidRPr="004B520E">
        <w:t>Darling rivers (</w:t>
      </w:r>
      <w:r w:rsidR="007F72AA" w:rsidRPr="004B520E">
        <w:fldChar w:fldCharType="begin"/>
      </w:r>
      <w:r w:rsidR="007F72AA" w:rsidRPr="004B520E">
        <w:instrText xml:space="preserve"> REF _Ref200028704 \h </w:instrText>
      </w:r>
      <w:r w:rsidR="007F72AA" w:rsidRPr="004B520E">
        <w:fldChar w:fldCharType="separate"/>
      </w:r>
      <w:r w:rsidR="00C43C1D" w:rsidRPr="004B520E">
        <w:t>Table </w:t>
      </w:r>
      <w:r w:rsidR="00C43C1D">
        <w:rPr>
          <w:noProof/>
        </w:rPr>
        <w:t>2</w:t>
      </w:r>
      <w:r w:rsidR="00C43C1D" w:rsidRPr="004B520E">
        <w:t>.</w:t>
      </w:r>
      <w:r w:rsidR="00C43C1D">
        <w:rPr>
          <w:noProof/>
        </w:rPr>
        <w:t>1</w:t>
      </w:r>
      <w:r w:rsidR="007F72AA" w:rsidRPr="004B520E">
        <w:fldChar w:fldCharType="end"/>
      </w:r>
      <w:r w:rsidRPr="004B520E">
        <w:t xml:space="preserve">). </w:t>
      </w:r>
      <w:r w:rsidR="005E6230" w:rsidRPr="004B520E">
        <w:t xml:space="preserve">Due to high </w:t>
      </w:r>
      <w:r w:rsidR="009F018C" w:rsidRPr="004B520E">
        <w:t>base flows</w:t>
      </w:r>
      <w:r w:rsidR="005E6230" w:rsidRPr="004B520E">
        <w:t>, l</w:t>
      </w:r>
      <w:r w:rsidRPr="004B520E">
        <w:t xml:space="preserve">ongitudinal connectivity </w:t>
      </w:r>
      <w:r w:rsidR="00D34246">
        <w:t>outcomes</w:t>
      </w:r>
      <w:r w:rsidR="00D34246" w:rsidRPr="00EF6B20">
        <w:t xml:space="preserve"> </w:t>
      </w:r>
      <w:r w:rsidRPr="004B520E">
        <w:t xml:space="preserve">were </w:t>
      </w:r>
      <w:r w:rsidR="006842A5">
        <w:t>achieved for</w:t>
      </w:r>
      <w:r w:rsidR="009F018C" w:rsidRPr="004B520E">
        <w:t xml:space="preserve"> all valleys except for the Wimmera and Broken river systems. In 2023–24, </w:t>
      </w:r>
      <w:r w:rsidRPr="004B520E">
        <w:t>Commonwealth environmental water</w:t>
      </w:r>
      <w:r w:rsidR="009F018C" w:rsidRPr="004B520E">
        <w:t xml:space="preserve"> contributed to a 14% increase in flows to the Barwon</w:t>
      </w:r>
      <w:r w:rsidR="008F4B60">
        <w:t xml:space="preserve"> </w:t>
      </w:r>
      <w:r w:rsidR="009F018C" w:rsidRPr="004B520E">
        <w:t xml:space="preserve">Darling River and </w:t>
      </w:r>
      <w:r w:rsidR="00520A5B" w:rsidRPr="004B520E">
        <w:t>16</w:t>
      </w:r>
      <w:r w:rsidR="009F018C" w:rsidRPr="004B520E">
        <w:t>% increase in the Murray River.</w:t>
      </w:r>
    </w:p>
    <w:p w14:paraId="107C9899" w14:textId="77777777" w:rsidR="00C43C1D" w:rsidRDefault="005E6230" w:rsidP="00EF6B20">
      <w:pPr>
        <w:pStyle w:val="BodyText"/>
      </w:pPr>
      <w:r w:rsidRPr="004B520E">
        <w:t xml:space="preserve">Natural </w:t>
      </w:r>
      <w:r w:rsidR="00520A5B" w:rsidRPr="004B520E">
        <w:t xml:space="preserve">base </w:t>
      </w:r>
      <w:r w:rsidRPr="004B520E">
        <w:t xml:space="preserve">flows were high in </w:t>
      </w:r>
      <w:r w:rsidR="00244943" w:rsidRPr="004B520E">
        <w:t>2023–24</w:t>
      </w:r>
      <w:r w:rsidRPr="004B520E">
        <w:t xml:space="preserve"> </w:t>
      </w:r>
      <w:r w:rsidR="00520A5B" w:rsidRPr="004B520E">
        <w:t xml:space="preserve">and </w:t>
      </w:r>
      <w:r w:rsidR="00F43BA5">
        <w:t>persisted</w:t>
      </w:r>
      <w:r w:rsidR="00520A5B" w:rsidRPr="004B520E">
        <w:t xml:space="preserve"> for longer compared to the ‘natural’ (modelled pre-development scenario) flow regime. Strategy </w:t>
      </w:r>
      <w:r w:rsidR="006842A5">
        <w:t>outcomes</w:t>
      </w:r>
      <w:r w:rsidR="00217429" w:rsidRPr="00EF6B20">
        <w:t xml:space="preserve"> </w:t>
      </w:r>
      <w:r w:rsidR="00520A5B" w:rsidRPr="004B520E">
        <w:t>were met in all valleys except for the Wimmera and Broken river systems</w:t>
      </w:r>
      <w:r w:rsidR="00FD02FE">
        <w:t>,</w:t>
      </w:r>
      <w:r w:rsidR="00520A5B" w:rsidRPr="004B520E">
        <w:t xml:space="preserve"> although Commonwealth environmental water was only a partial contributor. </w:t>
      </w:r>
      <w:r w:rsidRPr="004B520E">
        <w:t>Commonwealth environmental water plays a more significant role during drier periods</w:t>
      </w:r>
      <w:r w:rsidR="00520A5B" w:rsidRPr="004B520E">
        <w:t xml:space="preserve"> (shown in </w:t>
      </w:r>
      <w:r w:rsidR="00520A5B" w:rsidRPr="004B520E">
        <w:fldChar w:fldCharType="begin"/>
      </w:r>
      <w:r w:rsidR="00520A5B" w:rsidRPr="004B520E">
        <w:instrText xml:space="preserve"> REF _Ref172102095 \h  \* MERGEFORMAT </w:instrText>
      </w:r>
      <w:r w:rsidR="00520A5B" w:rsidRPr="004B520E">
        <w:fldChar w:fldCharType="separate"/>
      </w:r>
    </w:p>
    <w:p w14:paraId="614ED12F" w14:textId="15487944" w:rsidR="00E72A48" w:rsidRDefault="00C43C1D" w:rsidP="00EF6B20">
      <w:pPr>
        <w:pStyle w:val="BodyText"/>
      </w:pPr>
      <w:r w:rsidRPr="004B520E">
        <w:lastRenderedPageBreak/>
        <w:t>Figure </w:t>
      </w:r>
      <w:r>
        <w:t>2</w:t>
      </w:r>
      <w:r w:rsidRPr="004B520E">
        <w:t>.</w:t>
      </w:r>
      <w:r>
        <w:t>12</w:t>
      </w:r>
      <w:r w:rsidR="00520A5B" w:rsidRPr="004B520E">
        <w:fldChar w:fldCharType="end"/>
      </w:r>
      <w:r w:rsidR="00520A5B" w:rsidRPr="004B520E">
        <w:t>)</w:t>
      </w:r>
      <w:r w:rsidR="00253FED">
        <w:t>;</w:t>
      </w:r>
      <w:r w:rsidR="005E6230" w:rsidRPr="004B520E">
        <w:t xml:space="preserve"> for example, contributing over 97% of total flow in the Darling River at Bourke in 2017–18</w:t>
      </w:r>
      <w:r w:rsidR="00C707A3" w:rsidRPr="004B520E">
        <w:t xml:space="preserve">. </w:t>
      </w:r>
      <w:r w:rsidR="00520A5B" w:rsidRPr="004B520E">
        <w:t xml:space="preserve">In 2023–24, </w:t>
      </w:r>
      <w:r w:rsidR="00EF6B20" w:rsidRPr="004B520E">
        <w:t xml:space="preserve">Commonwealth environmental water supported a </w:t>
      </w:r>
      <w:r w:rsidR="00520A5B" w:rsidRPr="004B520E">
        <w:t>14% increase in annual flows to the Barwon</w:t>
      </w:r>
      <w:r w:rsidR="00253FED">
        <w:t xml:space="preserve"> </w:t>
      </w:r>
      <w:r w:rsidR="00520A5B" w:rsidRPr="004B520E">
        <w:t xml:space="preserve">Darling </w:t>
      </w:r>
      <w:r w:rsidR="004A5B35">
        <w:t xml:space="preserve">in the northern Basin </w:t>
      </w:r>
      <w:r w:rsidR="00520A5B" w:rsidRPr="004B520E">
        <w:t>and a 16% increase in flows in the Murray River in the southern Basin.</w:t>
      </w:r>
      <w:bookmarkStart w:id="252" w:name="_Ref172102095"/>
      <w:bookmarkStart w:id="253" w:name="_Ref172102799"/>
      <w:bookmarkStart w:id="254" w:name="_Toc172283756"/>
      <w:bookmarkStart w:id="255" w:name="_Toc172283780"/>
      <w:bookmarkStart w:id="256" w:name="_Toc172290277"/>
    </w:p>
    <w:p w14:paraId="3B3FABE0" w14:textId="5246D1E0" w:rsidR="00EF6B20" w:rsidRPr="004B520E" w:rsidRDefault="00EF6B20" w:rsidP="000B73AA">
      <w:pPr>
        <w:pStyle w:val="CaptionWithNote"/>
      </w:pPr>
      <w:bookmarkStart w:id="257" w:name="_Toc206528489"/>
      <w:r w:rsidRPr="004B520E">
        <w:t>Figure</w:t>
      </w:r>
      <w:r w:rsidR="00124183" w:rsidRPr="004B520E">
        <w:t> </w:t>
      </w:r>
      <w:r>
        <w:fldChar w:fldCharType="begin"/>
      </w:r>
      <w:r>
        <w:instrText>STYLEREF 1 \s</w:instrText>
      </w:r>
      <w:r>
        <w:fldChar w:fldCharType="separate"/>
      </w:r>
      <w:r w:rsidR="00C43C1D">
        <w:rPr>
          <w:noProof/>
        </w:rPr>
        <w:t>2</w:t>
      </w:r>
      <w:r>
        <w:fldChar w:fldCharType="end"/>
      </w:r>
      <w:r w:rsidR="00D958FA" w:rsidRPr="004B520E">
        <w:t>.</w:t>
      </w:r>
      <w:r>
        <w:fldChar w:fldCharType="begin"/>
      </w:r>
      <w:r>
        <w:instrText>SEQ Figure \* ARABIC \s 1</w:instrText>
      </w:r>
      <w:r>
        <w:fldChar w:fldCharType="separate"/>
      </w:r>
      <w:r w:rsidR="00C43C1D">
        <w:rPr>
          <w:noProof/>
        </w:rPr>
        <w:t>12</w:t>
      </w:r>
      <w:r>
        <w:fldChar w:fldCharType="end"/>
      </w:r>
      <w:bookmarkEnd w:id="252"/>
      <w:bookmarkEnd w:id="253"/>
      <w:r w:rsidRPr="004B520E">
        <w:t xml:space="preserve"> Percentage increases in annual flow volumes in the Darling River at Bourke </w:t>
      </w:r>
      <w:r w:rsidR="00C02F6D">
        <w:t xml:space="preserve">(top) </w:t>
      </w:r>
      <w:r w:rsidRPr="004B520E">
        <w:t>and the Murray River at the S</w:t>
      </w:r>
      <w:r w:rsidR="007947CD" w:rsidRPr="004B520E">
        <w:t xml:space="preserve">outh </w:t>
      </w:r>
      <w:r w:rsidRPr="004B520E">
        <w:t>A</w:t>
      </w:r>
      <w:r w:rsidR="007947CD" w:rsidRPr="004B520E">
        <w:t xml:space="preserve">ustralian </w:t>
      </w:r>
      <w:r w:rsidRPr="004B520E">
        <w:t>border</w:t>
      </w:r>
      <w:r w:rsidR="00C02F6D">
        <w:t xml:space="preserve"> </w:t>
      </w:r>
      <w:r w:rsidR="00C02F6D" w:rsidRPr="004B520E">
        <w:t>(bottom)</w:t>
      </w:r>
      <w:r w:rsidR="000A4204" w:rsidRPr="004B520E">
        <w:t xml:space="preserve"> that are</w:t>
      </w:r>
      <w:r w:rsidRPr="004B520E">
        <w:t xml:space="preserve"> directly attributable to Commonwealth environmental water, </w:t>
      </w:r>
      <w:r w:rsidR="00244943" w:rsidRPr="004B520E">
        <w:t>2014–24</w:t>
      </w:r>
      <w:bookmarkEnd w:id="254"/>
      <w:bookmarkEnd w:id="255"/>
      <w:bookmarkEnd w:id="256"/>
      <w:bookmarkEnd w:id="257"/>
    </w:p>
    <w:p w14:paraId="7B88C0B5" w14:textId="1B2C8DA3" w:rsidR="00EF6B20" w:rsidRPr="004B520E" w:rsidRDefault="00EF6B20" w:rsidP="000B73AA">
      <w:pPr>
        <w:pStyle w:val="CaptionNote"/>
      </w:pPr>
      <w:r w:rsidRPr="004B520E">
        <w:t>For the northern Basin valleys, up to water year 2021–22, Louth was used as the point of evaluation.</w:t>
      </w:r>
      <w:r w:rsidR="00845B8E" w:rsidRPr="004B520E">
        <w:t xml:space="preserve"> CEW = Commonwealth environmental water.</w:t>
      </w:r>
    </w:p>
    <w:p w14:paraId="2FD85B6A" w14:textId="77777777" w:rsidR="00552C6B" w:rsidRPr="004B520E" w:rsidRDefault="00552C6B" w:rsidP="00552C6B">
      <w:pPr>
        <w:pStyle w:val="Figure"/>
      </w:pPr>
      <w:bookmarkStart w:id="258" w:name="_Toc171626814"/>
      <w:bookmarkStart w:id="259" w:name="_Toc172283626"/>
      <w:r w:rsidRPr="004B520E">
        <w:rPr>
          <w:noProof/>
        </w:rPr>
        <w:drawing>
          <wp:inline distT="0" distB="0" distL="0" distR="0" wp14:anchorId="0B28A205" wp14:editId="31800AAA">
            <wp:extent cx="4362764" cy="4597400"/>
            <wp:effectExtent l="0" t="0" r="6350" b="0"/>
            <wp:docPr id="1613793105" name="Picture 6"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93105" name="Picture 6" descr="Due to the complexity of this graph / chart / figure and the niche scientific target audience, no alternative description has been provided. Please email the CEWH Environmental Water Science Section at CEWHscience@dcceew.gov.au for an alternative description."/>
                    <pic:cNvPicPr>
                      <a:picLocks noChangeAspect="1" noChangeArrowheads="1"/>
                    </pic:cNvPicPr>
                  </pic:nvPicPr>
                  <pic:blipFill>
                    <a:blip r:embed="rId53"/>
                    <a:stretch>
                      <a:fillRect/>
                    </a:stretch>
                  </pic:blipFill>
                  <pic:spPr bwMode="auto">
                    <a:xfrm>
                      <a:off x="0" y="0"/>
                      <a:ext cx="4381093" cy="4616715"/>
                    </a:xfrm>
                    <a:prstGeom prst="rect">
                      <a:avLst/>
                    </a:prstGeom>
                    <a:noFill/>
                    <a:ln>
                      <a:noFill/>
                    </a:ln>
                  </pic:spPr>
                </pic:pic>
              </a:graphicData>
            </a:graphic>
          </wp:inline>
        </w:drawing>
      </w:r>
    </w:p>
    <w:p w14:paraId="3C3A7870" w14:textId="77777777" w:rsidR="00EF6B20" w:rsidRPr="004B520E" w:rsidRDefault="00EF6B20" w:rsidP="00113FC9">
      <w:pPr>
        <w:pStyle w:val="Heading3"/>
      </w:pPr>
      <w:r w:rsidRPr="004B520E">
        <w:t>End-of-Basin flows</w:t>
      </w:r>
      <w:bookmarkEnd w:id="258"/>
      <w:bookmarkEnd w:id="259"/>
    </w:p>
    <w:p w14:paraId="15D5B19D" w14:textId="36F2A31F" w:rsidR="0035012E" w:rsidRPr="004B520E" w:rsidRDefault="0094455B" w:rsidP="0024567F">
      <w:pPr>
        <w:pStyle w:val="Boxedtextblue"/>
      </w:pPr>
      <w:r w:rsidRPr="004B520E">
        <w:t xml:space="preserve">The Strategy </w:t>
      </w:r>
      <w:r w:rsidR="004658BC">
        <w:t>defines</w:t>
      </w:r>
      <w:r w:rsidR="004658BC" w:rsidRPr="004B520E">
        <w:t xml:space="preserve"> </w:t>
      </w:r>
      <w:r w:rsidR="004658BC">
        <w:t>expected environmental outcomes</w:t>
      </w:r>
      <w:r w:rsidR="004658BC" w:rsidRPr="00F5200B">
        <w:t xml:space="preserve"> </w:t>
      </w:r>
      <w:r w:rsidR="00D4658D" w:rsidRPr="004B520E">
        <w:t xml:space="preserve">for </w:t>
      </w:r>
      <w:r w:rsidR="004658BC" w:rsidRPr="004B520E">
        <w:t xml:space="preserve">flow volume and depth </w:t>
      </w:r>
      <w:r w:rsidR="00D4658D" w:rsidRPr="004B520E">
        <w:t xml:space="preserve">for the </w:t>
      </w:r>
      <w:r w:rsidR="007040AC" w:rsidRPr="004B520E">
        <w:t>Coorong, Lower Lakes and Murray Mouth</w:t>
      </w:r>
      <w:r w:rsidR="007040AC" w:rsidRPr="004B520E" w:rsidDel="007040AC">
        <w:t xml:space="preserve"> </w:t>
      </w:r>
      <w:r w:rsidR="000209B2" w:rsidRPr="004B520E">
        <w:t>(</w:t>
      </w:r>
      <w:r w:rsidR="007F72AA" w:rsidRPr="004B520E">
        <w:fldChar w:fldCharType="begin"/>
      </w:r>
      <w:r w:rsidR="007F72AA" w:rsidRPr="004B520E">
        <w:instrText xml:space="preserve"> REF _Ref200028704 \h </w:instrText>
      </w:r>
      <w:r w:rsidR="007F72AA" w:rsidRPr="004B520E">
        <w:fldChar w:fldCharType="separate"/>
      </w:r>
      <w:r w:rsidR="00C43C1D" w:rsidRPr="004B520E">
        <w:t>Table </w:t>
      </w:r>
      <w:r w:rsidR="00C43C1D">
        <w:rPr>
          <w:noProof/>
        </w:rPr>
        <w:t>2</w:t>
      </w:r>
      <w:r w:rsidR="00C43C1D" w:rsidRPr="004B520E">
        <w:t>.</w:t>
      </w:r>
      <w:r w:rsidR="00C43C1D">
        <w:rPr>
          <w:noProof/>
        </w:rPr>
        <w:t>1</w:t>
      </w:r>
      <w:r w:rsidR="007F72AA" w:rsidRPr="004B520E">
        <w:fldChar w:fldCharType="end"/>
      </w:r>
      <w:r w:rsidR="000209B2" w:rsidRPr="004B520E">
        <w:t>)</w:t>
      </w:r>
      <w:r w:rsidR="00D4658D" w:rsidRPr="004B520E">
        <w:t xml:space="preserve">. </w:t>
      </w:r>
      <w:r w:rsidR="000955B7" w:rsidRPr="004B520E">
        <w:t xml:space="preserve">In </w:t>
      </w:r>
      <w:r w:rsidR="00244943" w:rsidRPr="004B520E">
        <w:t>2023–24</w:t>
      </w:r>
      <w:r w:rsidR="000955B7" w:rsidRPr="004B520E">
        <w:t xml:space="preserve">, </w:t>
      </w:r>
      <w:r w:rsidR="007D5E94" w:rsidRPr="004B520E">
        <w:t>due to high natural flows, barrage releases were above the 2</w:t>
      </w:r>
      <w:r w:rsidR="00845B8E" w:rsidRPr="004B520E">
        <w:t>,</w:t>
      </w:r>
      <w:r w:rsidR="007D5E94" w:rsidRPr="004B520E">
        <w:t>000</w:t>
      </w:r>
      <w:r w:rsidR="000209B2" w:rsidRPr="004B520E">
        <w:t xml:space="preserve"> </w:t>
      </w:r>
      <w:r w:rsidR="007D5E94" w:rsidRPr="004B520E">
        <w:t xml:space="preserve">GL/year target without Commonwealth environmental water. Similarly, </w:t>
      </w:r>
      <w:r w:rsidR="000955B7" w:rsidRPr="004B520E">
        <w:t>water levels in Lake Alexandrina did not fall below the 0.4 m </w:t>
      </w:r>
      <w:r w:rsidR="00D95954" w:rsidRPr="004B520E">
        <w:t xml:space="preserve">Australian Height Datum </w:t>
      </w:r>
      <w:r w:rsidR="000955B7" w:rsidRPr="004B520E">
        <w:t>targe</w:t>
      </w:r>
      <w:r w:rsidR="00F5200B" w:rsidRPr="004B520E">
        <w:t>t</w:t>
      </w:r>
      <w:r w:rsidR="00083EF4">
        <w:t>,</w:t>
      </w:r>
      <w:r w:rsidR="00F5200B" w:rsidRPr="004B520E">
        <w:t xml:space="preserve"> primarily due to high natural flows</w:t>
      </w:r>
      <w:r w:rsidR="0035012E" w:rsidRPr="004B520E">
        <w:t>.</w:t>
      </w:r>
    </w:p>
    <w:p w14:paraId="5FF87D9E" w14:textId="6ED8CD11" w:rsidR="00E72A48" w:rsidRDefault="00520A5B" w:rsidP="00520A5B">
      <w:pPr>
        <w:pStyle w:val="BodyText"/>
      </w:pPr>
      <w:r w:rsidRPr="004B520E">
        <w:t xml:space="preserve">Lower reaches of river valleys are particularly vulnerable to water withdrawals from upstream, </w:t>
      </w:r>
      <w:r w:rsidR="0077295E">
        <w:t>and there is</w:t>
      </w:r>
      <w:r w:rsidR="0077295E" w:rsidRPr="004B520E">
        <w:t xml:space="preserve"> </w:t>
      </w:r>
      <w:r w:rsidRPr="004B520E">
        <w:t>a risk of flows declining to severely low levels during dry periods. For example, the Coorong, Lower Lakes and Murray Mouth</w:t>
      </w:r>
      <w:r w:rsidRPr="004B520E" w:rsidDel="007040AC">
        <w:t xml:space="preserve"> </w:t>
      </w:r>
      <w:r w:rsidRPr="004B520E">
        <w:t>depends on freshwater flows that deliver longitudinal hydrological connectivity from upstream.</w:t>
      </w:r>
    </w:p>
    <w:p w14:paraId="45E934BD" w14:textId="77777777" w:rsidR="00F83C59" w:rsidRDefault="00EA12C2" w:rsidP="00E64E02">
      <w:pPr>
        <w:pStyle w:val="BodyText"/>
      </w:pPr>
      <w:r>
        <w:lastRenderedPageBreak/>
        <w:t xml:space="preserve">The Strategy target </w:t>
      </w:r>
      <w:r w:rsidR="001D0900">
        <w:t xml:space="preserve">for </w:t>
      </w:r>
      <w:r w:rsidR="00E151A3">
        <w:t xml:space="preserve">flows to </w:t>
      </w:r>
      <w:r w:rsidR="001D0900">
        <w:t>the Murray Mouth is an increase of 30</w:t>
      </w:r>
      <w:r w:rsidR="00E151A3">
        <w:t>–</w:t>
      </w:r>
      <w:r w:rsidR="001D0900">
        <w:t xml:space="preserve">40%. </w:t>
      </w:r>
      <w:r w:rsidR="00520A5B" w:rsidRPr="004B520E">
        <w:t xml:space="preserve">In 2023–24, </w:t>
      </w:r>
      <w:r w:rsidR="004B6CBF">
        <w:t xml:space="preserve">a 21% increase due </w:t>
      </w:r>
      <w:r w:rsidR="00520A5B" w:rsidRPr="004B520E">
        <w:t>to Commonwealth environmental water (at Wellington)</w:t>
      </w:r>
      <w:r w:rsidR="00E151A3">
        <w:t xml:space="preserve"> was realised</w:t>
      </w:r>
      <w:r w:rsidR="00583203">
        <w:t xml:space="preserve">. While this is a high contribution, the </w:t>
      </w:r>
      <w:r w:rsidR="00FD4CB4">
        <w:t xml:space="preserve">Strategy </w:t>
      </w:r>
      <w:r w:rsidR="00583203">
        <w:t xml:space="preserve">target </w:t>
      </w:r>
      <w:r w:rsidR="008B0B58">
        <w:t xml:space="preserve">was </w:t>
      </w:r>
      <w:r w:rsidR="00FD4CB4">
        <w:t>technically not met</w:t>
      </w:r>
      <w:r w:rsidR="00520A5B" w:rsidRPr="004B520E">
        <w:t xml:space="preserve">. </w:t>
      </w:r>
    </w:p>
    <w:p w14:paraId="474A4AD7" w14:textId="3FA61A8A" w:rsidR="00520A5B" w:rsidRPr="004B520E" w:rsidRDefault="00520A5B" w:rsidP="00E64E02">
      <w:pPr>
        <w:pStyle w:val="BodyText"/>
      </w:pPr>
      <w:r w:rsidRPr="004B520E">
        <w:t>Commonwealth environmental water contributed 1</w:t>
      </w:r>
      <w:r w:rsidR="00B30D61">
        <w:t>,</w:t>
      </w:r>
      <w:r w:rsidRPr="004B520E">
        <w:t>1</w:t>
      </w:r>
      <w:r w:rsidR="003206C8">
        <w:t>46</w:t>
      </w:r>
      <w:r w:rsidRPr="004B520E">
        <w:t> GL to barrage releases over the year (</w:t>
      </w:r>
      <w:r w:rsidRPr="004B520E">
        <w:fldChar w:fldCharType="begin"/>
      </w:r>
      <w:r w:rsidRPr="004B520E">
        <w:instrText xml:space="preserve"> REF _Ref172300636 \h </w:instrText>
      </w:r>
      <w:r w:rsidRPr="004B520E">
        <w:fldChar w:fldCharType="separate"/>
      </w:r>
      <w:r w:rsidR="00C43C1D" w:rsidRPr="004B520E">
        <w:t>Table </w:t>
      </w:r>
      <w:r w:rsidR="00C43C1D">
        <w:rPr>
          <w:noProof/>
        </w:rPr>
        <w:t>2</w:t>
      </w:r>
      <w:r w:rsidR="00C43C1D" w:rsidRPr="004B520E">
        <w:t>.</w:t>
      </w:r>
      <w:r w:rsidR="00C43C1D">
        <w:rPr>
          <w:noProof/>
        </w:rPr>
        <w:t>2</w:t>
      </w:r>
      <w:r w:rsidRPr="004B520E">
        <w:fldChar w:fldCharType="end"/>
      </w:r>
      <w:r w:rsidRPr="004B520E">
        <w:t>)</w:t>
      </w:r>
      <w:r w:rsidR="00DF3551">
        <w:t>,</w:t>
      </w:r>
      <w:r w:rsidRPr="004B520E">
        <w:t xml:space="preserve"> helping to meet the flow target of above 2,000 GL/year at the barrages. In drier years, Commonwealth environmental water contributes up to 100% of flows at the barrages. </w:t>
      </w:r>
      <w:r w:rsidR="004F717B">
        <w:t xml:space="preserve">In most </w:t>
      </w:r>
      <w:r w:rsidR="004F717B" w:rsidRPr="00A1416C">
        <w:t>years, barrage flow requirements are not met</w:t>
      </w:r>
      <w:r w:rsidR="004F717B">
        <w:t>,</w:t>
      </w:r>
      <w:r w:rsidR="004F717B" w:rsidRPr="00A1416C">
        <w:t xml:space="preserve"> even with Commonwealth environmental water.</w:t>
      </w:r>
    </w:p>
    <w:p w14:paraId="0472011B" w14:textId="6F5DBF05" w:rsidR="00520A5B" w:rsidRPr="004B520E" w:rsidRDefault="00520A5B" w:rsidP="00E64E02">
      <w:pPr>
        <w:pStyle w:val="BodyText"/>
      </w:pPr>
      <w:r w:rsidRPr="004B520E">
        <w:t xml:space="preserve">A further Strategy </w:t>
      </w:r>
      <w:r w:rsidR="005906C4">
        <w:t>expected environmental outcome</w:t>
      </w:r>
      <w:r w:rsidR="005906C4" w:rsidRPr="004B520E">
        <w:t xml:space="preserve"> </w:t>
      </w:r>
      <w:r w:rsidRPr="004B520E">
        <w:t>is minimum flows at the barrages over 2 years should be no less than 600 GL/year</w:t>
      </w:r>
      <w:r w:rsidR="00DC2952">
        <w:t>. T</w:t>
      </w:r>
      <w:r w:rsidRPr="004B520E">
        <w:t>his was also achieved in 2023–24 with the contribution of Commonwealth environmental water. In 2023–24, water levels in the Lower Lakes were maintained higher than 0.4 m A</w:t>
      </w:r>
      <w:r w:rsidR="0064758A">
        <w:t xml:space="preserve">ustralian </w:t>
      </w:r>
      <w:r w:rsidRPr="004B520E">
        <w:t>H</w:t>
      </w:r>
      <w:r w:rsidR="0064758A">
        <w:t xml:space="preserve">eight </w:t>
      </w:r>
      <w:r w:rsidRPr="004B520E">
        <w:t>D</w:t>
      </w:r>
      <w:r w:rsidR="0064758A">
        <w:t>atum</w:t>
      </w:r>
      <w:r w:rsidRPr="004B520E">
        <w:t xml:space="preserve"> for the entire year. By way of comparison, this target water level would not have been maintained in Lake Alexandrina in 2015, 2016, 2018, 2019 and 2020 without the contribution of Commonwealth environmental water.</w:t>
      </w:r>
    </w:p>
    <w:p w14:paraId="6C8B0552" w14:textId="31BFAE9B" w:rsidR="00F5200B" w:rsidRDefault="00F5200B" w:rsidP="00E158B2">
      <w:pPr>
        <w:pStyle w:val="CaptionWithNote"/>
      </w:pPr>
      <w:bookmarkStart w:id="260" w:name="_Ref172104915"/>
      <w:bookmarkStart w:id="261" w:name="_Ref172300636"/>
      <w:bookmarkStart w:id="262" w:name="_Toc204609870"/>
      <w:r w:rsidRPr="004B520E">
        <w:t>Table</w:t>
      </w:r>
      <w:r w:rsidR="00895996" w:rsidRPr="004B520E">
        <w:t> </w:t>
      </w:r>
      <w:r>
        <w:fldChar w:fldCharType="begin"/>
      </w:r>
      <w:r>
        <w:instrText>STYLEREF 1 \s</w:instrText>
      </w:r>
      <w:r>
        <w:fldChar w:fldCharType="separate"/>
      </w:r>
      <w:r w:rsidR="00C43C1D">
        <w:rPr>
          <w:noProof/>
        </w:rPr>
        <w:t>2</w:t>
      </w:r>
      <w:r>
        <w:fldChar w:fldCharType="end"/>
      </w:r>
      <w:r w:rsidR="001B2947" w:rsidRPr="004B520E">
        <w:t>.</w:t>
      </w:r>
      <w:r>
        <w:fldChar w:fldCharType="begin"/>
      </w:r>
      <w:r>
        <w:instrText>SEQ Table \* ARABIC \s 1</w:instrText>
      </w:r>
      <w:r>
        <w:fldChar w:fldCharType="separate"/>
      </w:r>
      <w:r w:rsidR="00C43C1D">
        <w:rPr>
          <w:noProof/>
        </w:rPr>
        <w:t>2</w:t>
      </w:r>
      <w:r>
        <w:fldChar w:fldCharType="end"/>
      </w:r>
      <w:bookmarkStart w:id="263" w:name="_Toc172291858"/>
      <w:bookmarkEnd w:id="260"/>
      <w:bookmarkEnd w:id="261"/>
      <w:r w:rsidRPr="004B520E">
        <w:t xml:space="preserve"> Contribution of Commonwealth environmental water to barrage releases</w:t>
      </w:r>
      <w:bookmarkEnd w:id="262"/>
      <w:bookmarkEnd w:id="263"/>
    </w:p>
    <w:p w14:paraId="657CDC84" w14:textId="0E2E9200" w:rsidR="00E158B2" w:rsidRPr="00E158B2" w:rsidRDefault="00E158B2" w:rsidP="000B73AA">
      <w:pPr>
        <w:pStyle w:val="CaptionNote"/>
      </w:pPr>
      <w:r>
        <w:t>CEW = Commonwealth environmental water.</w:t>
      </w:r>
      <w:r w:rsidR="009C014B">
        <w:t xml:space="preserve"> </w:t>
      </w:r>
      <w:r w:rsidR="00A052FF">
        <w:t>S</w:t>
      </w:r>
      <w:r w:rsidR="00A67653">
        <w:t xml:space="preserve">ourced from </w:t>
      </w:r>
      <w:r w:rsidR="00A052FF">
        <w:t xml:space="preserve">Table 2, </w:t>
      </w:r>
      <w:r w:rsidR="009C014B">
        <w:t>Ye et al. (2025)</w:t>
      </w:r>
    </w:p>
    <w:tbl>
      <w:tblPr>
        <w:tblStyle w:val="TableFlow-MER"/>
        <w:tblW w:w="5074" w:type="pct"/>
        <w:tblInd w:w="0" w:type="dxa"/>
        <w:tblLayout w:type="fixed"/>
        <w:tblLook w:val="0420" w:firstRow="1" w:lastRow="0" w:firstColumn="0" w:lastColumn="0" w:noHBand="0" w:noVBand="1"/>
      </w:tblPr>
      <w:tblGrid>
        <w:gridCol w:w="1985"/>
        <w:gridCol w:w="770"/>
        <w:gridCol w:w="771"/>
        <w:gridCol w:w="771"/>
        <w:gridCol w:w="771"/>
        <w:gridCol w:w="771"/>
        <w:gridCol w:w="771"/>
        <w:gridCol w:w="771"/>
        <w:gridCol w:w="771"/>
        <w:gridCol w:w="921"/>
        <w:gridCol w:w="708"/>
      </w:tblGrid>
      <w:tr w:rsidR="00C15D10" w:rsidRPr="004B520E" w14:paraId="49C13BA3" w14:textId="7ED5817C" w:rsidTr="00784EC6">
        <w:trPr>
          <w:cnfStyle w:val="100000000000" w:firstRow="1" w:lastRow="0" w:firstColumn="0" w:lastColumn="0" w:oddVBand="0" w:evenVBand="0" w:oddHBand="0" w:evenHBand="0" w:firstRowFirstColumn="0" w:firstRowLastColumn="0" w:lastRowFirstColumn="0" w:lastRowLastColumn="0"/>
          <w:trHeight w:val="377"/>
          <w:tblHeader/>
        </w:trPr>
        <w:tc>
          <w:tcPr>
            <w:tcW w:w="1014" w:type="pct"/>
          </w:tcPr>
          <w:p w14:paraId="7BF2E032" w14:textId="77777777" w:rsidR="00520A5B" w:rsidRPr="004B520E" w:rsidRDefault="00520A5B" w:rsidP="006B4EE4">
            <w:pPr>
              <w:pStyle w:val="ColumnHeading"/>
            </w:pPr>
          </w:p>
        </w:tc>
        <w:tc>
          <w:tcPr>
            <w:tcW w:w="393" w:type="pct"/>
          </w:tcPr>
          <w:p w14:paraId="2F8FEACF" w14:textId="2D498F5B" w:rsidR="00520A5B" w:rsidRPr="004B520E" w:rsidRDefault="00520A5B" w:rsidP="006B4EE4">
            <w:pPr>
              <w:pStyle w:val="ColumnHeading"/>
            </w:pPr>
            <w:r w:rsidRPr="004B520E">
              <w:t>2014–15</w:t>
            </w:r>
          </w:p>
        </w:tc>
        <w:tc>
          <w:tcPr>
            <w:tcW w:w="394" w:type="pct"/>
          </w:tcPr>
          <w:p w14:paraId="3F2FC3F7" w14:textId="7A0D6D6C" w:rsidR="00520A5B" w:rsidRPr="004B520E" w:rsidRDefault="00520A5B" w:rsidP="006B4EE4">
            <w:pPr>
              <w:pStyle w:val="ColumnHeading"/>
            </w:pPr>
            <w:r w:rsidRPr="004B520E">
              <w:t>2015–16</w:t>
            </w:r>
          </w:p>
        </w:tc>
        <w:tc>
          <w:tcPr>
            <w:tcW w:w="394" w:type="pct"/>
          </w:tcPr>
          <w:p w14:paraId="267DC07C" w14:textId="702BC07E" w:rsidR="00520A5B" w:rsidRPr="004B520E" w:rsidRDefault="00520A5B" w:rsidP="006B4EE4">
            <w:pPr>
              <w:pStyle w:val="ColumnHeading"/>
            </w:pPr>
            <w:r w:rsidRPr="004B520E">
              <w:t>2016–17</w:t>
            </w:r>
          </w:p>
        </w:tc>
        <w:tc>
          <w:tcPr>
            <w:tcW w:w="394" w:type="pct"/>
          </w:tcPr>
          <w:p w14:paraId="414E2226" w14:textId="59849024" w:rsidR="00520A5B" w:rsidRPr="004B520E" w:rsidRDefault="00520A5B" w:rsidP="006B4EE4">
            <w:pPr>
              <w:pStyle w:val="ColumnHeading"/>
            </w:pPr>
            <w:r w:rsidRPr="004B520E">
              <w:t>2017–18</w:t>
            </w:r>
          </w:p>
        </w:tc>
        <w:tc>
          <w:tcPr>
            <w:tcW w:w="394" w:type="pct"/>
          </w:tcPr>
          <w:p w14:paraId="6D80E21F" w14:textId="4D9AA459" w:rsidR="00520A5B" w:rsidRPr="004B520E" w:rsidRDefault="00520A5B" w:rsidP="006B4EE4">
            <w:pPr>
              <w:pStyle w:val="ColumnHeading"/>
            </w:pPr>
            <w:r w:rsidRPr="004B520E">
              <w:t>2018–19</w:t>
            </w:r>
          </w:p>
        </w:tc>
        <w:tc>
          <w:tcPr>
            <w:tcW w:w="394" w:type="pct"/>
          </w:tcPr>
          <w:p w14:paraId="046FA2B2" w14:textId="409FBA0E" w:rsidR="00520A5B" w:rsidRPr="004B520E" w:rsidRDefault="00520A5B" w:rsidP="006B4EE4">
            <w:pPr>
              <w:pStyle w:val="ColumnHeading"/>
            </w:pPr>
            <w:r w:rsidRPr="004B520E">
              <w:t>2019–20</w:t>
            </w:r>
          </w:p>
        </w:tc>
        <w:tc>
          <w:tcPr>
            <w:tcW w:w="394" w:type="pct"/>
          </w:tcPr>
          <w:p w14:paraId="0D727601" w14:textId="45B031FC" w:rsidR="00520A5B" w:rsidRPr="004B520E" w:rsidRDefault="00520A5B" w:rsidP="006B4EE4">
            <w:pPr>
              <w:pStyle w:val="ColumnHeading"/>
            </w:pPr>
            <w:r w:rsidRPr="004B520E">
              <w:t>2020–21</w:t>
            </w:r>
          </w:p>
        </w:tc>
        <w:tc>
          <w:tcPr>
            <w:tcW w:w="394" w:type="pct"/>
          </w:tcPr>
          <w:p w14:paraId="197470F7" w14:textId="086F8488" w:rsidR="00520A5B" w:rsidRPr="004B520E" w:rsidRDefault="00520A5B" w:rsidP="006B4EE4">
            <w:pPr>
              <w:pStyle w:val="ColumnHeading"/>
            </w:pPr>
            <w:r w:rsidRPr="004B520E">
              <w:t>2021–22</w:t>
            </w:r>
          </w:p>
        </w:tc>
        <w:tc>
          <w:tcPr>
            <w:tcW w:w="471" w:type="pct"/>
          </w:tcPr>
          <w:p w14:paraId="78CE13E0" w14:textId="0C52DD03" w:rsidR="00520A5B" w:rsidRPr="004B520E" w:rsidRDefault="00520A5B" w:rsidP="006B4EE4">
            <w:pPr>
              <w:pStyle w:val="ColumnHeading"/>
            </w:pPr>
            <w:r w:rsidRPr="004B520E">
              <w:t>2022–23</w:t>
            </w:r>
          </w:p>
        </w:tc>
        <w:tc>
          <w:tcPr>
            <w:tcW w:w="362" w:type="pct"/>
          </w:tcPr>
          <w:p w14:paraId="5FD55FD1" w14:textId="3F41E293" w:rsidR="00520A5B" w:rsidRPr="004B520E" w:rsidRDefault="00520A5B" w:rsidP="006B4EE4">
            <w:pPr>
              <w:pStyle w:val="ColumnHeading"/>
            </w:pPr>
            <w:r w:rsidRPr="004B520E">
              <w:t>2023–24</w:t>
            </w:r>
          </w:p>
        </w:tc>
      </w:tr>
      <w:tr w:rsidR="00C15D10" w:rsidRPr="004B520E" w14:paraId="51C6E12B" w14:textId="17C9B2D0" w:rsidTr="00784EC6">
        <w:trPr>
          <w:cnfStyle w:val="000000100000" w:firstRow="0" w:lastRow="0" w:firstColumn="0" w:lastColumn="0" w:oddVBand="0" w:evenVBand="0" w:oddHBand="1" w:evenHBand="0" w:firstRowFirstColumn="0" w:firstRowLastColumn="0" w:lastRowFirstColumn="0" w:lastRowLastColumn="0"/>
          <w:trHeight w:val="328"/>
        </w:trPr>
        <w:tc>
          <w:tcPr>
            <w:tcW w:w="1014" w:type="pct"/>
          </w:tcPr>
          <w:p w14:paraId="28DD25F8" w14:textId="62CC7077" w:rsidR="00520A5B" w:rsidRPr="004B520E" w:rsidRDefault="00520A5B" w:rsidP="00146999">
            <w:pPr>
              <w:pStyle w:val="TableText"/>
            </w:pPr>
            <w:r w:rsidRPr="004B520E">
              <w:t>CEW contribution (GL)</w:t>
            </w:r>
          </w:p>
        </w:tc>
        <w:tc>
          <w:tcPr>
            <w:tcW w:w="393" w:type="pct"/>
          </w:tcPr>
          <w:p w14:paraId="470654B7" w14:textId="4AB18F1D" w:rsidR="00520A5B" w:rsidRPr="004B520E" w:rsidRDefault="00520A5B" w:rsidP="00146999">
            <w:pPr>
              <w:pStyle w:val="TableTextRight"/>
            </w:pPr>
            <w:r w:rsidRPr="004B520E">
              <w:t>454</w:t>
            </w:r>
          </w:p>
        </w:tc>
        <w:tc>
          <w:tcPr>
            <w:tcW w:w="394" w:type="pct"/>
          </w:tcPr>
          <w:p w14:paraId="58ECBE1B" w14:textId="18CC382F" w:rsidR="00520A5B" w:rsidRPr="004B520E" w:rsidRDefault="00520A5B" w:rsidP="00146999">
            <w:pPr>
              <w:pStyle w:val="TableTextRight"/>
            </w:pPr>
            <w:r w:rsidRPr="004B520E">
              <w:t>561</w:t>
            </w:r>
          </w:p>
        </w:tc>
        <w:tc>
          <w:tcPr>
            <w:tcW w:w="394" w:type="pct"/>
          </w:tcPr>
          <w:p w14:paraId="0D45F28B" w14:textId="6D942515" w:rsidR="00520A5B" w:rsidRPr="004B520E" w:rsidRDefault="00520A5B" w:rsidP="00146999">
            <w:pPr>
              <w:pStyle w:val="TableTextRight"/>
            </w:pPr>
            <w:r w:rsidRPr="004B520E">
              <w:t>802</w:t>
            </w:r>
          </w:p>
        </w:tc>
        <w:tc>
          <w:tcPr>
            <w:tcW w:w="394" w:type="pct"/>
          </w:tcPr>
          <w:p w14:paraId="4F768514" w14:textId="675F97CE" w:rsidR="00520A5B" w:rsidRPr="004B520E" w:rsidRDefault="00520A5B" w:rsidP="00146999">
            <w:pPr>
              <w:pStyle w:val="TableTextRight"/>
            </w:pPr>
            <w:r w:rsidRPr="004B520E">
              <w:t>757</w:t>
            </w:r>
          </w:p>
        </w:tc>
        <w:tc>
          <w:tcPr>
            <w:tcW w:w="394" w:type="pct"/>
          </w:tcPr>
          <w:p w14:paraId="10DC2E27" w14:textId="594F995E" w:rsidR="00520A5B" w:rsidRPr="004B520E" w:rsidRDefault="00520A5B" w:rsidP="00146999">
            <w:pPr>
              <w:pStyle w:val="TableTextRight"/>
            </w:pPr>
            <w:r w:rsidRPr="004B520E">
              <w:t>377</w:t>
            </w:r>
          </w:p>
        </w:tc>
        <w:tc>
          <w:tcPr>
            <w:tcW w:w="394" w:type="pct"/>
          </w:tcPr>
          <w:p w14:paraId="69E3587F" w14:textId="5DBB9BB0" w:rsidR="00520A5B" w:rsidRPr="004B520E" w:rsidRDefault="00520A5B" w:rsidP="00146999">
            <w:pPr>
              <w:pStyle w:val="TableTextRight"/>
            </w:pPr>
            <w:r w:rsidRPr="004B520E">
              <w:t>685</w:t>
            </w:r>
          </w:p>
        </w:tc>
        <w:tc>
          <w:tcPr>
            <w:tcW w:w="394" w:type="pct"/>
          </w:tcPr>
          <w:p w14:paraId="7107A4E7" w14:textId="0150A867" w:rsidR="00520A5B" w:rsidRPr="004B520E" w:rsidRDefault="00520A5B" w:rsidP="00146999">
            <w:pPr>
              <w:pStyle w:val="TableTextRight"/>
            </w:pPr>
            <w:r w:rsidRPr="004B520E">
              <w:t>808</w:t>
            </w:r>
          </w:p>
        </w:tc>
        <w:tc>
          <w:tcPr>
            <w:tcW w:w="394" w:type="pct"/>
          </w:tcPr>
          <w:p w14:paraId="603C2FFE" w14:textId="0E591565" w:rsidR="00520A5B" w:rsidRPr="004B520E" w:rsidRDefault="00520A5B" w:rsidP="00146999">
            <w:pPr>
              <w:pStyle w:val="TableTextRight"/>
            </w:pPr>
            <w:r w:rsidRPr="004B520E">
              <w:t>841</w:t>
            </w:r>
          </w:p>
        </w:tc>
        <w:tc>
          <w:tcPr>
            <w:tcW w:w="471" w:type="pct"/>
          </w:tcPr>
          <w:p w14:paraId="0C373C3F" w14:textId="476CA08E" w:rsidR="00520A5B" w:rsidRPr="004B520E" w:rsidRDefault="00520A5B" w:rsidP="00146999">
            <w:pPr>
              <w:pStyle w:val="TableTextRight"/>
            </w:pPr>
            <w:r w:rsidRPr="004B520E">
              <w:t>753</w:t>
            </w:r>
          </w:p>
        </w:tc>
        <w:tc>
          <w:tcPr>
            <w:tcW w:w="362" w:type="pct"/>
          </w:tcPr>
          <w:p w14:paraId="2FDD9FE5" w14:textId="511EDE07" w:rsidR="00520A5B" w:rsidRPr="004B520E" w:rsidRDefault="00520A5B" w:rsidP="00146999">
            <w:pPr>
              <w:pStyle w:val="TableTextRight"/>
            </w:pPr>
            <w:r w:rsidRPr="004B520E">
              <w:t>1,</w:t>
            </w:r>
            <w:r w:rsidR="00E065CB" w:rsidRPr="004B520E">
              <w:t>1</w:t>
            </w:r>
            <w:r w:rsidR="00E065CB">
              <w:t>46</w:t>
            </w:r>
          </w:p>
        </w:tc>
      </w:tr>
      <w:tr w:rsidR="00C15D10" w:rsidRPr="004B520E" w14:paraId="5364A905" w14:textId="644BCEDC" w:rsidTr="00784EC6">
        <w:trPr>
          <w:cnfStyle w:val="000000010000" w:firstRow="0" w:lastRow="0" w:firstColumn="0" w:lastColumn="0" w:oddVBand="0" w:evenVBand="0" w:oddHBand="0" w:evenHBand="1" w:firstRowFirstColumn="0" w:firstRowLastColumn="0" w:lastRowFirstColumn="0" w:lastRowLastColumn="0"/>
          <w:trHeight w:val="448"/>
        </w:trPr>
        <w:tc>
          <w:tcPr>
            <w:tcW w:w="1014" w:type="pct"/>
          </w:tcPr>
          <w:p w14:paraId="1519C62B" w14:textId="2D584C07" w:rsidR="00520A5B" w:rsidRPr="004B520E" w:rsidRDefault="00520A5B" w:rsidP="00520A5B">
            <w:pPr>
              <w:pStyle w:val="TableText"/>
              <w:ind w:right="-85"/>
            </w:pPr>
            <w:r w:rsidRPr="004B520E">
              <w:t>CEW contribution (% of barrage releases)</w:t>
            </w:r>
          </w:p>
        </w:tc>
        <w:tc>
          <w:tcPr>
            <w:tcW w:w="393" w:type="pct"/>
          </w:tcPr>
          <w:p w14:paraId="18D40CF5" w14:textId="41FFAA39" w:rsidR="00520A5B" w:rsidRPr="004B520E" w:rsidRDefault="00520A5B" w:rsidP="00146999">
            <w:pPr>
              <w:pStyle w:val="TableTextRight"/>
            </w:pPr>
            <w:r w:rsidRPr="004B520E">
              <w:t>46</w:t>
            </w:r>
            <w:r w:rsidR="0062148C">
              <w:t>%</w:t>
            </w:r>
          </w:p>
        </w:tc>
        <w:tc>
          <w:tcPr>
            <w:tcW w:w="394" w:type="pct"/>
          </w:tcPr>
          <w:p w14:paraId="1A01C25C" w14:textId="799642EE" w:rsidR="00520A5B" w:rsidRPr="004B520E" w:rsidRDefault="00520A5B" w:rsidP="00146999">
            <w:pPr>
              <w:pStyle w:val="TableTextRight"/>
            </w:pPr>
            <w:r w:rsidRPr="004B520E">
              <w:t>100</w:t>
            </w:r>
            <w:r w:rsidR="0062148C">
              <w:t>%</w:t>
            </w:r>
          </w:p>
        </w:tc>
        <w:tc>
          <w:tcPr>
            <w:tcW w:w="394" w:type="pct"/>
          </w:tcPr>
          <w:p w14:paraId="508A1578" w14:textId="22EC51DF" w:rsidR="00520A5B" w:rsidRPr="004B520E" w:rsidRDefault="00520A5B" w:rsidP="00146999">
            <w:pPr>
              <w:pStyle w:val="TableTextRight"/>
            </w:pPr>
            <w:r w:rsidRPr="004B520E">
              <w:t>12</w:t>
            </w:r>
            <w:r w:rsidR="0062148C">
              <w:t>%</w:t>
            </w:r>
          </w:p>
        </w:tc>
        <w:tc>
          <w:tcPr>
            <w:tcW w:w="394" w:type="pct"/>
          </w:tcPr>
          <w:p w14:paraId="5C667276" w14:textId="37205648" w:rsidR="00520A5B" w:rsidRPr="004B520E" w:rsidRDefault="00520A5B" w:rsidP="00146999">
            <w:pPr>
              <w:pStyle w:val="TableTextRight"/>
            </w:pPr>
            <w:r w:rsidRPr="004B520E">
              <w:t>89</w:t>
            </w:r>
            <w:r w:rsidR="0062148C">
              <w:t>%</w:t>
            </w:r>
          </w:p>
        </w:tc>
        <w:tc>
          <w:tcPr>
            <w:tcW w:w="394" w:type="pct"/>
          </w:tcPr>
          <w:p w14:paraId="6141F8D9" w14:textId="6183B45D" w:rsidR="00520A5B" w:rsidRPr="004B520E" w:rsidRDefault="00520A5B" w:rsidP="00146999">
            <w:pPr>
              <w:pStyle w:val="TableTextRight"/>
            </w:pPr>
            <w:r w:rsidRPr="004B520E">
              <w:t>100</w:t>
            </w:r>
            <w:r w:rsidR="0062148C">
              <w:t>%</w:t>
            </w:r>
          </w:p>
        </w:tc>
        <w:tc>
          <w:tcPr>
            <w:tcW w:w="394" w:type="pct"/>
          </w:tcPr>
          <w:p w14:paraId="3AF490D2" w14:textId="41EFE250" w:rsidR="00520A5B" w:rsidRPr="004B520E" w:rsidRDefault="00520A5B" w:rsidP="00146999">
            <w:pPr>
              <w:pStyle w:val="TableTextRight"/>
            </w:pPr>
            <w:r w:rsidRPr="004B520E">
              <w:t>100</w:t>
            </w:r>
            <w:r w:rsidR="0062148C">
              <w:t>%</w:t>
            </w:r>
          </w:p>
        </w:tc>
        <w:tc>
          <w:tcPr>
            <w:tcW w:w="394" w:type="pct"/>
          </w:tcPr>
          <w:p w14:paraId="4C755A8B" w14:textId="0DDFEE2D" w:rsidR="00520A5B" w:rsidRPr="004B520E" w:rsidRDefault="00520A5B" w:rsidP="00146999">
            <w:pPr>
              <w:pStyle w:val="TableTextRight"/>
            </w:pPr>
            <w:r w:rsidRPr="004B520E">
              <w:t>65</w:t>
            </w:r>
            <w:r w:rsidR="0062148C">
              <w:t>%</w:t>
            </w:r>
          </w:p>
        </w:tc>
        <w:tc>
          <w:tcPr>
            <w:tcW w:w="394" w:type="pct"/>
          </w:tcPr>
          <w:p w14:paraId="1E50A465" w14:textId="30280831" w:rsidR="00520A5B" w:rsidRPr="004B520E" w:rsidRDefault="00520A5B" w:rsidP="00146999">
            <w:pPr>
              <w:pStyle w:val="TableTextRight"/>
            </w:pPr>
            <w:r w:rsidRPr="004B520E">
              <w:t>14</w:t>
            </w:r>
            <w:r w:rsidR="0062148C">
              <w:t>%</w:t>
            </w:r>
          </w:p>
        </w:tc>
        <w:tc>
          <w:tcPr>
            <w:tcW w:w="471" w:type="pct"/>
          </w:tcPr>
          <w:p w14:paraId="5C4DA6CB" w14:textId="40E083CC" w:rsidR="00520A5B" w:rsidRPr="004B520E" w:rsidRDefault="00520A5B" w:rsidP="00146999">
            <w:pPr>
              <w:pStyle w:val="TableTextRight"/>
            </w:pPr>
            <w:r w:rsidRPr="004B520E">
              <w:t>3.5</w:t>
            </w:r>
            <w:r w:rsidR="0062148C">
              <w:t>%</w:t>
            </w:r>
          </w:p>
        </w:tc>
        <w:tc>
          <w:tcPr>
            <w:tcW w:w="362" w:type="pct"/>
          </w:tcPr>
          <w:p w14:paraId="4B4BB061" w14:textId="61C5ED66" w:rsidR="00520A5B" w:rsidRPr="004B520E" w:rsidRDefault="00520A5B" w:rsidP="00146999">
            <w:pPr>
              <w:pStyle w:val="TableTextRight"/>
            </w:pPr>
            <w:r w:rsidRPr="004B520E">
              <w:t>19</w:t>
            </w:r>
            <w:r w:rsidR="0062148C">
              <w:t>%</w:t>
            </w:r>
          </w:p>
        </w:tc>
      </w:tr>
      <w:tr w:rsidR="00C15D10" w:rsidRPr="004B520E" w14:paraId="33B71AC1" w14:textId="31BA46A4" w:rsidTr="00784EC6">
        <w:trPr>
          <w:cnfStyle w:val="000000100000" w:firstRow="0" w:lastRow="0" w:firstColumn="0" w:lastColumn="0" w:oddVBand="0" w:evenVBand="0" w:oddHBand="1" w:evenHBand="0" w:firstRowFirstColumn="0" w:firstRowLastColumn="0" w:lastRowFirstColumn="0" w:lastRowLastColumn="0"/>
          <w:trHeight w:val="258"/>
        </w:trPr>
        <w:tc>
          <w:tcPr>
            <w:tcW w:w="1014" w:type="pct"/>
          </w:tcPr>
          <w:p w14:paraId="24AC6D58" w14:textId="1C5D5970" w:rsidR="00520A5B" w:rsidRPr="004B520E" w:rsidRDefault="00520A5B" w:rsidP="00520A5B">
            <w:pPr>
              <w:pStyle w:val="TableText"/>
              <w:ind w:right="-111"/>
            </w:pPr>
            <w:r w:rsidRPr="004B520E">
              <w:t>Barrage release (GL)</w:t>
            </w:r>
          </w:p>
        </w:tc>
        <w:tc>
          <w:tcPr>
            <w:tcW w:w="393" w:type="pct"/>
          </w:tcPr>
          <w:p w14:paraId="05EBA103" w14:textId="1559F92A" w:rsidR="00520A5B" w:rsidRPr="004B520E" w:rsidRDefault="00520A5B" w:rsidP="00146999">
            <w:pPr>
              <w:pStyle w:val="TableTextRight"/>
            </w:pPr>
            <w:r w:rsidRPr="004B520E">
              <w:t>987</w:t>
            </w:r>
          </w:p>
        </w:tc>
        <w:tc>
          <w:tcPr>
            <w:tcW w:w="394" w:type="pct"/>
          </w:tcPr>
          <w:p w14:paraId="3B8CB3FA" w14:textId="37B8748F" w:rsidR="00520A5B" w:rsidRPr="004B520E" w:rsidRDefault="00520A5B" w:rsidP="00146999">
            <w:pPr>
              <w:pStyle w:val="TableTextRight"/>
            </w:pPr>
            <w:r w:rsidRPr="004B520E">
              <w:t>561</w:t>
            </w:r>
          </w:p>
        </w:tc>
        <w:tc>
          <w:tcPr>
            <w:tcW w:w="394" w:type="pct"/>
          </w:tcPr>
          <w:p w14:paraId="1FE14707" w14:textId="3A5C638C" w:rsidR="00520A5B" w:rsidRPr="004B520E" w:rsidRDefault="00520A5B" w:rsidP="00146999">
            <w:pPr>
              <w:pStyle w:val="TableTextRight"/>
            </w:pPr>
            <w:r w:rsidRPr="004B520E">
              <w:t>6,484</w:t>
            </w:r>
          </w:p>
        </w:tc>
        <w:tc>
          <w:tcPr>
            <w:tcW w:w="394" w:type="pct"/>
          </w:tcPr>
          <w:p w14:paraId="206E9CC7" w14:textId="0563C449" w:rsidR="00520A5B" w:rsidRPr="004B520E" w:rsidRDefault="00520A5B" w:rsidP="00146999">
            <w:pPr>
              <w:pStyle w:val="TableTextRight"/>
            </w:pPr>
            <w:r w:rsidRPr="004B520E">
              <w:t>854</w:t>
            </w:r>
          </w:p>
        </w:tc>
        <w:tc>
          <w:tcPr>
            <w:tcW w:w="394" w:type="pct"/>
          </w:tcPr>
          <w:p w14:paraId="4E8151D6" w14:textId="5F6DD080" w:rsidR="00520A5B" w:rsidRPr="004B520E" w:rsidRDefault="00520A5B" w:rsidP="00146999">
            <w:pPr>
              <w:pStyle w:val="TableTextRight"/>
            </w:pPr>
            <w:r w:rsidRPr="004B520E">
              <w:t>377</w:t>
            </w:r>
          </w:p>
        </w:tc>
        <w:tc>
          <w:tcPr>
            <w:tcW w:w="394" w:type="pct"/>
          </w:tcPr>
          <w:p w14:paraId="522D6CE3" w14:textId="12E4B03F" w:rsidR="00520A5B" w:rsidRPr="004B520E" w:rsidRDefault="00520A5B" w:rsidP="00146999">
            <w:pPr>
              <w:pStyle w:val="TableTextRight"/>
            </w:pPr>
            <w:r w:rsidRPr="004B520E">
              <w:t>685</w:t>
            </w:r>
          </w:p>
        </w:tc>
        <w:tc>
          <w:tcPr>
            <w:tcW w:w="394" w:type="pct"/>
          </w:tcPr>
          <w:p w14:paraId="4697823C" w14:textId="6A4A0A05" w:rsidR="00520A5B" w:rsidRPr="004B520E" w:rsidRDefault="00520A5B" w:rsidP="00146999">
            <w:pPr>
              <w:pStyle w:val="TableTextRight"/>
            </w:pPr>
            <w:r w:rsidRPr="004B520E">
              <w:t>1,247</w:t>
            </w:r>
          </w:p>
        </w:tc>
        <w:tc>
          <w:tcPr>
            <w:tcW w:w="394" w:type="pct"/>
          </w:tcPr>
          <w:p w14:paraId="48EE4C34" w14:textId="356F574E" w:rsidR="00520A5B" w:rsidRPr="004B520E" w:rsidRDefault="00520A5B" w:rsidP="00146999">
            <w:pPr>
              <w:pStyle w:val="TableTextRight"/>
            </w:pPr>
            <w:r w:rsidRPr="004B520E">
              <w:t>6,161</w:t>
            </w:r>
          </w:p>
        </w:tc>
        <w:tc>
          <w:tcPr>
            <w:tcW w:w="471" w:type="pct"/>
          </w:tcPr>
          <w:p w14:paraId="10B7E3F7" w14:textId="0B751DFC" w:rsidR="00520A5B" w:rsidRPr="004B520E" w:rsidRDefault="00520A5B" w:rsidP="0024567F">
            <w:pPr>
              <w:pStyle w:val="TableTextRight"/>
            </w:pPr>
            <w:r w:rsidRPr="004B520E">
              <w:t>21,597</w:t>
            </w:r>
          </w:p>
        </w:tc>
        <w:tc>
          <w:tcPr>
            <w:tcW w:w="362" w:type="pct"/>
          </w:tcPr>
          <w:p w14:paraId="5234CD68" w14:textId="1C296061" w:rsidR="00520A5B" w:rsidRPr="004B520E" w:rsidRDefault="00520A5B" w:rsidP="0024567F">
            <w:pPr>
              <w:pStyle w:val="TableTextRight"/>
            </w:pPr>
            <w:r w:rsidRPr="004B520E">
              <w:t>5,</w:t>
            </w:r>
            <w:r w:rsidR="00DB047B">
              <w:t>185</w:t>
            </w:r>
          </w:p>
        </w:tc>
      </w:tr>
    </w:tbl>
    <w:p w14:paraId="24EE6770" w14:textId="6D14C9F4" w:rsidR="00A1416C" w:rsidRPr="004B520E" w:rsidRDefault="00A1416C" w:rsidP="00113FC9">
      <w:pPr>
        <w:pStyle w:val="Heading2"/>
      </w:pPr>
      <w:bookmarkStart w:id="264" w:name="_Toc168497188"/>
      <w:bookmarkStart w:id="265" w:name="_Toc168499796"/>
      <w:bookmarkStart w:id="266" w:name="_Toc168499949"/>
      <w:bookmarkStart w:id="267" w:name="_Toc168500094"/>
      <w:bookmarkStart w:id="268" w:name="_Toc201670618"/>
      <w:bookmarkStart w:id="269" w:name="_Toc168579833"/>
      <w:bookmarkStart w:id="270" w:name="_Toc172283624"/>
      <w:bookmarkStart w:id="271" w:name="_Toc200743757"/>
      <w:bookmarkStart w:id="272" w:name="_Toc200743856"/>
      <w:bookmarkStart w:id="273" w:name="_Toc203682270"/>
      <w:bookmarkStart w:id="274" w:name="_Toc204606885"/>
      <w:bookmarkStart w:id="275" w:name="_Toc168579835"/>
      <w:bookmarkStart w:id="276" w:name="_Toc172283627"/>
      <w:bookmarkStart w:id="277" w:name="_Toc178668847"/>
      <w:bookmarkStart w:id="278" w:name="_Toc172290948"/>
      <w:bookmarkEnd w:id="264"/>
      <w:bookmarkEnd w:id="265"/>
      <w:bookmarkEnd w:id="266"/>
      <w:bookmarkEnd w:id="267"/>
      <w:bookmarkEnd w:id="268"/>
      <w:r w:rsidRPr="004B520E">
        <w:t>Lateral connectivity</w:t>
      </w:r>
      <w:bookmarkEnd w:id="269"/>
      <w:bookmarkEnd w:id="270"/>
      <w:bookmarkEnd w:id="271"/>
      <w:bookmarkEnd w:id="272"/>
      <w:bookmarkEnd w:id="273"/>
      <w:bookmarkEnd w:id="274"/>
    </w:p>
    <w:p w14:paraId="1D85C673" w14:textId="5BDA170D" w:rsidR="005110A1" w:rsidRPr="004B520E" w:rsidRDefault="00A1416C" w:rsidP="005110A1">
      <w:pPr>
        <w:pStyle w:val="Boxedtextblue"/>
      </w:pPr>
      <w:r w:rsidRPr="004B520E">
        <w:t xml:space="preserve">The Strategy sets environmental </w:t>
      </w:r>
      <w:r w:rsidR="00C72F9A">
        <w:t xml:space="preserve">objectives </w:t>
      </w:r>
      <w:r w:rsidRPr="004B520E">
        <w:t xml:space="preserve">for lateral connectivity, as an increase in the frequency of freshes, bankfull and overbank flow </w:t>
      </w:r>
      <w:r w:rsidR="005110A1" w:rsidRPr="004B520E">
        <w:t>(</w:t>
      </w:r>
      <w:r w:rsidR="00D46F18">
        <w:fldChar w:fldCharType="begin"/>
      </w:r>
      <w:r w:rsidR="00D46F18">
        <w:instrText xml:space="preserve"> REF _Ref200028704 \h </w:instrText>
      </w:r>
      <w:r w:rsidR="00D46F18">
        <w:fldChar w:fldCharType="separate"/>
      </w:r>
      <w:r w:rsidR="00C43C1D" w:rsidRPr="004B520E">
        <w:t>Table </w:t>
      </w:r>
      <w:r w:rsidR="00C43C1D">
        <w:rPr>
          <w:noProof/>
        </w:rPr>
        <w:t>2</w:t>
      </w:r>
      <w:r w:rsidR="00C43C1D" w:rsidRPr="004B520E">
        <w:t>.</w:t>
      </w:r>
      <w:r w:rsidR="00C43C1D">
        <w:rPr>
          <w:noProof/>
        </w:rPr>
        <w:t>1</w:t>
      </w:r>
      <w:r w:rsidR="00D46F18">
        <w:fldChar w:fldCharType="end"/>
      </w:r>
      <w:r w:rsidR="00D46F18">
        <w:t>).</w:t>
      </w:r>
    </w:p>
    <w:p w14:paraId="2F47D721" w14:textId="38EBB86B" w:rsidR="000E104B" w:rsidRDefault="00A1416C" w:rsidP="00833BE4">
      <w:pPr>
        <w:pStyle w:val="Boxedtextblue"/>
      </w:pPr>
      <w:r w:rsidRPr="004B520E">
        <w:t xml:space="preserve">In </w:t>
      </w:r>
      <w:r w:rsidR="00244943" w:rsidRPr="004B520E">
        <w:t>2023–24</w:t>
      </w:r>
      <w:r w:rsidRPr="004B520E">
        <w:t xml:space="preserve">, </w:t>
      </w:r>
      <w:r w:rsidR="004F363A" w:rsidRPr="004B520E">
        <w:t xml:space="preserve">Commonwealth environmental water </w:t>
      </w:r>
      <w:r w:rsidR="004F363A" w:rsidRPr="004F363A">
        <w:t xml:space="preserve">inundated wetlands and floodplains in 8 of the </w:t>
      </w:r>
      <w:r w:rsidR="000E104B">
        <w:t>19</w:t>
      </w:r>
      <w:r w:rsidR="004F363A" w:rsidRPr="004F363A">
        <w:t xml:space="preserve"> valleys of the Basin</w:t>
      </w:r>
      <w:r w:rsidR="000E104B">
        <w:t xml:space="preserve"> where the Commonwealth holds entitlements.</w:t>
      </w:r>
      <w:r w:rsidR="004F363A">
        <w:t xml:space="preserve"> </w:t>
      </w:r>
      <w:r w:rsidRPr="004B520E">
        <w:t xml:space="preserve">Commonwealth environmental water was </w:t>
      </w:r>
      <w:r w:rsidR="00833BE4" w:rsidRPr="004B520E">
        <w:t xml:space="preserve">mostly </w:t>
      </w:r>
      <w:r w:rsidRPr="004B520E">
        <w:t xml:space="preserve">used to extend </w:t>
      </w:r>
      <w:r w:rsidR="000E104B">
        <w:t xml:space="preserve">the </w:t>
      </w:r>
      <w:r w:rsidR="00E4193D" w:rsidRPr="00E4193D">
        <w:t>duration of widespread natural flooding and provide cues to support waterbird breeding rookeries (Condamine Balonne, Lachlan, Gwydir, Macquarie and Murrumbidgee valleys), and fish movement and breeding (Central Murray, Murrumbidgee).</w:t>
      </w:r>
    </w:p>
    <w:p w14:paraId="76D06E6C" w14:textId="42FA7800" w:rsidR="00E72A48" w:rsidRDefault="00E4193D" w:rsidP="00833BE4">
      <w:pPr>
        <w:pStyle w:val="Boxedtextblue"/>
      </w:pPr>
      <w:r w:rsidRPr="00E4193D">
        <w:t xml:space="preserve">This is the first year since monitoring began that </w:t>
      </w:r>
      <w:r w:rsidR="000E104B" w:rsidRPr="004B520E">
        <w:t xml:space="preserve">Commonwealth environmental water </w:t>
      </w:r>
      <w:r w:rsidRPr="00E4193D">
        <w:t>inundated areas in the Paroo valley. These flows originated in the Warrego River, where licen</w:t>
      </w:r>
      <w:r w:rsidR="00A604B3">
        <w:t>c</w:t>
      </w:r>
      <w:r w:rsidRPr="00E4193D">
        <w:t xml:space="preserve">e rules were triggered to retain high flows in the Warrego River that spilled westward into the adjoining Cuttaburra distributary and </w:t>
      </w:r>
      <w:r w:rsidRPr="00E4193D">
        <w:rPr>
          <w:lang w:val="en-GB"/>
        </w:rPr>
        <w:t>to the nationally significant Cuttaburra and Yantabulla wetlands in the Paroo valley.</w:t>
      </w:r>
    </w:p>
    <w:p w14:paraId="352913FB" w14:textId="5391CC5F" w:rsidR="00E72A48" w:rsidRDefault="00307EA1" w:rsidP="00572691">
      <w:pPr>
        <w:pStyle w:val="BodyText"/>
      </w:pPr>
      <w:r w:rsidRPr="004B520E">
        <w:t>The Strategy includes expected outcomes related to freshes as an indicator of lateral connectivity. Strategy expected outcomes for improved connectivity with floodplains (lateral connectivity) are a 30</w:t>
      </w:r>
      <w:r w:rsidR="00364565">
        <w:t xml:space="preserve">% to </w:t>
      </w:r>
      <w:r w:rsidRPr="004B520E">
        <w:t>60% increase in frequency of freshes, bankfull and overbank flows in the Murray, Murrumbidgee, Goulburn and Condamine</w:t>
      </w:r>
      <w:r w:rsidR="005303C8">
        <w:t xml:space="preserve"> </w:t>
      </w:r>
      <w:r w:rsidRPr="004B520E">
        <w:t>Balonne and 10</w:t>
      </w:r>
      <w:r w:rsidR="00364565">
        <w:t xml:space="preserve">% to </w:t>
      </w:r>
      <w:r w:rsidRPr="004B520E">
        <w:t>20% in remaining catchments. In 2023–24, climate conditions resulted in the natural occurrence of freshes</w:t>
      </w:r>
      <w:r w:rsidR="00C9109A">
        <w:t>,</w:t>
      </w:r>
      <w:r w:rsidRPr="004B520E">
        <w:t xml:space="preserve"> and Commonwealth environmental water was generally used to extend duration rather than increase frequency.</w:t>
      </w:r>
    </w:p>
    <w:p w14:paraId="41CDF6D6" w14:textId="20D63E76" w:rsidR="00307EA1" w:rsidRPr="004B520E" w:rsidRDefault="00307EA1" w:rsidP="00307EA1">
      <w:pPr>
        <w:pStyle w:val="BodyText"/>
      </w:pPr>
      <w:r w:rsidRPr="004B520E">
        <w:t>Lateral</w:t>
      </w:r>
      <w:r w:rsidR="00E964BD">
        <w:t>-</w:t>
      </w:r>
      <w:r w:rsidRPr="004B520E">
        <w:t>connectivity expected outcomes were met in the Mid-Murray (Edward</w:t>
      </w:r>
      <w:r w:rsidR="007317AD">
        <w:t>/Kolety–</w:t>
      </w:r>
      <w:r w:rsidRPr="004B520E">
        <w:t>Wakool) and the Lachlan. These targets were almost met in the Barwon</w:t>
      </w:r>
      <w:r w:rsidR="00133549">
        <w:t xml:space="preserve"> </w:t>
      </w:r>
      <w:r w:rsidRPr="004B520E">
        <w:t xml:space="preserve">Darling (8% increase in fresh frequency, where 10% </w:t>
      </w:r>
      <w:r w:rsidRPr="004B520E">
        <w:lastRenderedPageBreak/>
        <w:t>was the target). The flow</w:t>
      </w:r>
      <w:r w:rsidR="00A6480C">
        <w:t>-</w:t>
      </w:r>
      <w:r w:rsidRPr="004B520E">
        <w:t>increase target in the northern Basin was met, 15% flow increase at Bourke, where 10% is the target. However, the flow</w:t>
      </w:r>
      <w:r w:rsidR="00A6480C">
        <w:t>-</w:t>
      </w:r>
      <w:r w:rsidRPr="004B520E">
        <w:t xml:space="preserve">frequency targets were not met in the southern Basin and the Murray </w:t>
      </w:r>
      <w:r w:rsidR="00A6480C">
        <w:t>M</w:t>
      </w:r>
      <w:r w:rsidRPr="004B520E">
        <w:t>outh by Commonwealth environmental water alone. End-of-basin connectivity targets were all met.</w:t>
      </w:r>
    </w:p>
    <w:p w14:paraId="03F049A5" w14:textId="774512AB" w:rsidR="00E72A48" w:rsidRDefault="00307EA1" w:rsidP="00307EA1">
      <w:pPr>
        <w:pStyle w:val="BodyText"/>
      </w:pPr>
      <w:r w:rsidRPr="004B520E">
        <w:t>Over the 10 years, Strategy expected outcomes for lateral connectivity were met in some years across most valleys, although context is very important. Given the latter years have had very wet periods, this means that whil</w:t>
      </w:r>
      <w:r w:rsidR="003E78C5">
        <w:t>e</w:t>
      </w:r>
      <w:r w:rsidRPr="004B520E">
        <w:t xml:space="preserve"> some indicators were not technically met, freshes occurred over extended periods</w:t>
      </w:r>
      <w:r w:rsidR="003E78C5">
        <w:t>,</w:t>
      </w:r>
      <w:r w:rsidRPr="004B520E">
        <w:t xml:space="preserve"> and the need for Commonwealth environmental water to support achievement of improved lateral connectivity was not required. Even so, Commonwealth environmental water improved characteristics of lateral connectivity, especially duration of inundation for important Basin wetland systems (e.g. Macquarie Marshes).</w:t>
      </w:r>
    </w:p>
    <w:p w14:paraId="34460107" w14:textId="0F97E0AA" w:rsidR="00E72A48" w:rsidRDefault="00307EA1" w:rsidP="00307EA1">
      <w:pPr>
        <w:pStyle w:val="Boxedtextblue"/>
      </w:pPr>
      <w:r w:rsidRPr="004B520E">
        <w:t>In 2023–24, delivery of Commonwealth environmental water contributed to lateral connectivity by prolonging duration of overbank flows and targeting delivery of water to important wetlands in the Basin.</w:t>
      </w:r>
    </w:p>
    <w:p w14:paraId="677EAB9A" w14:textId="022F7874" w:rsidR="00BE2372" w:rsidRPr="00BE2372" w:rsidRDefault="00307EA1" w:rsidP="00BE2372">
      <w:pPr>
        <w:pStyle w:val="BodyText"/>
      </w:pPr>
      <w:r w:rsidRPr="00BE2372">
        <w:t>Climate</w:t>
      </w:r>
      <w:r w:rsidR="00A1416C" w:rsidRPr="00BE2372">
        <w:t xml:space="preserve"> conditions in </w:t>
      </w:r>
      <w:r w:rsidR="00244943" w:rsidRPr="00BE2372">
        <w:t>2023–24</w:t>
      </w:r>
      <w:r w:rsidR="00A1416C" w:rsidRPr="00BE2372">
        <w:t xml:space="preserve"> resulted in </w:t>
      </w:r>
      <w:r w:rsidRPr="00BE2372">
        <w:t>higher base</w:t>
      </w:r>
      <w:r w:rsidR="00A1416C" w:rsidRPr="00BE2372">
        <w:t xml:space="preserve"> flows across the Basin, providing opportunities for extending the area and duration of inundation of floodplains and wetlands</w:t>
      </w:r>
      <w:r w:rsidR="00BE2372">
        <w:t xml:space="preserve"> (</w:t>
      </w:r>
      <w:r w:rsidR="00BE2372">
        <w:fldChar w:fldCharType="begin"/>
      </w:r>
      <w:r w:rsidR="00BE2372">
        <w:instrText xml:space="preserve"> REF _Ref206498285 \h </w:instrText>
      </w:r>
      <w:r w:rsidR="00BE2372">
        <w:fldChar w:fldCharType="separate"/>
      </w:r>
      <w:r w:rsidR="00C43C1D" w:rsidRPr="004B520E">
        <w:t>Figure </w:t>
      </w:r>
      <w:r w:rsidR="00C43C1D">
        <w:rPr>
          <w:noProof/>
        </w:rPr>
        <w:t>2</w:t>
      </w:r>
      <w:r w:rsidR="00C43C1D" w:rsidRPr="004B520E">
        <w:t>.</w:t>
      </w:r>
      <w:r w:rsidR="00C43C1D">
        <w:rPr>
          <w:noProof/>
        </w:rPr>
        <w:t>13</w:t>
      </w:r>
      <w:r w:rsidR="00BE2372">
        <w:fldChar w:fldCharType="end"/>
      </w:r>
      <w:r w:rsidR="00BE2372">
        <w:t>)</w:t>
      </w:r>
      <w:r w:rsidR="00BE2372" w:rsidRPr="00BE2372">
        <w:t>.</w:t>
      </w:r>
    </w:p>
    <w:p w14:paraId="7CA24B52" w14:textId="7AFC9595" w:rsidR="00E72A48" w:rsidRPr="00BE2372" w:rsidRDefault="00307EA1" w:rsidP="00BE2372">
      <w:pPr>
        <w:pStyle w:val="BodyText"/>
      </w:pPr>
      <w:r w:rsidRPr="00BE2372">
        <w:t>Similar to 2022–23, the largest areas of inundated wetlands and floodplain were from Commonwealth environmental water that was delivered to extend the duration of widespread natural flooding and provide cues to support waterbird breeding rookeries</w:t>
      </w:r>
      <w:r w:rsidR="00716570" w:rsidRPr="00BE2372">
        <w:t xml:space="preserve"> in the </w:t>
      </w:r>
      <w:r w:rsidRPr="00BE2372">
        <w:t>Condamine Balonne, Lachlan, Gwydir, Macquarie and Murrumbidgee valleys</w:t>
      </w:r>
      <w:r w:rsidR="00716570" w:rsidRPr="00BE2372">
        <w:t xml:space="preserve"> and </w:t>
      </w:r>
      <w:r w:rsidRPr="00BE2372">
        <w:t>fish movement and breeding</w:t>
      </w:r>
      <w:r w:rsidR="00716570" w:rsidRPr="00BE2372">
        <w:t xml:space="preserve"> in the </w:t>
      </w:r>
      <w:r w:rsidRPr="00BE2372">
        <w:t>Central Murray</w:t>
      </w:r>
      <w:r w:rsidR="00716570" w:rsidRPr="00BE2372">
        <w:t xml:space="preserve"> and</w:t>
      </w:r>
      <w:r w:rsidRPr="00BE2372">
        <w:t xml:space="preserve"> Murrumbidgee.</w:t>
      </w:r>
    </w:p>
    <w:p w14:paraId="79308A90" w14:textId="24E3E7DF" w:rsidR="00E72A48" w:rsidRPr="00BE2372" w:rsidRDefault="0072552F" w:rsidP="00BE2372">
      <w:pPr>
        <w:pStyle w:val="BodyText"/>
      </w:pPr>
      <w:r w:rsidRPr="00BE2372">
        <w:t xml:space="preserve">In 2023–24, Commonwealth environmental water was delivered to floodplains and wetlands in 8 of the 25 valleys of the Basin. </w:t>
      </w:r>
      <w:r w:rsidR="00716570" w:rsidRPr="00BE2372">
        <w:t xml:space="preserve">2023–24 </w:t>
      </w:r>
      <w:r w:rsidR="00307EA1" w:rsidRPr="00BE2372">
        <w:t xml:space="preserve">is the first year since monitoring began </w:t>
      </w:r>
      <w:r w:rsidR="00716570" w:rsidRPr="00BE2372">
        <w:t xml:space="preserve">in 2014 </w:t>
      </w:r>
      <w:r w:rsidR="00307EA1" w:rsidRPr="00BE2372">
        <w:t xml:space="preserve">that </w:t>
      </w:r>
      <w:r w:rsidR="00716570" w:rsidRPr="00BE2372">
        <w:t>Commonwealth environmental watering triggered licen</w:t>
      </w:r>
      <w:r w:rsidR="00CA2EA9">
        <w:t>c</w:t>
      </w:r>
      <w:r w:rsidR="00716570" w:rsidRPr="00BE2372">
        <w:t>e rules to retain high flows in the Warrego. These flows contributed to inundation of</w:t>
      </w:r>
      <w:r w:rsidR="00307EA1" w:rsidRPr="00BE2372">
        <w:t xml:space="preserve"> </w:t>
      </w:r>
      <w:r w:rsidR="00716570" w:rsidRPr="00BE2372">
        <w:t>the Cuttaburra distributary and the nationally significant Cuttaburra and Yantabulla wetlands</w:t>
      </w:r>
      <w:r w:rsidR="00307EA1" w:rsidRPr="00BE2372">
        <w:t>.</w:t>
      </w:r>
      <w:bookmarkStart w:id="279" w:name="_Ref137124800"/>
      <w:bookmarkStart w:id="280" w:name="_Ref172088488"/>
      <w:bookmarkStart w:id="281" w:name="_Toc172283753"/>
      <w:bookmarkStart w:id="282" w:name="_Toc172283777"/>
      <w:bookmarkStart w:id="283" w:name="_Toc172290274"/>
    </w:p>
    <w:p w14:paraId="44151403" w14:textId="5FBC4C8A" w:rsidR="00F13551" w:rsidRPr="004B520E" w:rsidRDefault="00F13551" w:rsidP="00F13551">
      <w:pPr>
        <w:pStyle w:val="CaptionWithNote"/>
      </w:pPr>
      <w:bookmarkStart w:id="284" w:name="_Ref206498285"/>
      <w:bookmarkStart w:id="285" w:name="_Toc206528490"/>
      <w:r w:rsidRPr="004B520E">
        <w:t>Figure </w:t>
      </w:r>
      <w:r>
        <w:fldChar w:fldCharType="begin"/>
      </w:r>
      <w:r>
        <w:instrText>STYLEREF 1 \s</w:instrText>
      </w:r>
      <w:r>
        <w:fldChar w:fldCharType="separate"/>
      </w:r>
      <w:r w:rsidR="00C43C1D">
        <w:rPr>
          <w:noProof/>
        </w:rPr>
        <w:t>2</w:t>
      </w:r>
      <w:r>
        <w:fldChar w:fldCharType="end"/>
      </w:r>
      <w:r w:rsidRPr="004B520E">
        <w:t>.</w:t>
      </w:r>
      <w:r>
        <w:fldChar w:fldCharType="begin"/>
      </w:r>
      <w:r>
        <w:instrText>SEQ Figure \* ARABIC \s 1</w:instrText>
      </w:r>
      <w:r>
        <w:fldChar w:fldCharType="separate"/>
      </w:r>
      <w:r w:rsidR="00C43C1D">
        <w:rPr>
          <w:noProof/>
        </w:rPr>
        <w:t>13</w:t>
      </w:r>
      <w:r>
        <w:fldChar w:fldCharType="end"/>
      </w:r>
      <w:bookmarkEnd w:id="279"/>
      <w:bookmarkEnd w:id="280"/>
      <w:bookmarkEnd w:id="284"/>
      <w:r w:rsidRPr="004B520E">
        <w:t xml:space="preserve"> Area of lakes and wetlands and floodplain and length of </w:t>
      </w:r>
      <w:r w:rsidR="00477F07">
        <w:t>waterways</w:t>
      </w:r>
      <w:r w:rsidRPr="004B520E">
        <w:t xml:space="preserve"> receiving </w:t>
      </w:r>
      <w:r w:rsidRPr="004B520E">
        <w:rPr>
          <w:rFonts w:cs="Calibri"/>
        </w:rPr>
        <w:t>Commonwealth environmental water</w:t>
      </w:r>
      <w:r w:rsidR="0075334D">
        <w:rPr>
          <w:rFonts w:cs="Calibri"/>
        </w:rPr>
        <w:t xml:space="preserve"> in Basin valleys</w:t>
      </w:r>
      <w:r w:rsidRPr="004B520E">
        <w:t>, 2023–24</w:t>
      </w:r>
      <w:bookmarkEnd w:id="281"/>
      <w:bookmarkEnd w:id="282"/>
      <w:bookmarkEnd w:id="283"/>
      <w:bookmarkEnd w:id="285"/>
    </w:p>
    <w:p w14:paraId="77ADA143" w14:textId="714123E5" w:rsidR="00F13551" w:rsidRPr="004B520E" w:rsidRDefault="00F13551" w:rsidP="007326AB">
      <w:pPr>
        <w:pStyle w:val="CaptionNote"/>
      </w:pPr>
      <w:r w:rsidRPr="004B520E">
        <w:t xml:space="preserve">Lower Murray does not include </w:t>
      </w:r>
      <w:r w:rsidR="00296161">
        <w:t xml:space="preserve">the </w:t>
      </w:r>
      <w:r w:rsidRPr="004B520E">
        <w:t>Lower Lakes.</w:t>
      </w:r>
      <w:r w:rsidR="00B67B51">
        <w:t xml:space="preserve"> Area in hectares is shown on the left y-axis, and length in kilometres is shown on the right y-axis.</w:t>
      </w:r>
    </w:p>
    <w:p w14:paraId="5399B214" w14:textId="77777777" w:rsidR="00B41377" w:rsidRPr="004B520E" w:rsidRDefault="00B41377" w:rsidP="00B41377">
      <w:pPr>
        <w:pStyle w:val="Figure"/>
        <w:widowControl w:val="0"/>
      </w:pPr>
      <w:r w:rsidRPr="004B520E">
        <w:rPr>
          <w:noProof/>
        </w:rPr>
        <w:drawing>
          <wp:inline distT="0" distB="0" distL="0" distR="0" wp14:anchorId="4EC1595C" wp14:editId="3088CF9E">
            <wp:extent cx="6120000" cy="2936615"/>
            <wp:effectExtent l="0" t="0" r="0" b="0"/>
            <wp:docPr id="988622438" name="Picture 6"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22438" name="Picture 6"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rotWithShape="1">
                    <a:blip r:embed="rId54"/>
                    <a:srcRect l="1454" t="2181" r="2091" b="3238"/>
                    <a:stretch>
                      <a:fillRect/>
                    </a:stretch>
                  </pic:blipFill>
                  <pic:spPr bwMode="auto">
                    <a:xfrm>
                      <a:off x="0" y="0"/>
                      <a:ext cx="6120000" cy="2936615"/>
                    </a:xfrm>
                    <a:prstGeom prst="rect">
                      <a:avLst/>
                    </a:prstGeom>
                    <a:ln>
                      <a:noFill/>
                    </a:ln>
                    <a:extLst>
                      <a:ext uri="{53640926-AAD7-44D8-BBD7-CCE9431645EC}">
                        <a14:shadowObscured xmlns:a14="http://schemas.microsoft.com/office/drawing/2010/main"/>
                      </a:ext>
                    </a:extLst>
                  </pic:spPr>
                </pic:pic>
              </a:graphicData>
            </a:graphic>
          </wp:inline>
        </w:drawing>
      </w:r>
    </w:p>
    <w:p w14:paraId="6DFB88E0" w14:textId="20AF6400" w:rsidR="00485EAB" w:rsidRPr="004B520E" w:rsidRDefault="00485EAB" w:rsidP="00485EAB">
      <w:pPr>
        <w:pStyle w:val="BodyText"/>
      </w:pPr>
      <w:r w:rsidRPr="004B520E">
        <w:lastRenderedPageBreak/>
        <w:t xml:space="preserve">Over the 10 years since 2014, some floodplains in the Gwydir, Macquarie, Murrumbidgee, Lachlan, Central and Lower Murray valleys were inundated nearly every year (7 or more of the 10 years). The Macquarie Valley received </w:t>
      </w:r>
      <w:r w:rsidRPr="004B520E">
        <w:rPr>
          <w:rFonts w:cs="Calibri"/>
        </w:rPr>
        <w:t xml:space="preserve">Commonwealth environmental water in </w:t>
      </w:r>
      <w:r w:rsidRPr="004B520E">
        <w:t xml:space="preserve">8 of the 10 years, targeting the restoration and protection of wetlands within the Macquarie Marshes. The Murrumbidgee received </w:t>
      </w:r>
      <w:r w:rsidRPr="004B520E">
        <w:rPr>
          <w:rFonts w:cs="Calibri"/>
        </w:rPr>
        <w:t xml:space="preserve">Commonwealth environmental water in all </w:t>
      </w:r>
      <w:r w:rsidRPr="004B520E">
        <w:t>10 years and the largest 1-in-10-year inundation magnitude of 57,497 ha.</w:t>
      </w:r>
    </w:p>
    <w:p w14:paraId="0A4521AA" w14:textId="53A5AB31" w:rsidR="00F13551" w:rsidRPr="004B520E" w:rsidRDefault="00F13551" w:rsidP="00113FC9">
      <w:pPr>
        <w:pStyle w:val="Heading2"/>
      </w:pPr>
      <w:bookmarkStart w:id="286" w:name="_Ref200454124"/>
      <w:bookmarkStart w:id="287" w:name="_Toc200743758"/>
      <w:bookmarkStart w:id="288" w:name="_Toc200743857"/>
      <w:bookmarkStart w:id="289" w:name="_Toc203682271"/>
      <w:bookmarkStart w:id="290" w:name="_Toc204606886"/>
      <w:bookmarkStart w:id="291" w:name="_Ref136687386"/>
      <w:r w:rsidRPr="004B520E">
        <w:t>Basin ecosystems</w:t>
      </w:r>
      <w:bookmarkEnd w:id="286"/>
      <w:bookmarkEnd w:id="287"/>
      <w:bookmarkEnd w:id="288"/>
      <w:bookmarkEnd w:id="289"/>
      <w:bookmarkEnd w:id="290"/>
    </w:p>
    <w:bookmarkEnd w:id="275"/>
    <w:bookmarkEnd w:id="276"/>
    <w:bookmarkEnd w:id="277"/>
    <w:bookmarkEnd w:id="278"/>
    <w:bookmarkEnd w:id="291"/>
    <w:p w14:paraId="4543C7E0" w14:textId="2A50078E" w:rsidR="00BC3667" w:rsidRPr="004B520E" w:rsidRDefault="00BC3667" w:rsidP="00501E72">
      <w:pPr>
        <w:pStyle w:val="ChapterSignposting"/>
        <w:rPr>
          <w:iCs/>
          <w:szCs w:val="20"/>
        </w:rPr>
      </w:pPr>
      <w:r w:rsidRPr="004B520E">
        <w:t xml:space="preserve">This </w:t>
      </w:r>
      <w:r w:rsidR="00C7464D" w:rsidRPr="004B520E">
        <w:t>section</w:t>
      </w:r>
      <w:r w:rsidRPr="004B520E">
        <w:t xml:space="preserve"> presents findings from the Ecosystem Diversity evaluation for the </w:t>
      </w:r>
      <w:r w:rsidR="00244943" w:rsidRPr="004B520E">
        <w:t>2023–24</w:t>
      </w:r>
      <w:r w:rsidRPr="004B520E">
        <w:t xml:space="preserve"> water year, compared with the prior </w:t>
      </w:r>
      <w:r w:rsidR="00F13551" w:rsidRPr="004B520E">
        <w:t>9</w:t>
      </w:r>
      <w:r w:rsidRPr="004B520E">
        <w:t xml:space="preserve"> years of monitoring, presented </w:t>
      </w:r>
      <w:r w:rsidR="00D01A16" w:rsidRPr="004B520E">
        <w:t xml:space="preserve">in full </w:t>
      </w:r>
      <w:r w:rsidRPr="004B520E">
        <w:t xml:space="preserve">in the </w:t>
      </w:r>
      <w:bookmarkStart w:id="292" w:name="_Hlk181100624"/>
      <w:r w:rsidR="00A120EB" w:rsidRPr="004B520E">
        <w:t>‘</w:t>
      </w:r>
      <w:r w:rsidR="00E96AC8" w:rsidRPr="004B520E">
        <w:t xml:space="preserve">Basin-scale evaluation of </w:t>
      </w:r>
      <w:r w:rsidR="00244943" w:rsidRPr="004B520E">
        <w:t>202</w:t>
      </w:r>
      <w:r w:rsidR="00E9004B">
        <w:t>2</w:t>
      </w:r>
      <w:r w:rsidR="00244943" w:rsidRPr="004B520E">
        <w:t>–2</w:t>
      </w:r>
      <w:r w:rsidR="00E9004B">
        <w:t>3</w:t>
      </w:r>
      <w:r w:rsidR="00E96AC8" w:rsidRPr="004B520E">
        <w:t xml:space="preserve"> Commonwealth environmental water: Ecosystem Diversity</w:t>
      </w:r>
      <w:r w:rsidR="00A120EB" w:rsidRPr="004B520E">
        <w:t>’</w:t>
      </w:r>
      <w:r w:rsidR="00E96AC8" w:rsidRPr="004B520E" w:rsidDel="00E96AC8">
        <w:t xml:space="preserve"> </w:t>
      </w:r>
      <w:r w:rsidR="00A120EB" w:rsidRPr="004B520E">
        <w:t>r</w:t>
      </w:r>
      <w:r w:rsidRPr="004B520E">
        <w:rPr>
          <w:iCs/>
          <w:szCs w:val="20"/>
        </w:rPr>
        <w:t xml:space="preserve">eport </w:t>
      </w:r>
      <w:bookmarkEnd w:id="292"/>
      <w:r w:rsidRPr="004B520E">
        <w:rPr>
          <w:iCs/>
          <w:szCs w:val="20"/>
        </w:rPr>
        <w:t>(</w:t>
      </w:r>
      <w:r w:rsidR="00A953C8" w:rsidRPr="004B520E">
        <w:t xml:space="preserve">available from </w:t>
      </w:r>
      <w:r w:rsidR="00E9004B">
        <w:t>DCCEEW’s</w:t>
      </w:r>
      <w:r w:rsidR="00A953C8" w:rsidRPr="004B520E">
        <w:t xml:space="preserve"> </w:t>
      </w:r>
      <w:hyperlink r:id="rId55" w:history="1">
        <w:r w:rsidR="00A953C8" w:rsidRPr="004B520E">
          <w:rPr>
            <w:rStyle w:val="Hyperlink"/>
            <w:rFonts w:cs="Calibri Light"/>
          </w:rPr>
          <w:t>Flow-MER Basin-scale Project publications</w:t>
        </w:r>
      </w:hyperlink>
      <w:r w:rsidR="00A953C8" w:rsidRPr="004B520E">
        <w:t xml:space="preserve"> </w:t>
      </w:r>
      <w:r w:rsidR="00D94ACD">
        <w:t>web</w:t>
      </w:r>
      <w:r w:rsidR="00A953C8" w:rsidRPr="004B520E">
        <w:t>page)</w:t>
      </w:r>
      <w:r w:rsidRPr="004B520E">
        <w:rPr>
          <w:iCs/>
          <w:szCs w:val="20"/>
        </w:rPr>
        <w:t>.</w:t>
      </w:r>
    </w:p>
    <w:p w14:paraId="5A3284E3" w14:textId="58B9229F" w:rsidR="00904D0F" w:rsidRPr="004B520E" w:rsidRDefault="00904D0F" w:rsidP="0024567F">
      <w:pPr>
        <w:pStyle w:val="Boxedheadingblue"/>
        <w:rPr>
          <w:rStyle w:val="Italics"/>
          <w:rFonts w:ascii="Times New Roman" w:hAnsi="Times New Roman" w:cstheme="minorHAnsi"/>
          <w:i w:val="0"/>
          <w:color w:val="auto"/>
          <w:sz w:val="24"/>
          <w:szCs w:val="22"/>
          <w:lang w:eastAsia="en-US"/>
        </w:rPr>
      </w:pPr>
      <w:bookmarkStart w:id="293" w:name="_Toc172283628"/>
      <w:bookmarkStart w:id="294" w:name="_Toc172290949"/>
      <w:bookmarkStart w:id="295" w:name="_Toc178668848"/>
      <w:r w:rsidRPr="004B520E">
        <w:rPr>
          <w:rStyle w:val="Italics"/>
          <w:i w:val="0"/>
        </w:rPr>
        <w:t xml:space="preserve">What did </w:t>
      </w:r>
      <w:r w:rsidRPr="004B520E">
        <w:rPr>
          <w:rFonts w:cs="Calibri"/>
        </w:rPr>
        <w:t>Commonwealth environment</w:t>
      </w:r>
      <w:r w:rsidR="00EA0F93" w:rsidRPr="004B520E">
        <w:rPr>
          <w:rFonts w:eastAsiaTheme="majorEastAsia" w:cs="Calibri"/>
        </w:rPr>
        <w:t xml:space="preserve">al water </w:t>
      </w:r>
      <w:r w:rsidRPr="004B520E">
        <w:rPr>
          <w:rStyle w:val="Italics"/>
          <w:i w:val="0"/>
        </w:rPr>
        <w:t>contribute to ecosystem diversity?</w:t>
      </w:r>
      <w:bookmarkEnd w:id="293"/>
      <w:bookmarkEnd w:id="294"/>
      <w:bookmarkEnd w:id="295"/>
    </w:p>
    <w:p w14:paraId="3575E429" w14:textId="7F1021A4" w:rsidR="00A1416C" w:rsidRPr="004B520E" w:rsidRDefault="00A1416C" w:rsidP="003232AA">
      <w:pPr>
        <w:pStyle w:val="Boxedtextblue"/>
      </w:pPr>
      <w:r w:rsidRPr="004B520E">
        <w:t xml:space="preserve">Commonwealth environmental water contributed to Basin Plan objective at paragraph 8.05(2)a </w:t>
      </w:r>
      <w:r w:rsidRPr="004B520E">
        <w:rPr>
          <w:i/>
          <w:iCs/>
        </w:rPr>
        <w:t>to protect and restore a subset of all water-dependent ecosystems of the Murray–Darling Basin</w:t>
      </w:r>
      <w:r w:rsidRPr="004B520E">
        <w:t>:</w:t>
      </w:r>
    </w:p>
    <w:p w14:paraId="1E5DD5F4" w14:textId="45DBB8F7" w:rsidR="0035012E" w:rsidRPr="004B520E" w:rsidRDefault="00A1416C" w:rsidP="003232AA">
      <w:pPr>
        <w:pStyle w:val="Boxedlistbulletblue"/>
      </w:pPr>
      <w:r w:rsidRPr="004B520E">
        <w:t xml:space="preserve">Of the Basin ecosystem types, 97% occur on the managed floodplain. In </w:t>
      </w:r>
      <w:r w:rsidR="00244943" w:rsidRPr="004B520E">
        <w:t>2023–24</w:t>
      </w:r>
      <w:r w:rsidRPr="004B520E">
        <w:t>, 5</w:t>
      </w:r>
      <w:r w:rsidR="0072552F" w:rsidRPr="004B520E">
        <w:t>2</w:t>
      </w:r>
      <w:r w:rsidRPr="004B520E">
        <w:t xml:space="preserve"> ANAE ecosystem types – representing </w:t>
      </w:r>
      <w:r w:rsidR="0072552F" w:rsidRPr="004B520E">
        <w:t>81</w:t>
      </w:r>
      <w:r w:rsidRPr="004B520E">
        <w:t>% of the ecosystem diversity on the managed floodplain – received Commonwealth environmental water</w:t>
      </w:r>
      <w:r w:rsidR="0035012E" w:rsidRPr="004B520E">
        <w:t>.</w:t>
      </w:r>
    </w:p>
    <w:p w14:paraId="714D16F0" w14:textId="30464958" w:rsidR="00A1416C" w:rsidRPr="004B520E" w:rsidRDefault="00A1416C" w:rsidP="009B365E">
      <w:pPr>
        <w:pStyle w:val="Boxedlistbulletblue"/>
      </w:pPr>
      <w:r>
        <w:t xml:space="preserve">The </w:t>
      </w:r>
      <w:r w:rsidR="00244943">
        <w:t>10-year</w:t>
      </w:r>
      <w:r>
        <w:t xml:space="preserve"> watering history (</w:t>
      </w:r>
      <w:r w:rsidR="00244943">
        <w:t>2014–24</w:t>
      </w:r>
      <w:r>
        <w:t xml:space="preserve">) included a similar diversity of ecosystem types through the years but a wide difference in the total </w:t>
      </w:r>
      <w:r w:rsidR="00BE5060">
        <w:t xml:space="preserve">areal </w:t>
      </w:r>
      <w:r>
        <w:t>extent.</w:t>
      </w:r>
    </w:p>
    <w:p w14:paraId="72D78D7E" w14:textId="022D0B5E" w:rsidR="00837236" w:rsidRPr="004B520E" w:rsidRDefault="00904D0F" w:rsidP="0093749A">
      <w:pPr>
        <w:pStyle w:val="BodyText"/>
      </w:pPr>
      <w:r w:rsidRPr="004B520E">
        <w:t>Using the ANAE classification system, 66 aquatic ecosystem types have been identified and mapped in the Basin</w:t>
      </w:r>
      <w:r w:rsidR="00DC0A12" w:rsidRPr="004B520E">
        <w:t>.</w:t>
      </w:r>
      <w:r w:rsidRPr="004B520E">
        <w:rPr>
          <w:rStyle w:val="FootnoteReference"/>
        </w:rPr>
        <w:footnoteReference w:id="4"/>
      </w:r>
      <w:r w:rsidR="00DC0A12" w:rsidRPr="004B520E">
        <w:t xml:space="preserve"> </w:t>
      </w:r>
      <w:r w:rsidRPr="004B520E">
        <w:t>64 ecosystem types (97%) are represented on the managed floodplain</w:t>
      </w:r>
      <w:r w:rsidR="00BA7FB3">
        <w:t>,</w:t>
      </w:r>
      <w:r w:rsidRPr="004B520E">
        <w:t xml:space="preserve"> </w:t>
      </w:r>
      <w:r w:rsidR="00F5200B" w:rsidRPr="004B520E">
        <w:t xml:space="preserve">and the relative abundance (by area) of ecosystem types is similar when comparing the managed floodplain to the whole </w:t>
      </w:r>
      <w:r w:rsidRPr="004B520E">
        <w:t>Basin</w:t>
      </w:r>
      <w:bookmarkStart w:id="296" w:name="_Toc172283388"/>
      <w:bookmarkStart w:id="297" w:name="_Toc172283509"/>
      <w:bookmarkStart w:id="298" w:name="_Toc172283630"/>
      <w:bookmarkEnd w:id="296"/>
      <w:bookmarkEnd w:id="297"/>
      <w:bookmarkEnd w:id="298"/>
      <w:r w:rsidR="00837236" w:rsidRPr="004B520E">
        <w:t>.</w:t>
      </w:r>
    </w:p>
    <w:p w14:paraId="40B0A062" w14:textId="0B3E1E6B" w:rsidR="0072552F" w:rsidRPr="004B520E" w:rsidRDefault="00307EA1" w:rsidP="0072552F">
      <w:pPr>
        <w:pStyle w:val="Boxedtextblue"/>
      </w:pPr>
      <w:r w:rsidRPr="004B520E">
        <w:t xml:space="preserve">Commonwealth environmental water </w:t>
      </w:r>
      <w:r w:rsidR="0072552F" w:rsidRPr="004B520E">
        <w:t xml:space="preserve">supported </w:t>
      </w:r>
      <w:r w:rsidRPr="004B520E">
        <w:t>23,768 ha of estuary, 200,890 ha of lakes and wetlands, and 47,770 ha of floodplain area</w:t>
      </w:r>
      <w:r w:rsidR="0072552F" w:rsidRPr="004B520E">
        <w:t xml:space="preserve"> </w:t>
      </w:r>
      <w:r w:rsidRPr="004B520E">
        <w:t>in 2023–24</w:t>
      </w:r>
      <w:r w:rsidR="0072552F" w:rsidRPr="004B520E">
        <w:t>. Additionally, 21,075 km of waterways carried Commonwealth environmental water in 2023–24.</w:t>
      </w:r>
    </w:p>
    <w:p w14:paraId="41BCAFBF" w14:textId="39DC9D50" w:rsidR="0072552F" w:rsidRPr="004B520E" w:rsidRDefault="0072552F" w:rsidP="0072552F">
      <w:pPr>
        <w:pStyle w:val="BodyText"/>
      </w:pPr>
      <w:r w:rsidRPr="004B520E">
        <w:t xml:space="preserve">In 2023–24, </w:t>
      </w:r>
      <w:r w:rsidRPr="004B520E">
        <w:rPr>
          <w:rFonts w:cs="Calibri"/>
        </w:rPr>
        <w:t>Commonwealth environment</w:t>
      </w:r>
      <w:r w:rsidRPr="004B520E">
        <w:rPr>
          <w:rFonts w:eastAsiaTheme="majorEastAsia" w:cs="Calibri"/>
        </w:rPr>
        <w:t>al water</w:t>
      </w:r>
      <w:r w:rsidRPr="004B520E">
        <w:t xml:space="preserve"> supported 34,693 ha of temporary river red gum swamps</w:t>
      </w:r>
      <w:r w:rsidR="0051160F">
        <w:t>, which is</w:t>
      </w:r>
      <w:r w:rsidRPr="004B520E">
        <w:t xml:space="preserve"> 60% of all temporary river red gum swamp on the managed floodplain. Much of the temporary river red gum swamp was watered through actions to flood Barmah Forest, Macquarie Marshes and Lowbidgee Redbank system. Many smaller swamps connected to river channels along the Edward/Kolety–Wakool rivers, Murray, Namoi, Loddon, Campaspe, Broken and Goulburn rivers benefitted from freshes in these systems. This is a similar pattern to that seen in previous years whenever the large expanse of the Barmah–Millewa Forest complex receives </w:t>
      </w:r>
      <w:r w:rsidRPr="004B520E">
        <w:rPr>
          <w:rFonts w:cs="Calibri"/>
        </w:rPr>
        <w:t>Commonwealth environment</w:t>
      </w:r>
      <w:r w:rsidRPr="004B520E">
        <w:rPr>
          <w:rFonts w:eastAsiaTheme="majorEastAsia" w:cs="Calibri"/>
        </w:rPr>
        <w:t>al water</w:t>
      </w:r>
      <w:r w:rsidRPr="004B520E">
        <w:t>.</w:t>
      </w:r>
    </w:p>
    <w:p w14:paraId="1622637E" w14:textId="3BB0257C" w:rsidR="0072552F" w:rsidRPr="004B520E" w:rsidRDefault="0072552F" w:rsidP="0072552F">
      <w:pPr>
        <w:pStyle w:val="BodyText"/>
      </w:pPr>
      <w:r w:rsidRPr="004B520E">
        <w:rPr>
          <w:rFonts w:cs="Calibri"/>
        </w:rPr>
        <w:t>Commonwealth environment</w:t>
      </w:r>
      <w:r w:rsidRPr="004B520E">
        <w:rPr>
          <w:rFonts w:eastAsiaTheme="majorEastAsia" w:cs="Calibri"/>
        </w:rPr>
        <w:t>al water</w:t>
      </w:r>
      <w:r w:rsidRPr="004B520E">
        <w:t xml:space="preserve"> supported a significant area (30,835 ha) of meadows and marshes, consisting of permanent and temporary tall emergent marshes, temporary sedge/grass/forb marsh, permanent grass marsh and freshwater meadow. This includes sedge marshes (8,674 ha), tall marsh reed beds (5,134 ha) and freshwater meadows (2,092 ha) in the Macquarie Marshes and grassy freshwater </w:t>
      </w:r>
      <w:r w:rsidRPr="004B520E">
        <w:lastRenderedPageBreak/>
        <w:t xml:space="preserve">meadows and tall marsh of the Gwydir Valley floodplains (5,250 ha). The water delivered in 2023–24 was similar to the preceding year, consolidating the recovery of bird breeding areas in Narran Lakes, Gwydir wetlands and Macquarie Marshes from the impacts of the acute ‘Tinderbox </w:t>
      </w:r>
      <w:r w:rsidR="00BA63B4">
        <w:t>D</w:t>
      </w:r>
      <w:r w:rsidRPr="004B520E">
        <w:t>rought’ 2018–2020.</w:t>
      </w:r>
    </w:p>
    <w:p w14:paraId="5DC8F3E1" w14:textId="18AAE5A0" w:rsidR="00E72A48" w:rsidRDefault="0072552F" w:rsidP="0072552F">
      <w:pPr>
        <w:pStyle w:val="BodyText"/>
      </w:pPr>
      <w:r w:rsidRPr="004B520E">
        <w:t xml:space="preserve">In 2023–24, </w:t>
      </w:r>
      <w:r w:rsidRPr="004B520E">
        <w:rPr>
          <w:rFonts w:cs="Calibri"/>
        </w:rPr>
        <w:t>Commonwealth environment</w:t>
      </w:r>
      <w:r w:rsidRPr="004B520E">
        <w:rPr>
          <w:rFonts w:eastAsiaTheme="majorEastAsia" w:cs="Calibri"/>
        </w:rPr>
        <w:t>al water</w:t>
      </w:r>
      <w:r w:rsidRPr="004B520E">
        <w:t xml:space="preserve"> inundated 47,696 ha of floodplain ecosystems upstream of the </w:t>
      </w:r>
      <w:r w:rsidR="00BA63B4">
        <w:t>Coorong, Lower Lakes and Murray Mouth</w:t>
      </w:r>
      <w:r w:rsidR="00BA63B4" w:rsidRPr="004B520E">
        <w:t xml:space="preserve"> </w:t>
      </w:r>
      <w:r w:rsidRPr="004B520E">
        <w:t xml:space="preserve">(3% of the managed floodplain). The largest contributors to this total were 14,649 ha of river red gum floodplain in the Macquarie Valley (combining river red gum forest and woodland), 9,617 ha of river red gum floodplain in the Central Murray, 5,939 ha of river red gum and 5,880 ha of black box floodplain in the Murrumbidgee Valley, and 3,542 ha of lignum </w:t>
      </w:r>
      <w:r w:rsidR="002C2D56">
        <w:t>(</w:t>
      </w:r>
      <w:r w:rsidR="002C2D56">
        <w:rPr>
          <w:i/>
          <w:iCs/>
        </w:rPr>
        <w:t>Duma florulenta</w:t>
      </w:r>
      <w:r w:rsidR="002C2D56">
        <w:t xml:space="preserve">) </w:t>
      </w:r>
      <w:r w:rsidRPr="004B520E">
        <w:t>floodplain in the Condamine Balonne.</w:t>
      </w:r>
    </w:p>
    <w:p w14:paraId="0140DBE1" w14:textId="5EEAF450" w:rsidR="00E72A48" w:rsidRDefault="0072552F" w:rsidP="0072552F">
      <w:pPr>
        <w:pStyle w:val="BodyText"/>
      </w:pPr>
      <w:r w:rsidRPr="004B520E">
        <w:t xml:space="preserve">The ecosystem pattern of delivery of </w:t>
      </w:r>
      <w:r w:rsidRPr="004B520E">
        <w:rPr>
          <w:rFonts w:cs="Calibri"/>
        </w:rPr>
        <w:t>Commonwealth environment</w:t>
      </w:r>
      <w:r w:rsidRPr="004B520E">
        <w:rPr>
          <w:rFonts w:eastAsiaTheme="majorEastAsia" w:cs="Calibri"/>
        </w:rPr>
        <w:t>al water</w:t>
      </w:r>
      <w:r w:rsidRPr="004B520E">
        <w:t xml:space="preserve"> to rivers was similar to previous years – the majority (97%) of watered channels were lowland rivers (15,227 km of permanent lowland stream and 5,285 km of temporary lowland stream). In total, 40% of river length on the managed floodplain, representing 5 of the 8 ANAE river types, received </w:t>
      </w:r>
      <w:r w:rsidRPr="004B520E">
        <w:rPr>
          <w:rFonts w:cs="Calibri"/>
        </w:rPr>
        <w:t>Commonwealth environment</w:t>
      </w:r>
      <w:r w:rsidRPr="004B520E">
        <w:rPr>
          <w:rFonts w:eastAsiaTheme="majorEastAsia" w:cs="Calibri"/>
        </w:rPr>
        <w:t>al water</w:t>
      </w:r>
      <w:r w:rsidRPr="004B520E">
        <w:t xml:space="preserve"> during 2023–24. </w:t>
      </w:r>
      <w:r w:rsidRPr="004B520E">
        <w:rPr>
          <w:rFonts w:cs="Calibri"/>
        </w:rPr>
        <w:t>Commonwealth environment</w:t>
      </w:r>
      <w:r w:rsidRPr="004B520E">
        <w:rPr>
          <w:rFonts w:eastAsiaTheme="majorEastAsia" w:cs="Calibri"/>
        </w:rPr>
        <w:t>al water</w:t>
      </w:r>
      <w:r w:rsidRPr="004B520E">
        <w:t xml:space="preserve"> delivered to the Macquarie, Namoi, Gwydir and Barwon Darling valleys supported the full length of the Darling/Baaka to its confluence with the Murray River.</w:t>
      </w:r>
    </w:p>
    <w:p w14:paraId="43F66F3C" w14:textId="28628365" w:rsidR="0072552F" w:rsidRPr="004B520E" w:rsidRDefault="001718A7" w:rsidP="00A1416C">
      <w:pPr>
        <w:pStyle w:val="BodyText"/>
        <w:keepNext/>
      </w:pPr>
      <w:r w:rsidRPr="004B520E">
        <w:t xml:space="preserve">In </w:t>
      </w:r>
      <w:r w:rsidR="0072552F" w:rsidRPr="004B520E">
        <w:t xml:space="preserve">summary, in </w:t>
      </w:r>
      <w:r w:rsidR="00244943" w:rsidRPr="004B520E">
        <w:t>2023–24</w:t>
      </w:r>
      <w:r w:rsidRPr="004B520E">
        <w:t>, Commonwealth environmental water supported</w:t>
      </w:r>
      <w:r w:rsidR="0072552F" w:rsidRPr="004B520E">
        <w:t>:</w:t>
      </w:r>
    </w:p>
    <w:p w14:paraId="78146EFD" w14:textId="0FE58FC2" w:rsidR="0072552F" w:rsidRPr="004B520E" w:rsidRDefault="001718A7" w:rsidP="00495F0C">
      <w:pPr>
        <w:pStyle w:val="ListBullet"/>
      </w:pPr>
      <w:r w:rsidRPr="004B520E">
        <w:t>5</w:t>
      </w:r>
      <w:r w:rsidR="0072552F" w:rsidRPr="004B520E">
        <w:t>2</w:t>
      </w:r>
      <w:r w:rsidRPr="004B520E">
        <w:t xml:space="preserve"> ANAE ecosystem types</w:t>
      </w:r>
      <w:r w:rsidR="00E03F6B">
        <w:t>,</w:t>
      </w:r>
      <w:r w:rsidRPr="004B520E">
        <w:t xml:space="preserve"> </w:t>
      </w:r>
      <w:r w:rsidR="0072552F" w:rsidRPr="004B520E">
        <w:t>representing 79</w:t>
      </w:r>
      <w:r w:rsidRPr="004B520E">
        <w:t>% of types in the Basin and 8</w:t>
      </w:r>
      <w:r w:rsidR="0072552F" w:rsidRPr="004B520E">
        <w:t>1</w:t>
      </w:r>
      <w:r w:rsidRPr="004B520E">
        <w:t>% of types on the managed floodplain</w:t>
      </w:r>
    </w:p>
    <w:p w14:paraId="60437A0C" w14:textId="2C3D7A17" w:rsidR="0072552F" w:rsidRPr="004B520E" w:rsidRDefault="0072552F" w:rsidP="00495F0C">
      <w:pPr>
        <w:pStyle w:val="ListBullet"/>
      </w:pPr>
      <w:r w:rsidRPr="004B520E">
        <w:t>21,075 km of permanent and temporary lowland rivers</w:t>
      </w:r>
      <w:r w:rsidR="00410530">
        <w:t>, representing</w:t>
      </w:r>
      <w:r w:rsidRPr="004B520E">
        <w:t xml:space="preserve"> 40% of river length on the managed floodplain</w:t>
      </w:r>
    </w:p>
    <w:p w14:paraId="51E7169B" w14:textId="25854E7B" w:rsidR="0072552F" w:rsidRPr="004B520E" w:rsidRDefault="0072552F" w:rsidP="00495F0C">
      <w:pPr>
        <w:pStyle w:val="ListBullet"/>
      </w:pPr>
      <w:r w:rsidRPr="004B520E">
        <w:t>200,890 ha of lakes and wetlands of 27 different types, representing 75% of lake and wetland diversity and 27% of the total area of lakes and wetlands on the managed floodplain</w:t>
      </w:r>
    </w:p>
    <w:p w14:paraId="2DB16C0C" w14:textId="4D8194E7" w:rsidR="0072552F" w:rsidRPr="004B520E" w:rsidRDefault="0072552F" w:rsidP="00495F0C">
      <w:pPr>
        <w:pStyle w:val="ListBullet"/>
      </w:pPr>
      <w:r w:rsidRPr="004B520E">
        <w:t>47,770 ha of floodplain, representing 11 different floodplain vegetation communities and 3% of the managed floodplain in the Basin</w:t>
      </w:r>
    </w:p>
    <w:p w14:paraId="303FF1C0" w14:textId="6983C211" w:rsidR="00E72A48" w:rsidRDefault="0072552F" w:rsidP="00495F0C">
      <w:pPr>
        <w:pStyle w:val="ListBullet"/>
      </w:pPr>
      <w:r w:rsidRPr="004B520E">
        <w:t>23,768 ha of estuary habitat in the Coorong and Murray Mouth</w:t>
      </w:r>
      <w:r w:rsidR="00181B9D">
        <w:t>, representing</w:t>
      </w:r>
      <w:r w:rsidRPr="004B520E">
        <w:t xml:space="preserve"> 100% of the estuary on the managed floodplain.</w:t>
      </w:r>
    </w:p>
    <w:p w14:paraId="202A1045" w14:textId="51649815" w:rsidR="00E72A48" w:rsidRDefault="0072552F" w:rsidP="00495F0C">
      <w:pPr>
        <w:pStyle w:val="Boxedtextblue"/>
      </w:pPr>
      <w:r w:rsidRPr="004B520E">
        <w:t>Over the 10-year monitoring period, 446,264 ha (including the Coorong</w:t>
      </w:r>
      <w:r w:rsidR="003A5940">
        <w:t>,</w:t>
      </w:r>
      <w:r w:rsidRPr="004B520E">
        <w:t xml:space="preserve"> Lower Lakes and Murray Mouth) of wetlands, lakes and floodplains received Commonwealth environmental water. This includes 124,091 ha of lakes, including </w:t>
      </w:r>
      <w:r w:rsidR="0069353F">
        <w:t xml:space="preserve">the </w:t>
      </w:r>
      <w:r w:rsidR="008B488A">
        <w:t>L</w:t>
      </w:r>
      <w:r w:rsidRPr="004B520E">
        <w:t xml:space="preserve">ower </w:t>
      </w:r>
      <w:r w:rsidR="008B488A">
        <w:t>L</w:t>
      </w:r>
      <w:r w:rsidRPr="004B520E">
        <w:t>akes, 130,574 ha of wetlands and 191,599 ha of floodplains.</w:t>
      </w:r>
    </w:p>
    <w:p w14:paraId="2AA9553B" w14:textId="334DFA32" w:rsidR="0072552F" w:rsidRPr="004B520E" w:rsidRDefault="0072552F" w:rsidP="0072552F">
      <w:pPr>
        <w:pStyle w:val="BodyText"/>
      </w:pPr>
      <w:r>
        <w:t>The frequency of delivery of Commonwealth environmental water across the Basin over the 10 years broadly aligned with the expected requirements of ecosystem types – more frequent support of permanent rivers, lakes, meadows and permanent tall marsh and less frequent inundation of temporary channels, swamps and floodplains. Watering is responsive to climatic conditions and is sufficiently flexible to deliver water in accordance with Strategy priorities. Ecosystem types in areas able to receive environmental water are broadly representative of ecosystem types elsewhere in the Basin.</w:t>
      </w:r>
    </w:p>
    <w:p w14:paraId="317C6931" w14:textId="493CBB79" w:rsidR="0072552F" w:rsidRPr="004B520E" w:rsidRDefault="0072552F" w:rsidP="00A1416C">
      <w:pPr>
        <w:pStyle w:val="BodyText"/>
        <w:keepNext/>
      </w:pPr>
      <w:r w:rsidRPr="004B520E">
        <w:t>In summary, over</w:t>
      </w:r>
      <w:r w:rsidR="001718A7" w:rsidRPr="004B520E">
        <w:t xml:space="preserve"> the </w:t>
      </w:r>
      <w:r w:rsidR="00244943" w:rsidRPr="004B520E">
        <w:t>10-year period</w:t>
      </w:r>
      <w:r w:rsidR="001718A7" w:rsidRPr="004B520E">
        <w:t xml:space="preserve"> </w:t>
      </w:r>
      <w:r w:rsidR="00244943" w:rsidRPr="004B520E">
        <w:t>2014–24</w:t>
      </w:r>
      <w:r w:rsidR="001718A7" w:rsidRPr="004B520E">
        <w:t xml:space="preserve">, </w:t>
      </w:r>
      <w:r w:rsidR="00CB055B" w:rsidRPr="004B520E">
        <w:t>Commonwealth environmental water</w:t>
      </w:r>
      <w:r w:rsidR="001718A7" w:rsidRPr="004B520E">
        <w:t xml:space="preserve"> </w:t>
      </w:r>
      <w:r w:rsidRPr="004B520E">
        <w:t xml:space="preserve">has </w:t>
      </w:r>
      <w:r w:rsidR="001718A7" w:rsidRPr="004B520E">
        <w:t>supported</w:t>
      </w:r>
      <w:r w:rsidRPr="004B520E">
        <w:t>:</w:t>
      </w:r>
    </w:p>
    <w:p w14:paraId="1977DDFA" w14:textId="5346FCD3" w:rsidR="001718A7" w:rsidRPr="004B520E" w:rsidRDefault="00D959EF" w:rsidP="00495F0C">
      <w:pPr>
        <w:pStyle w:val="ListBullet"/>
      </w:pPr>
      <w:r w:rsidRPr="004B520E">
        <w:t xml:space="preserve">56 </w:t>
      </w:r>
      <w:r w:rsidR="001718A7" w:rsidRPr="004B520E">
        <w:t>ecosystem types</w:t>
      </w:r>
      <w:r w:rsidR="0052178F">
        <w:t>, representing</w:t>
      </w:r>
      <w:r w:rsidR="001718A7" w:rsidRPr="004B520E">
        <w:t xml:space="preserve"> </w:t>
      </w:r>
      <w:r w:rsidRPr="004B520E">
        <w:t>85</w:t>
      </w:r>
      <w:r w:rsidR="001718A7" w:rsidRPr="004B520E">
        <w:t xml:space="preserve">% of the ANAE ecosystem types in the Basin and </w:t>
      </w:r>
      <w:r w:rsidRPr="004B520E">
        <w:t>88</w:t>
      </w:r>
      <w:r w:rsidR="001718A7" w:rsidRPr="004B520E">
        <w:t>% of the ANAE types currently mapped on the managed floodplain</w:t>
      </w:r>
      <w:r w:rsidR="001718A7" w:rsidRPr="004B520E">
        <w:rPr>
          <w:rStyle w:val="FootnoteReference"/>
        </w:rPr>
        <w:footnoteReference w:id="5"/>
      </w:r>
    </w:p>
    <w:p w14:paraId="196BA075" w14:textId="3BBEB241" w:rsidR="0072552F" w:rsidRPr="004B520E" w:rsidRDefault="0072552F" w:rsidP="00495F0C">
      <w:pPr>
        <w:pStyle w:val="ListBullet"/>
      </w:pPr>
      <w:r w:rsidRPr="004B520E">
        <w:lastRenderedPageBreak/>
        <w:t>124,091 ha of lakes</w:t>
      </w:r>
      <w:r w:rsidR="007D5A12">
        <w:t>, representing</w:t>
      </w:r>
      <w:r w:rsidRPr="004B520E">
        <w:t xml:space="preserve"> 41% of lake area on the managed floodplain</w:t>
      </w:r>
      <w:r w:rsidR="007D5A12">
        <w:t>,</w:t>
      </w:r>
      <w:r w:rsidRPr="004B520E">
        <w:t xml:space="preserve"> including lakes Alexandrina and Albert</w:t>
      </w:r>
    </w:p>
    <w:p w14:paraId="50F776F4" w14:textId="4D9308CB" w:rsidR="0072552F" w:rsidRPr="004B520E" w:rsidRDefault="0072552F" w:rsidP="00495F0C">
      <w:pPr>
        <w:pStyle w:val="ListBullet"/>
      </w:pPr>
      <w:r w:rsidRPr="004B520E">
        <w:t>130,574 ha of 24 types of palustrine wetland</w:t>
      </w:r>
      <w:r w:rsidR="007D5A12">
        <w:t>, representing</w:t>
      </w:r>
      <w:r w:rsidRPr="004B520E">
        <w:t xml:space="preserve"> 26% of the wetland area on the managed floodplain</w:t>
      </w:r>
    </w:p>
    <w:p w14:paraId="08BEEAEB" w14:textId="62713927" w:rsidR="00E72A48" w:rsidRDefault="0072552F" w:rsidP="00495F0C">
      <w:pPr>
        <w:pStyle w:val="ListBullet"/>
      </w:pPr>
      <w:r w:rsidRPr="004B520E">
        <w:t>191,599 ha of 12 types of floodplain</w:t>
      </w:r>
      <w:r w:rsidR="009D1147">
        <w:t>, representing</w:t>
      </w:r>
      <w:r w:rsidRPr="004B520E">
        <w:t xml:space="preserve"> 12% of floodplain ecosystem area on the managed floodplain</w:t>
      </w:r>
      <w:r w:rsidRPr="004B520E">
        <w:rPr>
          <w:rStyle w:val="FootnoteReference"/>
        </w:rPr>
        <w:footnoteReference w:id="6"/>
      </w:r>
    </w:p>
    <w:p w14:paraId="213DFC97" w14:textId="2277AFCB" w:rsidR="0072552F" w:rsidRPr="004B520E" w:rsidRDefault="0072552F" w:rsidP="00495F0C">
      <w:pPr>
        <w:pStyle w:val="ListBullet"/>
      </w:pPr>
      <w:r w:rsidRPr="004B520E">
        <w:t>28,549 km of 7 types of waterway</w:t>
      </w:r>
      <w:r w:rsidR="009D1147">
        <w:t>, representing</w:t>
      </w:r>
      <w:r w:rsidRPr="004B520E">
        <w:t xml:space="preserve"> 54% of the river length on the managed floodplain</w:t>
      </w:r>
    </w:p>
    <w:p w14:paraId="1033D72E" w14:textId="61A6D6C9" w:rsidR="0072552F" w:rsidRPr="004B520E" w:rsidRDefault="0072552F" w:rsidP="00495F0C">
      <w:pPr>
        <w:pStyle w:val="ListBullet"/>
      </w:pPr>
      <w:r w:rsidRPr="004B520E">
        <w:t>23,768 ha of 9 types of estuarine ecosystem</w:t>
      </w:r>
      <w:r w:rsidR="009D1147">
        <w:t>, representing</w:t>
      </w:r>
      <w:r w:rsidRPr="004B520E">
        <w:t xml:space="preserve"> 100% of the estuary on the managed floodplain.</w:t>
      </w:r>
    </w:p>
    <w:p w14:paraId="0A52ACC9" w14:textId="588AC864" w:rsidR="00A36B0A" w:rsidRPr="004B520E" w:rsidRDefault="00A36B0A" w:rsidP="00A36B0A">
      <w:pPr>
        <w:pStyle w:val="BodyText"/>
      </w:pPr>
      <w:r w:rsidRPr="004B520E">
        <w:t xml:space="preserve">Temporary sedge/grass/forb marsh is the most extensive </w:t>
      </w:r>
      <w:r w:rsidR="006D329A">
        <w:t xml:space="preserve">wetland </w:t>
      </w:r>
      <w:r w:rsidRPr="004B520E">
        <w:t>ecosystem type on the managed floodplain (13</w:t>
      </w:r>
      <w:r w:rsidR="0072552F" w:rsidRPr="004B520E">
        <w:t>0</w:t>
      </w:r>
      <w:r w:rsidRPr="004B520E">
        <w:t>,</w:t>
      </w:r>
      <w:r w:rsidR="0072552F" w:rsidRPr="004B520E">
        <w:t>904</w:t>
      </w:r>
      <w:r w:rsidRPr="004B520E">
        <w:t> ha), and 12% (1</w:t>
      </w:r>
      <w:r w:rsidR="0072552F" w:rsidRPr="004B520E">
        <w:t>6</w:t>
      </w:r>
      <w:r w:rsidRPr="004B520E">
        <w:t>,</w:t>
      </w:r>
      <w:r w:rsidR="0072552F" w:rsidRPr="004B520E">
        <w:t>193</w:t>
      </w:r>
      <w:r w:rsidRPr="004B520E">
        <w:t> ha) was watered</w:t>
      </w:r>
      <w:r w:rsidR="00F5200B" w:rsidRPr="004B520E">
        <w:t xml:space="preserve"> at least once</w:t>
      </w:r>
      <w:r w:rsidRPr="004B520E">
        <w:t xml:space="preserve"> over the </w:t>
      </w:r>
      <w:r w:rsidR="00244943" w:rsidRPr="004B520E">
        <w:t>10-year period</w:t>
      </w:r>
      <w:r w:rsidR="00E605AB" w:rsidRPr="004B520E">
        <w:t xml:space="preserve"> </w:t>
      </w:r>
      <w:r w:rsidR="00244943" w:rsidRPr="004B520E">
        <w:t>2014–24</w:t>
      </w:r>
      <w:r w:rsidR="003C61D5">
        <w:t>. M</w:t>
      </w:r>
      <w:r w:rsidRPr="004B520E">
        <w:t>any of these areas</w:t>
      </w:r>
      <w:r w:rsidR="003C61D5">
        <w:t xml:space="preserve"> were</w:t>
      </w:r>
      <w:r w:rsidRPr="004B520E">
        <w:t xml:space="preserve"> watered multiple times. </w:t>
      </w:r>
      <w:r w:rsidR="00BF7D2C" w:rsidRPr="004B520E">
        <w:t>T</w:t>
      </w:r>
      <w:r w:rsidRPr="004B520E">
        <w:t xml:space="preserve">he Gwydir Wetlands and Macquarie Marshes </w:t>
      </w:r>
      <w:r w:rsidR="00BF7D2C" w:rsidRPr="004B520E">
        <w:t xml:space="preserve">received </w:t>
      </w:r>
      <w:r w:rsidRPr="004B520E">
        <w:t>regular</w:t>
      </w:r>
      <w:r w:rsidR="00BF7D2C" w:rsidRPr="004B520E">
        <w:t xml:space="preserve"> delivery of </w:t>
      </w:r>
      <w:r w:rsidR="00CB055B" w:rsidRPr="004B520E">
        <w:t>Commonwealth environmental water</w:t>
      </w:r>
      <w:r w:rsidR="00BF7D2C" w:rsidRPr="004B520E">
        <w:t xml:space="preserve"> to</w:t>
      </w:r>
      <w:r w:rsidRPr="004B520E">
        <w:t xml:space="preserve"> inundate permanent and temporary tall emergent marsh, freshwater meadow, permanent wetland, permanent forb marsh and permanent sedge/grass/forb marsh.</w:t>
      </w:r>
    </w:p>
    <w:p w14:paraId="57D0A0FB" w14:textId="535460E3" w:rsidR="0035012E" w:rsidRPr="004B520E" w:rsidRDefault="00A36B0A" w:rsidP="00053727">
      <w:pPr>
        <w:pStyle w:val="BodyText"/>
      </w:pPr>
      <w:r w:rsidRPr="004B520E">
        <w:t xml:space="preserve">Temporary river red gum swamp </w:t>
      </w:r>
      <w:r w:rsidR="005C63EA">
        <w:t>is the ecosystem with</w:t>
      </w:r>
      <w:r w:rsidR="00BF7D2C" w:rsidRPr="004B520E">
        <w:t xml:space="preserve"> </w:t>
      </w:r>
      <w:r w:rsidRPr="004B520E">
        <w:t xml:space="preserve">the largest area supported by </w:t>
      </w:r>
      <w:r w:rsidR="00CB055B" w:rsidRPr="004B520E">
        <w:t>Commonwealth environmental water</w:t>
      </w:r>
      <w:r w:rsidRPr="004B520E">
        <w:t xml:space="preserve"> (3</w:t>
      </w:r>
      <w:r w:rsidR="0072552F" w:rsidRPr="004B520E">
        <w:t>8</w:t>
      </w:r>
      <w:r w:rsidRPr="004B520E">
        <w:t>,7</w:t>
      </w:r>
      <w:r w:rsidR="0072552F" w:rsidRPr="004B520E">
        <w:t>17</w:t>
      </w:r>
      <w:r w:rsidRPr="004B520E">
        <w:t xml:space="preserve"> ha). Most </w:t>
      </w:r>
      <w:r w:rsidR="0072552F" w:rsidRPr="004B520E">
        <w:t xml:space="preserve">(61%) </w:t>
      </w:r>
      <w:r w:rsidRPr="004B520E">
        <w:t xml:space="preserve">of this area </w:t>
      </w:r>
      <w:r w:rsidR="00F5200B" w:rsidRPr="004B520E">
        <w:t xml:space="preserve">has </w:t>
      </w:r>
      <w:r w:rsidR="00BF7D2C" w:rsidRPr="004B520E">
        <w:t xml:space="preserve">received </w:t>
      </w:r>
      <w:r w:rsidR="00CB055B" w:rsidRPr="004B520E">
        <w:t>Commonwealth environmental water</w:t>
      </w:r>
      <w:r w:rsidRPr="004B520E">
        <w:t xml:space="preserve"> in </w:t>
      </w:r>
      <w:r w:rsidR="0072552F" w:rsidRPr="004B520E">
        <w:t>8</w:t>
      </w:r>
      <w:r w:rsidRPr="004B520E">
        <w:t xml:space="preserve"> of the </w:t>
      </w:r>
      <w:r w:rsidR="0072552F" w:rsidRPr="004B520E">
        <w:t>10</w:t>
      </w:r>
      <w:r w:rsidRPr="004B520E">
        <w:t xml:space="preserve"> years since 2014–15, corresponding to</w:t>
      </w:r>
      <w:r w:rsidR="00F5200B" w:rsidRPr="004B520E">
        <w:t xml:space="preserve"> water deliveries to</w:t>
      </w:r>
      <w:r w:rsidRPr="004B520E">
        <w:t xml:space="preserve"> Barmah–Millewa Forest. Temporary river red gum swamp is commonly supported by environmental water due to its proximity and connectedness to lowland river channels. Fringing river red gums and swamps connected to waterways receive water during channel freshes or weir</w:t>
      </w:r>
      <w:r w:rsidR="00DB755D">
        <w:t>-</w:t>
      </w:r>
      <w:r w:rsidRPr="004B520E">
        <w:t xml:space="preserve">pool raising actions, in addition to actions that specifically target overbank </w:t>
      </w:r>
      <w:r w:rsidR="007421C8" w:rsidRPr="0072552F">
        <w:t>flooding.</w:t>
      </w:r>
      <w:bookmarkStart w:id="299" w:name="_Ref168036680"/>
      <w:bookmarkStart w:id="300" w:name="_Toc168579838"/>
      <w:bookmarkStart w:id="301" w:name="_Toc172283632"/>
    </w:p>
    <w:p w14:paraId="08563601" w14:textId="0F756B28" w:rsidR="000B224A" w:rsidRPr="004B520E" w:rsidRDefault="000B224A" w:rsidP="00113FC9">
      <w:pPr>
        <w:pStyle w:val="Heading2"/>
      </w:pPr>
      <w:bookmarkStart w:id="302" w:name="_Toc200743759"/>
      <w:bookmarkStart w:id="303" w:name="_Toc200743858"/>
      <w:bookmarkStart w:id="304" w:name="_Toc203682272"/>
      <w:bookmarkStart w:id="305" w:name="_Toc204606887"/>
      <w:r w:rsidRPr="004B520E">
        <w:t>Ramsar wetlands</w:t>
      </w:r>
      <w:bookmarkEnd w:id="299"/>
      <w:bookmarkEnd w:id="300"/>
      <w:bookmarkEnd w:id="301"/>
      <w:bookmarkEnd w:id="302"/>
      <w:bookmarkEnd w:id="303"/>
      <w:bookmarkEnd w:id="304"/>
      <w:bookmarkEnd w:id="305"/>
    </w:p>
    <w:p w14:paraId="3CAAD2F8" w14:textId="77777777" w:rsidR="00A1416C" w:rsidRPr="004B520E" w:rsidRDefault="00A1416C" w:rsidP="00A1416C">
      <w:pPr>
        <w:pStyle w:val="Boxedheadingblue"/>
        <w:rPr>
          <w:rStyle w:val="Italics"/>
          <w:i w:val="0"/>
        </w:rPr>
      </w:pPr>
      <w:bookmarkStart w:id="306" w:name="_Toc172283629"/>
      <w:bookmarkStart w:id="307" w:name="_Toc172290950"/>
      <w:bookmarkStart w:id="308" w:name="_Toc178668849"/>
      <w:r w:rsidRPr="004B520E">
        <w:t xml:space="preserve">What did </w:t>
      </w:r>
      <w:r w:rsidRPr="004B520E">
        <w:rPr>
          <w:rFonts w:cs="Calibri"/>
        </w:rPr>
        <w:t>Commonwealth environment</w:t>
      </w:r>
      <w:r w:rsidRPr="004B520E">
        <w:rPr>
          <w:rFonts w:eastAsiaTheme="majorEastAsia" w:cs="Calibri"/>
        </w:rPr>
        <w:t xml:space="preserve">al water </w:t>
      </w:r>
      <w:r w:rsidRPr="004B520E">
        <w:t>contribute to Ramsar wetlands in the Basin?</w:t>
      </w:r>
      <w:bookmarkEnd w:id="306"/>
      <w:bookmarkEnd w:id="307"/>
      <w:bookmarkEnd w:id="308"/>
    </w:p>
    <w:p w14:paraId="7D0B4517" w14:textId="2643C1AE" w:rsidR="0035012E" w:rsidRPr="004B520E" w:rsidRDefault="00A1416C" w:rsidP="00873F8C">
      <w:pPr>
        <w:pStyle w:val="Boxedtextblue"/>
      </w:pPr>
      <w:r w:rsidRPr="004B520E">
        <w:t>Basin Plan objective at paragraph 8.05(2)(a)</w:t>
      </w:r>
      <w:r w:rsidR="0010219C" w:rsidRPr="004B520E">
        <w:t xml:space="preserve"> is</w:t>
      </w:r>
      <w:r w:rsidRPr="004B520E">
        <w:t xml:space="preserve"> to protect and restore a subset of all water-dependent ecosystems of the Murray–Darling Basin, including by ensuring that declared Ramsar wetlands that depend on Basin water resources maintain their ecological character. In support of this objective, Commonwealth environmental water was delivered to 8 Ramsar </w:t>
      </w:r>
      <w:r w:rsidR="00B6484F">
        <w:t>S</w:t>
      </w:r>
      <w:r w:rsidRPr="004B520E">
        <w:t>ites</w:t>
      </w:r>
      <w:r w:rsidR="00D47685" w:rsidRPr="004B520E">
        <w:t xml:space="preserve"> in </w:t>
      </w:r>
      <w:r w:rsidR="00244943" w:rsidRPr="004B520E">
        <w:t>2023–24</w:t>
      </w:r>
      <w:r w:rsidRPr="004B520E">
        <w:t xml:space="preserve">, supporting approximately </w:t>
      </w:r>
      <w:r w:rsidR="00F02159" w:rsidRPr="00F02159">
        <w:t>172,667</w:t>
      </w:r>
      <w:r w:rsidR="0087639F">
        <w:t xml:space="preserve"> </w:t>
      </w:r>
      <w:r w:rsidRPr="004B520E">
        <w:t xml:space="preserve">ha of </w:t>
      </w:r>
      <w:r w:rsidR="00BF00F5">
        <w:t>5</w:t>
      </w:r>
      <w:r w:rsidR="00F02159">
        <w:t>0</w:t>
      </w:r>
      <w:r w:rsidR="00BF00F5" w:rsidRPr="004B520E">
        <w:t xml:space="preserve"> </w:t>
      </w:r>
      <w:r w:rsidRPr="004B520E">
        <w:t xml:space="preserve">ecosystem types within the Ramsar estate (including </w:t>
      </w:r>
      <w:r w:rsidR="0087639F">
        <w:t>l</w:t>
      </w:r>
      <w:r w:rsidRPr="004B520E">
        <w:t>akes Alexandrina and Albert and the Coorong)</w:t>
      </w:r>
      <w:r w:rsidR="0035012E" w:rsidRPr="004B520E">
        <w:t>.</w:t>
      </w:r>
    </w:p>
    <w:p w14:paraId="19EEBA53" w14:textId="28B86FEB" w:rsidR="009F208F" w:rsidRPr="004B520E" w:rsidRDefault="0087639F" w:rsidP="002F55AF">
      <w:pPr>
        <w:pStyle w:val="BodyText"/>
      </w:pPr>
      <w:r>
        <w:t>11</w:t>
      </w:r>
      <w:r w:rsidR="00472CE0" w:rsidRPr="004B520E">
        <w:t xml:space="preserve"> o</w:t>
      </w:r>
      <w:r w:rsidR="002F55AF" w:rsidRPr="004B520E">
        <w:t xml:space="preserve">f </w:t>
      </w:r>
      <w:r w:rsidR="00552822" w:rsidRPr="004B520E">
        <w:t xml:space="preserve">the </w:t>
      </w:r>
      <w:r w:rsidR="002F55AF" w:rsidRPr="004B520E">
        <w:t>16 Ramsar wetlands</w:t>
      </w:r>
      <w:r w:rsidR="002F55AF" w:rsidRPr="004B520E">
        <w:rPr>
          <w:rStyle w:val="FootnoteReference"/>
        </w:rPr>
        <w:footnoteReference w:id="7"/>
      </w:r>
      <w:r w:rsidR="002F55AF" w:rsidRPr="004B520E">
        <w:t xml:space="preserve"> in the Basin (</w:t>
      </w:r>
      <w:r w:rsidR="00FF0806" w:rsidRPr="004B520E">
        <w:fldChar w:fldCharType="begin"/>
      </w:r>
      <w:r w:rsidR="00FF0806" w:rsidRPr="004B520E">
        <w:instrText xml:space="preserve"> REF _Ref169077851 \h </w:instrText>
      </w:r>
      <w:r w:rsidR="00FF0806" w:rsidRPr="004B520E">
        <w:fldChar w:fldCharType="separate"/>
      </w:r>
      <w:r w:rsidR="00C43C1D" w:rsidRPr="004B520E">
        <w:t>Figure </w:t>
      </w:r>
      <w:r w:rsidR="00C43C1D">
        <w:rPr>
          <w:noProof/>
        </w:rPr>
        <w:t>2</w:t>
      </w:r>
      <w:r w:rsidR="00C43C1D" w:rsidRPr="004B520E">
        <w:t>.</w:t>
      </w:r>
      <w:r w:rsidR="00C43C1D">
        <w:rPr>
          <w:noProof/>
        </w:rPr>
        <w:t>14</w:t>
      </w:r>
      <w:r w:rsidR="00FF0806" w:rsidRPr="004B520E">
        <w:fldChar w:fldCharType="end"/>
      </w:r>
      <w:r w:rsidR="002F55AF" w:rsidRPr="004B520E">
        <w:t xml:space="preserve">) are actively supported by </w:t>
      </w:r>
      <w:r w:rsidR="00CB055B" w:rsidRPr="004B520E">
        <w:t>Commonwealth environmental water</w:t>
      </w:r>
      <w:r w:rsidR="002F55AF" w:rsidRPr="004B520E">
        <w:t xml:space="preserve">. The remaining 5 Ramsar </w:t>
      </w:r>
      <w:r w:rsidR="00B6484F">
        <w:t>S</w:t>
      </w:r>
      <w:r w:rsidR="002F55AF" w:rsidRPr="004B520E">
        <w:t>ites cannot receive environmental water</w:t>
      </w:r>
      <w:r w:rsidR="00EB3B85" w:rsidRPr="004B520E">
        <w:t xml:space="preserve"> due to their location</w:t>
      </w:r>
      <w:r w:rsidR="00D46C01">
        <w:t>s</w:t>
      </w:r>
      <w:r w:rsidR="00EB3B85" w:rsidRPr="004B520E">
        <w:t xml:space="preserve"> in </w:t>
      </w:r>
      <w:r w:rsidR="00C60D51" w:rsidRPr="004B520E">
        <w:t>the river system</w:t>
      </w:r>
      <w:r w:rsidR="009F208F" w:rsidRPr="004B520E">
        <w:t>.</w:t>
      </w:r>
    </w:p>
    <w:p w14:paraId="3F16D2C6" w14:textId="39A449B2" w:rsidR="0072552F" w:rsidRPr="004B520E" w:rsidRDefault="002F55AF" w:rsidP="0072552F">
      <w:pPr>
        <w:pStyle w:val="BodyText"/>
      </w:pPr>
      <w:r w:rsidRPr="004B520E">
        <w:rPr>
          <w:rStyle w:val="BodyTextChar"/>
        </w:rPr>
        <w:t xml:space="preserve">In </w:t>
      </w:r>
      <w:r w:rsidR="00244943" w:rsidRPr="004B520E">
        <w:rPr>
          <w:rStyle w:val="BodyTextChar"/>
        </w:rPr>
        <w:t>2023–24</w:t>
      </w:r>
      <w:r w:rsidRPr="004B520E">
        <w:rPr>
          <w:rStyle w:val="BodyTextChar"/>
        </w:rPr>
        <w:t xml:space="preserve">, </w:t>
      </w:r>
      <w:r w:rsidR="0072552F" w:rsidRPr="004B520E">
        <w:t xml:space="preserve">1,835 </w:t>
      </w:r>
      <w:r w:rsidRPr="004B520E">
        <w:rPr>
          <w:rStyle w:val="BodyTextChar"/>
        </w:rPr>
        <w:t xml:space="preserve">GL of </w:t>
      </w:r>
      <w:r w:rsidR="00F5200B" w:rsidRPr="004B520E">
        <w:rPr>
          <w:rStyle w:val="BodyTextChar"/>
        </w:rPr>
        <w:t xml:space="preserve">Commonwealth </w:t>
      </w:r>
      <w:r w:rsidRPr="004B520E">
        <w:rPr>
          <w:rStyle w:val="BodyTextChar"/>
        </w:rPr>
        <w:t>environmental water (</w:t>
      </w:r>
      <w:r w:rsidR="00343C57">
        <w:rPr>
          <w:rStyle w:val="BodyTextChar"/>
        </w:rPr>
        <w:t>~</w:t>
      </w:r>
      <w:r w:rsidR="0072552F" w:rsidRPr="004B520E">
        <w:rPr>
          <w:rStyle w:val="BodyTextChar"/>
        </w:rPr>
        <w:t>1,984</w:t>
      </w:r>
      <w:r w:rsidR="00F5200B" w:rsidRPr="004B520E">
        <w:rPr>
          <w:rStyle w:val="BodyTextChar"/>
        </w:rPr>
        <w:t xml:space="preserve"> GL </w:t>
      </w:r>
      <w:r w:rsidRPr="004B520E">
        <w:rPr>
          <w:rStyle w:val="BodyTextChar"/>
        </w:rPr>
        <w:t xml:space="preserve">across all water holders) </w:t>
      </w:r>
      <w:r w:rsidR="0072552F" w:rsidRPr="004B520E">
        <w:rPr>
          <w:rStyle w:val="BodyTextChar"/>
        </w:rPr>
        <w:t>was</w:t>
      </w:r>
      <w:r w:rsidRPr="004B520E">
        <w:rPr>
          <w:rStyle w:val="BodyTextChar"/>
        </w:rPr>
        <w:t xml:space="preserve"> delivered to 8 Ramsar </w:t>
      </w:r>
      <w:r w:rsidR="00B6484F">
        <w:rPr>
          <w:rStyle w:val="BodyTextChar"/>
        </w:rPr>
        <w:t>S</w:t>
      </w:r>
      <w:r w:rsidRPr="004B520E">
        <w:rPr>
          <w:rStyle w:val="BodyTextChar"/>
        </w:rPr>
        <w:t xml:space="preserve">ites in the Basin. In many instances, water delivered to floodplains is returned to the river and subsequently inundates Ramsar </w:t>
      </w:r>
      <w:r w:rsidR="00B6484F">
        <w:rPr>
          <w:rStyle w:val="BodyTextChar"/>
        </w:rPr>
        <w:t>S</w:t>
      </w:r>
      <w:r w:rsidRPr="004B520E">
        <w:rPr>
          <w:rStyle w:val="BodyTextChar"/>
        </w:rPr>
        <w:t>ites downstream. For example, water in the Barmah Forest</w:t>
      </w:r>
      <w:r w:rsidR="009E1541">
        <w:rPr>
          <w:rStyle w:val="BodyTextChar"/>
        </w:rPr>
        <w:t xml:space="preserve"> </w:t>
      </w:r>
      <w:r w:rsidR="009E1541">
        <w:rPr>
          <w:rStyle w:val="BodyTextChar"/>
        </w:rPr>
        <w:lastRenderedPageBreak/>
        <w:t>Ramsar Site</w:t>
      </w:r>
      <w:r w:rsidRPr="004B520E">
        <w:rPr>
          <w:rStyle w:val="BodyTextChar"/>
        </w:rPr>
        <w:t xml:space="preserve"> flows back into the Murray and may inundate</w:t>
      </w:r>
      <w:r w:rsidR="00687FCD">
        <w:rPr>
          <w:rStyle w:val="BodyTextChar"/>
        </w:rPr>
        <w:t xml:space="preserve"> the</w:t>
      </w:r>
      <w:r w:rsidRPr="004B520E">
        <w:rPr>
          <w:rStyle w:val="BodyTextChar"/>
        </w:rPr>
        <w:t xml:space="preserve"> Gunbower Forest, Hattah–Kulkyne Lakes and Riverland Ramsar </w:t>
      </w:r>
      <w:r w:rsidR="00B6484F">
        <w:rPr>
          <w:rStyle w:val="BodyTextChar"/>
        </w:rPr>
        <w:t>S</w:t>
      </w:r>
      <w:r w:rsidRPr="004B520E">
        <w:rPr>
          <w:rStyle w:val="BodyTextChar"/>
        </w:rPr>
        <w:t xml:space="preserve">ites further downstream. </w:t>
      </w:r>
      <w:r w:rsidR="0072552F" w:rsidRPr="004B520E">
        <w:rPr>
          <w:rStyle w:val="BodyTextChar"/>
        </w:rPr>
        <w:t xml:space="preserve">In 2023–24, Commonwealth environmental water supported </w:t>
      </w:r>
      <w:r w:rsidR="0072552F" w:rsidRPr="004B520E">
        <w:t xml:space="preserve">vegetation listed as a critical component of the Ramsar </w:t>
      </w:r>
      <w:r w:rsidR="00B6484F">
        <w:t>S</w:t>
      </w:r>
      <w:r w:rsidR="0072552F" w:rsidRPr="004B520E">
        <w:t>ites. For example:</w:t>
      </w:r>
    </w:p>
    <w:p w14:paraId="69A0DAEE" w14:textId="77777777" w:rsidR="0072552F" w:rsidRPr="004B520E" w:rsidRDefault="0072552F" w:rsidP="002F293C">
      <w:pPr>
        <w:pStyle w:val="ListBullet"/>
      </w:pPr>
      <w:r w:rsidRPr="004B520E">
        <w:t>23,495 ha (100%) of river red gum swamp in the Barmah Forest Ramsar Site</w:t>
      </w:r>
    </w:p>
    <w:p w14:paraId="5AFBD6F8" w14:textId="77777777" w:rsidR="0072552F" w:rsidRPr="004B520E" w:rsidRDefault="0072552F" w:rsidP="002F293C">
      <w:pPr>
        <w:pStyle w:val="ListBullet"/>
      </w:pPr>
      <w:r w:rsidRPr="004B520E">
        <w:t>8,895 ha of river red gum floodplain and another 658 ha of river red gum swamps in the NSW Central Murray State Forests Ramsar Site</w:t>
      </w:r>
    </w:p>
    <w:p w14:paraId="0A72C143" w14:textId="6EABF805" w:rsidR="0072552F" w:rsidRPr="004B520E" w:rsidRDefault="0072552F" w:rsidP="002F293C">
      <w:pPr>
        <w:pStyle w:val="ListBullet"/>
      </w:pPr>
      <w:r w:rsidRPr="004B520E">
        <w:t xml:space="preserve">extensive inundation (2,676 ha, </w:t>
      </w:r>
      <w:r w:rsidR="008E2D5C">
        <w:t>98</w:t>
      </w:r>
      <w:r w:rsidRPr="004B520E">
        <w:t>%) of the tall marsh of the Macquarie Marshes Ramsar Site</w:t>
      </w:r>
    </w:p>
    <w:p w14:paraId="6F6CE0A8" w14:textId="77777777" w:rsidR="0072552F" w:rsidRPr="004B520E" w:rsidRDefault="0072552F" w:rsidP="002F293C">
      <w:pPr>
        <w:pStyle w:val="ListBullet"/>
      </w:pPr>
      <w:r w:rsidRPr="004B520E">
        <w:t>inundation of 2,660 ha of lignum in the Narran Lakes Ramsar Site.</w:t>
      </w:r>
    </w:p>
    <w:p w14:paraId="1F46EBEA" w14:textId="0C4E1C84" w:rsidR="00E72A48" w:rsidRDefault="0072552F" w:rsidP="0072552F">
      <w:pPr>
        <w:pStyle w:val="BodyText"/>
      </w:pPr>
      <w:r w:rsidRPr="004B520E">
        <w:t xml:space="preserve">Over the 10 years since 2014, </w:t>
      </w:r>
      <w:r w:rsidRPr="004B520E">
        <w:rPr>
          <w:rStyle w:val="BodyTextChar"/>
        </w:rPr>
        <w:t xml:space="preserve">Commonwealth environmental water has supported </w:t>
      </w:r>
      <w:r w:rsidR="0000652B">
        <w:rPr>
          <w:rStyle w:val="BodyTextChar"/>
        </w:rPr>
        <w:t xml:space="preserve">all </w:t>
      </w:r>
      <w:r w:rsidRPr="004B520E">
        <w:rPr>
          <w:rStyle w:val="BodyTextChar"/>
        </w:rPr>
        <w:t xml:space="preserve">11 Ramsar </w:t>
      </w:r>
      <w:r w:rsidR="001F670F">
        <w:rPr>
          <w:rStyle w:val="BodyTextChar"/>
        </w:rPr>
        <w:t>Sites</w:t>
      </w:r>
      <w:r w:rsidR="001F670F" w:rsidRPr="004B520E">
        <w:rPr>
          <w:rStyle w:val="BodyTextChar"/>
        </w:rPr>
        <w:t xml:space="preserve"> </w:t>
      </w:r>
      <w:r w:rsidRPr="004B520E">
        <w:rPr>
          <w:rStyle w:val="BodyTextChar"/>
        </w:rPr>
        <w:t>(often in combination with other environmental water</w:t>
      </w:r>
      <w:r w:rsidR="007438DD">
        <w:rPr>
          <w:rStyle w:val="BodyTextChar"/>
        </w:rPr>
        <w:t xml:space="preserve"> [</w:t>
      </w:r>
      <w:r w:rsidR="007438DD">
        <w:rPr>
          <w:rStyle w:val="BodyTextChar"/>
        </w:rPr>
        <w:fldChar w:fldCharType="begin"/>
      </w:r>
      <w:r w:rsidR="007438DD">
        <w:rPr>
          <w:rStyle w:val="BodyTextChar"/>
        </w:rPr>
        <w:instrText xml:space="preserve"> REF _Ref200914203 \h </w:instrText>
      </w:r>
      <w:r w:rsidR="007438DD">
        <w:rPr>
          <w:rStyle w:val="BodyTextChar"/>
        </w:rPr>
      </w:r>
      <w:r w:rsidR="007438DD">
        <w:rPr>
          <w:rStyle w:val="BodyTextChar"/>
        </w:rPr>
        <w:fldChar w:fldCharType="separate"/>
      </w:r>
      <w:r w:rsidR="00C43C1D" w:rsidRPr="004B520E">
        <w:t>Table </w:t>
      </w:r>
      <w:r w:rsidR="00C43C1D">
        <w:rPr>
          <w:noProof/>
        </w:rPr>
        <w:t>2</w:t>
      </w:r>
      <w:r w:rsidR="00C43C1D" w:rsidRPr="004B520E">
        <w:t>.</w:t>
      </w:r>
      <w:r w:rsidR="00C43C1D">
        <w:rPr>
          <w:noProof/>
        </w:rPr>
        <w:t>3</w:t>
      </w:r>
      <w:r w:rsidR="007438DD">
        <w:rPr>
          <w:rStyle w:val="BodyTextChar"/>
        </w:rPr>
        <w:fldChar w:fldCharType="end"/>
      </w:r>
      <w:r w:rsidRPr="004B520E">
        <w:t>]). Some highlights include:</w:t>
      </w:r>
    </w:p>
    <w:p w14:paraId="73C5FDD9" w14:textId="358A1A87" w:rsidR="0072552F" w:rsidRPr="004B520E" w:rsidRDefault="0072552F" w:rsidP="002F293C">
      <w:pPr>
        <w:pStyle w:val="ListBullet"/>
      </w:pPr>
      <w:r w:rsidRPr="004B520E">
        <w:t xml:space="preserve">The Narran Lake Nature Reserve Ramsar Site received </w:t>
      </w:r>
      <w:r w:rsidRPr="004B520E">
        <w:rPr>
          <w:rStyle w:val="BodyTextChar"/>
        </w:rPr>
        <w:t xml:space="preserve">Commonwealth environmental water </w:t>
      </w:r>
      <w:r w:rsidRPr="004B520E">
        <w:t>to inundate lignum swamps and floodplains in 6 of the 10 years</w:t>
      </w:r>
    </w:p>
    <w:p w14:paraId="7ED5241E" w14:textId="622338E7" w:rsidR="00E72A48" w:rsidRDefault="0072552F" w:rsidP="002F293C">
      <w:pPr>
        <w:pStyle w:val="ListBullet"/>
      </w:pPr>
      <w:r w:rsidRPr="004B520E">
        <w:t>Commonwealth environmental water contributed to inundation of the Macquarie Marshes Ramsar Site in 9 of the 10 years</w:t>
      </w:r>
    </w:p>
    <w:p w14:paraId="2211D5BD" w14:textId="5EDD0274" w:rsidR="0072552F" w:rsidRPr="004B520E" w:rsidRDefault="0072552F" w:rsidP="002F293C">
      <w:pPr>
        <w:pStyle w:val="ListBullet"/>
      </w:pPr>
      <w:r w:rsidRPr="004B520E">
        <w:t>Barmah Forest Ramsar Site received Commonwealth environmental water in 8 of the 10 years</w:t>
      </w:r>
      <w:r w:rsidR="00753D96">
        <w:t>, and</w:t>
      </w:r>
      <w:r w:rsidRPr="004B520E">
        <w:t xml:space="preserve"> other sources of water inundat</w:t>
      </w:r>
      <w:r w:rsidR="00753D96">
        <w:t>ed</w:t>
      </w:r>
      <w:r w:rsidRPr="004B520E">
        <w:t xml:space="preserve"> the site </w:t>
      </w:r>
      <w:r w:rsidR="00E17AE3" w:rsidRPr="004B520E">
        <w:t>in the other 2 years</w:t>
      </w:r>
      <w:r w:rsidRPr="004B520E">
        <w:t>.</w:t>
      </w:r>
    </w:p>
    <w:p w14:paraId="4D9A1D4F" w14:textId="61E0A586" w:rsidR="001117AB" w:rsidRPr="004B520E" w:rsidRDefault="001117AB" w:rsidP="000B73AA">
      <w:pPr>
        <w:pStyle w:val="CaptionWithNote"/>
      </w:pPr>
      <w:bookmarkStart w:id="309" w:name="_Ref168585850"/>
      <w:bookmarkStart w:id="310" w:name="_Ref169077851"/>
      <w:bookmarkStart w:id="311" w:name="_Toc172283757"/>
      <w:bookmarkStart w:id="312" w:name="_Toc172283781"/>
      <w:bookmarkStart w:id="313" w:name="_Toc172290278"/>
      <w:bookmarkStart w:id="314" w:name="_Toc206528491"/>
      <w:r w:rsidRPr="004B520E">
        <w:lastRenderedPageBreak/>
        <w:t>Figure</w:t>
      </w:r>
      <w:r w:rsidR="008A7DD7" w:rsidRPr="004B520E">
        <w:t> </w:t>
      </w:r>
      <w:r>
        <w:fldChar w:fldCharType="begin"/>
      </w:r>
      <w:r>
        <w:instrText>STYLEREF 1 \s</w:instrText>
      </w:r>
      <w:r>
        <w:fldChar w:fldCharType="separate"/>
      </w:r>
      <w:r w:rsidR="00C43C1D">
        <w:rPr>
          <w:noProof/>
        </w:rPr>
        <w:t>2</w:t>
      </w:r>
      <w:r>
        <w:fldChar w:fldCharType="end"/>
      </w:r>
      <w:r w:rsidR="000E33F7" w:rsidRPr="004B520E">
        <w:t>.</w:t>
      </w:r>
      <w:r>
        <w:fldChar w:fldCharType="begin"/>
      </w:r>
      <w:r>
        <w:instrText>SEQ Figure \* ARABIC \s 1</w:instrText>
      </w:r>
      <w:r>
        <w:fldChar w:fldCharType="separate"/>
      </w:r>
      <w:r w:rsidR="00C43C1D">
        <w:rPr>
          <w:noProof/>
        </w:rPr>
        <w:t>14</w:t>
      </w:r>
      <w:r>
        <w:fldChar w:fldCharType="end"/>
      </w:r>
      <w:bookmarkEnd w:id="309"/>
      <w:bookmarkEnd w:id="310"/>
      <w:r w:rsidRPr="004B520E">
        <w:t xml:space="preserve"> </w:t>
      </w:r>
      <w:r w:rsidR="00916DB6">
        <w:t xml:space="preserve">Map showing the location and names of </w:t>
      </w:r>
      <w:r w:rsidRPr="004B520E">
        <w:t xml:space="preserve">Ramsar </w:t>
      </w:r>
      <w:r w:rsidR="005277E7">
        <w:t>S</w:t>
      </w:r>
      <w:r w:rsidRPr="004B520E">
        <w:t>ites in the Murray–</w:t>
      </w:r>
      <w:r w:rsidRPr="00277790">
        <w:t>Darling</w:t>
      </w:r>
      <w:r w:rsidRPr="004B520E">
        <w:t xml:space="preserve"> Basin</w:t>
      </w:r>
      <w:bookmarkEnd w:id="311"/>
      <w:bookmarkEnd w:id="312"/>
      <w:bookmarkEnd w:id="313"/>
      <w:bookmarkEnd w:id="314"/>
    </w:p>
    <w:p w14:paraId="0A819FD9" w14:textId="3D5268E7" w:rsidR="0072552F" w:rsidRPr="004B520E" w:rsidRDefault="001117AB" w:rsidP="00277790">
      <w:pPr>
        <w:pStyle w:val="CaptionNote"/>
      </w:pPr>
      <w:r w:rsidRPr="004B520E">
        <w:t xml:space="preserve">Those </w:t>
      </w:r>
      <w:r w:rsidR="00277790">
        <w:t xml:space="preserve">that </w:t>
      </w:r>
      <w:r w:rsidRPr="004B520E">
        <w:t>receiv</w:t>
      </w:r>
      <w:r w:rsidR="00277790">
        <w:t>ed</w:t>
      </w:r>
      <w:r w:rsidRPr="004B520E">
        <w:t xml:space="preserve"> Commonwealth environmental water between </w:t>
      </w:r>
      <w:r w:rsidR="00244943" w:rsidRPr="004B520E">
        <w:t>2014</w:t>
      </w:r>
      <w:r w:rsidR="00277790">
        <w:t xml:space="preserve"> and 20</w:t>
      </w:r>
      <w:r w:rsidR="00244943" w:rsidRPr="004B520E">
        <w:t>24</w:t>
      </w:r>
      <w:r w:rsidRPr="004B520E">
        <w:t xml:space="preserve"> are </w:t>
      </w:r>
      <w:r w:rsidRPr="00277790">
        <w:t>highlighted</w:t>
      </w:r>
      <w:r w:rsidRPr="004B520E">
        <w:t xml:space="preserve"> in blue</w:t>
      </w:r>
      <w:bookmarkStart w:id="315" w:name="_Ref168385503"/>
      <w:bookmarkStart w:id="316" w:name="_Toc172291859"/>
      <w:r w:rsidR="0035012E" w:rsidRPr="004B520E">
        <w:t>.</w:t>
      </w:r>
    </w:p>
    <w:p w14:paraId="454D3F31" w14:textId="77777777" w:rsidR="0059143B" w:rsidRPr="004B520E" w:rsidRDefault="002F293C" w:rsidP="009F27D2">
      <w:pPr>
        <w:pStyle w:val="Figure"/>
      </w:pPr>
      <w:r w:rsidRPr="004B520E">
        <w:rPr>
          <w:noProof/>
        </w:rPr>
        <w:drawing>
          <wp:inline distT="0" distB="0" distL="0" distR="0" wp14:anchorId="4C6C6211" wp14:editId="016E47E2">
            <wp:extent cx="6120000" cy="5436799"/>
            <wp:effectExtent l="0" t="0" r="0" b="0"/>
            <wp:docPr id="1770891209" name="Picture 177089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91209" name="Picture 1770891209">
                      <a:extLst>
                        <a:ext uri="{C183D7F6-B498-43B3-948B-1728B52AA6E4}">
                          <adec:decorative xmlns:adec="http://schemas.microsoft.com/office/drawing/2017/decorative" val="1"/>
                        </a:ext>
                      </a:extLst>
                    </pic:cNvPr>
                    <pic:cNvPicPr/>
                  </pic:nvPicPr>
                  <pic:blipFill>
                    <a:blip r:embed="rId56"/>
                    <a:stretch>
                      <a:fillRect/>
                    </a:stretch>
                  </pic:blipFill>
                  <pic:spPr>
                    <a:xfrm>
                      <a:off x="0" y="0"/>
                      <a:ext cx="6120000" cy="5436799"/>
                    </a:xfrm>
                    <a:prstGeom prst="rect">
                      <a:avLst/>
                    </a:prstGeom>
                  </pic:spPr>
                </pic:pic>
              </a:graphicData>
            </a:graphic>
          </wp:inline>
        </w:drawing>
      </w:r>
    </w:p>
    <w:p w14:paraId="2B3105BD" w14:textId="77777777" w:rsidR="0059143B" w:rsidRPr="004B520E" w:rsidRDefault="0059143B" w:rsidP="0059143B"/>
    <w:p w14:paraId="666273D4" w14:textId="77777777" w:rsidR="005565F5" w:rsidRPr="004B520E" w:rsidRDefault="005565F5" w:rsidP="0059143B">
      <w:pPr>
        <w:sectPr w:rsidR="005565F5" w:rsidRPr="004B520E" w:rsidSect="00D96429">
          <w:headerReference w:type="even" r:id="rId57"/>
          <w:headerReference w:type="default" r:id="rId58"/>
          <w:footerReference w:type="even" r:id="rId59"/>
          <w:footerReference w:type="default" r:id="rId60"/>
          <w:headerReference w:type="first" r:id="rId61"/>
          <w:type w:val="oddPage"/>
          <w:pgSz w:w="11906" w:h="16838" w:code="9"/>
          <w:pgMar w:top="1134" w:right="1134" w:bottom="1134" w:left="1134" w:header="510" w:footer="510" w:gutter="0"/>
          <w:pgNumType w:start="1"/>
          <w:cols w:space="284"/>
          <w:docGrid w:linePitch="360"/>
        </w:sectPr>
      </w:pPr>
    </w:p>
    <w:p w14:paraId="1F827EE5" w14:textId="2B69DA56" w:rsidR="00DC5DE5" w:rsidRPr="004B520E" w:rsidRDefault="00DC5DE5" w:rsidP="00BF73A8">
      <w:pPr>
        <w:pStyle w:val="CaptionWithNote"/>
      </w:pPr>
      <w:bookmarkStart w:id="317" w:name="_Ref200914203"/>
      <w:bookmarkStart w:id="318" w:name="_Toc204609871"/>
      <w:r w:rsidRPr="004B520E">
        <w:lastRenderedPageBreak/>
        <w:t>Table</w:t>
      </w:r>
      <w:r w:rsidR="00C1708B" w:rsidRPr="004B520E">
        <w:t> </w:t>
      </w:r>
      <w:r>
        <w:fldChar w:fldCharType="begin"/>
      </w:r>
      <w:r>
        <w:instrText>STYLEREF 1 \s</w:instrText>
      </w:r>
      <w:r>
        <w:fldChar w:fldCharType="separate"/>
      </w:r>
      <w:r w:rsidR="00C43C1D">
        <w:rPr>
          <w:noProof/>
        </w:rPr>
        <w:t>2</w:t>
      </w:r>
      <w:r>
        <w:fldChar w:fldCharType="end"/>
      </w:r>
      <w:r w:rsidR="00C33671" w:rsidRPr="004B520E">
        <w:t>.</w:t>
      </w:r>
      <w:r>
        <w:fldChar w:fldCharType="begin"/>
      </w:r>
      <w:r>
        <w:instrText>SEQ Table \* ARABIC \s 1</w:instrText>
      </w:r>
      <w:r>
        <w:fldChar w:fldCharType="separate"/>
      </w:r>
      <w:r w:rsidR="00C43C1D">
        <w:rPr>
          <w:noProof/>
        </w:rPr>
        <w:t>3</w:t>
      </w:r>
      <w:r>
        <w:fldChar w:fldCharType="end"/>
      </w:r>
      <w:bookmarkEnd w:id="315"/>
      <w:bookmarkEnd w:id="317"/>
      <w:r w:rsidRPr="004B520E">
        <w:t xml:space="preserve"> Areas of Ramsar </w:t>
      </w:r>
      <w:r w:rsidR="00FD2713">
        <w:t>S</w:t>
      </w:r>
      <w:r w:rsidRPr="004B520E">
        <w:t xml:space="preserve">ites </w:t>
      </w:r>
      <w:r w:rsidR="00E339D1" w:rsidRPr="004B520E">
        <w:t>supported</w:t>
      </w:r>
      <w:r w:rsidRPr="004B520E">
        <w:t xml:space="preserve"> by </w:t>
      </w:r>
      <w:r w:rsidR="00CB055B" w:rsidRPr="004B520E">
        <w:t>Commonwealth environmental water</w:t>
      </w:r>
      <w:r w:rsidRPr="004B520E">
        <w:t xml:space="preserve">, </w:t>
      </w:r>
      <w:r w:rsidR="00244943" w:rsidRPr="004B520E">
        <w:t>2014–24</w:t>
      </w:r>
      <w:bookmarkEnd w:id="316"/>
      <w:bookmarkEnd w:id="318"/>
    </w:p>
    <w:p w14:paraId="47EEC5DA" w14:textId="210E3D65" w:rsidR="00D92A5C" w:rsidRDefault="00BB356E" w:rsidP="007326AB">
      <w:pPr>
        <w:pStyle w:val="CaptionNote"/>
      </w:pPr>
      <w:r w:rsidRPr="004B520E">
        <w:t xml:space="preserve">Most water delivery to Ramsar </w:t>
      </w:r>
      <w:r w:rsidR="00B6484F">
        <w:t>S</w:t>
      </w:r>
      <w:r w:rsidRPr="004B520E">
        <w:t xml:space="preserve">ites </w:t>
      </w:r>
      <w:r w:rsidR="00DF0A03" w:rsidRPr="004B520E">
        <w:t>was</w:t>
      </w:r>
      <w:r w:rsidRPr="004B520E">
        <w:t xml:space="preserve"> in conjunction with other water</w:t>
      </w:r>
      <w:r w:rsidR="006410AE" w:rsidRPr="004B520E">
        <w:t>,</w:t>
      </w:r>
      <w:r w:rsidRPr="004B520E">
        <w:t xml:space="preserve"> and the </w:t>
      </w:r>
      <w:r w:rsidR="000128DA" w:rsidRPr="004B520E">
        <w:t>areal contribution of C</w:t>
      </w:r>
      <w:r w:rsidR="00985377" w:rsidRPr="004B520E">
        <w:t>ommonwealth environmental water</w:t>
      </w:r>
      <w:r w:rsidR="000128DA" w:rsidRPr="004B520E">
        <w:t xml:space="preserve"> </w:t>
      </w:r>
      <w:r w:rsidRPr="004B520E">
        <w:t>cannot be apportioned</w:t>
      </w:r>
      <w:r w:rsidR="00A1416C" w:rsidRPr="004B520E">
        <w:t>.</w:t>
      </w:r>
      <w:r w:rsidR="00FD2713">
        <w:t xml:space="preserve"> Areas are in hectares.</w:t>
      </w:r>
    </w:p>
    <w:p w14:paraId="3454B56F" w14:textId="460EB41E" w:rsidR="009A4CBB" w:rsidRPr="009A4CBB" w:rsidRDefault="009A4CBB" w:rsidP="005821CB">
      <w:pPr>
        <w:pStyle w:val="CaptionNote"/>
        <w:keepNext w:val="0"/>
      </w:pPr>
      <w:r w:rsidRPr="004B520E">
        <w:rPr>
          <w:vertAlign w:val="superscript"/>
        </w:rPr>
        <w:t>a</w:t>
      </w:r>
      <w:r w:rsidRPr="004B520E">
        <w:t xml:space="preserve"> Gingham and Lower Gwydir (Big Leather) Watercourses</w:t>
      </w:r>
      <w:r w:rsidRPr="004B520E">
        <w:br/>
      </w:r>
      <w:r w:rsidRPr="004B520E">
        <w:rPr>
          <w:vertAlign w:val="superscript"/>
        </w:rPr>
        <w:t>b</w:t>
      </w:r>
      <w:r w:rsidRPr="004B520E">
        <w:t xml:space="preserve"> For this table, NSW Central Murray Forests includes Koondrook and Werai Forests – Millewa </w:t>
      </w:r>
      <w:r>
        <w:t>F</w:t>
      </w:r>
      <w:r w:rsidRPr="004B520E">
        <w:t>orest is included with Barmah Forest</w:t>
      </w:r>
      <w:r w:rsidRPr="004B520E">
        <w:br/>
      </w:r>
      <w:r w:rsidRPr="004B520E">
        <w:rPr>
          <w:vertAlign w:val="superscript"/>
        </w:rPr>
        <w:t>c</w:t>
      </w:r>
      <w:r w:rsidRPr="004B520E">
        <w:t xml:space="preserve"> No inundation mapped; however, Commonwealth environmental water support</w:t>
      </w:r>
      <w:r>
        <w:t>ed</w:t>
      </w:r>
      <w:r w:rsidRPr="004B520E">
        <w:t xml:space="preserve"> 52 km of Gunbower Creek base flows within the Gunbower Forest Ramsar Site.</w:t>
      </w:r>
    </w:p>
    <w:tbl>
      <w:tblPr>
        <w:tblStyle w:val="TableFlow-MER"/>
        <w:tblW w:w="5000" w:type="pct"/>
        <w:tblLayout w:type="fixed"/>
        <w:tblLook w:val="0460" w:firstRow="1" w:lastRow="1" w:firstColumn="0" w:lastColumn="0" w:noHBand="0" w:noVBand="1"/>
      </w:tblPr>
      <w:tblGrid>
        <w:gridCol w:w="2014"/>
        <w:gridCol w:w="1255"/>
        <w:gridCol w:w="1256"/>
        <w:gridCol w:w="1255"/>
        <w:gridCol w:w="1256"/>
        <w:gridCol w:w="1256"/>
        <w:gridCol w:w="1255"/>
        <w:gridCol w:w="1256"/>
        <w:gridCol w:w="1255"/>
        <w:gridCol w:w="1256"/>
        <w:gridCol w:w="1256"/>
      </w:tblGrid>
      <w:tr w:rsidR="005565F5" w:rsidRPr="004B520E" w14:paraId="7DBDC5E1" w14:textId="7D903935" w:rsidTr="008759D5">
        <w:trPr>
          <w:cnfStyle w:val="100000000000" w:firstRow="1" w:lastRow="0" w:firstColumn="0" w:lastColumn="0" w:oddVBand="0" w:evenVBand="0" w:oddHBand="0" w:evenHBand="0" w:firstRowFirstColumn="0" w:firstRowLastColumn="0" w:lastRowFirstColumn="0" w:lastRowLastColumn="0"/>
          <w:trHeight w:val="264"/>
          <w:tblHeader/>
        </w:trPr>
        <w:tc>
          <w:tcPr>
            <w:tcW w:w="0" w:type="dxa"/>
            <w:noWrap/>
            <w:hideMark/>
          </w:tcPr>
          <w:p w14:paraId="6C4ACD5D" w14:textId="3A561C51" w:rsidR="0072552F" w:rsidRPr="004B520E" w:rsidRDefault="0072552F" w:rsidP="0024567F">
            <w:pPr>
              <w:pStyle w:val="ColumnHeading"/>
            </w:pPr>
            <w:bookmarkStart w:id="319" w:name="_Hlk137044528"/>
            <w:r w:rsidRPr="004B520E">
              <w:t xml:space="preserve">Ramsar </w:t>
            </w:r>
            <w:r w:rsidR="00FD2713">
              <w:t>Site</w:t>
            </w:r>
          </w:p>
        </w:tc>
        <w:tc>
          <w:tcPr>
            <w:tcW w:w="0" w:type="dxa"/>
            <w:noWrap/>
            <w:hideMark/>
          </w:tcPr>
          <w:p w14:paraId="0CB54F24" w14:textId="04ECDBE1" w:rsidR="0072552F" w:rsidRPr="004B520E" w:rsidRDefault="0072552F" w:rsidP="0024567F">
            <w:pPr>
              <w:pStyle w:val="ColumnHeading"/>
            </w:pPr>
            <w:r w:rsidRPr="004B520E">
              <w:t>2014–15</w:t>
            </w:r>
          </w:p>
        </w:tc>
        <w:tc>
          <w:tcPr>
            <w:tcW w:w="0" w:type="dxa"/>
            <w:noWrap/>
          </w:tcPr>
          <w:p w14:paraId="22A9D05A" w14:textId="0DBBF546" w:rsidR="0072552F" w:rsidRPr="004B520E" w:rsidRDefault="0072552F" w:rsidP="0024567F">
            <w:pPr>
              <w:pStyle w:val="ColumnHeading"/>
            </w:pPr>
            <w:r w:rsidRPr="004B520E">
              <w:t>2015–16</w:t>
            </w:r>
          </w:p>
        </w:tc>
        <w:tc>
          <w:tcPr>
            <w:tcW w:w="0" w:type="dxa"/>
            <w:noWrap/>
          </w:tcPr>
          <w:p w14:paraId="67AACFFB" w14:textId="7EBD2A2F" w:rsidR="0072552F" w:rsidRPr="004B520E" w:rsidRDefault="0072552F" w:rsidP="0024567F">
            <w:pPr>
              <w:pStyle w:val="ColumnHeading"/>
            </w:pPr>
            <w:r w:rsidRPr="004B520E">
              <w:t>2016–17</w:t>
            </w:r>
          </w:p>
        </w:tc>
        <w:tc>
          <w:tcPr>
            <w:tcW w:w="0" w:type="dxa"/>
            <w:noWrap/>
          </w:tcPr>
          <w:p w14:paraId="1EF9AE5F" w14:textId="3A085046" w:rsidR="0072552F" w:rsidRPr="004B520E" w:rsidRDefault="0072552F" w:rsidP="0024567F">
            <w:pPr>
              <w:pStyle w:val="ColumnHeading"/>
            </w:pPr>
            <w:r w:rsidRPr="004B520E">
              <w:t>2017–18</w:t>
            </w:r>
          </w:p>
        </w:tc>
        <w:tc>
          <w:tcPr>
            <w:tcW w:w="0" w:type="dxa"/>
            <w:noWrap/>
          </w:tcPr>
          <w:p w14:paraId="6BA33259" w14:textId="6BFC695D" w:rsidR="0072552F" w:rsidRPr="004B520E" w:rsidRDefault="0072552F" w:rsidP="0024567F">
            <w:pPr>
              <w:pStyle w:val="ColumnHeading"/>
            </w:pPr>
            <w:r w:rsidRPr="004B520E">
              <w:t>2018–19</w:t>
            </w:r>
          </w:p>
        </w:tc>
        <w:tc>
          <w:tcPr>
            <w:tcW w:w="0" w:type="dxa"/>
            <w:noWrap/>
          </w:tcPr>
          <w:p w14:paraId="6ECF773E" w14:textId="77777777" w:rsidR="0072552F" w:rsidRPr="004B520E" w:rsidRDefault="0072552F" w:rsidP="0024567F">
            <w:pPr>
              <w:pStyle w:val="ColumnHeading"/>
            </w:pPr>
            <w:r w:rsidRPr="004B520E">
              <w:t>2019–20</w:t>
            </w:r>
          </w:p>
        </w:tc>
        <w:tc>
          <w:tcPr>
            <w:tcW w:w="0" w:type="dxa"/>
          </w:tcPr>
          <w:p w14:paraId="281E698E" w14:textId="77777777" w:rsidR="0072552F" w:rsidRPr="004B520E" w:rsidRDefault="0072552F" w:rsidP="0024567F">
            <w:pPr>
              <w:pStyle w:val="ColumnHeading"/>
            </w:pPr>
            <w:r w:rsidRPr="004B520E">
              <w:t>2020–21</w:t>
            </w:r>
          </w:p>
        </w:tc>
        <w:tc>
          <w:tcPr>
            <w:tcW w:w="0" w:type="dxa"/>
          </w:tcPr>
          <w:p w14:paraId="31C432F2" w14:textId="4D63101E" w:rsidR="0072552F" w:rsidRPr="004B520E" w:rsidRDefault="0072552F" w:rsidP="0024567F">
            <w:pPr>
              <w:pStyle w:val="ColumnHeading"/>
            </w:pPr>
            <w:r w:rsidRPr="004B520E">
              <w:t>2021–22</w:t>
            </w:r>
          </w:p>
        </w:tc>
        <w:tc>
          <w:tcPr>
            <w:tcW w:w="0" w:type="dxa"/>
          </w:tcPr>
          <w:p w14:paraId="4EE336E5" w14:textId="41E84F91" w:rsidR="0072552F" w:rsidRPr="004B520E" w:rsidRDefault="0072552F" w:rsidP="0024567F">
            <w:pPr>
              <w:pStyle w:val="ColumnHeading"/>
            </w:pPr>
            <w:r w:rsidRPr="004B520E">
              <w:t>2022–23</w:t>
            </w:r>
          </w:p>
        </w:tc>
        <w:tc>
          <w:tcPr>
            <w:tcW w:w="0" w:type="dxa"/>
          </w:tcPr>
          <w:p w14:paraId="20EF97C6" w14:textId="774332D3" w:rsidR="0072552F" w:rsidRPr="004B520E" w:rsidRDefault="0072552F" w:rsidP="0024567F">
            <w:pPr>
              <w:pStyle w:val="ColumnHeading"/>
            </w:pPr>
            <w:r w:rsidRPr="004B520E">
              <w:t>2023–24</w:t>
            </w:r>
          </w:p>
        </w:tc>
      </w:tr>
      <w:tr w:rsidR="005565F5" w:rsidRPr="004B520E" w14:paraId="435A26FD" w14:textId="229E419A" w:rsidTr="008759D5">
        <w:trPr>
          <w:cnfStyle w:val="000000100000" w:firstRow="0" w:lastRow="0" w:firstColumn="0" w:lastColumn="0" w:oddVBand="0" w:evenVBand="0" w:oddHBand="1" w:evenHBand="0" w:firstRowFirstColumn="0" w:firstRowLastColumn="0" w:lastRowFirstColumn="0" w:lastRowLastColumn="0"/>
          <w:trHeight w:val="264"/>
        </w:trPr>
        <w:tc>
          <w:tcPr>
            <w:tcW w:w="0" w:type="dxa"/>
            <w:noWrap/>
            <w:hideMark/>
          </w:tcPr>
          <w:p w14:paraId="72C73099" w14:textId="7D985604" w:rsidR="0072552F" w:rsidRPr="004B520E" w:rsidRDefault="0072552F" w:rsidP="0024567F">
            <w:pPr>
              <w:pStyle w:val="TableText"/>
            </w:pPr>
            <w:r w:rsidRPr="004B520E">
              <w:t>Gwydir Wetlands</w:t>
            </w:r>
            <w:r w:rsidRPr="004B520E">
              <w:rPr>
                <w:vertAlign w:val="superscript"/>
              </w:rPr>
              <w:t>a</w:t>
            </w:r>
          </w:p>
        </w:tc>
        <w:tc>
          <w:tcPr>
            <w:tcW w:w="0" w:type="dxa"/>
            <w:noWrap/>
            <w:hideMark/>
          </w:tcPr>
          <w:p w14:paraId="5EA0613B" w14:textId="3039141A" w:rsidR="0072552F" w:rsidRPr="004B520E" w:rsidRDefault="0072552F" w:rsidP="00961278">
            <w:pPr>
              <w:pStyle w:val="TableTextRight"/>
              <w:ind w:right="227"/>
              <w:rPr>
                <w:bCs/>
              </w:rPr>
            </w:pPr>
            <w:r w:rsidRPr="004B520E">
              <w:t>648</w:t>
            </w:r>
          </w:p>
        </w:tc>
        <w:tc>
          <w:tcPr>
            <w:tcW w:w="0" w:type="dxa"/>
            <w:noWrap/>
            <w:hideMark/>
          </w:tcPr>
          <w:p w14:paraId="49BEF3D1" w14:textId="77777777" w:rsidR="0072552F" w:rsidRPr="004B520E" w:rsidRDefault="0072552F" w:rsidP="00961278">
            <w:pPr>
              <w:pStyle w:val="TableTextRight"/>
              <w:ind w:right="227"/>
              <w:rPr>
                <w:bCs/>
              </w:rPr>
            </w:pPr>
            <w:r w:rsidRPr="004B520E">
              <w:t>565</w:t>
            </w:r>
          </w:p>
        </w:tc>
        <w:tc>
          <w:tcPr>
            <w:tcW w:w="0" w:type="dxa"/>
            <w:noWrap/>
            <w:hideMark/>
          </w:tcPr>
          <w:p w14:paraId="3D9C7B88" w14:textId="18C4EE4F" w:rsidR="0072552F" w:rsidRPr="004B520E" w:rsidRDefault="0072552F" w:rsidP="00961278">
            <w:pPr>
              <w:pStyle w:val="TableTextRight"/>
              <w:ind w:right="227"/>
              <w:rPr>
                <w:bCs/>
              </w:rPr>
            </w:pPr>
            <w:r w:rsidRPr="004B520E">
              <w:t>649</w:t>
            </w:r>
          </w:p>
        </w:tc>
        <w:tc>
          <w:tcPr>
            <w:tcW w:w="0" w:type="dxa"/>
            <w:noWrap/>
            <w:hideMark/>
          </w:tcPr>
          <w:p w14:paraId="373BEBBF" w14:textId="77777777" w:rsidR="0072552F" w:rsidRPr="004B520E" w:rsidRDefault="0072552F" w:rsidP="00961278">
            <w:pPr>
              <w:pStyle w:val="TableTextRight"/>
              <w:ind w:right="227"/>
              <w:rPr>
                <w:bCs/>
              </w:rPr>
            </w:pPr>
            <w:r w:rsidRPr="004B520E">
              <w:t>618</w:t>
            </w:r>
          </w:p>
        </w:tc>
        <w:tc>
          <w:tcPr>
            <w:tcW w:w="0" w:type="dxa"/>
            <w:noWrap/>
            <w:hideMark/>
          </w:tcPr>
          <w:p w14:paraId="10CFC1FA" w14:textId="77777777" w:rsidR="0072552F" w:rsidRPr="004B520E" w:rsidRDefault="0072552F" w:rsidP="00961278">
            <w:pPr>
              <w:pStyle w:val="TableTextRight"/>
              <w:ind w:right="227"/>
              <w:rPr>
                <w:bCs/>
              </w:rPr>
            </w:pPr>
            <w:r w:rsidRPr="004B520E">
              <w:t>736</w:t>
            </w:r>
          </w:p>
        </w:tc>
        <w:tc>
          <w:tcPr>
            <w:tcW w:w="0" w:type="dxa"/>
            <w:noWrap/>
            <w:hideMark/>
          </w:tcPr>
          <w:p w14:paraId="0D514128" w14:textId="77777777" w:rsidR="0072552F" w:rsidRPr="004B520E" w:rsidRDefault="0072552F" w:rsidP="00961278">
            <w:pPr>
              <w:pStyle w:val="TableTextRight"/>
              <w:ind w:right="227"/>
              <w:rPr>
                <w:bCs/>
              </w:rPr>
            </w:pPr>
            <w:r w:rsidRPr="004B520E">
              <w:t>0</w:t>
            </w:r>
          </w:p>
        </w:tc>
        <w:tc>
          <w:tcPr>
            <w:tcW w:w="0" w:type="dxa"/>
          </w:tcPr>
          <w:p w14:paraId="013D4AE4" w14:textId="77777777" w:rsidR="0072552F" w:rsidRPr="004B520E" w:rsidRDefault="0072552F" w:rsidP="00961278">
            <w:pPr>
              <w:pStyle w:val="TableTextRight"/>
              <w:ind w:right="227"/>
              <w:rPr>
                <w:bCs/>
              </w:rPr>
            </w:pPr>
            <w:r w:rsidRPr="004B520E">
              <w:t>588</w:t>
            </w:r>
          </w:p>
        </w:tc>
        <w:tc>
          <w:tcPr>
            <w:tcW w:w="0" w:type="dxa"/>
          </w:tcPr>
          <w:p w14:paraId="276EB883" w14:textId="77777777" w:rsidR="0072552F" w:rsidRPr="004B520E" w:rsidRDefault="0072552F" w:rsidP="00961278">
            <w:pPr>
              <w:pStyle w:val="TableTextRight"/>
              <w:ind w:right="227"/>
              <w:rPr>
                <w:bCs/>
              </w:rPr>
            </w:pPr>
            <w:r w:rsidRPr="004B520E">
              <w:t>519</w:t>
            </w:r>
          </w:p>
        </w:tc>
        <w:tc>
          <w:tcPr>
            <w:tcW w:w="0" w:type="dxa"/>
          </w:tcPr>
          <w:p w14:paraId="5DA94F75" w14:textId="77777777" w:rsidR="0072552F" w:rsidRPr="004B520E" w:rsidRDefault="0072552F" w:rsidP="00961278">
            <w:pPr>
              <w:pStyle w:val="TableTextRight"/>
              <w:ind w:right="227"/>
              <w:rPr>
                <w:bCs/>
              </w:rPr>
            </w:pPr>
            <w:r w:rsidRPr="004B520E">
              <w:t>701</w:t>
            </w:r>
          </w:p>
        </w:tc>
        <w:tc>
          <w:tcPr>
            <w:tcW w:w="0" w:type="dxa"/>
          </w:tcPr>
          <w:p w14:paraId="2C476D0A" w14:textId="148913FD" w:rsidR="0072552F" w:rsidRPr="004B520E" w:rsidRDefault="0013291C" w:rsidP="00961278">
            <w:pPr>
              <w:pStyle w:val="TableTextRight"/>
              <w:ind w:right="227"/>
              <w:rPr>
                <w:bCs/>
              </w:rPr>
            </w:pPr>
            <w:r w:rsidRPr="004B520E">
              <w:t>5</w:t>
            </w:r>
            <w:r>
              <w:t>91</w:t>
            </w:r>
          </w:p>
        </w:tc>
      </w:tr>
      <w:tr w:rsidR="00C8319C" w:rsidRPr="004B520E" w14:paraId="0E2C29E3" w14:textId="4B2EE609" w:rsidTr="008759D5">
        <w:trPr>
          <w:cnfStyle w:val="000000010000" w:firstRow="0" w:lastRow="0" w:firstColumn="0" w:lastColumn="0" w:oddVBand="0" w:evenVBand="0" w:oddHBand="0" w:evenHBand="1" w:firstRowFirstColumn="0" w:firstRowLastColumn="0" w:lastRowFirstColumn="0" w:lastRowLastColumn="0"/>
          <w:trHeight w:val="264"/>
        </w:trPr>
        <w:tc>
          <w:tcPr>
            <w:tcW w:w="0" w:type="dxa"/>
            <w:noWrap/>
            <w:hideMark/>
          </w:tcPr>
          <w:p w14:paraId="74969438" w14:textId="77777777" w:rsidR="0072552F" w:rsidRPr="004B520E" w:rsidRDefault="0072552F" w:rsidP="007B35D7">
            <w:pPr>
              <w:pStyle w:val="TableText"/>
            </w:pPr>
            <w:r w:rsidRPr="004B520E">
              <w:t>Narran Lake Nature Reserve</w:t>
            </w:r>
          </w:p>
        </w:tc>
        <w:tc>
          <w:tcPr>
            <w:tcW w:w="0" w:type="dxa"/>
            <w:noWrap/>
            <w:tcMar>
              <w:left w:w="0" w:type="dxa"/>
              <w:bottom w:w="0" w:type="dxa"/>
              <w:right w:w="0" w:type="dxa"/>
            </w:tcMar>
            <w:hideMark/>
          </w:tcPr>
          <w:p w14:paraId="4FC12027"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hideMark/>
          </w:tcPr>
          <w:p w14:paraId="3EFB6317"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hideMark/>
          </w:tcPr>
          <w:p w14:paraId="4D154AE9" w14:textId="55F6FD67" w:rsidR="0072552F" w:rsidRPr="004B520E" w:rsidRDefault="0072552F" w:rsidP="00961278">
            <w:pPr>
              <w:pStyle w:val="TableTextRight"/>
              <w:ind w:right="227"/>
              <w:rPr>
                <w:bCs/>
              </w:rPr>
            </w:pPr>
            <w:r w:rsidRPr="004B520E">
              <w:t>838</w:t>
            </w:r>
          </w:p>
        </w:tc>
        <w:tc>
          <w:tcPr>
            <w:tcW w:w="0" w:type="dxa"/>
            <w:noWrap/>
            <w:tcMar>
              <w:left w:w="0" w:type="dxa"/>
              <w:bottom w:w="0" w:type="dxa"/>
              <w:right w:w="0" w:type="dxa"/>
            </w:tcMar>
          </w:tcPr>
          <w:p w14:paraId="44E7B984"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08C4D3E0"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hideMark/>
          </w:tcPr>
          <w:p w14:paraId="0200E077" w14:textId="77777777" w:rsidR="0072552F" w:rsidRPr="004B520E" w:rsidRDefault="0072552F" w:rsidP="00961278">
            <w:pPr>
              <w:pStyle w:val="TableTextRight"/>
              <w:ind w:right="227"/>
              <w:rPr>
                <w:bCs/>
              </w:rPr>
            </w:pPr>
            <w:r w:rsidRPr="004B520E">
              <w:t>4,380</w:t>
            </w:r>
          </w:p>
        </w:tc>
        <w:tc>
          <w:tcPr>
            <w:tcW w:w="0" w:type="dxa"/>
            <w:noWrap/>
            <w:tcMar>
              <w:left w:w="0" w:type="dxa"/>
              <w:bottom w:w="0" w:type="dxa"/>
              <w:right w:w="0" w:type="dxa"/>
            </w:tcMar>
          </w:tcPr>
          <w:p w14:paraId="76AFEF86" w14:textId="77777777" w:rsidR="0072552F" w:rsidRPr="004B520E" w:rsidRDefault="0072552F" w:rsidP="00961278">
            <w:pPr>
              <w:pStyle w:val="TableTextRight"/>
              <w:ind w:right="227"/>
              <w:rPr>
                <w:bCs/>
              </w:rPr>
            </w:pPr>
            <w:r w:rsidRPr="004B520E">
              <w:t>1,697</w:t>
            </w:r>
          </w:p>
        </w:tc>
        <w:tc>
          <w:tcPr>
            <w:tcW w:w="0" w:type="dxa"/>
            <w:noWrap/>
            <w:tcMar>
              <w:left w:w="0" w:type="dxa"/>
              <w:bottom w:w="0" w:type="dxa"/>
              <w:right w:w="0" w:type="dxa"/>
            </w:tcMar>
          </w:tcPr>
          <w:p w14:paraId="5684CDA9" w14:textId="77777777" w:rsidR="0072552F" w:rsidRPr="004B520E" w:rsidRDefault="0072552F" w:rsidP="00961278">
            <w:pPr>
              <w:pStyle w:val="TableTextRight"/>
              <w:ind w:right="227"/>
              <w:rPr>
                <w:bCs/>
              </w:rPr>
            </w:pPr>
            <w:r w:rsidRPr="004B520E">
              <w:t>2,376</w:t>
            </w:r>
          </w:p>
        </w:tc>
        <w:tc>
          <w:tcPr>
            <w:tcW w:w="0" w:type="dxa"/>
            <w:noWrap/>
            <w:tcMar>
              <w:left w:w="0" w:type="dxa"/>
              <w:bottom w:w="0" w:type="dxa"/>
              <w:right w:w="0" w:type="dxa"/>
            </w:tcMar>
          </w:tcPr>
          <w:p w14:paraId="3FD29F0A" w14:textId="77777777" w:rsidR="0072552F" w:rsidRPr="004B520E" w:rsidRDefault="0072552F" w:rsidP="00961278">
            <w:pPr>
              <w:pStyle w:val="TableTextRight"/>
              <w:ind w:right="227"/>
              <w:rPr>
                <w:bCs/>
              </w:rPr>
            </w:pPr>
            <w:r w:rsidRPr="004B520E">
              <w:t>2,322</w:t>
            </w:r>
          </w:p>
        </w:tc>
        <w:tc>
          <w:tcPr>
            <w:tcW w:w="0" w:type="dxa"/>
            <w:noWrap/>
            <w:tcMar>
              <w:left w:w="0" w:type="dxa"/>
              <w:bottom w:w="0" w:type="dxa"/>
              <w:right w:w="0" w:type="dxa"/>
            </w:tcMar>
          </w:tcPr>
          <w:p w14:paraId="613BB318" w14:textId="1CA3A314" w:rsidR="0072552F" w:rsidRPr="004B520E" w:rsidRDefault="0072552F" w:rsidP="00961278">
            <w:pPr>
              <w:pStyle w:val="TableTextRight"/>
              <w:ind w:right="227"/>
              <w:rPr>
                <w:bCs/>
              </w:rPr>
            </w:pPr>
            <w:r w:rsidRPr="004B520E">
              <w:t>3,779</w:t>
            </w:r>
          </w:p>
        </w:tc>
      </w:tr>
      <w:tr w:rsidR="00703A6D" w:rsidRPr="004B520E" w14:paraId="013EF7A2" w14:textId="4A529907" w:rsidTr="00B077B4">
        <w:trPr>
          <w:cnfStyle w:val="000000100000" w:firstRow="0" w:lastRow="0" w:firstColumn="0" w:lastColumn="0" w:oddVBand="0" w:evenVBand="0" w:oddHBand="1" w:evenHBand="0" w:firstRowFirstColumn="0" w:firstRowLastColumn="0" w:lastRowFirstColumn="0" w:lastRowLastColumn="0"/>
          <w:trHeight w:val="264"/>
        </w:trPr>
        <w:tc>
          <w:tcPr>
            <w:tcW w:w="2014" w:type="dxa"/>
            <w:noWrap/>
            <w:hideMark/>
          </w:tcPr>
          <w:p w14:paraId="4F4FA87B" w14:textId="77777777" w:rsidR="0072552F" w:rsidRPr="004B520E" w:rsidRDefault="0072552F" w:rsidP="007B35D7">
            <w:pPr>
              <w:pStyle w:val="TableText"/>
            </w:pPr>
            <w:r w:rsidRPr="004B520E">
              <w:t>Macquarie Marshes</w:t>
            </w:r>
          </w:p>
        </w:tc>
        <w:tc>
          <w:tcPr>
            <w:tcW w:w="1255" w:type="dxa"/>
            <w:noWrap/>
            <w:tcMar>
              <w:left w:w="0" w:type="dxa"/>
              <w:bottom w:w="0" w:type="dxa"/>
              <w:right w:w="0" w:type="dxa"/>
            </w:tcMar>
            <w:hideMark/>
          </w:tcPr>
          <w:p w14:paraId="3DFF474F" w14:textId="7F6434CD" w:rsidR="0072552F" w:rsidRPr="004B520E" w:rsidRDefault="0072552F" w:rsidP="00961278">
            <w:pPr>
              <w:pStyle w:val="TableTextRight"/>
              <w:ind w:right="227"/>
              <w:rPr>
                <w:bCs/>
              </w:rPr>
            </w:pPr>
            <w:r w:rsidRPr="004B520E">
              <w:t>5,471</w:t>
            </w:r>
          </w:p>
        </w:tc>
        <w:tc>
          <w:tcPr>
            <w:tcW w:w="1256" w:type="dxa"/>
            <w:noWrap/>
            <w:tcMar>
              <w:left w:w="0" w:type="dxa"/>
              <w:bottom w:w="0" w:type="dxa"/>
              <w:right w:w="0" w:type="dxa"/>
            </w:tcMar>
            <w:hideMark/>
          </w:tcPr>
          <w:p w14:paraId="055F6643" w14:textId="424A9B40" w:rsidR="0072552F" w:rsidRPr="004B520E" w:rsidRDefault="0072552F" w:rsidP="00961278">
            <w:pPr>
              <w:pStyle w:val="TableTextRight"/>
              <w:ind w:right="227"/>
              <w:rPr>
                <w:bCs/>
              </w:rPr>
            </w:pPr>
            <w:r w:rsidRPr="004B520E">
              <w:t>6,118</w:t>
            </w:r>
          </w:p>
        </w:tc>
        <w:tc>
          <w:tcPr>
            <w:tcW w:w="1255" w:type="dxa"/>
            <w:noWrap/>
            <w:tcMar>
              <w:left w:w="0" w:type="dxa"/>
              <w:bottom w:w="0" w:type="dxa"/>
              <w:right w:w="0" w:type="dxa"/>
            </w:tcMar>
            <w:hideMark/>
          </w:tcPr>
          <w:p w14:paraId="37E2D389" w14:textId="4332CCFA" w:rsidR="0072552F" w:rsidRPr="004B520E" w:rsidRDefault="0072552F" w:rsidP="00961278">
            <w:pPr>
              <w:pStyle w:val="TableTextRight"/>
              <w:ind w:right="227"/>
              <w:rPr>
                <w:bCs/>
              </w:rPr>
            </w:pPr>
            <w:r w:rsidRPr="004B520E">
              <w:t>8,364</w:t>
            </w:r>
          </w:p>
        </w:tc>
        <w:tc>
          <w:tcPr>
            <w:tcW w:w="1256" w:type="dxa"/>
            <w:noWrap/>
            <w:tcMar>
              <w:left w:w="0" w:type="dxa"/>
              <w:bottom w:w="0" w:type="dxa"/>
              <w:right w:w="0" w:type="dxa"/>
            </w:tcMar>
            <w:hideMark/>
          </w:tcPr>
          <w:p w14:paraId="13D9F548" w14:textId="0EEE6DC9" w:rsidR="0072552F" w:rsidRPr="004B520E" w:rsidRDefault="0072552F" w:rsidP="00961278">
            <w:pPr>
              <w:pStyle w:val="TableTextRight"/>
              <w:ind w:right="227"/>
              <w:rPr>
                <w:bCs/>
              </w:rPr>
            </w:pPr>
            <w:r w:rsidRPr="004B520E">
              <w:t>8,632</w:t>
            </w:r>
          </w:p>
        </w:tc>
        <w:tc>
          <w:tcPr>
            <w:tcW w:w="1256" w:type="dxa"/>
            <w:noWrap/>
            <w:tcMar>
              <w:left w:w="0" w:type="dxa"/>
              <w:bottom w:w="0" w:type="dxa"/>
              <w:right w:w="0" w:type="dxa"/>
            </w:tcMar>
            <w:hideMark/>
          </w:tcPr>
          <w:p w14:paraId="2BA37BB6" w14:textId="6BF67F20" w:rsidR="0072552F" w:rsidRPr="004B520E" w:rsidRDefault="0072552F" w:rsidP="00961278">
            <w:pPr>
              <w:pStyle w:val="TableTextRight"/>
              <w:ind w:right="227"/>
              <w:rPr>
                <w:bCs/>
              </w:rPr>
            </w:pPr>
            <w:r w:rsidRPr="004B520E">
              <w:t>6,848</w:t>
            </w:r>
          </w:p>
        </w:tc>
        <w:tc>
          <w:tcPr>
            <w:tcW w:w="1255" w:type="dxa"/>
            <w:noWrap/>
            <w:tcMar>
              <w:left w:w="0" w:type="dxa"/>
              <w:bottom w:w="0" w:type="dxa"/>
              <w:right w:w="0" w:type="dxa"/>
            </w:tcMar>
            <w:hideMark/>
          </w:tcPr>
          <w:p w14:paraId="39CDC391" w14:textId="77777777" w:rsidR="0072552F" w:rsidRPr="004B520E" w:rsidRDefault="0072552F" w:rsidP="00961278">
            <w:pPr>
              <w:pStyle w:val="TableTextRight"/>
              <w:ind w:right="227"/>
              <w:rPr>
                <w:bCs/>
              </w:rPr>
            </w:pPr>
            <w:r w:rsidRPr="004B520E">
              <w:t>0</w:t>
            </w:r>
          </w:p>
        </w:tc>
        <w:tc>
          <w:tcPr>
            <w:tcW w:w="1256" w:type="dxa"/>
            <w:noWrap/>
            <w:tcMar>
              <w:left w:w="0" w:type="dxa"/>
              <w:bottom w:w="0" w:type="dxa"/>
              <w:right w:w="0" w:type="dxa"/>
            </w:tcMar>
          </w:tcPr>
          <w:p w14:paraId="25D47256" w14:textId="6A77D6EC" w:rsidR="0072552F" w:rsidRPr="004B520E" w:rsidRDefault="0072552F" w:rsidP="00961278">
            <w:pPr>
              <w:pStyle w:val="TableTextRight"/>
              <w:ind w:right="227"/>
              <w:rPr>
                <w:bCs/>
              </w:rPr>
            </w:pPr>
            <w:r w:rsidRPr="004B520E">
              <w:t>7,143</w:t>
            </w:r>
          </w:p>
        </w:tc>
        <w:tc>
          <w:tcPr>
            <w:tcW w:w="1255" w:type="dxa"/>
            <w:noWrap/>
            <w:tcMar>
              <w:left w:w="0" w:type="dxa"/>
              <w:bottom w:w="0" w:type="dxa"/>
              <w:right w:w="0" w:type="dxa"/>
            </w:tcMar>
          </w:tcPr>
          <w:p w14:paraId="62330CDB" w14:textId="77777777" w:rsidR="0072552F" w:rsidRPr="004B520E" w:rsidRDefault="0072552F" w:rsidP="00961278">
            <w:pPr>
              <w:pStyle w:val="TableTextRight"/>
              <w:ind w:right="227"/>
              <w:rPr>
                <w:bCs/>
              </w:rPr>
            </w:pPr>
            <w:r w:rsidRPr="004B520E">
              <w:t>11,396</w:t>
            </w:r>
          </w:p>
        </w:tc>
        <w:tc>
          <w:tcPr>
            <w:tcW w:w="1256" w:type="dxa"/>
            <w:noWrap/>
            <w:tcMar>
              <w:left w:w="0" w:type="dxa"/>
              <w:bottom w:w="0" w:type="dxa"/>
              <w:right w:w="0" w:type="dxa"/>
            </w:tcMar>
          </w:tcPr>
          <w:p w14:paraId="5B810F90" w14:textId="5E1C85F1" w:rsidR="0072552F" w:rsidRPr="004B520E" w:rsidRDefault="0072552F" w:rsidP="00961278">
            <w:pPr>
              <w:pStyle w:val="TableTextRight"/>
              <w:ind w:right="227"/>
              <w:rPr>
                <w:bCs/>
              </w:rPr>
            </w:pPr>
            <w:r w:rsidRPr="004B520E">
              <w:t>10,232</w:t>
            </w:r>
          </w:p>
        </w:tc>
        <w:tc>
          <w:tcPr>
            <w:tcW w:w="1256" w:type="dxa"/>
            <w:noWrap/>
            <w:tcMar>
              <w:left w:w="0" w:type="dxa"/>
              <w:bottom w:w="0" w:type="dxa"/>
              <w:right w:w="0" w:type="dxa"/>
            </w:tcMar>
          </w:tcPr>
          <w:p w14:paraId="5DC57E4D" w14:textId="3F63ACF0" w:rsidR="0072552F" w:rsidRPr="004B520E" w:rsidRDefault="0072552F" w:rsidP="00961278">
            <w:pPr>
              <w:pStyle w:val="TableTextRight"/>
              <w:ind w:right="227"/>
              <w:rPr>
                <w:bCs/>
              </w:rPr>
            </w:pPr>
            <w:r w:rsidRPr="004B520E">
              <w:t>10,290</w:t>
            </w:r>
          </w:p>
        </w:tc>
      </w:tr>
      <w:tr w:rsidR="00C8319C" w:rsidRPr="004B520E" w14:paraId="7720153B" w14:textId="7C8B4B3A" w:rsidTr="008759D5">
        <w:trPr>
          <w:cnfStyle w:val="000000010000" w:firstRow="0" w:lastRow="0" w:firstColumn="0" w:lastColumn="0" w:oddVBand="0" w:evenVBand="0" w:oddHBand="0" w:evenHBand="1" w:firstRowFirstColumn="0" w:firstRowLastColumn="0" w:lastRowFirstColumn="0" w:lastRowLastColumn="0"/>
          <w:trHeight w:val="264"/>
        </w:trPr>
        <w:tc>
          <w:tcPr>
            <w:tcW w:w="0" w:type="dxa"/>
            <w:noWrap/>
            <w:hideMark/>
          </w:tcPr>
          <w:p w14:paraId="17D4FF74" w14:textId="5991ED69" w:rsidR="0072552F" w:rsidRPr="004B520E" w:rsidRDefault="0072552F" w:rsidP="0072552F">
            <w:pPr>
              <w:pStyle w:val="TableText"/>
              <w:ind w:right="-90"/>
            </w:pPr>
            <w:r w:rsidRPr="004B520E">
              <w:t>Banrock Station Wetland Complex</w:t>
            </w:r>
          </w:p>
        </w:tc>
        <w:tc>
          <w:tcPr>
            <w:tcW w:w="0" w:type="dxa"/>
            <w:noWrap/>
            <w:tcMar>
              <w:left w:w="0" w:type="dxa"/>
              <w:bottom w:w="0" w:type="dxa"/>
              <w:right w:w="0" w:type="dxa"/>
            </w:tcMar>
            <w:hideMark/>
          </w:tcPr>
          <w:p w14:paraId="6158BB50" w14:textId="77777777" w:rsidR="0072552F" w:rsidRPr="004B520E" w:rsidRDefault="0072552F" w:rsidP="00961278">
            <w:pPr>
              <w:pStyle w:val="TableTextRight"/>
              <w:ind w:right="227"/>
              <w:rPr>
                <w:bCs/>
              </w:rPr>
            </w:pPr>
            <w:r w:rsidRPr="004B520E">
              <w:t>11</w:t>
            </w:r>
          </w:p>
        </w:tc>
        <w:tc>
          <w:tcPr>
            <w:tcW w:w="0" w:type="dxa"/>
            <w:noWrap/>
            <w:tcMar>
              <w:left w:w="0" w:type="dxa"/>
              <w:bottom w:w="0" w:type="dxa"/>
              <w:right w:w="0" w:type="dxa"/>
            </w:tcMar>
            <w:hideMark/>
          </w:tcPr>
          <w:p w14:paraId="2416D26B" w14:textId="63BFA234" w:rsidR="0072552F" w:rsidRPr="004B520E" w:rsidRDefault="0072552F" w:rsidP="00961278">
            <w:pPr>
              <w:pStyle w:val="TableTextRight"/>
              <w:ind w:right="227"/>
              <w:rPr>
                <w:bCs/>
              </w:rPr>
            </w:pPr>
            <w:r w:rsidRPr="004B520E">
              <w:t>495</w:t>
            </w:r>
          </w:p>
        </w:tc>
        <w:tc>
          <w:tcPr>
            <w:tcW w:w="0" w:type="dxa"/>
            <w:noWrap/>
            <w:tcMar>
              <w:left w:w="0" w:type="dxa"/>
              <w:bottom w:w="0" w:type="dxa"/>
              <w:right w:w="0" w:type="dxa"/>
            </w:tcMar>
            <w:hideMark/>
          </w:tcPr>
          <w:p w14:paraId="1A930AFF"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hideMark/>
          </w:tcPr>
          <w:p w14:paraId="16198DFD" w14:textId="49BE950F" w:rsidR="0072552F" w:rsidRPr="004B520E" w:rsidRDefault="0072552F" w:rsidP="00961278">
            <w:pPr>
              <w:pStyle w:val="TableTextRight"/>
              <w:ind w:right="227"/>
              <w:rPr>
                <w:bCs/>
              </w:rPr>
            </w:pPr>
            <w:r w:rsidRPr="004B520E">
              <w:t>301</w:t>
            </w:r>
          </w:p>
        </w:tc>
        <w:tc>
          <w:tcPr>
            <w:tcW w:w="0" w:type="dxa"/>
            <w:noWrap/>
            <w:tcMar>
              <w:left w:w="0" w:type="dxa"/>
              <w:bottom w:w="0" w:type="dxa"/>
              <w:right w:w="0" w:type="dxa"/>
            </w:tcMar>
            <w:hideMark/>
          </w:tcPr>
          <w:p w14:paraId="6D68E2F9" w14:textId="2F693711" w:rsidR="0072552F" w:rsidRPr="004B520E" w:rsidRDefault="0072552F" w:rsidP="00961278">
            <w:pPr>
              <w:pStyle w:val="TableTextRight"/>
              <w:ind w:right="227"/>
              <w:rPr>
                <w:bCs/>
              </w:rPr>
            </w:pPr>
            <w:r w:rsidRPr="004B520E">
              <w:t>91</w:t>
            </w:r>
          </w:p>
        </w:tc>
        <w:tc>
          <w:tcPr>
            <w:tcW w:w="0" w:type="dxa"/>
            <w:noWrap/>
            <w:tcMar>
              <w:left w:w="0" w:type="dxa"/>
              <w:bottom w:w="0" w:type="dxa"/>
              <w:right w:w="0" w:type="dxa"/>
            </w:tcMar>
            <w:hideMark/>
          </w:tcPr>
          <w:p w14:paraId="6BD84FE8" w14:textId="7272601D" w:rsidR="0072552F" w:rsidRPr="004B520E" w:rsidRDefault="0072552F" w:rsidP="00961278">
            <w:pPr>
              <w:pStyle w:val="TableTextRight"/>
              <w:ind w:right="227"/>
              <w:rPr>
                <w:bCs/>
              </w:rPr>
            </w:pPr>
            <w:r w:rsidRPr="004B520E">
              <w:t>59</w:t>
            </w:r>
          </w:p>
        </w:tc>
        <w:tc>
          <w:tcPr>
            <w:tcW w:w="0" w:type="dxa"/>
            <w:noWrap/>
            <w:tcMar>
              <w:left w:w="0" w:type="dxa"/>
              <w:bottom w:w="0" w:type="dxa"/>
              <w:right w:w="0" w:type="dxa"/>
            </w:tcMar>
          </w:tcPr>
          <w:p w14:paraId="647E7562" w14:textId="77777777" w:rsidR="0072552F" w:rsidRPr="004B520E" w:rsidRDefault="0072552F" w:rsidP="00961278">
            <w:pPr>
              <w:pStyle w:val="TableTextRight"/>
              <w:ind w:right="227"/>
              <w:rPr>
                <w:bCs/>
              </w:rPr>
            </w:pPr>
            <w:r w:rsidRPr="004B520E">
              <w:t>37</w:t>
            </w:r>
          </w:p>
        </w:tc>
        <w:tc>
          <w:tcPr>
            <w:tcW w:w="0" w:type="dxa"/>
            <w:noWrap/>
            <w:tcMar>
              <w:left w:w="0" w:type="dxa"/>
              <w:bottom w:w="0" w:type="dxa"/>
              <w:right w:w="0" w:type="dxa"/>
            </w:tcMar>
          </w:tcPr>
          <w:p w14:paraId="626A256A" w14:textId="77777777" w:rsidR="0072552F" w:rsidRPr="004B520E" w:rsidRDefault="0072552F" w:rsidP="00961278">
            <w:pPr>
              <w:pStyle w:val="TableTextRight"/>
              <w:ind w:right="227"/>
              <w:rPr>
                <w:bCs/>
              </w:rPr>
            </w:pPr>
            <w:r w:rsidRPr="004B520E">
              <w:t>243</w:t>
            </w:r>
          </w:p>
        </w:tc>
        <w:tc>
          <w:tcPr>
            <w:tcW w:w="0" w:type="dxa"/>
            <w:noWrap/>
            <w:tcMar>
              <w:left w:w="0" w:type="dxa"/>
              <w:bottom w:w="0" w:type="dxa"/>
              <w:right w:w="0" w:type="dxa"/>
            </w:tcMar>
          </w:tcPr>
          <w:p w14:paraId="1D2A342B"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06D1E88F" w14:textId="1D6B1DE8" w:rsidR="0072552F" w:rsidRPr="004B520E" w:rsidRDefault="0072552F" w:rsidP="00961278">
            <w:pPr>
              <w:pStyle w:val="TableTextRight"/>
              <w:ind w:right="227"/>
              <w:rPr>
                <w:bCs/>
              </w:rPr>
            </w:pPr>
            <w:r w:rsidRPr="004B520E">
              <w:t>0</w:t>
            </w:r>
          </w:p>
        </w:tc>
      </w:tr>
      <w:tr w:rsidR="00703A6D" w:rsidRPr="004B520E" w14:paraId="5693B12F" w14:textId="3DD36C6C" w:rsidTr="00B077B4">
        <w:trPr>
          <w:cnfStyle w:val="000000100000" w:firstRow="0" w:lastRow="0" w:firstColumn="0" w:lastColumn="0" w:oddVBand="0" w:evenVBand="0" w:oddHBand="1" w:evenHBand="0" w:firstRowFirstColumn="0" w:firstRowLastColumn="0" w:lastRowFirstColumn="0" w:lastRowLastColumn="0"/>
          <w:trHeight w:val="264"/>
        </w:trPr>
        <w:tc>
          <w:tcPr>
            <w:tcW w:w="2014" w:type="dxa"/>
            <w:noWrap/>
            <w:hideMark/>
          </w:tcPr>
          <w:p w14:paraId="24DB80CE" w14:textId="3A6FAC0D" w:rsidR="0072552F" w:rsidRPr="004B520E" w:rsidRDefault="0072552F" w:rsidP="007B35D7">
            <w:pPr>
              <w:pStyle w:val="TableText"/>
            </w:pPr>
            <w:r w:rsidRPr="004B520E">
              <w:t>Barmah Forest</w:t>
            </w:r>
            <w:r w:rsidRPr="004B520E">
              <w:rPr>
                <w:vertAlign w:val="superscript"/>
              </w:rPr>
              <w:t>b</w:t>
            </w:r>
          </w:p>
        </w:tc>
        <w:tc>
          <w:tcPr>
            <w:tcW w:w="1255" w:type="dxa"/>
            <w:noWrap/>
            <w:tcMar>
              <w:left w:w="0" w:type="dxa"/>
              <w:bottom w:w="0" w:type="dxa"/>
              <w:right w:w="0" w:type="dxa"/>
            </w:tcMar>
            <w:hideMark/>
          </w:tcPr>
          <w:p w14:paraId="13E928CB" w14:textId="0B21AB6D" w:rsidR="0072552F" w:rsidRPr="004B520E" w:rsidRDefault="0072552F" w:rsidP="00961278">
            <w:pPr>
              <w:pStyle w:val="TableTextRight"/>
              <w:ind w:right="227"/>
              <w:rPr>
                <w:bCs/>
              </w:rPr>
            </w:pPr>
            <w:r w:rsidRPr="004B520E">
              <w:t>0</w:t>
            </w:r>
          </w:p>
        </w:tc>
        <w:tc>
          <w:tcPr>
            <w:tcW w:w="1256" w:type="dxa"/>
            <w:noWrap/>
            <w:tcMar>
              <w:left w:w="0" w:type="dxa"/>
              <w:bottom w:w="0" w:type="dxa"/>
              <w:right w:w="0" w:type="dxa"/>
            </w:tcMar>
            <w:hideMark/>
          </w:tcPr>
          <w:p w14:paraId="72CEB1EF" w14:textId="28DE29AE" w:rsidR="0072552F" w:rsidRPr="004B520E" w:rsidRDefault="0072552F" w:rsidP="00961278">
            <w:pPr>
              <w:pStyle w:val="TableTextRight"/>
              <w:ind w:right="227"/>
              <w:rPr>
                <w:bCs/>
              </w:rPr>
            </w:pPr>
            <w:r w:rsidRPr="004B520E">
              <w:t>24,</w:t>
            </w:r>
            <w:r w:rsidRPr="004B520E">
              <w:rPr>
                <w:szCs w:val="18"/>
              </w:rPr>
              <w:t>647</w:t>
            </w:r>
          </w:p>
        </w:tc>
        <w:tc>
          <w:tcPr>
            <w:tcW w:w="1255" w:type="dxa"/>
            <w:noWrap/>
            <w:tcMar>
              <w:left w:w="0" w:type="dxa"/>
              <w:bottom w:w="0" w:type="dxa"/>
              <w:right w:w="0" w:type="dxa"/>
            </w:tcMar>
            <w:hideMark/>
          </w:tcPr>
          <w:p w14:paraId="7E8D14E2" w14:textId="77777777" w:rsidR="0072552F" w:rsidRPr="004B520E" w:rsidRDefault="0072552F" w:rsidP="00961278">
            <w:pPr>
              <w:pStyle w:val="TableTextRight"/>
              <w:ind w:right="227"/>
              <w:rPr>
                <w:bCs/>
              </w:rPr>
            </w:pPr>
            <w:r w:rsidRPr="004B520E">
              <w:t>0</w:t>
            </w:r>
          </w:p>
        </w:tc>
        <w:tc>
          <w:tcPr>
            <w:tcW w:w="1256" w:type="dxa"/>
            <w:noWrap/>
            <w:tcMar>
              <w:left w:w="0" w:type="dxa"/>
              <w:bottom w:w="0" w:type="dxa"/>
              <w:right w:w="0" w:type="dxa"/>
            </w:tcMar>
            <w:hideMark/>
          </w:tcPr>
          <w:p w14:paraId="05671412" w14:textId="6DF1B679" w:rsidR="0072552F" w:rsidRPr="004B520E" w:rsidRDefault="0072552F" w:rsidP="00961278">
            <w:pPr>
              <w:pStyle w:val="TableTextRight"/>
              <w:ind w:right="227"/>
              <w:rPr>
                <w:bCs/>
              </w:rPr>
            </w:pPr>
            <w:r w:rsidRPr="004B520E">
              <w:t>24,</w:t>
            </w:r>
            <w:r w:rsidRPr="004B520E">
              <w:rPr>
                <w:szCs w:val="18"/>
              </w:rPr>
              <w:t>969</w:t>
            </w:r>
          </w:p>
        </w:tc>
        <w:tc>
          <w:tcPr>
            <w:tcW w:w="1256" w:type="dxa"/>
            <w:noWrap/>
            <w:tcMar>
              <w:left w:w="0" w:type="dxa"/>
              <w:bottom w:w="0" w:type="dxa"/>
              <w:right w:w="0" w:type="dxa"/>
            </w:tcMar>
            <w:hideMark/>
          </w:tcPr>
          <w:p w14:paraId="5E79B4A7" w14:textId="6CF23DFC" w:rsidR="0072552F" w:rsidRPr="004B520E" w:rsidRDefault="0072552F" w:rsidP="00961278">
            <w:pPr>
              <w:pStyle w:val="TableTextRight"/>
              <w:ind w:right="227"/>
              <w:rPr>
                <w:bCs/>
              </w:rPr>
            </w:pPr>
            <w:r w:rsidRPr="004B520E">
              <w:t>24,</w:t>
            </w:r>
            <w:r w:rsidRPr="004B520E">
              <w:rPr>
                <w:szCs w:val="18"/>
              </w:rPr>
              <w:t>747</w:t>
            </w:r>
          </w:p>
        </w:tc>
        <w:tc>
          <w:tcPr>
            <w:tcW w:w="1255" w:type="dxa"/>
            <w:noWrap/>
            <w:tcMar>
              <w:left w:w="0" w:type="dxa"/>
              <w:bottom w:w="0" w:type="dxa"/>
              <w:right w:w="0" w:type="dxa"/>
            </w:tcMar>
            <w:hideMark/>
          </w:tcPr>
          <w:p w14:paraId="7E145AC2" w14:textId="2440DA78" w:rsidR="0072552F" w:rsidRPr="004B520E" w:rsidRDefault="0072552F" w:rsidP="00961278">
            <w:pPr>
              <w:pStyle w:val="TableTextRight"/>
              <w:ind w:right="227"/>
              <w:rPr>
                <w:bCs/>
              </w:rPr>
            </w:pPr>
            <w:r w:rsidRPr="004B520E">
              <w:t>24,</w:t>
            </w:r>
            <w:r w:rsidRPr="004B520E">
              <w:rPr>
                <w:szCs w:val="18"/>
              </w:rPr>
              <w:t>116</w:t>
            </w:r>
          </w:p>
        </w:tc>
        <w:tc>
          <w:tcPr>
            <w:tcW w:w="1256" w:type="dxa"/>
            <w:noWrap/>
            <w:tcMar>
              <w:left w:w="0" w:type="dxa"/>
              <w:bottom w:w="0" w:type="dxa"/>
              <w:right w:w="0" w:type="dxa"/>
            </w:tcMar>
          </w:tcPr>
          <w:p w14:paraId="6DEABA7C" w14:textId="6709F30D" w:rsidR="0072552F" w:rsidRPr="004B520E" w:rsidRDefault="0072552F" w:rsidP="00961278">
            <w:pPr>
              <w:pStyle w:val="TableTextRight"/>
              <w:ind w:right="227"/>
              <w:rPr>
                <w:bCs/>
              </w:rPr>
            </w:pPr>
            <w:r w:rsidRPr="004B520E">
              <w:t>24,</w:t>
            </w:r>
            <w:r w:rsidRPr="004B520E">
              <w:rPr>
                <w:szCs w:val="18"/>
              </w:rPr>
              <w:t>614</w:t>
            </w:r>
          </w:p>
        </w:tc>
        <w:tc>
          <w:tcPr>
            <w:tcW w:w="1255" w:type="dxa"/>
            <w:noWrap/>
            <w:tcMar>
              <w:left w:w="0" w:type="dxa"/>
              <w:bottom w:w="0" w:type="dxa"/>
              <w:right w:w="0" w:type="dxa"/>
            </w:tcMar>
          </w:tcPr>
          <w:p w14:paraId="61012A8B" w14:textId="03BE222D" w:rsidR="0072552F" w:rsidRPr="004B520E" w:rsidRDefault="0072552F" w:rsidP="00961278">
            <w:pPr>
              <w:pStyle w:val="TableTextRight"/>
              <w:ind w:right="227"/>
              <w:rPr>
                <w:bCs/>
              </w:rPr>
            </w:pPr>
            <w:r w:rsidRPr="004B520E">
              <w:t>25,</w:t>
            </w:r>
            <w:r w:rsidRPr="004B520E">
              <w:rPr>
                <w:szCs w:val="18"/>
              </w:rPr>
              <w:t>923</w:t>
            </w:r>
          </w:p>
        </w:tc>
        <w:tc>
          <w:tcPr>
            <w:tcW w:w="1256" w:type="dxa"/>
            <w:noWrap/>
            <w:tcMar>
              <w:left w:w="0" w:type="dxa"/>
              <w:bottom w:w="0" w:type="dxa"/>
              <w:right w:w="0" w:type="dxa"/>
            </w:tcMar>
          </w:tcPr>
          <w:p w14:paraId="04CA0E4F" w14:textId="6ED39648" w:rsidR="0072552F" w:rsidRPr="004B520E" w:rsidRDefault="0072552F" w:rsidP="00961278">
            <w:pPr>
              <w:pStyle w:val="TableTextRight"/>
              <w:ind w:right="227"/>
              <w:rPr>
                <w:bCs/>
              </w:rPr>
            </w:pPr>
            <w:r w:rsidRPr="004B520E">
              <w:t>25,</w:t>
            </w:r>
            <w:r w:rsidRPr="004B520E">
              <w:rPr>
                <w:szCs w:val="18"/>
              </w:rPr>
              <w:t>526</w:t>
            </w:r>
          </w:p>
        </w:tc>
        <w:tc>
          <w:tcPr>
            <w:tcW w:w="1256" w:type="dxa"/>
            <w:noWrap/>
            <w:tcMar>
              <w:left w:w="0" w:type="dxa"/>
              <w:bottom w:w="0" w:type="dxa"/>
              <w:right w:w="0" w:type="dxa"/>
            </w:tcMar>
          </w:tcPr>
          <w:p w14:paraId="72F34718" w14:textId="6A781FDC" w:rsidR="0072552F" w:rsidRPr="004B520E" w:rsidRDefault="0072552F" w:rsidP="00961278">
            <w:pPr>
              <w:pStyle w:val="TableTextRight"/>
              <w:ind w:right="227"/>
              <w:rPr>
                <w:bCs/>
              </w:rPr>
            </w:pPr>
            <w:r w:rsidRPr="004B520E">
              <w:t>25,632</w:t>
            </w:r>
          </w:p>
        </w:tc>
      </w:tr>
      <w:tr w:rsidR="00C8319C" w:rsidRPr="004B520E" w14:paraId="1C15424D" w14:textId="79FB5814" w:rsidTr="008759D5">
        <w:trPr>
          <w:cnfStyle w:val="000000010000" w:firstRow="0" w:lastRow="0" w:firstColumn="0" w:lastColumn="0" w:oddVBand="0" w:evenVBand="0" w:oddHBand="0" w:evenHBand="1" w:firstRowFirstColumn="0" w:firstRowLastColumn="0" w:lastRowFirstColumn="0" w:lastRowLastColumn="0"/>
          <w:trHeight w:val="264"/>
        </w:trPr>
        <w:tc>
          <w:tcPr>
            <w:tcW w:w="0" w:type="dxa"/>
            <w:noWrap/>
          </w:tcPr>
          <w:p w14:paraId="4F9711A8" w14:textId="0D1336C0" w:rsidR="0072552F" w:rsidRPr="004B520E" w:rsidRDefault="0072552F" w:rsidP="00794C71">
            <w:pPr>
              <w:pStyle w:val="TableText"/>
            </w:pPr>
            <w:r w:rsidRPr="004B520E">
              <w:t>Gunbower Forest</w:t>
            </w:r>
            <w:r w:rsidRPr="004B520E">
              <w:rPr>
                <w:vertAlign w:val="superscript"/>
              </w:rPr>
              <w:t>c</w:t>
            </w:r>
          </w:p>
        </w:tc>
        <w:tc>
          <w:tcPr>
            <w:tcW w:w="0" w:type="dxa"/>
            <w:noWrap/>
            <w:tcMar>
              <w:left w:w="0" w:type="dxa"/>
              <w:bottom w:w="0" w:type="dxa"/>
              <w:right w:w="0" w:type="dxa"/>
            </w:tcMar>
          </w:tcPr>
          <w:p w14:paraId="718D4553"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53A9858D" w14:textId="69D08C1A" w:rsidR="0072552F" w:rsidRPr="004B520E" w:rsidRDefault="00DF3080" w:rsidP="00961278">
            <w:pPr>
              <w:pStyle w:val="TableTextRight"/>
              <w:ind w:right="227"/>
              <w:rPr>
                <w:bCs/>
              </w:rPr>
            </w:pPr>
            <w:r>
              <w:t>–</w:t>
            </w:r>
          </w:p>
        </w:tc>
        <w:tc>
          <w:tcPr>
            <w:tcW w:w="0" w:type="dxa"/>
            <w:noWrap/>
            <w:tcMar>
              <w:left w:w="0" w:type="dxa"/>
              <w:bottom w:w="0" w:type="dxa"/>
              <w:right w:w="0" w:type="dxa"/>
            </w:tcMar>
          </w:tcPr>
          <w:p w14:paraId="29754A91" w14:textId="009BAE52" w:rsidR="0072552F" w:rsidRPr="004B520E" w:rsidRDefault="00DF3080" w:rsidP="00961278">
            <w:pPr>
              <w:pStyle w:val="TableTextRight"/>
              <w:ind w:right="227"/>
              <w:rPr>
                <w:bCs/>
              </w:rPr>
            </w:pPr>
            <w:r>
              <w:t>–</w:t>
            </w:r>
          </w:p>
        </w:tc>
        <w:tc>
          <w:tcPr>
            <w:tcW w:w="0" w:type="dxa"/>
            <w:noWrap/>
            <w:tcMar>
              <w:left w:w="0" w:type="dxa"/>
              <w:bottom w:w="0" w:type="dxa"/>
              <w:right w:w="0" w:type="dxa"/>
            </w:tcMar>
          </w:tcPr>
          <w:p w14:paraId="13BA5613" w14:textId="6F7B3057" w:rsidR="0072552F" w:rsidRPr="004B520E" w:rsidRDefault="00DF3080" w:rsidP="00961278">
            <w:pPr>
              <w:pStyle w:val="TableTextRight"/>
              <w:ind w:right="227"/>
              <w:rPr>
                <w:bCs/>
              </w:rPr>
            </w:pPr>
            <w:r>
              <w:t>–</w:t>
            </w:r>
          </w:p>
        </w:tc>
        <w:tc>
          <w:tcPr>
            <w:tcW w:w="0" w:type="dxa"/>
            <w:noWrap/>
            <w:tcMar>
              <w:left w:w="0" w:type="dxa"/>
              <w:bottom w:w="0" w:type="dxa"/>
              <w:right w:w="0" w:type="dxa"/>
            </w:tcMar>
          </w:tcPr>
          <w:p w14:paraId="6E84CF9F" w14:textId="63FA6E6B" w:rsidR="0072552F" w:rsidRPr="004B520E" w:rsidRDefault="00DF3080" w:rsidP="00961278">
            <w:pPr>
              <w:pStyle w:val="TableTextRight"/>
              <w:ind w:right="227"/>
              <w:rPr>
                <w:bCs/>
              </w:rPr>
            </w:pPr>
            <w:r>
              <w:t>–</w:t>
            </w:r>
          </w:p>
        </w:tc>
        <w:tc>
          <w:tcPr>
            <w:tcW w:w="0" w:type="dxa"/>
            <w:noWrap/>
            <w:tcMar>
              <w:left w:w="0" w:type="dxa"/>
              <w:bottom w:w="0" w:type="dxa"/>
              <w:right w:w="0" w:type="dxa"/>
            </w:tcMar>
          </w:tcPr>
          <w:p w14:paraId="781DF3DB" w14:textId="196AEB25" w:rsidR="0072552F" w:rsidRPr="004B520E" w:rsidRDefault="00DF3080" w:rsidP="00961278">
            <w:pPr>
              <w:pStyle w:val="TableTextRight"/>
              <w:ind w:right="227"/>
              <w:rPr>
                <w:bCs/>
              </w:rPr>
            </w:pPr>
            <w:r>
              <w:t>–</w:t>
            </w:r>
          </w:p>
        </w:tc>
        <w:tc>
          <w:tcPr>
            <w:tcW w:w="0" w:type="dxa"/>
            <w:noWrap/>
            <w:tcMar>
              <w:left w:w="0" w:type="dxa"/>
              <w:bottom w:w="0" w:type="dxa"/>
              <w:right w:w="0" w:type="dxa"/>
            </w:tcMar>
          </w:tcPr>
          <w:p w14:paraId="30210462" w14:textId="35CBAFFA" w:rsidR="0072552F" w:rsidRPr="004B520E" w:rsidRDefault="00DF3080" w:rsidP="00961278">
            <w:pPr>
              <w:pStyle w:val="TableTextRight"/>
              <w:ind w:right="227"/>
              <w:rPr>
                <w:bCs/>
              </w:rPr>
            </w:pPr>
            <w:r>
              <w:t>–</w:t>
            </w:r>
          </w:p>
        </w:tc>
        <w:tc>
          <w:tcPr>
            <w:tcW w:w="0" w:type="dxa"/>
            <w:noWrap/>
            <w:tcMar>
              <w:left w:w="0" w:type="dxa"/>
              <w:bottom w:w="0" w:type="dxa"/>
              <w:right w:w="0" w:type="dxa"/>
            </w:tcMar>
          </w:tcPr>
          <w:p w14:paraId="7DB1E5C3" w14:textId="622AD2E0" w:rsidR="0072552F" w:rsidRPr="004B520E" w:rsidRDefault="00DF3080" w:rsidP="00961278">
            <w:pPr>
              <w:pStyle w:val="TableTextRight"/>
              <w:ind w:right="227"/>
              <w:rPr>
                <w:bCs/>
              </w:rPr>
            </w:pPr>
            <w:r>
              <w:t>–</w:t>
            </w:r>
          </w:p>
        </w:tc>
        <w:tc>
          <w:tcPr>
            <w:tcW w:w="0" w:type="dxa"/>
            <w:noWrap/>
            <w:tcMar>
              <w:left w:w="0" w:type="dxa"/>
              <w:bottom w:w="0" w:type="dxa"/>
              <w:right w:w="0" w:type="dxa"/>
            </w:tcMar>
          </w:tcPr>
          <w:p w14:paraId="2CC85297" w14:textId="1B0E4B36" w:rsidR="0072552F" w:rsidRPr="004B520E" w:rsidRDefault="0072552F" w:rsidP="00961278">
            <w:pPr>
              <w:pStyle w:val="TableTextRight"/>
              <w:ind w:right="227"/>
              <w:rPr>
                <w:bCs/>
              </w:rPr>
            </w:pPr>
            <w:r w:rsidRPr="004B520E">
              <w:t>419</w:t>
            </w:r>
          </w:p>
        </w:tc>
        <w:tc>
          <w:tcPr>
            <w:tcW w:w="0" w:type="dxa"/>
            <w:noWrap/>
            <w:tcMar>
              <w:left w:w="0" w:type="dxa"/>
              <w:bottom w:w="0" w:type="dxa"/>
              <w:right w:w="0" w:type="dxa"/>
            </w:tcMar>
          </w:tcPr>
          <w:p w14:paraId="3A6EFAEA" w14:textId="0CBF2B93" w:rsidR="0072552F" w:rsidRPr="004B520E" w:rsidRDefault="0072552F" w:rsidP="00961278">
            <w:pPr>
              <w:pStyle w:val="TableTextRight"/>
              <w:ind w:right="227"/>
              <w:rPr>
                <w:bCs/>
              </w:rPr>
            </w:pPr>
            <w:r w:rsidRPr="004B520E">
              <w:t>419</w:t>
            </w:r>
          </w:p>
        </w:tc>
      </w:tr>
      <w:tr w:rsidR="00703A6D" w:rsidRPr="004B520E" w14:paraId="3523E02B" w14:textId="4E9CC264" w:rsidTr="00B077B4">
        <w:trPr>
          <w:cnfStyle w:val="000000100000" w:firstRow="0" w:lastRow="0" w:firstColumn="0" w:lastColumn="0" w:oddVBand="0" w:evenVBand="0" w:oddHBand="1" w:evenHBand="0" w:firstRowFirstColumn="0" w:firstRowLastColumn="0" w:lastRowFirstColumn="0" w:lastRowLastColumn="0"/>
          <w:trHeight w:val="264"/>
        </w:trPr>
        <w:tc>
          <w:tcPr>
            <w:tcW w:w="2014" w:type="dxa"/>
            <w:noWrap/>
            <w:hideMark/>
          </w:tcPr>
          <w:p w14:paraId="7B0132A9" w14:textId="6FF15531" w:rsidR="0072552F" w:rsidRPr="004B520E" w:rsidRDefault="0072552F" w:rsidP="007B35D7">
            <w:pPr>
              <w:pStyle w:val="TableText"/>
            </w:pPr>
            <w:r w:rsidRPr="004B520E">
              <w:t>The Coorong, and Lakes Alexandrina and Albert Wetland</w:t>
            </w:r>
          </w:p>
        </w:tc>
        <w:tc>
          <w:tcPr>
            <w:tcW w:w="1255" w:type="dxa"/>
            <w:noWrap/>
            <w:tcMar>
              <w:left w:w="0" w:type="dxa"/>
              <w:bottom w:w="0" w:type="dxa"/>
              <w:right w:w="0" w:type="dxa"/>
            </w:tcMar>
            <w:hideMark/>
          </w:tcPr>
          <w:p w14:paraId="78016E62" w14:textId="77777777" w:rsidR="0072552F" w:rsidRPr="004B520E" w:rsidRDefault="0072552F" w:rsidP="00961278">
            <w:pPr>
              <w:pStyle w:val="TableTextRight"/>
              <w:ind w:right="227"/>
            </w:pPr>
            <w:r w:rsidRPr="004B520E">
              <w:t>116,843</w:t>
            </w:r>
          </w:p>
        </w:tc>
        <w:tc>
          <w:tcPr>
            <w:tcW w:w="1256" w:type="dxa"/>
            <w:noWrap/>
            <w:tcMar>
              <w:left w:w="0" w:type="dxa"/>
              <w:bottom w:w="0" w:type="dxa"/>
              <w:right w:w="0" w:type="dxa"/>
            </w:tcMar>
            <w:hideMark/>
          </w:tcPr>
          <w:p w14:paraId="69F4A281" w14:textId="77777777" w:rsidR="0072552F" w:rsidRPr="004B520E" w:rsidRDefault="0072552F" w:rsidP="00961278">
            <w:pPr>
              <w:pStyle w:val="TableTextRight"/>
              <w:ind w:right="227"/>
            </w:pPr>
            <w:r w:rsidRPr="004B520E">
              <w:t>116,843</w:t>
            </w:r>
          </w:p>
        </w:tc>
        <w:tc>
          <w:tcPr>
            <w:tcW w:w="1255" w:type="dxa"/>
            <w:noWrap/>
            <w:tcMar>
              <w:left w:w="0" w:type="dxa"/>
              <w:bottom w:w="0" w:type="dxa"/>
              <w:right w:w="0" w:type="dxa"/>
            </w:tcMar>
            <w:hideMark/>
          </w:tcPr>
          <w:p w14:paraId="690B2745" w14:textId="77777777" w:rsidR="0072552F" w:rsidRPr="004B520E" w:rsidRDefault="0072552F" w:rsidP="00961278">
            <w:pPr>
              <w:pStyle w:val="TableTextRight"/>
              <w:ind w:right="227"/>
            </w:pPr>
            <w:r w:rsidRPr="004B520E">
              <w:t>116,843</w:t>
            </w:r>
          </w:p>
        </w:tc>
        <w:tc>
          <w:tcPr>
            <w:tcW w:w="1256" w:type="dxa"/>
            <w:noWrap/>
            <w:tcMar>
              <w:left w:w="0" w:type="dxa"/>
              <w:bottom w:w="0" w:type="dxa"/>
              <w:right w:w="0" w:type="dxa"/>
            </w:tcMar>
            <w:hideMark/>
          </w:tcPr>
          <w:p w14:paraId="6BEE7E4C" w14:textId="77777777" w:rsidR="0072552F" w:rsidRPr="004B520E" w:rsidRDefault="0072552F" w:rsidP="00961278">
            <w:pPr>
              <w:pStyle w:val="TableTextRight"/>
              <w:ind w:right="227"/>
            </w:pPr>
            <w:r w:rsidRPr="004B520E">
              <w:t>116,848</w:t>
            </w:r>
          </w:p>
        </w:tc>
        <w:tc>
          <w:tcPr>
            <w:tcW w:w="1256" w:type="dxa"/>
            <w:noWrap/>
            <w:tcMar>
              <w:left w:w="0" w:type="dxa"/>
              <w:bottom w:w="0" w:type="dxa"/>
              <w:right w:w="0" w:type="dxa"/>
            </w:tcMar>
            <w:hideMark/>
          </w:tcPr>
          <w:p w14:paraId="37700998" w14:textId="77777777" w:rsidR="0072552F" w:rsidRPr="004B520E" w:rsidRDefault="0072552F" w:rsidP="00961278">
            <w:pPr>
              <w:pStyle w:val="TableTextRight"/>
              <w:ind w:right="227"/>
            </w:pPr>
            <w:r w:rsidRPr="004B520E">
              <w:t>116,848</w:t>
            </w:r>
          </w:p>
        </w:tc>
        <w:tc>
          <w:tcPr>
            <w:tcW w:w="1255" w:type="dxa"/>
            <w:noWrap/>
            <w:tcMar>
              <w:left w:w="0" w:type="dxa"/>
              <w:bottom w:w="0" w:type="dxa"/>
              <w:right w:w="0" w:type="dxa"/>
            </w:tcMar>
            <w:hideMark/>
          </w:tcPr>
          <w:p w14:paraId="602CD9EB" w14:textId="77777777" w:rsidR="0072552F" w:rsidRPr="004B520E" w:rsidRDefault="0072552F" w:rsidP="00961278">
            <w:pPr>
              <w:pStyle w:val="TableTextRight"/>
              <w:ind w:right="227"/>
            </w:pPr>
            <w:r w:rsidRPr="004B520E">
              <w:t>117,022</w:t>
            </w:r>
          </w:p>
        </w:tc>
        <w:tc>
          <w:tcPr>
            <w:tcW w:w="1256" w:type="dxa"/>
            <w:noWrap/>
            <w:tcMar>
              <w:left w:w="0" w:type="dxa"/>
              <w:bottom w:w="0" w:type="dxa"/>
              <w:right w:w="0" w:type="dxa"/>
            </w:tcMar>
          </w:tcPr>
          <w:p w14:paraId="33B0F413" w14:textId="77777777" w:rsidR="0072552F" w:rsidRPr="004B520E" w:rsidRDefault="0072552F" w:rsidP="00961278">
            <w:pPr>
              <w:pStyle w:val="TableTextRight"/>
              <w:ind w:right="227"/>
            </w:pPr>
            <w:r w:rsidRPr="004B520E">
              <w:t>117,022</w:t>
            </w:r>
          </w:p>
        </w:tc>
        <w:tc>
          <w:tcPr>
            <w:tcW w:w="1255" w:type="dxa"/>
            <w:noWrap/>
            <w:tcMar>
              <w:left w:w="0" w:type="dxa"/>
              <w:bottom w:w="0" w:type="dxa"/>
              <w:right w:w="0" w:type="dxa"/>
            </w:tcMar>
          </w:tcPr>
          <w:p w14:paraId="26903F5E" w14:textId="77777777" w:rsidR="0072552F" w:rsidRPr="004B520E" w:rsidRDefault="0072552F" w:rsidP="00961278">
            <w:pPr>
              <w:pStyle w:val="TableTextRight"/>
              <w:ind w:right="227"/>
            </w:pPr>
            <w:r w:rsidRPr="004B520E">
              <w:t>116,848</w:t>
            </w:r>
          </w:p>
        </w:tc>
        <w:tc>
          <w:tcPr>
            <w:tcW w:w="1256" w:type="dxa"/>
            <w:noWrap/>
            <w:tcMar>
              <w:left w:w="0" w:type="dxa"/>
              <w:bottom w:w="0" w:type="dxa"/>
              <w:right w:w="0" w:type="dxa"/>
            </w:tcMar>
          </w:tcPr>
          <w:p w14:paraId="06DBB10C" w14:textId="385ECE83" w:rsidR="0072552F" w:rsidRPr="004B520E" w:rsidRDefault="0072552F" w:rsidP="00961278">
            <w:pPr>
              <w:pStyle w:val="TableTextRight"/>
              <w:ind w:right="227"/>
            </w:pPr>
            <w:r w:rsidRPr="004B520E">
              <w:t>116,</w:t>
            </w:r>
            <w:r w:rsidRPr="004B520E">
              <w:rPr>
                <w:szCs w:val="18"/>
              </w:rPr>
              <w:t>871</w:t>
            </w:r>
          </w:p>
        </w:tc>
        <w:tc>
          <w:tcPr>
            <w:tcW w:w="1256" w:type="dxa"/>
            <w:noWrap/>
            <w:tcMar>
              <w:left w:w="0" w:type="dxa"/>
              <w:bottom w:w="0" w:type="dxa"/>
              <w:right w:w="0" w:type="dxa"/>
            </w:tcMar>
          </w:tcPr>
          <w:p w14:paraId="6EDA58EE" w14:textId="50CCAB24" w:rsidR="0072552F" w:rsidRPr="004B520E" w:rsidRDefault="0072552F" w:rsidP="00961278">
            <w:pPr>
              <w:pStyle w:val="TableTextRight"/>
              <w:ind w:right="227"/>
            </w:pPr>
            <w:r w:rsidRPr="004B520E">
              <w:t>128,062</w:t>
            </w:r>
          </w:p>
        </w:tc>
      </w:tr>
      <w:tr w:rsidR="00C8319C" w:rsidRPr="004B520E" w14:paraId="67BF048A" w14:textId="4992A429" w:rsidTr="008759D5">
        <w:trPr>
          <w:cnfStyle w:val="000000010000" w:firstRow="0" w:lastRow="0" w:firstColumn="0" w:lastColumn="0" w:oddVBand="0" w:evenVBand="0" w:oddHBand="0" w:evenHBand="1" w:firstRowFirstColumn="0" w:firstRowLastColumn="0" w:lastRowFirstColumn="0" w:lastRowLastColumn="0"/>
          <w:trHeight w:val="264"/>
        </w:trPr>
        <w:tc>
          <w:tcPr>
            <w:tcW w:w="0" w:type="dxa"/>
            <w:noWrap/>
          </w:tcPr>
          <w:p w14:paraId="3C5B9E0C" w14:textId="77777777" w:rsidR="0072552F" w:rsidRPr="004B520E" w:rsidRDefault="0072552F" w:rsidP="0072552F">
            <w:pPr>
              <w:pStyle w:val="TableText"/>
              <w:ind w:right="-90"/>
            </w:pPr>
            <w:r w:rsidRPr="004B520E">
              <w:t>Fivebough and Tuckerbil Swamps</w:t>
            </w:r>
          </w:p>
        </w:tc>
        <w:tc>
          <w:tcPr>
            <w:tcW w:w="0" w:type="dxa"/>
            <w:noWrap/>
            <w:tcMar>
              <w:left w:w="0" w:type="dxa"/>
              <w:bottom w:w="0" w:type="dxa"/>
              <w:right w:w="0" w:type="dxa"/>
            </w:tcMar>
          </w:tcPr>
          <w:p w14:paraId="21CB16B1"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07324019"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2DD1B09C"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60712CFB" w14:textId="77777777" w:rsidR="0072552F" w:rsidRPr="004B520E" w:rsidRDefault="0072552F" w:rsidP="00961278">
            <w:pPr>
              <w:pStyle w:val="TableTextRight"/>
              <w:ind w:right="227"/>
              <w:rPr>
                <w:bCs/>
              </w:rPr>
            </w:pPr>
            <w:r w:rsidRPr="004B520E">
              <w:t>272</w:t>
            </w:r>
          </w:p>
        </w:tc>
        <w:tc>
          <w:tcPr>
            <w:tcW w:w="0" w:type="dxa"/>
            <w:noWrap/>
            <w:tcMar>
              <w:left w:w="0" w:type="dxa"/>
              <w:bottom w:w="0" w:type="dxa"/>
              <w:right w:w="0" w:type="dxa"/>
            </w:tcMar>
          </w:tcPr>
          <w:p w14:paraId="70D790FE" w14:textId="77777777" w:rsidR="0072552F" w:rsidRPr="004B520E" w:rsidRDefault="0072552F" w:rsidP="00961278">
            <w:pPr>
              <w:pStyle w:val="TableTextRight"/>
              <w:ind w:right="227"/>
              <w:rPr>
                <w:bCs/>
              </w:rPr>
            </w:pPr>
            <w:r w:rsidRPr="004B520E">
              <w:t>599</w:t>
            </w:r>
          </w:p>
        </w:tc>
        <w:tc>
          <w:tcPr>
            <w:tcW w:w="0" w:type="dxa"/>
            <w:noWrap/>
            <w:tcMar>
              <w:left w:w="0" w:type="dxa"/>
              <w:bottom w:w="0" w:type="dxa"/>
              <w:right w:w="0" w:type="dxa"/>
            </w:tcMar>
          </w:tcPr>
          <w:p w14:paraId="18E24B20" w14:textId="77777777" w:rsidR="0072552F" w:rsidRPr="004B520E" w:rsidRDefault="0072552F" w:rsidP="00961278">
            <w:pPr>
              <w:pStyle w:val="TableTextRight"/>
              <w:ind w:right="227"/>
              <w:rPr>
                <w:bCs/>
              </w:rPr>
            </w:pPr>
            <w:r w:rsidRPr="004B520E">
              <w:t>272</w:t>
            </w:r>
          </w:p>
        </w:tc>
        <w:tc>
          <w:tcPr>
            <w:tcW w:w="0" w:type="dxa"/>
            <w:noWrap/>
            <w:tcMar>
              <w:left w:w="0" w:type="dxa"/>
              <w:bottom w:w="0" w:type="dxa"/>
              <w:right w:w="0" w:type="dxa"/>
            </w:tcMar>
          </w:tcPr>
          <w:p w14:paraId="3C68BF00" w14:textId="77777777" w:rsidR="0072552F" w:rsidRPr="004B520E" w:rsidRDefault="0072552F" w:rsidP="00961278">
            <w:pPr>
              <w:pStyle w:val="TableTextRight"/>
              <w:ind w:right="227"/>
              <w:rPr>
                <w:bCs/>
              </w:rPr>
            </w:pPr>
            <w:r w:rsidRPr="004B520E">
              <w:t>599</w:t>
            </w:r>
          </w:p>
        </w:tc>
        <w:tc>
          <w:tcPr>
            <w:tcW w:w="0" w:type="dxa"/>
            <w:noWrap/>
            <w:tcMar>
              <w:left w:w="0" w:type="dxa"/>
              <w:bottom w:w="0" w:type="dxa"/>
              <w:right w:w="0" w:type="dxa"/>
            </w:tcMar>
          </w:tcPr>
          <w:p w14:paraId="19743B91"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1B1DF7FA"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tcPr>
          <w:p w14:paraId="19B0A2EC" w14:textId="4AB29C10" w:rsidR="0072552F" w:rsidRPr="004B520E" w:rsidRDefault="0072552F" w:rsidP="00961278">
            <w:pPr>
              <w:pStyle w:val="TableTextRight"/>
              <w:ind w:right="227"/>
              <w:rPr>
                <w:bCs/>
              </w:rPr>
            </w:pPr>
            <w:r w:rsidRPr="004B520E">
              <w:t>0</w:t>
            </w:r>
          </w:p>
        </w:tc>
      </w:tr>
      <w:tr w:rsidR="00703A6D" w:rsidRPr="004B520E" w14:paraId="1DBE56ED" w14:textId="2866EC09" w:rsidTr="00B077B4">
        <w:trPr>
          <w:cnfStyle w:val="000000100000" w:firstRow="0" w:lastRow="0" w:firstColumn="0" w:lastColumn="0" w:oddVBand="0" w:evenVBand="0" w:oddHBand="1" w:evenHBand="0" w:firstRowFirstColumn="0" w:firstRowLastColumn="0" w:lastRowFirstColumn="0" w:lastRowLastColumn="0"/>
          <w:trHeight w:val="264"/>
        </w:trPr>
        <w:tc>
          <w:tcPr>
            <w:tcW w:w="2014" w:type="dxa"/>
            <w:noWrap/>
            <w:hideMark/>
          </w:tcPr>
          <w:p w14:paraId="70508FB5" w14:textId="1FE8B90A" w:rsidR="0072552F" w:rsidRPr="004B520E" w:rsidRDefault="0072552F" w:rsidP="007B35D7">
            <w:pPr>
              <w:pStyle w:val="TableText"/>
            </w:pPr>
            <w:r w:rsidRPr="004B520E">
              <w:t>Hattah</w:t>
            </w:r>
            <w:r w:rsidR="00FD2713">
              <w:t>–</w:t>
            </w:r>
            <w:r w:rsidRPr="004B520E">
              <w:t>Kulkyne Lakes</w:t>
            </w:r>
          </w:p>
        </w:tc>
        <w:tc>
          <w:tcPr>
            <w:tcW w:w="1255" w:type="dxa"/>
            <w:noWrap/>
            <w:tcMar>
              <w:left w:w="0" w:type="dxa"/>
              <w:bottom w:w="0" w:type="dxa"/>
              <w:right w:w="0" w:type="dxa"/>
            </w:tcMar>
            <w:hideMark/>
          </w:tcPr>
          <w:p w14:paraId="5DA6126E" w14:textId="77777777" w:rsidR="0072552F" w:rsidRPr="004B520E" w:rsidRDefault="0072552F" w:rsidP="00961278">
            <w:pPr>
              <w:pStyle w:val="TableTextRight"/>
              <w:ind w:right="227"/>
              <w:rPr>
                <w:bCs/>
              </w:rPr>
            </w:pPr>
            <w:r w:rsidRPr="004B520E">
              <w:t>965</w:t>
            </w:r>
          </w:p>
        </w:tc>
        <w:tc>
          <w:tcPr>
            <w:tcW w:w="1256" w:type="dxa"/>
            <w:noWrap/>
            <w:tcMar>
              <w:left w:w="0" w:type="dxa"/>
              <w:bottom w:w="0" w:type="dxa"/>
              <w:right w:w="0" w:type="dxa"/>
            </w:tcMar>
            <w:hideMark/>
          </w:tcPr>
          <w:p w14:paraId="471DF395" w14:textId="77777777" w:rsidR="0072552F" w:rsidRPr="004B520E" w:rsidRDefault="0072552F" w:rsidP="00961278">
            <w:pPr>
              <w:pStyle w:val="TableTextRight"/>
              <w:ind w:right="227"/>
              <w:rPr>
                <w:bCs/>
              </w:rPr>
            </w:pPr>
            <w:r w:rsidRPr="004B520E">
              <w:t>954</w:t>
            </w:r>
          </w:p>
        </w:tc>
        <w:tc>
          <w:tcPr>
            <w:tcW w:w="1255" w:type="dxa"/>
            <w:noWrap/>
            <w:tcMar>
              <w:left w:w="0" w:type="dxa"/>
              <w:bottom w:w="0" w:type="dxa"/>
              <w:right w:w="0" w:type="dxa"/>
            </w:tcMar>
            <w:hideMark/>
          </w:tcPr>
          <w:p w14:paraId="63166B00" w14:textId="77777777" w:rsidR="0072552F" w:rsidRPr="004B520E" w:rsidRDefault="0072552F" w:rsidP="00961278">
            <w:pPr>
              <w:pStyle w:val="TableTextRight"/>
              <w:ind w:right="227"/>
              <w:rPr>
                <w:bCs/>
              </w:rPr>
            </w:pPr>
            <w:r w:rsidRPr="004B520E">
              <w:t>0</w:t>
            </w:r>
          </w:p>
        </w:tc>
        <w:tc>
          <w:tcPr>
            <w:tcW w:w="1256" w:type="dxa"/>
            <w:noWrap/>
            <w:tcMar>
              <w:left w:w="0" w:type="dxa"/>
              <w:bottom w:w="0" w:type="dxa"/>
              <w:right w:w="0" w:type="dxa"/>
            </w:tcMar>
            <w:hideMark/>
          </w:tcPr>
          <w:p w14:paraId="6E13D0F7" w14:textId="77777777" w:rsidR="0072552F" w:rsidRPr="004B520E" w:rsidRDefault="0072552F" w:rsidP="00961278">
            <w:pPr>
              <w:pStyle w:val="TableTextRight"/>
              <w:ind w:right="227"/>
              <w:rPr>
                <w:bCs/>
              </w:rPr>
            </w:pPr>
            <w:r w:rsidRPr="004B520E">
              <w:t>842</w:t>
            </w:r>
          </w:p>
        </w:tc>
        <w:tc>
          <w:tcPr>
            <w:tcW w:w="1256" w:type="dxa"/>
            <w:noWrap/>
            <w:tcMar>
              <w:left w:w="0" w:type="dxa"/>
              <w:bottom w:w="0" w:type="dxa"/>
              <w:right w:w="0" w:type="dxa"/>
            </w:tcMar>
            <w:hideMark/>
          </w:tcPr>
          <w:p w14:paraId="09447823" w14:textId="77777777" w:rsidR="0072552F" w:rsidRPr="004B520E" w:rsidRDefault="0072552F" w:rsidP="00961278">
            <w:pPr>
              <w:pStyle w:val="TableTextRight"/>
              <w:ind w:right="227"/>
              <w:rPr>
                <w:bCs/>
              </w:rPr>
            </w:pPr>
            <w:r w:rsidRPr="004B520E">
              <w:t>0</w:t>
            </w:r>
          </w:p>
        </w:tc>
        <w:tc>
          <w:tcPr>
            <w:tcW w:w="1255" w:type="dxa"/>
            <w:noWrap/>
            <w:tcMar>
              <w:left w:w="0" w:type="dxa"/>
              <w:bottom w:w="0" w:type="dxa"/>
              <w:right w:w="0" w:type="dxa"/>
            </w:tcMar>
            <w:hideMark/>
          </w:tcPr>
          <w:p w14:paraId="22C1997A" w14:textId="77777777" w:rsidR="0072552F" w:rsidRPr="004B520E" w:rsidRDefault="0072552F" w:rsidP="00961278">
            <w:pPr>
              <w:pStyle w:val="TableTextRight"/>
              <w:ind w:right="227"/>
              <w:rPr>
                <w:bCs/>
              </w:rPr>
            </w:pPr>
            <w:r w:rsidRPr="004B520E">
              <w:t>125</w:t>
            </w:r>
          </w:p>
        </w:tc>
        <w:tc>
          <w:tcPr>
            <w:tcW w:w="1256" w:type="dxa"/>
            <w:noWrap/>
            <w:tcMar>
              <w:left w:w="0" w:type="dxa"/>
              <w:bottom w:w="0" w:type="dxa"/>
              <w:right w:w="0" w:type="dxa"/>
            </w:tcMar>
          </w:tcPr>
          <w:p w14:paraId="7829B116" w14:textId="77777777" w:rsidR="0072552F" w:rsidRPr="004B520E" w:rsidRDefault="0072552F" w:rsidP="00961278">
            <w:pPr>
              <w:pStyle w:val="TableTextRight"/>
              <w:ind w:right="227"/>
              <w:rPr>
                <w:bCs/>
              </w:rPr>
            </w:pPr>
            <w:r w:rsidRPr="004B520E">
              <w:t>0</w:t>
            </w:r>
          </w:p>
        </w:tc>
        <w:tc>
          <w:tcPr>
            <w:tcW w:w="1255" w:type="dxa"/>
            <w:noWrap/>
            <w:tcMar>
              <w:left w:w="0" w:type="dxa"/>
              <w:bottom w:w="0" w:type="dxa"/>
              <w:right w:w="0" w:type="dxa"/>
            </w:tcMar>
          </w:tcPr>
          <w:p w14:paraId="727B9C0A" w14:textId="77777777" w:rsidR="0072552F" w:rsidRPr="004B520E" w:rsidRDefault="0072552F" w:rsidP="00961278">
            <w:pPr>
              <w:pStyle w:val="TableTextRight"/>
              <w:ind w:right="227"/>
              <w:rPr>
                <w:bCs/>
              </w:rPr>
            </w:pPr>
            <w:r w:rsidRPr="004B520E">
              <w:t>0</w:t>
            </w:r>
          </w:p>
        </w:tc>
        <w:tc>
          <w:tcPr>
            <w:tcW w:w="1256" w:type="dxa"/>
            <w:noWrap/>
            <w:tcMar>
              <w:left w:w="0" w:type="dxa"/>
              <w:bottom w:w="0" w:type="dxa"/>
              <w:right w:w="0" w:type="dxa"/>
            </w:tcMar>
          </w:tcPr>
          <w:p w14:paraId="0B1E2000" w14:textId="77777777" w:rsidR="0072552F" w:rsidRPr="004B520E" w:rsidRDefault="0072552F" w:rsidP="00961278">
            <w:pPr>
              <w:pStyle w:val="TableTextRight"/>
              <w:ind w:right="227"/>
              <w:rPr>
                <w:bCs/>
              </w:rPr>
            </w:pPr>
            <w:r w:rsidRPr="004B520E">
              <w:t>0</w:t>
            </w:r>
          </w:p>
        </w:tc>
        <w:tc>
          <w:tcPr>
            <w:tcW w:w="1256" w:type="dxa"/>
            <w:noWrap/>
            <w:tcMar>
              <w:left w:w="0" w:type="dxa"/>
              <w:bottom w:w="0" w:type="dxa"/>
              <w:right w:w="0" w:type="dxa"/>
            </w:tcMar>
          </w:tcPr>
          <w:p w14:paraId="0F79E6DF" w14:textId="51DA9C7F" w:rsidR="0072552F" w:rsidRPr="004B520E" w:rsidRDefault="0072552F" w:rsidP="00961278">
            <w:pPr>
              <w:pStyle w:val="TableTextRight"/>
              <w:ind w:right="227"/>
              <w:rPr>
                <w:bCs/>
              </w:rPr>
            </w:pPr>
            <w:r w:rsidRPr="004B520E">
              <w:t>0</w:t>
            </w:r>
          </w:p>
        </w:tc>
      </w:tr>
      <w:tr w:rsidR="00C8319C" w:rsidRPr="004B520E" w14:paraId="64340EFC" w14:textId="529AA512" w:rsidTr="008759D5">
        <w:trPr>
          <w:cnfStyle w:val="000000010000" w:firstRow="0" w:lastRow="0" w:firstColumn="0" w:lastColumn="0" w:oddVBand="0" w:evenVBand="0" w:oddHBand="0" w:evenHBand="1" w:firstRowFirstColumn="0" w:firstRowLastColumn="0" w:lastRowFirstColumn="0" w:lastRowLastColumn="0"/>
          <w:trHeight w:val="264"/>
        </w:trPr>
        <w:tc>
          <w:tcPr>
            <w:tcW w:w="0" w:type="dxa"/>
            <w:noWrap/>
            <w:hideMark/>
          </w:tcPr>
          <w:p w14:paraId="2A197B0B" w14:textId="4A9B9493" w:rsidR="0072552F" w:rsidRPr="004B520E" w:rsidRDefault="0072552F" w:rsidP="007B35D7">
            <w:pPr>
              <w:pStyle w:val="TableText"/>
            </w:pPr>
            <w:r w:rsidRPr="004B520E">
              <w:t>NSW Central Murray Forests</w:t>
            </w:r>
            <w:r w:rsidRPr="004B520E">
              <w:rPr>
                <w:vertAlign w:val="superscript"/>
              </w:rPr>
              <w:t>b</w:t>
            </w:r>
          </w:p>
        </w:tc>
        <w:tc>
          <w:tcPr>
            <w:tcW w:w="0" w:type="dxa"/>
            <w:noWrap/>
            <w:tcMar>
              <w:left w:w="0" w:type="dxa"/>
              <w:bottom w:w="0" w:type="dxa"/>
              <w:right w:w="0" w:type="dxa"/>
            </w:tcMar>
            <w:hideMark/>
          </w:tcPr>
          <w:p w14:paraId="2E9230A3"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hideMark/>
          </w:tcPr>
          <w:p w14:paraId="39609650" w14:textId="6C76DF13" w:rsidR="0072552F" w:rsidRPr="004B520E" w:rsidRDefault="0072552F" w:rsidP="00961278">
            <w:pPr>
              <w:pStyle w:val="TableTextRight"/>
              <w:ind w:right="227"/>
              <w:rPr>
                <w:bCs/>
              </w:rPr>
            </w:pPr>
            <w:r w:rsidRPr="004B520E">
              <w:t>6,091</w:t>
            </w:r>
          </w:p>
        </w:tc>
        <w:tc>
          <w:tcPr>
            <w:tcW w:w="0" w:type="dxa"/>
            <w:noWrap/>
            <w:tcMar>
              <w:left w:w="0" w:type="dxa"/>
              <w:bottom w:w="0" w:type="dxa"/>
              <w:right w:w="0" w:type="dxa"/>
            </w:tcMar>
            <w:hideMark/>
          </w:tcPr>
          <w:p w14:paraId="49733E46" w14:textId="77777777" w:rsidR="0072552F" w:rsidRPr="004B520E" w:rsidRDefault="0072552F" w:rsidP="00961278">
            <w:pPr>
              <w:pStyle w:val="TableTextRight"/>
              <w:ind w:right="227"/>
              <w:rPr>
                <w:bCs/>
              </w:rPr>
            </w:pPr>
            <w:r w:rsidRPr="004B520E">
              <w:t>0</w:t>
            </w:r>
          </w:p>
        </w:tc>
        <w:tc>
          <w:tcPr>
            <w:tcW w:w="0" w:type="dxa"/>
            <w:noWrap/>
            <w:tcMar>
              <w:left w:w="0" w:type="dxa"/>
              <w:bottom w:w="0" w:type="dxa"/>
              <w:right w:w="0" w:type="dxa"/>
            </w:tcMar>
            <w:hideMark/>
          </w:tcPr>
          <w:p w14:paraId="6528DAA5" w14:textId="2758C7BA" w:rsidR="0072552F" w:rsidRPr="004B520E" w:rsidRDefault="0072552F" w:rsidP="00961278">
            <w:pPr>
              <w:pStyle w:val="TableTextRight"/>
              <w:ind w:right="227"/>
              <w:rPr>
                <w:bCs/>
              </w:rPr>
            </w:pPr>
            <w:r w:rsidRPr="004B520E">
              <w:t>5,</w:t>
            </w:r>
            <w:r w:rsidRPr="004B520E">
              <w:rPr>
                <w:szCs w:val="18"/>
              </w:rPr>
              <w:t>875</w:t>
            </w:r>
          </w:p>
        </w:tc>
        <w:tc>
          <w:tcPr>
            <w:tcW w:w="0" w:type="dxa"/>
            <w:noWrap/>
            <w:tcMar>
              <w:left w:w="0" w:type="dxa"/>
              <w:bottom w:w="0" w:type="dxa"/>
              <w:right w:w="0" w:type="dxa"/>
            </w:tcMar>
            <w:hideMark/>
          </w:tcPr>
          <w:p w14:paraId="6B58D643" w14:textId="13F2ECBC" w:rsidR="0072552F" w:rsidRPr="004B520E" w:rsidRDefault="0072552F" w:rsidP="00961278">
            <w:pPr>
              <w:pStyle w:val="TableTextRight"/>
              <w:ind w:right="227"/>
              <w:rPr>
                <w:bCs/>
              </w:rPr>
            </w:pPr>
            <w:r w:rsidRPr="004B520E">
              <w:t>7,165</w:t>
            </w:r>
          </w:p>
        </w:tc>
        <w:tc>
          <w:tcPr>
            <w:tcW w:w="0" w:type="dxa"/>
            <w:noWrap/>
            <w:tcMar>
              <w:left w:w="0" w:type="dxa"/>
              <w:bottom w:w="0" w:type="dxa"/>
              <w:right w:w="0" w:type="dxa"/>
            </w:tcMar>
            <w:hideMark/>
          </w:tcPr>
          <w:p w14:paraId="4A20BEE0" w14:textId="6970AAAE" w:rsidR="0072552F" w:rsidRPr="004B520E" w:rsidRDefault="0072552F" w:rsidP="00961278">
            <w:pPr>
              <w:pStyle w:val="TableTextRight"/>
              <w:ind w:right="227"/>
              <w:rPr>
                <w:bCs/>
              </w:rPr>
            </w:pPr>
            <w:r w:rsidRPr="004B520E">
              <w:t>3,</w:t>
            </w:r>
            <w:r w:rsidRPr="004B520E">
              <w:rPr>
                <w:szCs w:val="18"/>
              </w:rPr>
              <w:t>794</w:t>
            </w:r>
          </w:p>
        </w:tc>
        <w:tc>
          <w:tcPr>
            <w:tcW w:w="0" w:type="dxa"/>
            <w:noWrap/>
            <w:tcMar>
              <w:left w:w="0" w:type="dxa"/>
              <w:bottom w:w="0" w:type="dxa"/>
              <w:right w:w="0" w:type="dxa"/>
            </w:tcMar>
          </w:tcPr>
          <w:p w14:paraId="65477F00" w14:textId="2250D2DE" w:rsidR="0072552F" w:rsidRPr="004B520E" w:rsidRDefault="0072552F" w:rsidP="00961278">
            <w:pPr>
              <w:pStyle w:val="TableTextRight"/>
              <w:ind w:right="227"/>
              <w:rPr>
                <w:bCs/>
              </w:rPr>
            </w:pPr>
            <w:r w:rsidRPr="004B520E">
              <w:t>5,</w:t>
            </w:r>
            <w:r w:rsidRPr="004B520E">
              <w:rPr>
                <w:szCs w:val="18"/>
              </w:rPr>
              <w:t>410</w:t>
            </w:r>
          </w:p>
        </w:tc>
        <w:tc>
          <w:tcPr>
            <w:tcW w:w="0" w:type="dxa"/>
            <w:noWrap/>
            <w:tcMar>
              <w:left w:w="0" w:type="dxa"/>
              <w:bottom w:w="0" w:type="dxa"/>
              <w:right w:w="0" w:type="dxa"/>
            </w:tcMar>
          </w:tcPr>
          <w:p w14:paraId="02E004DC" w14:textId="11B65994" w:rsidR="0072552F" w:rsidRPr="004B520E" w:rsidRDefault="0072552F" w:rsidP="00961278">
            <w:pPr>
              <w:pStyle w:val="TableTextRight"/>
              <w:ind w:right="227"/>
              <w:rPr>
                <w:bCs/>
              </w:rPr>
            </w:pPr>
            <w:r w:rsidRPr="004B520E">
              <w:t>16,</w:t>
            </w:r>
            <w:r w:rsidRPr="004B520E">
              <w:rPr>
                <w:szCs w:val="18"/>
              </w:rPr>
              <w:t>520</w:t>
            </w:r>
          </w:p>
        </w:tc>
        <w:tc>
          <w:tcPr>
            <w:tcW w:w="0" w:type="dxa"/>
            <w:noWrap/>
            <w:tcMar>
              <w:left w:w="0" w:type="dxa"/>
              <w:bottom w:w="0" w:type="dxa"/>
              <w:right w:w="0" w:type="dxa"/>
            </w:tcMar>
          </w:tcPr>
          <w:p w14:paraId="672727F0" w14:textId="321E2399" w:rsidR="0072552F" w:rsidRPr="004B520E" w:rsidRDefault="0072552F" w:rsidP="00961278">
            <w:pPr>
              <w:pStyle w:val="TableTextRight"/>
              <w:ind w:right="227"/>
              <w:rPr>
                <w:bCs/>
              </w:rPr>
            </w:pPr>
            <w:r w:rsidRPr="004B520E">
              <w:t>6,</w:t>
            </w:r>
            <w:r w:rsidRPr="004B520E">
              <w:rPr>
                <w:szCs w:val="18"/>
              </w:rPr>
              <w:t>252</w:t>
            </w:r>
          </w:p>
        </w:tc>
        <w:tc>
          <w:tcPr>
            <w:tcW w:w="0" w:type="dxa"/>
            <w:noWrap/>
            <w:tcMar>
              <w:left w:w="0" w:type="dxa"/>
              <w:bottom w:w="0" w:type="dxa"/>
              <w:right w:w="0" w:type="dxa"/>
            </w:tcMar>
          </w:tcPr>
          <w:p w14:paraId="11BB75E3" w14:textId="1700A3F8" w:rsidR="0072552F" w:rsidRPr="004B520E" w:rsidRDefault="0072552F" w:rsidP="00961278">
            <w:pPr>
              <w:pStyle w:val="TableTextRight"/>
              <w:ind w:right="227"/>
              <w:rPr>
                <w:bCs/>
              </w:rPr>
            </w:pPr>
            <w:r w:rsidRPr="004B520E">
              <w:t>12,380</w:t>
            </w:r>
          </w:p>
        </w:tc>
      </w:tr>
      <w:tr w:rsidR="00B077B4" w:rsidRPr="004B520E" w14:paraId="62716FAB" w14:textId="5FA650D7" w:rsidTr="00B077B4">
        <w:trPr>
          <w:cnfStyle w:val="010000000000" w:firstRow="0" w:lastRow="1" w:firstColumn="0" w:lastColumn="0" w:oddVBand="0" w:evenVBand="0" w:oddHBand="0" w:evenHBand="0" w:firstRowFirstColumn="0" w:firstRowLastColumn="0" w:lastRowFirstColumn="0" w:lastRowLastColumn="0"/>
          <w:trHeight w:val="264"/>
        </w:trPr>
        <w:tc>
          <w:tcPr>
            <w:tcW w:w="2014" w:type="dxa"/>
            <w:tcBorders>
              <w:top w:val="nil"/>
            </w:tcBorders>
            <w:shd w:val="clear" w:color="auto" w:fill="E3E3E4" w:themeFill="accent3" w:themeFillTint="33"/>
            <w:noWrap/>
            <w:hideMark/>
          </w:tcPr>
          <w:p w14:paraId="3C2FC080" w14:textId="3254D6E0" w:rsidR="0072552F" w:rsidRPr="004B520E" w:rsidRDefault="0072552F" w:rsidP="007B35D7">
            <w:pPr>
              <w:pStyle w:val="TableText"/>
              <w:rPr>
                <w:b w:val="0"/>
                <w:bCs w:val="0"/>
              </w:rPr>
            </w:pPr>
            <w:r w:rsidRPr="004B520E">
              <w:rPr>
                <w:b w:val="0"/>
                <w:bCs w:val="0"/>
              </w:rPr>
              <w:t>Riverland</w:t>
            </w:r>
          </w:p>
        </w:tc>
        <w:tc>
          <w:tcPr>
            <w:tcW w:w="1255" w:type="dxa"/>
            <w:tcBorders>
              <w:top w:val="nil"/>
            </w:tcBorders>
            <w:shd w:val="clear" w:color="auto" w:fill="E3E3E4" w:themeFill="accent3" w:themeFillTint="33"/>
            <w:noWrap/>
            <w:tcMar>
              <w:left w:w="0" w:type="dxa"/>
              <w:bottom w:w="0" w:type="dxa"/>
              <w:right w:w="0" w:type="dxa"/>
            </w:tcMar>
            <w:hideMark/>
          </w:tcPr>
          <w:p w14:paraId="0EF8B802" w14:textId="16B78FC7" w:rsidR="0072552F" w:rsidRPr="00171D4A" w:rsidRDefault="0072552F" w:rsidP="00961278">
            <w:pPr>
              <w:pStyle w:val="TableTextRight"/>
              <w:ind w:right="227"/>
              <w:rPr>
                <w:b w:val="0"/>
                <w:bCs w:val="0"/>
              </w:rPr>
            </w:pPr>
            <w:r w:rsidRPr="00171D4A">
              <w:t>504</w:t>
            </w:r>
          </w:p>
        </w:tc>
        <w:tc>
          <w:tcPr>
            <w:tcW w:w="1256" w:type="dxa"/>
            <w:tcBorders>
              <w:top w:val="nil"/>
            </w:tcBorders>
            <w:shd w:val="clear" w:color="auto" w:fill="E3E3E4" w:themeFill="accent3" w:themeFillTint="33"/>
            <w:noWrap/>
            <w:tcMar>
              <w:left w:w="0" w:type="dxa"/>
              <w:bottom w:w="0" w:type="dxa"/>
              <w:right w:w="0" w:type="dxa"/>
            </w:tcMar>
            <w:hideMark/>
          </w:tcPr>
          <w:p w14:paraId="76B7DF78" w14:textId="1B1395B2" w:rsidR="0072552F" w:rsidRPr="00171D4A" w:rsidRDefault="0072552F" w:rsidP="00961278">
            <w:pPr>
              <w:pStyle w:val="TableTextRight"/>
              <w:ind w:right="227"/>
              <w:rPr>
                <w:b w:val="0"/>
                <w:bCs w:val="0"/>
              </w:rPr>
            </w:pPr>
            <w:r w:rsidRPr="00171D4A">
              <w:t>3,</w:t>
            </w:r>
            <w:r w:rsidRPr="00171D4A">
              <w:rPr>
                <w:szCs w:val="18"/>
              </w:rPr>
              <w:t>574</w:t>
            </w:r>
          </w:p>
        </w:tc>
        <w:tc>
          <w:tcPr>
            <w:tcW w:w="1255" w:type="dxa"/>
            <w:tcBorders>
              <w:top w:val="nil"/>
            </w:tcBorders>
            <w:shd w:val="clear" w:color="auto" w:fill="E3E3E4" w:themeFill="accent3" w:themeFillTint="33"/>
            <w:noWrap/>
            <w:tcMar>
              <w:left w:w="0" w:type="dxa"/>
              <w:bottom w:w="0" w:type="dxa"/>
              <w:right w:w="0" w:type="dxa"/>
            </w:tcMar>
            <w:hideMark/>
          </w:tcPr>
          <w:p w14:paraId="0704E806" w14:textId="77777777" w:rsidR="0072552F" w:rsidRPr="00171D4A" w:rsidRDefault="0072552F" w:rsidP="00961278">
            <w:pPr>
              <w:pStyle w:val="TableTextRight"/>
              <w:ind w:right="227"/>
              <w:rPr>
                <w:b w:val="0"/>
                <w:bCs w:val="0"/>
              </w:rPr>
            </w:pPr>
            <w:r w:rsidRPr="00171D4A">
              <w:t>321</w:t>
            </w:r>
          </w:p>
        </w:tc>
        <w:tc>
          <w:tcPr>
            <w:tcW w:w="1256" w:type="dxa"/>
            <w:tcBorders>
              <w:top w:val="nil"/>
            </w:tcBorders>
            <w:shd w:val="clear" w:color="auto" w:fill="E3E3E4" w:themeFill="accent3" w:themeFillTint="33"/>
            <w:noWrap/>
            <w:tcMar>
              <w:left w:w="0" w:type="dxa"/>
              <w:bottom w:w="0" w:type="dxa"/>
              <w:right w:w="0" w:type="dxa"/>
            </w:tcMar>
            <w:hideMark/>
          </w:tcPr>
          <w:p w14:paraId="6245D12B" w14:textId="59627D51" w:rsidR="0072552F" w:rsidRPr="00171D4A" w:rsidRDefault="0072552F" w:rsidP="00961278">
            <w:pPr>
              <w:pStyle w:val="TableTextRight"/>
              <w:ind w:right="227"/>
              <w:rPr>
                <w:b w:val="0"/>
                <w:bCs w:val="0"/>
              </w:rPr>
            </w:pPr>
            <w:r w:rsidRPr="00171D4A">
              <w:t>4,277</w:t>
            </w:r>
          </w:p>
        </w:tc>
        <w:tc>
          <w:tcPr>
            <w:tcW w:w="1256" w:type="dxa"/>
            <w:tcBorders>
              <w:top w:val="nil"/>
            </w:tcBorders>
            <w:shd w:val="clear" w:color="auto" w:fill="E3E3E4" w:themeFill="accent3" w:themeFillTint="33"/>
            <w:noWrap/>
            <w:tcMar>
              <w:left w:w="0" w:type="dxa"/>
              <w:bottom w:w="0" w:type="dxa"/>
              <w:right w:w="0" w:type="dxa"/>
            </w:tcMar>
            <w:hideMark/>
          </w:tcPr>
          <w:p w14:paraId="2B765828" w14:textId="326E7A59" w:rsidR="0072552F" w:rsidRPr="00171D4A" w:rsidRDefault="0072552F" w:rsidP="00961278">
            <w:pPr>
              <w:pStyle w:val="TableTextRight"/>
              <w:ind w:right="227"/>
              <w:rPr>
                <w:b w:val="0"/>
                <w:bCs w:val="0"/>
              </w:rPr>
            </w:pPr>
            <w:r w:rsidRPr="00171D4A">
              <w:t>3,</w:t>
            </w:r>
            <w:r w:rsidRPr="00171D4A">
              <w:rPr>
                <w:szCs w:val="18"/>
              </w:rPr>
              <w:t>298</w:t>
            </w:r>
          </w:p>
        </w:tc>
        <w:tc>
          <w:tcPr>
            <w:tcW w:w="1255" w:type="dxa"/>
            <w:tcBorders>
              <w:top w:val="nil"/>
            </w:tcBorders>
            <w:shd w:val="clear" w:color="auto" w:fill="E3E3E4" w:themeFill="accent3" w:themeFillTint="33"/>
            <w:noWrap/>
            <w:tcMar>
              <w:left w:w="0" w:type="dxa"/>
              <w:bottom w:w="0" w:type="dxa"/>
              <w:right w:w="0" w:type="dxa"/>
            </w:tcMar>
            <w:hideMark/>
          </w:tcPr>
          <w:p w14:paraId="7620C1D5" w14:textId="53586DB7" w:rsidR="0072552F" w:rsidRPr="00171D4A" w:rsidRDefault="0072552F" w:rsidP="00961278">
            <w:pPr>
              <w:pStyle w:val="TableTextRight"/>
              <w:ind w:right="227"/>
              <w:rPr>
                <w:b w:val="0"/>
                <w:bCs w:val="0"/>
              </w:rPr>
            </w:pPr>
            <w:r w:rsidRPr="00171D4A">
              <w:t>2,775</w:t>
            </w:r>
          </w:p>
        </w:tc>
        <w:tc>
          <w:tcPr>
            <w:tcW w:w="1256" w:type="dxa"/>
            <w:tcBorders>
              <w:top w:val="nil"/>
            </w:tcBorders>
            <w:shd w:val="clear" w:color="auto" w:fill="E3E3E4" w:themeFill="accent3" w:themeFillTint="33"/>
            <w:noWrap/>
            <w:tcMar>
              <w:left w:w="0" w:type="dxa"/>
              <w:bottom w:w="0" w:type="dxa"/>
              <w:right w:w="0" w:type="dxa"/>
            </w:tcMar>
          </w:tcPr>
          <w:p w14:paraId="61B8F745" w14:textId="0275E6F7" w:rsidR="0072552F" w:rsidRPr="00171D4A" w:rsidRDefault="0072552F" w:rsidP="00961278">
            <w:pPr>
              <w:pStyle w:val="TableTextRight"/>
              <w:ind w:right="227"/>
              <w:rPr>
                <w:b w:val="0"/>
                <w:bCs w:val="0"/>
              </w:rPr>
            </w:pPr>
            <w:r w:rsidRPr="00171D4A">
              <w:t>3,</w:t>
            </w:r>
            <w:r w:rsidRPr="00171D4A">
              <w:rPr>
                <w:szCs w:val="18"/>
              </w:rPr>
              <w:t>904</w:t>
            </w:r>
          </w:p>
        </w:tc>
        <w:tc>
          <w:tcPr>
            <w:tcW w:w="1255" w:type="dxa"/>
            <w:tcBorders>
              <w:top w:val="nil"/>
            </w:tcBorders>
            <w:shd w:val="clear" w:color="auto" w:fill="E3E3E4" w:themeFill="accent3" w:themeFillTint="33"/>
            <w:noWrap/>
            <w:tcMar>
              <w:left w:w="0" w:type="dxa"/>
              <w:bottom w:w="0" w:type="dxa"/>
              <w:right w:w="0" w:type="dxa"/>
            </w:tcMar>
          </w:tcPr>
          <w:p w14:paraId="0FF30BAE" w14:textId="002A5146" w:rsidR="0072552F" w:rsidRPr="00171D4A" w:rsidRDefault="0072552F" w:rsidP="00961278">
            <w:pPr>
              <w:pStyle w:val="TableTextRight"/>
              <w:ind w:right="227"/>
              <w:rPr>
                <w:b w:val="0"/>
                <w:bCs w:val="0"/>
              </w:rPr>
            </w:pPr>
            <w:r w:rsidRPr="00171D4A">
              <w:t>1,452</w:t>
            </w:r>
          </w:p>
        </w:tc>
        <w:tc>
          <w:tcPr>
            <w:tcW w:w="1256" w:type="dxa"/>
            <w:tcBorders>
              <w:top w:val="nil"/>
            </w:tcBorders>
            <w:shd w:val="clear" w:color="auto" w:fill="E3E3E4" w:themeFill="accent3" w:themeFillTint="33"/>
            <w:noWrap/>
            <w:tcMar>
              <w:left w:w="0" w:type="dxa"/>
              <w:bottom w:w="0" w:type="dxa"/>
              <w:right w:w="0" w:type="dxa"/>
            </w:tcMar>
          </w:tcPr>
          <w:p w14:paraId="7A13BE1E" w14:textId="64F09DBD" w:rsidR="0072552F" w:rsidRPr="00171D4A" w:rsidRDefault="0072552F" w:rsidP="00961278">
            <w:pPr>
              <w:pStyle w:val="TableTextRight"/>
              <w:ind w:right="227"/>
              <w:rPr>
                <w:b w:val="0"/>
                <w:bCs w:val="0"/>
              </w:rPr>
            </w:pPr>
            <w:r w:rsidRPr="00171D4A">
              <w:t>55</w:t>
            </w:r>
          </w:p>
        </w:tc>
        <w:tc>
          <w:tcPr>
            <w:tcW w:w="1256" w:type="dxa"/>
            <w:tcBorders>
              <w:top w:val="nil"/>
            </w:tcBorders>
            <w:shd w:val="clear" w:color="auto" w:fill="E3E3E4" w:themeFill="accent3" w:themeFillTint="33"/>
            <w:noWrap/>
            <w:tcMar>
              <w:left w:w="0" w:type="dxa"/>
              <w:bottom w:w="0" w:type="dxa"/>
              <w:right w:w="0" w:type="dxa"/>
            </w:tcMar>
          </w:tcPr>
          <w:p w14:paraId="0A783DF9" w14:textId="6FB15129" w:rsidR="0072552F" w:rsidRPr="00171D4A" w:rsidRDefault="0072552F" w:rsidP="00961278">
            <w:pPr>
              <w:pStyle w:val="TableTextRight"/>
              <w:ind w:right="227"/>
              <w:rPr>
                <w:b w:val="0"/>
                <w:bCs w:val="0"/>
              </w:rPr>
            </w:pPr>
            <w:r w:rsidRPr="00171D4A">
              <w:t>2,457</w:t>
            </w:r>
          </w:p>
        </w:tc>
      </w:tr>
    </w:tbl>
    <w:p w14:paraId="05F73656" w14:textId="77777777" w:rsidR="0059143B" w:rsidRPr="004B520E" w:rsidRDefault="0059143B" w:rsidP="0059143B">
      <w:pPr>
        <w:pStyle w:val="BodyText"/>
      </w:pPr>
      <w:bookmarkStart w:id="320" w:name="_Toc168579839"/>
      <w:bookmarkStart w:id="321" w:name="_Toc172283633"/>
      <w:bookmarkStart w:id="322" w:name="_Toc172290951"/>
      <w:bookmarkStart w:id="323" w:name="_Toc178668850"/>
      <w:bookmarkEnd w:id="319"/>
    </w:p>
    <w:p w14:paraId="41D0B57D" w14:textId="77777777" w:rsidR="00C2413B" w:rsidRPr="004B520E" w:rsidRDefault="00C2413B" w:rsidP="0059143B">
      <w:pPr>
        <w:pStyle w:val="BodyText"/>
        <w:sectPr w:rsidR="00C2413B" w:rsidRPr="004B520E" w:rsidSect="0062032F">
          <w:pgSz w:w="16838" w:h="11906" w:orient="landscape" w:code="9"/>
          <w:pgMar w:top="1134" w:right="1134" w:bottom="1134" w:left="1134" w:header="510" w:footer="510" w:gutter="0"/>
          <w:cols w:space="284"/>
          <w:docGrid w:linePitch="360"/>
        </w:sectPr>
      </w:pPr>
    </w:p>
    <w:p w14:paraId="7FD52DA8" w14:textId="2968A805" w:rsidR="00EB2195" w:rsidRPr="004B520E" w:rsidRDefault="008E277E" w:rsidP="00113FC9">
      <w:pPr>
        <w:pStyle w:val="Heading1"/>
      </w:pPr>
      <w:bookmarkStart w:id="324" w:name="_Toc168579843"/>
      <w:bookmarkStart w:id="325" w:name="_Ref172027536"/>
      <w:bookmarkStart w:id="326" w:name="_Toc172283636"/>
      <w:bookmarkStart w:id="327" w:name="_Toc172290954"/>
      <w:bookmarkStart w:id="328" w:name="_Toc178668853"/>
      <w:bookmarkStart w:id="329" w:name="_Toc200743760"/>
      <w:bookmarkStart w:id="330" w:name="_Toc200743859"/>
      <w:bookmarkStart w:id="331" w:name="_Toc203682273"/>
      <w:bookmarkStart w:id="332" w:name="_Toc204606888"/>
      <w:bookmarkEnd w:id="320"/>
      <w:bookmarkEnd w:id="321"/>
      <w:bookmarkEnd w:id="322"/>
      <w:bookmarkEnd w:id="323"/>
      <w:r w:rsidRPr="004B520E">
        <w:lastRenderedPageBreak/>
        <w:t>O</w:t>
      </w:r>
      <w:r w:rsidR="00EB2195" w:rsidRPr="004B520E">
        <w:t xml:space="preserve">utcomes </w:t>
      </w:r>
      <w:r w:rsidR="00244943" w:rsidRPr="004B520E">
        <w:t>2023–24</w:t>
      </w:r>
      <w:bookmarkEnd w:id="324"/>
      <w:bookmarkEnd w:id="325"/>
      <w:bookmarkEnd w:id="326"/>
      <w:bookmarkEnd w:id="327"/>
      <w:bookmarkEnd w:id="328"/>
      <w:bookmarkEnd w:id="329"/>
      <w:bookmarkEnd w:id="330"/>
      <w:bookmarkEnd w:id="331"/>
      <w:bookmarkEnd w:id="332"/>
    </w:p>
    <w:p w14:paraId="4095AB57" w14:textId="3683F8C7" w:rsidR="00ED3D30" w:rsidRPr="004B520E" w:rsidRDefault="009A7CC0" w:rsidP="006C69E4">
      <w:pPr>
        <w:pStyle w:val="Boxedheadingteal"/>
      </w:pPr>
      <w:bookmarkStart w:id="333" w:name="_Toc168579844"/>
      <w:bookmarkStart w:id="334" w:name="_Toc172283637"/>
      <w:bookmarkStart w:id="335" w:name="_Toc172290955"/>
      <w:bookmarkStart w:id="336" w:name="_Toc178668854"/>
      <w:r w:rsidRPr="004B520E">
        <w:t xml:space="preserve">At </w:t>
      </w:r>
      <w:r w:rsidR="00F17BDD" w:rsidRPr="004B520E">
        <w:t>a glance</w:t>
      </w:r>
      <w:bookmarkEnd w:id="333"/>
      <w:bookmarkEnd w:id="334"/>
      <w:bookmarkEnd w:id="335"/>
      <w:bookmarkEnd w:id="336"/>
    </w:p>
    <w:p w14:paraId="211E4B4E" w14:textId="0967322A" w:rsidR="009F59C8" w:rsidRPr="004B520E" w:rsidRDefault="004C4AFE" w:rsidP="004C4AFE">
      <w:pPr>
        <w:pStyle w:val="Boxedheadingblue"/>
      </w:pPr>
      <w:bookmarkStart w:id="337" w:name="_Toc168579845"/>
      <w:bookmarkStart w:id="338" w:name="_Toc172283638"/>
      <w:bookmarkStart w:id="339" w:name="_Toc172290956"/>
      <w:bookmarkStart w:id="340" w:name="_Toc178668855"/>
      <w:r w:rsidRPr="004B520E">
        <w:t>Vegetation</w:t>
      </w:r>
      <w:bookmarkEnd w:id="337"/>
      <w:bookmarkEnd w:id="338"/>
      <w:bookmarkEnd w:id="339"/>
      <w:bookmarkEnd w:id="340"/>
    </w:p>
    <w:p w14:paraId="748F01F6" w14:textId="57F2D785" w:rsidR="0035012E" w:rsidRPr="004B520E" w:rsidRDefault="00D50F39" w:rsidP="000A515E">
      <w:pPr>
        <w:pStyle w:val="Boxedlistbullet"/>
      </w:pPr>
      <w:r>
        <w:t xml:space="preserve">Environmental water was important for maintaining </w:t>
      </w:r>
      <w:r w:rsidR="03CA55C8">
        <w:t>distinct groups of</w:t>
      </w:r>
      <w:r>
        <w:t xml:space="preserve"> </w:t>
      </w:r>
      <w:r w:rsidR="00F22093">
        <w:t xml:space="preserve">damp-loving </w:t>
      </w:r>
      <w:r>
        <w:t>plant species in the Basin</w:t>
      </w:r>
      <w:r w:rsidR="005100FA">
        <w:t xml:space="preserve"> in </w:t>
      </w:r>
      <w:r w:rsidR="00244943">
        <w:t>2023–24</w:t>
      </w:r>
      <w:r w:rsidR="0035012E">
        <w:t>.</w:t>
      </w:r>
    </w:p>
    <w:p w14:paraId="51D78C9E" w14:textId="29DEC733" w:rsidR="00E72A48" w:rsidRDefault="00FC1565" w:rsidP="007902DE">
      <w:pPr>
        <w:pStyle w:val="Boxedlistbullet"/>
      </w:pPr>
      <w:r w:rsidRPr="004B520E">
        <w:t>72</w:t>
      </w:r>
      <w:r w:rsidR="00D50F39" w:rsidRPr="004B520E">
        <w:t xml:space="preserve"> water actions</w:t>
      </w:r>
      <w:r w:rsidR="00164CFA" w:rsidRPr="004B520E">
        <w:t xml:space="preserve"> –</w:t>
      </w:r>
      <w:r w:rsidR="00D50F39" w:rsidRPr="004B520E">
        <w:t xml:space="preserve"> </w:t>
      </w:r>
      <w:r w:rsidR="008E5FCF" w:rsidRPr="004B520E">
        <w:t xml:space="preserve">totalling </w:t>
      </w:r>
      <w:r w:rsidRPr="004B520E">
        <w:t>2,4</w:t>
      </w:r>
      <w:r w:rsidR="489AF46C" w:rsidRPr="004B520E">
        <w:t>21</w:t>
      </w:r>
      <w:r w:rsidR="008E5FCF" w:rsidRPr="004B520E">
        <w:t> GL</w:t>
      </w:r>
      <w:r w:rsidR="00164CFA" w:rsidRPr="004B520E">
        <w:t xml:space="preserve"> </w:t>
      </w:r>
      <w:r w:rsidR="005D67FD">
        <w:t xml:space="preserve">of Commonwealth environmental water </w:t>
      </w:r>
      <w:r w:rsidR="00164CFA" w:rsidRPr="004B520E">
        <w:t>–</w:t>
      </w:r>
      <w:r w:rsidR="008E5FCF" w:rsidRPr="004B520E">
        <w:t xml:space="preserve"> </w:t>
      </w:r>
      <w:r w:rsidR="0090549B" w:rsidRPr="004B520E">
        <w:t>targeted</w:t>
      </w:r>
      <w:r w:rsidR="008E5FCF" w:rsidRPr="004B520E">
        <w:t xml:space="preserve"> </w:t>
      </w:r>
      <w:r w:rsidR="00A77961">
        <w:t xml:space="preserve">outcomes for </w:t>
      </w:r>
      <w:r w:rsidR="008E5FCF" w:rsidRPr="004B520E">
        <w:t>vegetation</w:t>
      </w:r>
      <w:r w:rsidR="00751107" w:rsidRPr="004B520E">
        <w:t>.</w:t>
      </w:r>
    </w:p>
    <w:p w14:paraId="2D4B3075" w14:textId="168C5F1D" w:rsidR="0035012E" w:rsidRPr="004B520E" w:rsidRDefault="00FC1565" w:rsidP="007902DE">
      <w:pPr>
        <w:pStyle w:val="Boxedlistbullet"/>
      </w:pPr>
      <w:r w:rsidRPr="004B520E">
        <w:t>360</w:t>
      </w:r>
      <w:r w:rsidR="004C4AFE" w:rsidRPr="004B520E">
        <w:t xml:space="preserve"> plant species were recorded in </w:t>
      </w:r>
      <w:r w:rsidR="00244943" w:rsidRPr="004B520E">
        <w:t>2023–24</w:t>
      </w:r>
      <w:r w:rsidR="001F57F0" w:rsidRPr="004B520E">
        <w:t>, 7</w:t>
      </w:r>
      <w:r w:rsidRPr="004B520E">
        <w:t>0</w:t>
      </w:r>
      <w:r w:rsidR="001F57F0" w:rsidRPr="004B520E">
        <w:t xml:space="preserve">% of </w:t>
      </w:r>
      <w:r w:rsidR="00CC49F3" w:rsidRPr="004B520E">
        <w:t xml:space="preserve">which </w:t>
      </w:r>
      <w:r w:rsidR="001F57F0" w:rsidRPr="004B520E">
        <w:t>were native</w:t>
      </w:r>
      <w:r w:rsidR="00A17C5B" w:rsidRPr="004B520E">
        <w:t>.</w:t>
      </w:r>
      <w:r w:rsidR="001F57F0" w:rsidRPr="004B520E">
        <w:t xml:space="preserve"> </w:t>
      </w:r>
      <w:r w:rsidR="006E39AE" w:rsidRPr="00FC1565">
        <w:t xml:space="preserve">15 previously unrecorded taxa </w:t>
      </w:r>
      <w:r w:rsidR="0012055D">
        <w:t xml:space="preserve">(including 2 introduced plants) </w:t>
      </w:r>
      <w:r w:rsidR="006E39AE" w:rsidRPr="00FC1565">
        <w:t xml:space="preserve">were observed at </w:t>
      </w:r>
      <w:r w:rsidR="005D11CD">
        <w:t xml:space="preserve">Flow-MER </w:t>
      </w:r>
      <w:r w:rsidR="006E39AE" w:rsidRPr="00FC1565">
        <w:t>monitoring locations.</w:t>
      </w:r>
    </w:p>
    <w:p w14:paraId="5CCB86F5" w14:textId="17C8EEA3" w:rsidR="001147FA" w:rsidRPr="004B520E" w:rsidRDefault="001147FA" w:rsidP="007902DE">
      <w:pPr>
        <w:pStyle w:val="Boxedlistbullet"/>
        <w:rPr>
          <w:color w:val="auto"/>
        </w:rPr>
      </w:pPr>
      <w:r w:rsidRPr="004B520E">
        <w:t>The extended wet conditions appear to favour native species</w:t>
      </w:r>
      <w:r w:rsidR="003C61D5">
        <w:t xml:space="preserve"> –</w:t>
      </w:r>
      <w:r w:rsidRPr="004B520E">
        <w:t xml:space="preserve"> the highest proportion of taxa and the greatest cover of native species</w:t>
      </w:r>
      <w:r w:rsidR="00C5035D" w:rsidRPr="004B520E">
        <w:t xml:space="preserve"> observed between 2014 and 2023 </w:t>
      </w:r>
      <w:r w:rsidR="003C61D5">
        <w:t>were</w:t>
      </w:r>
      <w:r w:rsidRPr="004B520E">
        <w:t xml:space="preserve"> recorded over the past </w:t>
      </w:r>
      <w:r w:rsidR="00FC1565" w:rsidRPr="004B520E">
        <w:t>3</w:t>
      </w:r>
      <w:r w:rsidR="006A292B" w:rsidRPr="004B520E">
        <w:t> </w:t>
      </w:r>
      <w:r w:rsidRPr="004B520E">
        <w:t xml:space="preserve">years (2021–22 </w:t>
      </w:r>
      <w:r w:rsidR="000C7AF8">
        <w:t>to</w:t>
      </w:r>
      <w:r w:rsidR="000C7AF8" w:rsidRPr="004B520E">
        <w:t xml:space="preserve"> </w:t>
      </w:r>
      <w:r w:rsidR="00244943" w:rsidRPr="004B520E">
        <w:t>2023–24</w:t>
      </w:r>
      <w:r w:rsidRPr="004B520E">
        <w:t>).</w:t>
      </w:r>
    </w:p>
    <w:p w14:paraId="06FF6056" w14:textId="3B38792F" w:rsidR="00235ADD" w:rsidRPr="004B520E" w:rsidRDefault="00FC1565" w:rsidP="00235ADD">
      <w:pPr>
        <w:pStyle w:val="Boxedlistbullet"/>
      </w:pPr>
      <w:r w:rsidRPr="004B520E">
        <w:t>54</w:t>
      </w:r>
      <w:r w:rsidR="00235ADD" w:rsidRPr="004B520E">
        <w:t xml:space="preserve"> taxa used by Aboriginal people were recorded, including 12 recorded </w:t>
      </w:r>
      <w:r w:rsidR="00187D28" w:rsidRPr="004B520E">
        <w:t>only</w:t>
      </w:r>
      <w:r w:rsidR="00235ADD" w:rsidRPr="004B520E">
        <w:t xml:space="preserve"> at locations that experienced a wetter inundation regime because of environmental water.</w:t>
      </w:r>
    </w:p>
    <w:p w14:paraId="7E7394FD" w14:textId="6C2BAAAC" w:rsidR="00653698" w:rsidRPr="004B520E" w:rsidRDefault="00BC77DD" w:rsidP="00235ADD">
      <w:pPr>
        <w:pStyle w:val="Boxedlistbullet"/>
      </w:pPr>
      <w:r w:rsidRPr="004B520E">
        <w:t>There was a greater proportion and cover of submerged and amphibious plants observed at sites that had wetter inundation regimes maintained using environmental water</w:t>
      </w:r>
      <w:r w:rsidR="008715B9" w:rsidRPr="004B520E">
        <w:t>.</w:t>
      </w:r>
    </w:p>
    <w:p w14:paraId="1FDB92B2" w14:textId="23E70E6B" w:rsidR="00C14F74" w:rsidRPr="004B520E" w:rsidRDefault="00C14F74" w:rsidP="00695A81">
      <w:pPr>
        <w:pStyle w:val="Boxedheadingblue"/>
      </w:pPr>
      <w:bookmarkStart w:id="341" w:name="_Toc168579846"/>
      <w:bookmarkStart w:id="342" w:name="_Toc172283639"/>
      <w:bookmarkStart w:id="343" w:name="_Toc172290957"/>
      <w:bookmarkStart w:id="344" w:name="_Toc178668856"/>
      <w:r w:rsidRPr="004B520E">
        <w:t xml:space="preserve">Native </w:t>
      </w:r>
      <w:r w:rsidR="008C5703" w:rsidRPr="004B520E">
        <w:t>f</w:t>
      </w:r>
      <w:r w:rsidRPr="004B520E">
        <w:t>ish</w:t>
      </w:r>
      <w:bookmarkEnd w:id="341"/>
      <w:bookmarkEnd w:id="342"/>
      <w:bookmarkEnd w:id="343"/>
      <w:bookmarkEnd w:id="344"/>
    </w:p>
    <w:p w14:paraId="0CA2C10B" w14:textId="3D20B52C" w:rsidR="0011610C" w:rsidRPr="004B520E" w:rsidRDefault="5092AF99" w:rsidP="000A515E">
      <w:pPr>
        <w:pStyle w:val="Boxedlistbullet"/>
      </w:pPr>
      <w:r>
        <w:t>99</w:t>
      </w:r>
      <w:r w:rsidR="0011610C">
        <w:t xml:space="preserve"> </w:t>
      </w:r>
      <w:r w:rsidR="002B496D">
        <w:t xml:space="preserve">water </w:t>
      </w:r>
      <w:r w:rsidR="0011610C">
        <w:t>actions</w:t>
      </w:r>
      <w:r w:rsidR="00164CFA">
        <w:t xml:space="preserve"> –</w:t>
      </w:r>
      <w:r w:rsidR="002B496D">
        <w:t xml:space="preserve"> totalling</w:t>
      </w:r>
      <w:r w:rsidR="0011610C">
        <w:t xml:space="preserve"> </w:t>
      </w:r>
      <w:r w:rsidR="29CC5D7D">
        <w:t>2,708</w:t>
      </w:r>
      <w:r w:rsidR="0011610C">
        <w:t> GL</w:t>
      </w:r>
      <w:r w:rsidR="00164CFA">
        <w:t xml:space="preserve"> </w:t>
      </w:r>
      <w:r w:rsidR="005D67FD">
        <w:t xml:space="preserve">of Commonwealth environmental water </w:t>
      </w:r>
      <w:r w:rsidR="00164CFA">
        <w:t>–</w:t>
      </w:r>
      <w:r w:rsidR="0011610C">
        <w:t xml:space="preserve"> </w:t>
      </w:r>
      <w:r w:rsidR="002B496D">
        <w:t xml:space="preserve">targeted </w:t>
      </w:r>
      <w:r w:rsidR="00A77961">
        <w:t xml:space="preserve">outcomes for </w:t>
      </w:r>
      <w:r w:rsidR="002B496D">
        <w:t xml:space="preserve">native fish </w:t>
      </w:r>
      <w:r w:rsidR="0011610C">
        <w:t xml:space="preserve">to </w:t>
      </w:r>
      <w:r w:rsidR="5E36993C">
        <w:t xml:space="preserve">improve habitat, </w:t>
      </w:r>
      <w:r w:rsidR="0011610C">
        <w:t>enhance connectivity</w:t>
      </w:r>
      <w:r w:rsidR="37D5B065">
        <w:t xml:space="preserve"> or</w:t>
      </w:r>
      <w:r w:rsidR="002B496D">
        <w:t xml:space="preserve"> </w:t>
      </w:r>
      <w:r w:rsidR="0011610C">
        <w:t>provide cues for movement, and, to a lesser extent, for targeted species outcomes.</w:t>
      </w:r>
    </w:p>
    <w:p w14:paraId="1BCD0D80" w14:textId="2229A963" w:rsidR="00CB055B" w:rsidRDefault="3EF42014" w:rsidP="0FDCD585">
      <w:pPr>
        <w:pStyle w:val="Boxedlistbullet"/>
      </w:pPr>
      <w:r>
        <w:t>Commonwealth environmental water was used to water wetlands, lakes and ephemeral creeks, maintain high instream flow rates during spring and summer, reduce rapid recessions, protect stable flows, and provide variable base</w:t>
      </w:r>
      <w:r w:rsidR="001E6C5D">
        <w:t xml:space="preserve"> </w:t>
      </w:r>
      <w:r>
        <w:t>flows and winter/spring freshes and autumn freshes</w:t>
      </w:r>
      <w:r w:rsidR="672FD40F">
        <w:t>.</w:t>
      </w:r>
    </w:p>
    <w:p w14:paraId="3F50C68D" w14:textId="697930A7" w:rsidR="00E72A48" w:rsidRDefault="000D7484" w:rsidP="00332782">
      <w:pPr>
        <w:pStyle w:val="Boxedlistbullet"/>
      </w:pPr>
      <w:r w:rsidRPr="004B520E">
        <w:t>1</w:t>
      </w:r>
      <w:r w:rsidR="008E0D6A" w:rsidRPr="004B520E">
        <w:t>4</w:t>
      </w:r>
      <w:r w:rsidRPr="004B520E">
        <w:t xml:space="preserve"> native fish species were detected </w:t>
      </w:r>
      <w:r w:rsidR="004426F3" w:rsidRPr="004B520E">
        <w:t xml:space="preserve">in </w:t>
      </w:r>
      <w:r w:rsidR="00244943" w:rsidRPr="004B520E">
        <w:t>2023–24</w:t>
      </w:r>
      <w:r w:rsidR="00BC3DBA" w:rsidRPr="004B520E">
        <w:t xml:space="preserve"> at monitor</w:t>
      </w:r>
      <w:r w:rsidR="002D7FC8" w:rsidRPr="004B520E">
        <w:t>ing locations</w:t>
      </w:r>
      <w:r w:rsidR="00192727" w:rsidRPr="004B520E">
        <w:t xml:space="preserve">, compared with 15 </w:t>
      </w:r>
      <w:r w:rsidR="00D6315C" w:rsidRPr="004B520E">
        <w:t>native fish species detected over the monitoring period (</w:t>
      </w:r>
      <w:r w:rsidR="00244943" w:rsidRPr="004B520E">
        <w:t>2014–24</w:t>
      </w:r>
      <w:r w:rsidR="00D6315C" w:rsidRPr="004B520E">
        <w:t>)</w:t>
      </w:r>
      <w:r w:rsidR="0018537C" w:rsidRPr="004B520E">
        <w:t>.</w:t>
      </w:r>
    </w:p>
    <w:p w14:paraId="18DDF068" w14:textId="151942F5" w:rsidR="00E72A48" w:rsidRDefault="0011610C" w:rsidP="0011610C">
      <w:pPr>
        <w:pStyle w:val="Boxedlistbullet"/>
      </w:pPr>
      <w:r w:rsidRPr="004B520E">
        <w:t xml:space="preserve">Golden perch </w:t>
      </w:r>
      <w:r w:rsidR="00341BB8" w:rsidRPr="004B520E">
        <w:t>(</w:t>
      </w:r>
      <w:r w:rsidR="00341BB8" w:rsidRPr="004B520E">
        <w:rPr>
          <w:i/>
          <w:iCs/>
        </w:rPr>
        <w:t>Macquaria ambigua</w:t>
      </w:r>
      <w:r w:rsidR="00341BB8" w:rsidRPr="004B520E">
        <w:t>)</w:t>
      </w:r>
      <w:r w:rsidRPr="004B520E">
        <w:t xml:space="preserve"> spawn</w:t>
      </w:r>
      <w:r w:rsidR="00B239FA">
        <w:t>ed</w:t>
      </w:r>
      <w:r w:rsidRPr="004B520E">
        <w:t xml:space="preserve"> in the Goulburn River</w:t>
      </w:r>
      <w:r w:rsidR="008E0D6A" w:rsidRPr="004B520E">
        <w:t xml:space="preserve"> and Lower Murray River. Spawning in the Goulburn River coincided with a large natural overbank flow and a Commonwealth environmental water delivery of a fresh.</w:t>
      </w:r>
    </w:p>
    <w:p w14:paraId="578C0CE9" w14:textId="33540A3D" w:rsidR="008E0D6A" w:rsidRPr="004B520E" w:rsidRDefault="008E0D6A" w:rsidP="0011610C">
      <w:pPr>
        <w:pStyle w:val="Boxedlistbullet"/>
      </w:pPr>
      <w:r w:rsidRPr="004B520E">
        <w:t>Silver perch</w:t>
      </w:r>
      <w:r w:rsidR="008B1C75">
        <w:t xml:space="preserve"> (</w:t>
      </w:r>
      <w:r w:rsidR="008B1C75">
        <w:rPr>
          <w:i/>
          <w:iCs/>
        </w:rPr>
        <w:t>Bidyanus bidyanus</w:t>
      </w:r>
      <w:r w:rsidR="008B1C75">
        <w:t>)</w:t>
      </w:r>
      <w:r w:rsidRPr="004B520E">
        <w:t xml:space="preserve"> spawned in the Lower Murray River and Murrumbidgee River System. In the Lower Murray River, </w:t>
      </w:r>
      <w:r w:rsidR="00443787">
        <w:t xml:space="preserve">spawning of </w:t>
      </w:r>
      <w:r w:rsidRPr="004B520E">
        <w:t xml:space="preserve">golden and silver perch coincided with large instream flow pulses </w:t>
      </w:r>
      <w:r w:rsidR="00443787">
        <w:t>that</w:t>
      </w:r>
      <w:r w:rsidRPr="004B520E">
        <w:t xml:space="preserve"> included contributions of Commonwealth environmental water.</w:t>
      </w:r>
    </w:p>
    <w:p w14:paraId="11A8F6E3" w14:textId="1780BA41" w:rsidR="0032110E" w:rsidRPr="004B520E" w:rsidRDefault="0011610C" w:rsidP="00D324EB">
      <w:pPr>
        <w:pStyle w:val="Boxedlistbullet"/>
      </w:pPr>
      <w:r>
        <w:t xml:space="preserve">There was evidence of Murray cod </w:t>
      </w:r>
      <w:r w:rsidR="007A11EA">
        <w:t>(</w:t>
      </w:r>
      <w:r w:rsidR="007A11EA" w:rsidRPr="001C141B">
        <w:rPr>
          <w:i/>
          <w:iCs/>
        </w:rPr>
        <w:t>Maccullochella peelii</w:t>
      </w:r>
      <w:r w:rsidR="007A11EA">
        <w:t>)</w:t>
      </w:r>
      <w:r>
        <w:t xml:space="preserve"> recruitment in the Lower Murray Rive</w:t>
      </w:r>
      <w:r w:rsidR="00FD1A04">
        <w:t>r</w:t>
      </w:r>
      <w:r>
        <w:t xml:space="preserve">. In </w:t>
      </w:r>
      <w:r w:rsidR="00FD1A04">
        <w:t>other areas</w:t>
      </w:r>
      <w:r w:rsidR="658120B6">
        <w:t xml:space="preserve"> </w:t>
      </w:r>
      <w:r w:rsidR="0032110E" w:rsidRPr="008E0D6A">
        <w:t>recruitment</w:t>
      </w:r>
      <w:r w:rsidR="0032110E">
        <w:t xml:space="preserve"> </w:t>
      </w:r>
      <w:r w:rsidR="658120B6">
        <w:t>was poor</w:t>
      </w:r>
      <w:r w:rsidR="00FD1A04">
        <w:t>,</w:t>
      </w:r>
      <w:r w:rsidR="00DF3880">
        <w:t xml:space="preserve"> </w:t>
      </w:r>
      <w:r w:rsidR="4AD0B4C8">
        <w:t>possible reasons include</w:t>
      </w:r>
      <w:r w:rsidR="21A06717" w:rsidRPr="00D324EB">
        <w:t xml:space="preserve"> </w:t>
      </w:r>
      <w:r w:rsidR="49B387B0" w:rsidRPr="0FDCD585">
        <w:t>u</w:t>
      </w:r>
      <w:r w:rsidR="4E147971">
        <w:t>nfavourable flow conditions during nesting and early life stages, insufficient prey availability in summer, and populations still recovering from the flooding impacts</w:t>
      </w:r>
      <w:r w:rsidR="4B09398A">
        <w:t xml:space="preserve"> from the previous year</w:t>
      </w:r>
      <w:r w:rsidR="0032110E" w:rsidRPr="008E0D6A">
        <w:t>.</w:t>
      </w:r>
    </w:p>
    <w:p w14:paraId="3006BECF" w14:textId="33EB3986" w:rsidR="008E0D6A" w:rsidRPr="004B520E" w:rsidRDefault="008E0D6A" w:rsidP="0011610C">
      <w:pPr>
        <w:pStyle w:val="Boxedlistbullet"/>
      </w:pPr>
      <w:r>
        <w:t xml:space="preserve">Although small-bodied native species are generally less dependent on flows for spawning and recruitment compared to some large-bodied species, there is evidence that the flow regime in some </w:t>
      </w:r>
      <w:r w:rsidR="04D0EA6B">
        <w:t>riverine monitoring locations</w:t>
      </w:r>
      <w:r>
        <w:t xml:space="preserve"> favoured recruitment for some small-bodied native fish species.</w:t>
      </w:r>
    </w:p>
    <w:p w14:paraId="2BBE4B15" w14:textId="6326D559" w:rsidR="0035012E" w:rsidRPr="004B520E" w:rsidRDefault="005C7741" w:rsidP="0011610C">
      <w:pPr>
        <w:pStyle w:val="Boxedlistbullet"/>
      </w:pPr>
      <w:r>
        <w:lastRenderedPageBreak/>
        <w:t xml:space="preserve">Recruitment of </w:t>
      </w:r>
      <w:r w:rsidR="0011610C" w:rsidRPr="004B520E">
        <w:t xml:space="preserve">Australian smelt </w:t>
      </w:r>
      <w:r w:rsidR="00675F8A" w:rsidRPr="004B520E">
        <w:t>(</w:t>
      </w:r>
      <w:r w:rsidR="009F2F9F" w:rsidRPr="004B520E">
        <w:rPr>
          <w:i/>
          <w:iCs/>
        </w:rPr>
        <w:t>Retropinna semoni</w:t>
      </w:r>
      <w:r w:rsidR="00675F8A" w:rsidRPr="004B520E">
        <w:t>)</w:t>
      </w:r>
      <w:r w:rsidR="0011610C" w:rsidRPr="004B520E">
        <w:t xml:space="preserve"> </w:t>
      </w:r>
      <w:r w:rsidR="008E0D6A" w:rsidRPr="004B520E">
        <w:t>was positively associated with Commonwealth environmental water in the Goulburn River, Lachlan River System and Lower Murray River</w:t>
      </w:r>
      <w:r w:rsidR="0035012E" w:rsidRPr="004B520E">
        <w:t>.</w:t>
      </w:r>
    </w:p>
    <w:p w14:paraId="525C0B64" w14:textId="620A8997" w:rsidR="00837236" w:rsidRPr="004B520E" w:rsidRDefault="0011610C" w:rsidP="007539A4">
      <w:pPr>
        <w:pStyle w:val="Boxedlistbullet"/>
        <w:keepLines/>
      </w:pPr>
      <w:r>
        <w:t>Murray</w:t>
      </w:r>
      <w:r w:rsidR="000259A6">
        <w:t>–</w:t>
      </w:r>
      <w:r>
        <w:t xml:space="preserve">Darling rainbowfish </w:t>
      </w:r>
      <w:r w:rsidR="00507C81">
        <w:t>(</w:t>
      </w:r>
      <w:r w:rsidR="008F6798" w:rsidRPr="0FDCD585">
        <w:rPr>
          <w:i/>
          <w:iCs/>
        </w:rPr>
        <w:t>Melanotaenia fluviatilis</w:t>
      </w:r>
      <w:r w:rsidR="00507C81">
        <w:t>)</w:t>
      </w:r>
      <w:r>
        <w:t xml:space="preserve"> had lower abundance (representative of recruitment) than in previous years at </w:t>
      </w:r>
      <w:r w:rsidR="008E0D6A">
        <w:t>some</w:t>
      </w:r>
      <w:r>
        <w:t xml:space="preserve"> </w:t>
      </w:r>
      <w:r w:rsidR="2458BA36">
        <w:t>riverine monitoring locations</w:t>
      </w:r>
      <w:r>
        <w:t xml:space="preserve"> likely due to high</w:t>
      </w:r>
      <w:r w:rsidR="1941AD15">
        <w:t xml:space="preserve"> or variable</w:t>
      </w:r>
      <w:r>
        <w:t xml:space="preserve"> flows negatively impacting the populations</w:t>
      </w:r>
      <w:r w:rsidR="00D63AB6">
        <w:t>,</w:t>
      </w:r>
      <w:r w:rsidR="00480A5D">
        <w:t xml:space="preserve"> </w:t>
      </w:r>
      <w:r w:rsidR="00CF0683">
        <w:t>as</w:t>
      </w:r>
      <w:r w:rsidR="00480A5D">
        <w:t xml:space="preserve"> this species prefers </w:t>
      </w:r>
      <w:r w:rsidR="00C42906">
        <w:t>low-to-moderate flows</w:t>
      </w:r>
      <w:r w:rsidR="00CF0683">
        <w:t xml:space="preserve"> for </w:t>
      </w:r>
      <w:r w:rsidR="00FB760C">
        <w:t>spawning and recruitment</w:t>
      </w:r>
      <w:r w:rsidR="00837236">
        <w:t>.</w:t>
      </w:r>
    </w:p>
    <w:p w14:paraId="155C8FD0" w14:textId="0F78067E" w:rsidR="00E72A48" w:rsidRDefault="0011610C" w:rsidP="001918D5">
      <w:pPr>
        <w:pStyle w:val="Boxedlistbullet"/>
      </w:pPr>
      <w:r w:rsidRPr="004B520E">
        <w:t>Some exotic species (common carp</w:t>
      </w:r>
      <w:r w:rsidR="007A6C40" w:rsidRPr="004B520E">
        <w:t xml:space="preserve"> [</w:t>
      </w:r>
      <w:r w:rsidR="007A6C40" w:rsidRPr="004B520E">
        <w:rPr>
          <w:i/>
          <w:iCs/>
        </w:rPr>
        <w:t>Cyprinus carpio</w:t>
      </w:r>
      <w:r w:rsidR="007A6C40" w:rsidRPr="004B520E">
        <w:t>]</w:t>
      </w:r>
      <w:r w:rsidRPr="004B520E">
        <w:t>, goldfish</w:t>
      </w:r>
      <w:r w:rsidR="00986787" w:rsidRPr="004B520E">
        <w:t xml:space="preserve"> [</w:t>
      </w:r>
      <w:r w:rsidR="00BA1D25" w:rsidRPr="004B520E">
        <w:rPr>
          <w:i/>
          <w:iCs/>
        </w:rPr>
        <w:t>Carassius auratus</w:t>
      </w:r>
      <w:r w:rsidR="00986787" w:rsidRPr="004B520E">
        <w:t>]</w:t>
      </w:r>
      <w:r w:rsidRPr="004B520E">
        <w:t xml:space="preserve">) </w:t>
      </w:r>
      <w:r w:rsidR="008E0D6A" w:rsidRPr="004B520E">
        <w:t>declined in abundance following widespread wet conditions over recent years.</w:t>
      </w:r>
      <w:bookmarkStart w:id="345" w:name="_Toc168579847"/>
      <w:bookmarkStart w:id="346" w:name="_Toc172283640"/>
      <w:bookmarkStart w:id="347" w:name="_Toc172290958"/>
      <w:bookmarkStart w:id="348" w:name="_Toc178668857"/>
    </w:p>
    <w:p w14:paraId="7A133EEF" w14:textId="247C6832" w:rsidR="00E5286C" w:rsidRPr="004B520E" w:rsidRDefault="00E5286C" w:rsidP="00EE02E8">
      <w:pPr>
        <w:pStyle w:val="Boxedheadingblue"/>
        <w:rPr>
          <w:rStyle w:val="Bold"/>
          <w:b/>
        </w:rPr>
      </w:pPr>
      <w:r w:rsidRPr="004B520E">
        <w:t>Waterbirds</w:t>
      </w:r>
      <w:bookmarkEnd w:id="345"/>
      <w:bookmarkEnd w:id="346"/>
      <w:bookmarkEnd w:id="347"/>
      <w:bookmarkEnd w:id="348"/>
    </w:p>
    <w:p w14:paraId="3715360F" w14:textId="4006D42B" w:rsidR="0035012E" w:rsidRPr="004B520E" w:rsidRDefault="00A455E2" w:rsidP="000A515E">
      <w:pPr>
        <w:pStyle w:val="Boxedlistbullet"/>
      </w:pPr>
      <w:r w:rsidRPr="004B520E">
        <w:t>3</w:t>
      </w:r>
      <w:r w:rsidR="00193B29" w:rsidRPr="004B520E">
        <w:t>6</w:t>
      </w:r>
      <w:r w:rsidR="004C5F92" w:rsidRPr="004B520E">
        <w:t xml:space="preserve"> water actions</w:t>
      </w:r>
      <w:r w:rsidR="00164CFA" w:rsidRPr="004B520E">
        <w:t xml:space="preserve"> –</w:t>
      </w:r>
      <w:r w:rsidR="004C5F92" w:rsidRPr="004B520E">
        <w:t xml:space="preserve"> totalling </w:t>
      </w:r>
      <w:r w:rsidR="00193B29" w:rsidRPr="004B520E">
        <w:t>2,011</w:t>
      </w:r>
      <w:r w:rsidR="00DD49CD" w:rsidRPr="004B520E">
        <w:t xml:space="preserve"> </w:t>
      </w:r>
      <w:r w:rsidR="004C5F92" w:rsidRPr="004B520E">
        <w:t>GL</w:t>
      </w:r>
      <w:r w:rsidR="005D67FD">
        <w:t xml:space="preserve"> of Commonwealth environmental water</w:t>
      </w:r>
      <w:r w:rsidR="00164CFA" w:rsidRPr="004B520E">
        <w:t xml:space="preserve"> –</w:t>
      </w:r>
      <w:r w:rsidR="004C5F92" w:rsidRPr="004B520E">
        <w:t xml:space="preserve"> targeted </w:t>
      </w:r>
      <w:r w:rsidR="002F1C28" w:rsidRPr="004B520E">
        <w:t>waterbird</w:t>
      </w:r>
      <w:r w:rsidR="004C5F92" w:rsidRPr="004B520E">
        <w:t xml:space="preserve"> outcomes</w:t>
      </w:r>
      <w:r w:rsidR="009A03C5" w:rsidRPr="004B520E">
        <w:t>, the highest amount delivered for waterbirds in the period since 2014</w:t>
      </w:r>
      <w:r w:rsidR="0035012E" w:rsidRPr="004B520E">
        <w:t>.</w:t>
      </w:r>
    </w:p>
    <w:p w14:paraId="74F7AC81" w14:textId="2BFC0C82" w:rsidR="00E72A48" w:rsidRDefault="00A97834" w:rsidP="00A97834">
      <w:pPr>
        <w:pStyle w:val="Boxedlistbullet"/>
      </w:pPr>
      <w:r w:rsidRPr="004B520E">
        <w:t xml:space="preserve">Combined Flow-MER and complementary NSW </w:t>
      </w:r>
      <w:r w:rsidR="005160B5" w:rsidRPr="004B520E">
        <w:t xml:space="preserve">Department of Climate Change, Energy, the Environment and Water (NSW </w:t>
      </w:r>
      <w:r w:rsidRPr="004B520E">
        <w:t>DCCEEW</w:t>
      </w:r>
      <w:r w:rsidR="005160B5" w:rsidRPr="004B520E">
        <w:t>)</w:t>
      </w:r>
      <w:r w:rsidRPr="004B520E">
        <w:t xml:space="preserve"> data were available for the </w:t>
      </w:r>
      <w:r w:rsidR="00193B29" w:rsidRPr="004B520E">
        <w:t xml:space="preserve">Border Rivers, </w:t>
      </w:r>
      <w:r w:rsidRPr="004B520E">
        <w:t>Gwydir River, Junction of Warrego and Darling rivers</w:t>
      </w:r>
      <w:r w:rsidR="00D10811" w:rsidRPr="004B520E">
        <w:t>,</w:t>
      </w:r>
      <w:r w:rsidRPr="004B520E">
        <w:t xml:space="preserve"> Murrumbidgee River System, Macquarie Marshes, Central Murray, Lachlan and Condamine (Narran Lakes)</w:t>
      </w:r>
      <w:r w:rsidR="00193B29" w:rsidRPr="004B520E">
        <w:t xml:space="preserve"> surface</w:t>
      </w:r>
      <w:r w:rsidR="00D25799">
        <w:t>-</w:t>
      </w:r>
      <w:r w:rsidR="00193B29" w:rsidRPr="004B520E">
        <w:t>water regions</w:t>
      </w:r>
      <w:r w:rsidRPr="004B520E">
        <w:t>.</w:t>
      </w:r>
    </w:p>
    <w:p w14:paraId="74DCA327" w14:textId="38F80322" w:rsidR="00A97834" w:rsidRPr="004B520E" w:rsidRDefault="00A97834" w:rsidP="00A97834">
      <w:pPr>
        <w:pStyle w:val="Boxedlistbullet"/>
      </w:pPr>
      <w:r>
        <w:t>103,32</w:t>
      </w:r>
      <w:r w:rsidR="00357B8C">
        <w:t>9</w:t>
      </w:r>
      <w:r>
        <w:t xml:space="preserve"> individuals representing </w:t>
      </w:r>
      <w:r w:rsidR="000C7AF8">
        <w:t>84</w:t>
      </w:r>
      <w:r>
        <w:t xml:space="preserve"> species were reported.</w:t>
      </w:r>
    </w:p>
    <w:p w14:paraId="005132D9" w14:textId="03D4670A" w:rsidR="00FA42F8" w:rsidRPr="00FA42F8" w:rsidRDefault="006D5FF2">
      <w:pPr>
        <w:pStyle w:val="Boxedlistbullet"/>
      </w:pPr>
      <w:r>
        <w:t xml:space="preserve">11 </w:t>
      </w:r>
      <w:r w:rsidR="21172CD3" w:rsidRPr="004B520E">
        <w:t>c</w:t>
      </w:r>
      <w:r w:rsidR="00A97834" w:rsidRPr="004B520E">
        <w:t xml:space="preserve">onservation-significant species were identified from the combined Flow-MER and NSW DCCEEW monitoring in </w:t>
      </w:r>
      <w:r w:rsidR="00244943" w:rsidRPr="004B520E">
        <w:t>2023–24</w:t>
      </w:r>
      <w:r w:rsidR="00A97834" w:rsidRPr="004B520E">
        <w:t xml:space="preserve">, including 3 species listed under the </w:t>
      </w:r>
      <w:r w:rsidR="008D62AA" w:rsidRPr="004B520E">
        <w:t xml:space="preserve">Australian </w:t>
      </w:r>
      <w:r w:rsidR="008D62AA" w:rsidRPr="004B520E">
        <w:rPr>
          <w:i/>
          <w:iCs/>
        </w:rPr>
        <w:t>Environment Protection and Biodiversity Conservation Act 1999</w:t>
      </w:r>
      <w:r w:rsidR="00A97834" w:rsidRPr="004B520E">
        <w:t xml:space="preserve"> </w:t>
      </w:r>
      <w:r w:rsidR="008D62AA" w:rsidRPr="004B520E">
        <w:t>(</w:t>
      </w:r>
      <w:r w:rsidR="00A97834" w:rsidRPr="004B520E">
        <w:t>EPBC Act</w:t>
      </w:r>
      <w:r w:rsidR="008D62AA" w:rsidRPr="004B520E">
        <w:t>)</w:t>
      </w:r>
      <w:r w:rsidR="00833457" w:rsidRPr="004B520E">
        <w:t xml:space="preserve"> </w:t>
      </w:r>
      <w:r w:rsidR="00A97834" w:rsidRPr="004B520E">
        <w:t>– Australasian bittern (</w:t>
      </w:r>
      <w:r w:rsidR="00A97834" w:rsidRPr="004B520E">
        <w:rPr>
          <w:i/>
          <w:iCs/>
        </w:rPr>
        <w:t>Botaurus poiciloptilus</w:t>
      </w:r>
      <w:r w:rsidR="00A97834" w:rsidRPr="004B520E">
        <w:t>), sharp-tailed sandpiper (</w:t>
      </w:r>
      <w:r w:rsidR="00A97834" w:rsidRPr="004B520E">
        <w:rPr>
          <w:i/>
          <w:iCs/>
        </w:rPr>
        <w:t>Calidris acuminata</w:t>
      </w:r>
      <w:r w:rsidR="00A97834" w:rsidRPr="004B520E">
        <w:t>) and Latham’s snipe (</w:t>
      </w:r>
      <w:r w:rsidR="00A97834" w:rsidRPr="004B520E">
        <w:rPr>
          <w:i/>
          <w:iCs/>
        </w:rPr>
        <w:t>Gallinago hardwickii</w:t>
      </w:r>
      <w:r w:rsidR="00A97834" w:rsidRPr="004B520E">
        <w:t>). Other species of significance included the threatened black-necked stork (</w:t>
      </w:r>
      <w:r w:rsidR="00A97834" w:rsidRPr="004B520E">
        <w:rPr>
          <w:i/>
          <w:iCs/>
        </w:rPr>
        <w:t>Ephippiorhynchus asiaticus</w:t>
      </w:r>
      <w:r w:rsidR="00A97834" w:rsidRPr="004B520E">
        <w:t>), blue-billed duck (</w:t>
      </w:r>
      <w:r w:rsidR="00A97834" w:rsidRPr="004B520E">
        <w:rPr>
          <w:i/>
          <w:iCs/>
        </w:rPr>
        <w:t>Oxyura australis</w:t>
      </w:r>
      <w:r w:rsidR="00A97834" w:rsidRPr="004B520E">
        <w:t>), freckled duck (</w:t>
      </w:r>
      <w:r w:rsidR="00A97834" w:rsidRPr="004B520E">
        <w:rPr>
          <w:i/>
          <w:iCs/>
        </w:rPr>
        <w:t>Stictonetta naevosa</w:t>
      </w:r>
      <w:r w:rsidR="00A97834" w:rsidRPr="004B520E">
        <w:t>) and marsh sandpiper (</w:t>
      </w:r>
      <w:r w:rsidR="00A97834" w:rsidRPr="004B520E">
        <w:rPr>
          <w:i/>
          <w:iCs/>
        </w:rPr>
        <w:t>Tringa stagnatilis</w:t>
      </w:r>
      <w:r w:rsidR="00A97834" w:rsidRPr="004B520E">
        <w:t>).</w:t>
      </w:r>
    </w:p>
    <w:p w14:paraId="1DD8E8C0" w14:textId="0A79DE48" w:rsidR="00A97834" w:rsidRPr="005821CB" w:rsidRDefault="1DD20534" w:rsidP="008705FE">
      <w:pPr>
        <w:pStyle w:val="Boxedlistbullet"/>
      </w:pPr>
      <w:r w:rsidRPr="005821CB">
        <w:t>Commonwealth environmental water was delivered to Lake Brewster to support Australian pelican breeding. A total of 22,919 pelican nests were counted at Lake Brewster with a potential estimate of 22,919 chicks produced</w:t>
      </w:r>
      <w:r w:rsidR="00A97834" w:rsidRPr="005821CB">
        <w:t>.</w:t>
      </w:r>
    </w:p>
    <w:p w14:paraId="5AFD62BB" w14:textId="6338F34E" w:rsidR="004C4AFE" w:rsidRPr="004B520E" w:rsidRDefault="00B47A75" w:rsidP="006824BA">
      <w:pPr>
        <w:pStyle w:val="Boxedheadingblue"/>
      </w:pPr>
      <w:bookmarkStart w:id="349" w:name="_Toc168579848"/>
      <w:bookmarkStart w:id="350" w:name="_Toc172283641"/>
      <w:bookmarkStart w:id="351" w:name="_Toc172290959"/>
      <w:bookmarkStart w:id="352" w:name="_Toc178668858"/>
      <w:r w:rsidRPr="004B520E">
        <w:t xml:space="preserve">Other </w:t>
      </w:r>
      <w:r w:rsidR="00FB2A4C" w:rsidRPr="004B520E">
        <w:t xml:space="preserve">environmental </w:t>
      </w:r>
      <w:r w:rsidR="004C4AFE" w:rsidRPr="004B520E">
        <w:t>outcomes</w:t>
      </w:r>
      <w:bookmarkEnd w:id="349"/>
      <w:bookmarkEnd w:id="350"/>
      <w:bookmarkEnd w:id="351"/>
      <w:bookmarkEnd w:id="352"/>
    </w:p>
    <w:p w14:paraId="37B24441" w14:textId="2698BE3E" w:rsidR="00C15618" w:rsidRPr="004B520E" w:rsidRDefault="00C15618" w:rsidP="00C15618">
      <w:pPr>
        <w:pStyle w:val="Boxedlistbullet"/>
      </w:pPr>
      <w:r>
        <w:t xml:space="preserve">Commonwealth environmental water was delivered to support the life cycles of nationally and </w:t>
      </w:r>
      <w:r w:rsidR="00794362" w:rsidRPr="00C15618">
        <w:t xml:space="preserve">state-listed threatened species. </w:t>
      </w:r>
      <w:r>
        <w:t xml:space="preserve">There were 21 individual Commonwealth environmental watering actions with at least one </w:t>
      </w:r>
      <w:r w:rsidR="00A964D0">
        <w:t xml:space="preserve">watering objective </w:t>
      </w:r>
      <w:r>
        <w:t xml:space="preserve">related to </w:t>
      </w:r>
      <w:r w:rsidR="00A50C3A">
        <w:t>l</w:t>
      </w:r>
      <w:r>
        <w:t xml:space="preserve">isted </w:t>
      </w:r>
      <w:r w:rsidR="00CC21DA">
        <w:t xml:space="preserve">plant and animal </w:t>
      </w:r>
      <w:r>
        <w:t xml:space="preserve">species, </w:t>
      </w:r>
      <w:r w:rsidR="00D40C5C">
        <w:t>for</w:t>
      </w:r>
      <w:r>
        <w:t xml:space="preserve"> a combined volume of ~111 GL.</w:t>
      </w:r>
    </w:p>
    <w:p w14:paraId="5CA1BD35" w14:textId="288E5E4C" w:rsidR="00E72A48" w:rsidRDefault="00C15618" w:rsidP="00C15618">
      <w:pPr>
        <w:pStyle w:val="Boxedlistbullet"/>
        <w:rPr>
          <w:bCs/>
        </w:rPr>
      </w:pPr>
      <w:r w:rsidRPr="004B520E">
        <w:t>There were 25 individual Commonwealth environmental watering actions with at least one watering objective rel</w:t>
      </w:r>
      <w:r w:rsidRPr="004B520E">
        <w:rPr>
          <w:bCs/>
        </w:rPr>
        <w:t xml:space="preserve">ated to frog outcomes, </w:t>
      </w:r>
      <w:r w:rsidR="00D40C5C">
        <w:rPr>
          <w:bCs/>
        </w:rPr>
        <w:t>for</w:t>
      </w:r>
      <w:r w:rsidR="00D40C5C" w:rsidRPr="004B520E">
        <w:rPr>
          <w:bCs/>
        </w:rPr>
        <w:t xml:space="preserve"> </w:t>
      </w:r>
      <w:r w:rsidRPr="004B520E">
        <w:rPr>
          <w:bCs/>
        </w:rPr>
        <w:t xml:space="preserve">a combined volume of </w:t>
      </w:r>
      <w:r w:rsidR="00F21980">
        <w:rPr>
          <w:bCs/>
        </w:rPr>
        <w:t>95</w:t>
      </w:r>
      <w:r w:rsidRPr="004B520E">
        <w:rPr>
          <w:bCs/>
        </w:rPr>
        <w:t xml:space="preserve"> GL</w:t>
      </w:r>
      <w:r w:rsidR="00A33711">
        <w:rPr>
          <w:bCs/>
        </w:rPr>
        <w:t>.</w:t>
      </w:r>
    </w:p>
    <w:p w14:paraId="4CF15006" w14:textId="76D9C5AE" w:rsidR="00C15618" w:rsidRPr="004B520E" w:rsidRDefault="00C15618" w:rsidP="00C15618">
      <w:pPr>
        <w:pStyle w:val="Boxedlistbullet"/>
        <w:rPr>
          <w:bCs/>
        </w:rPr>
      </w:pPr>
      <w:r w:rsidRPr="004B520E">
        <w:t xml:space="preserve">11 frog species were detected from combined Flow-MER and complementary NSW DCCEEW monitoring. Southern bell frog </w:t>
      </w:r>
      <w:r w:rsidR="00F04D64">
        <w:t>(</w:t>
      </w:r>
      <w:r w:rsidR="00F04D64">
        <w:rPr>
          <w:i/>
          <w:iCs/>
        </w:rPr>
        <w:t>Litoria raniformis</w:t>
      </w:r>
      <w:r w:rsidR="00F04D64">
        <w:t xml:space="preserve">) </w:t>
      </w:r>
      <w:r w:rsidRPr="004B520E">
        <w:t>adults and tadpoles were identified in locations receiving Commonwealth environmental water in the lower Murrumbidgee.</w:t>
      </w:r>
    </w:p>
    <w:p w14:paraId="26163EBB" w14:textId="1E8A4296" w:rsidR="00DB65DD" w:rsidRPr="004B520E" w:rsidRDefault="00CB055B" w:rsidP="00C15618">
      <w:pPr>
        <w:pStyle w:val="Boxedlistbullet"/>
      </w:pPr>
      <w:r w:rsidRPr="004B520E">
        <w:t>Commonwealth environmental water</w:t>
      </w:r>
      <w:r w:rsidR="00DB65DD" w:rsidRPr="004B520E">
        <w:t xml:space="preserve"> </w:t>
      </w:r>
      <w:r w:rsidR="009E6CC0" w:rsidRPr="004B520E">
        <w:t>contributed</w:t>
      </w:r>
      <w:r w:rsidR="004B0DB0" w:rsidRPr="004B520E">
        <w:t xml:space="preserve"> </w:t>
      </w:r>
      <w:r w:rsidR="00E93852" w:rsidRPr="004B520E">
        <w:t>to the Basin Plan salt</w:t>
      </w:r>
      <w:r w:rsidR="001F43E5" w:rsidRPr="004B520E">
        <w:t>-</w:t>
      </w:r>
      <w:r w:rsidR="00E93852" w:rsidRPr="004B520E">
        <w:t>export objective of 2</w:t>
      </w:r>
      <w:r w:rsidR="00601539">
        <w:t> </w:t>
      </w:r>
      <w:r w:rsidR="00E93852" w:rsidRPr="004B520E">
        <w:t xml:space="preserve">million tonnes </w:t>
      </w:r>
      <w:r w:rsidR="00601539">
        <w:t>per</w:t>
      </w:r>
      <w:r w:rsidR="769E687E" w:rsidRPr="004B520E">
        <w:t xml:space="preserve"> </w:t>
      </w:r>
      <w:r w:rsidR="00E93852" w:rsidRPr="004B520E">
        <w:t>year</w:t>
      </w:r>
      <w:r w:rsidR="007401C5" w:rsidRPr="004B520E">
        <w:t xml:space="preserve"> by</w:t>
      </w:r>
      <w:r w:rsidR="00DB65DD" w:rsidRPr="004B520E">
        <w:t xml:space="preserve"> exporting </w:t>
      </w:r>
      <w:r w:rsidR="1E3E4EF2" w:rsidRPr="004B520E">
        <w:t>221,272</w:t>
      </w:r>
      <w:r w:rsidR="00DB65DD" w:rsidRPr="004B520E">
        <w:t xml:space="preserve"> tonnes of salt (</w:t>
      </w:r>
      <w:r w:rsidR="7A54C99C" w:rsidRPr="004B520E">
        <w:t>17.8</w:t>
      </w:r>
      <w:r w:rsidR="00B12251">
        <w:t>%</w:t>
      </w:r>
      <w:r w:rsidR="00DB65DD" w:rsidRPr="004B520E">
        <w:t xml:space="preserve"> of the total salt export to the ocean</w:t>
      </w:r>
      <w:r w:rsidR="004B0DB0" w:rsidRPr="004B520E">
        <w:t xml:space="preserve"> in </w:t>
      </w:r>
      <w:r w:rsidR="00244943" w:rsidRPr="004B520E">
        <w:t>2023–24</w:t>
      </w:r>
      <w:r w:rsidR="00DB65DD" w:rsidRPr="004B520E">
        <w:t>)</w:t>
      </w:r>
      <w:r w:rsidR="00942CDC" w:rsidRPr="004B520E">
        <w:t>.</w:t>
      </w:r>
    </w:p>
    <w:p w14:paraId="57CB5E48" w14:textId="50CF6F6E" w:rsidR="00F0139E" w:rsidRPr="004B520E" w:rsidRDefault="00F0139E" w:rsidP="00113FC9">
      <w:pPr>
        <w:pStyle w:val="Heading2"/>
      </w:pPr>
      <w:bookmarkStart w:id="353" w:name="_Toc168579849"/>
      <w:bookmarkStart w:id="354" w:name="_Toc172283642"/>
      <w:bookmarkStart w:id="355" w:name="_Toc172290960"/>
      <w:bookmarkStart w:id="356" w:name="_Toc178668859"/>
      <w:bookmarkStart w:id="357" w:name="_Toc200743761"/>
      <w:bookmarkStart w:id="358" w:name="_Toc200743860"/>
      <w:bookmarkStart w:id="359" w:name="_Toc203682274"/>
      <w:bookmarkStart w:id="360" w:name="_Toc204606889"/>
      <w:r w:rsidRPr="004B520E">
        <w:lastRenderedPageBreak/>
        <w:t xml:space="preserve">Biodiversity </w:t>
      </w:r>
      <w:r w:rsidR="00ED3D30" w:rsidRPr="004B520E">
        <w:t xml:space="preserve">outcomes </w:t>
      </w:r>
      <w:r w:rsidR="00244943" w:rsidRPr="004B520E">
        <w:t>2023–24</w:t>
      </w:r>
      <w:bookmarkEnd w:id="353"/>
      <w:bookmarkEnd w:id="354"/>
      <w:bookmarkEnd w:id="355"/>
      <w:bookmarkEnd w:id="356"/>
      <w:bookmarkEnd w:id="357"/>
      <w:bookmarkEnd w:id="358"/>
      <w:bookmarkEnd w:id="359"/>
      <w:bookmarkEnd w:id="360"/>
    </w:p>
    <w:p w14:paraId="43E48D45" w14:textId="4D97E58C" w:rsidR="00E72A48" w:rsidRDefault="00122283" w:rsidP="00A06FEB">
      <w:pPr>
        <w:pStyle w:val="BodyText"/>
      </w:pPr>
      <w:r w:rsidRPr="004B520E">
        <w:t xml:space="preserve">Environmental watering can play a crucial role in maintaining species and community diversity across the Basin. </w:t>
      </w:r>
      <w:r w:rsidR="002641D2" w:rsidRPr="004B520E">
        <w:t xml:space="preserve">Many water-dependent species and ecosystems found in </w:t>
      </w:r>
      <w:r w:rsidR="004B0DB0" w:rsidRPr="004B520E">
        <w:t xml:space="preserve">the </w:t>
      </w:r>
      <w:r w:rsidR="00F5018B" w:rsidRPr="004B520E">
        <w:t xml:space="preserve">Basin </w:t>
      </w:r>
      <w:r w:rsidR="002641D2" w:rsidRPr="004B520E">
        <w:t xml:space="preserve">are adapted to and require </w:t>
      </w:r>
      <w:r w:rsidR="00F47541" w:rsidRPr="004B520E">
        <w:t xml:space="preserve">specific </w:t>
      </w:r>
      <w:r w:rsidR="002641D2" w:rsidRPr="004B520E">
        <w:t xml:space="preserve">cycles of </w:t>
      </w:r>
      <w:r w:rsidR="00422CAC" w:rsidRPr="004B520E">
        <w:t xml:space="preserve">high </w:t>
      </w:r>
      <w:r w:rsidR="00D9598C" w:rsidRPr="004B520E">
        <w:t>flow and</w:t>
      </w:r>
      <w:r w:rsidR="00422CAC" w:rsidRPr="004B520E">
        <w:t xml:space="preserve"> </w:t>
      </w:r>
      <w:r w:rsidR="00D9598C" w:rsidRPr="004B520E">
        <w:t xml:space="preserve">periods of </w:t>
      </w:r>
      <w:r w:rsidR="002641D2" w:rsidRPr="004B520E">
        <w:t xml:space="preserve">drying. Important reproduction and movement cues are often tightly linked to </w:t>
      </w:r>
      <w:r w:rsidR="00CE2BC7" w:rsidRPr="004B520E">
        <w:t xml:space="preserve">the </w:t>
      </w:r>
      <w:r w:rsidR="002641D2" w:rsidRPr="004B520E">
        <w:t xml:space="preserve">water regime. </w:t>
      </w:r>
      <w:r w:rsidR="00B9634D" w:rsidRPr="004B520E">
        <w:t xml:space="preserve">This section </w:t>
      </w:r>
      <w:r w:rsidR="00C84AE8" w:rsidRPr="004B520E">
        <w:t xml:space="preserve">describes </w:t>
      </w:r>
      <w:r w:rsidR="006E4F4F" w:rsidRPr="004B520E">
        <w:t xml:space="preserve">the importance of </w:t>
      </w:r>
      <w:r w:rsidR="00CB055B" w:rsidRPr="004B520E">
        <w:t>Commonwealth environmental water</w:t>
      </w:r>
      <w:r w:rsidR="00FA6FAF" w:rsidRPr="004B520E">
        <w:t xml:space="preserve"> </w:t>
      </w:r>
      <w:r w:rsidR="006E4F4F" w:rsidRPr="004B520E">
        <w:t xml:space="preserve">for maintaining </w:t>
      </w:r>
      <w:r w:rsidR="00E44D8B" w:rsidRPr="004B520E">
        <w:t xml:space="preserve">Basin </w:t>
      </w:r>
      <w:r w:rsidR="006E4F4F" w:rsidRPr="004B520E">
        <w:t>ecosystems and the biodiversity that depends on them.</w:t>
      </w:r>
    </w:p>
    <w:p w14:paraId="197D34FD" w14:textId="574E01BA" w:rsidR="009D23B8" w:rsidRPr="004B520E" w:rsidRDefault="001426DC" w:rsidP="00E63FCA">
      <w:pPr>
        <w:pStyle w:val="Boxedtextorange"/>
      </w:pPr>
      <w:r w:rsidRPr="004B520E">
        <w:t xml:space="preserve">During </w:t>
      </w:r>
      <w:r w:rsidR="00244943" w:rsidRPr="004B520E">
        <w:t>2023–24</w:t>
      </w:r>
      <w:r w:rsidRPr="004B520E">
        <w:t xml:space="preserve">, </w:t>
      </w:r>
      <w:r w:rsidR="00FC1565" w:rsidRPr="004B520E">
        <w:t>2,870</w:t>
      </w:r>
      <w:r w:rsidR="009D23B8" w:rsidRPr="004B520E">
        <w:t xml:space="preserve"> GL</w:t>
      </w:r>
      <w:r w:rsidR="00FA6FAF" w:rsidRPr="004B520E">
        <w:t xml:space="preserve"> of</w:t>
      </w:r>
      <w:r w:rsidR="006C421A" w:rsidRPr="004B520E">
        <w:t xml:space="preserve"> </w:t>
      </w:r>
      <w:r w:rsidR="00FA6FAF" w:rsidRPr="004B520E">
        <w:t xml:space="preserve">Commonwealth </w:t>
      </w:r>
      <w:r w:rsidR="00657DA7" w:rsidRPr="004B520E">
        <w:t xml:space="preserve">environmental </w:t>
      </w:r>
      <w:r w:rsidR="00FA6FAF" w:rsidRPr="004B520E">
        <w:t xml:space="preserve">water </w:t>
      </w:r>
      <w:r w:rsidR="005D100C" w:rsidRPr="004B520E">
        <w:t xml:space="preserve">targeted </w:t>
      </w:r>
      <w:r w:rsidR="006C421A" w:rsidRPr="004B520E">
        <w:t xml:space="preserve">multiple outcomes, including </w:t>
      </w:r>
      <w:r w:rsidR="00FC1565" w:rsidRPr="004B520E">
        <w:t>2,324</w:t>
      </w:r>
      <w:r w:rsidR="006C421A" w:rsidRPr="004B520E">
        <w:t xml:space="preserve"> GL </w:t>
      </w:r>
      <w:r w:rsidR="00422CAC" w:rsidRPr="004B520E">
        <w:t>for outcome</w:t>
      </w:r>
      <w:r w:rsidR="006C421A" w:rsidRPr="004B520E">
        <w:t>s</w:t>
      </w:r>
      <w:r w:rsidR="009D23B8" w:rsidRPr="004B520E">
        <w:t xml:space="preserve"> </w:t>
      </w:r>
      <w:r w:rsidR="00422CAC" w:rsidRPr="004B520E">
        <w:t>relating</w:t>
      </w:r>
      <w:r w:rsidR="009D23B8" w:rsidRPr="004B520E">
        <w:t xml:space="preserve"> </w:t>
      </w:r>
      <w:r w:rsidR="006C421A" w:rsidRPr="004B520E">
        <w:t xml:space="preserve">broadly </w:t>
      </w:r>
      <w:r w:rsidR="009D23B8" w:rsidRPr="004B520E">
        <w:t>to biodiversity</w:t>
      </w:r>
      <w:r w:rsidR="00D50F39" w:rsidRPr="004B520E">
        <w:t xml:space="preserve"> (waterbirds and other fauna)</w:t>
      </w:r>
      <w:r w:rsidR="006C421A" w:rsidRPr="004B520E">
        <w:t xml:space="preserve">, </w:t>
      </w:r>
      <w:r w:rsidR="00FC1565" w:rsidRPr="004B520E">
        <w:rPr>
          <w:color w:val="auto"/>
        </w:rPr>
        <w:t>2,421</w:t>
      </w:r>
      <w:r w:rsidR="00FA3BFF">
        <w:rPr>
          <w:color w:val="auto"/>
        </w:rPr>
        <w:t> </w:t>
      </w:r>
      <w:r w:rsidR="004E6E52" w:rsidRPr="004B520E">
        <w:rPr>
          <w:color w:val="auto"/>
        </w:rPr>
        <w:t>GL</w:t>
      </w:r>
      <w:r w:rsidRPr="004B520E">
        <w:rPr>
          <w:color w:val="auto"/>
        </w:rPr>
        <w:t xml:space="preserve"> </w:t>
      </w:r>
      <w:r w:rsidR="00422CAC" w:rsidRPr="004B520E">
        <w:rPr>
          <w:color w:val="auto"/>
        </w:rPr>
        <w:t>for</w:t>
      </w:r>
      <w:r w:rsidR="00204A3C" w:rsidRPr="004B520E">
        <w:rPr>
          <w:color w:val="auto"/>
        </w:rPr>
        <w:t xml:space="preserve"> </w:t>
      </w:r>
      <w:r w:rsidRPr="004B520E">
        <w:rPr>
          <w:color w:val="auto"/>
        </w:rPr>
        <w:t xml:space="preserve">vegetation </w:t>
      </w:r>
      <w:r w:rsidR="00422CAC" w:rsidRPr="004B520E">
        <w:rPr>
          <w:color w:val="auto"/>
        </w:rPr>
        <w:t xml:space="preserve">outcomes </w:t>
      </w:r>
      <w:r w:rsidR="00967518" w:rsidRPr="004B520E">
        <w:rPr>
          <w:color w:val="auto"/>
        </w:rPr>
        <w:t>and</w:t>
      </w:r>
      <w:r w:rsidR="00967518" w:rsidRPr="004B520E">
        <w:t xml:space="preserve"> </w:t>
      </w:r>
      <w:r w:rsidR="00FC1565" w:rsidRPr="004B520E">
        <w:t>2,708</w:t>
      </w:r>
      <w:r w:rsidR="006C421A" w:rsidRPr="004B520E">
        <w:t xml:space="preserve"> </w:t>
      </w:r>
      <w:r w:rsidR="00422CAC" w:rsidRPr="004B520E">
        <w:t xml:space="preserve">GL for </w:t>
      </w:r>
      <w:r w:rsidR="00967518" w:rsidRPr="004B520E">
        <w:t>fish</w:t>
      </w:r>
      <w:r w:rsidR="00204A3C" w:rsidRPr="004B520E">
        <w:t xml:space="preserve"> outcomes</w:t>
      </w:r>
      <w:r w:rsidR="006C421A" w:rsidRPr="004B520E">
        <w:t xml:space="preserve"> (</w:t>
      </w:r>
      <w:r w:rsidR="00207B19" w:rsidRPr="004B520E">
        <w:t>noting</w:t>
      </w:r>
      <w:r w:rsidR="000A32E5" w:rsidRPr="004B520E">
        <w:t xml:space="preserve"> that</w:t>
      </w:r>
      <w:r w:rsidR="00207B19" w:rsidRPr="004B520E">
        <w:t xml:space="preserve"> </w:t>
      </w:r>
      <w:r w:rsidR="00D50F39" w:rsidRPr="004B520E">
        <w:t xml:space="preserve">individual </w:t>
      </w:r>
      <w:r w:rsidR="006C421A" w:rsidRPr="004B520E">
        <w:t>watering actions may include outcomes for any or all of biodiversity, fish and vegetation)</w:t>
      </w:r>
      <w:r w:rsidR="008027F0" w:rsidRPr="004B520E">
        <w:t>.</w:t>
      </w:r>
    </w:p>
    <w:p w14:paraId="423D8BED" w14:textId="77777777" w:rsidR="00D50F39" w:rsidRPr="004B520E" w:rsidRDefault="00D50F39" w:rsidP="00113FC9">
      <w:pPr>
        <w:pStyle w:val="Heading3"/>
      </w:pPr>
      <w:bookmarkStart w:id="361" w:name="_Toc168579850"/>
      <w:bookmarkStart w:id="362" w:name="_Toc172283643"/>
      <w:r w:rsidRPr="004B520E">
        <w:t>Vegetation</w:t>
      </w:r>
      <w:bookmarkEnd w:id="361"/>
      <w:bookmarkEnd w:id="362"/>
    </w:p>
    <w:p w14:paraId="3E6C5324" w14:textId="68BF14D2" w:rsidR="00A3796E" w:rsidRPr="004B520E" w:rsidRDefault="00A3796E" w:rsidP="00244943">
      <w:pPr>
        <w:pStyle w:val="ChapterSignposting"/>
      </w:pPr>
      <w:r w:rsidRPr="004B520E">
        <w:t xml:space="preserve">This section presents findings from the Vegetation evaluation for the </w:t>
      </w:r>
      <w:r w:rsidR="00244943" w:rsidRPr="004B520E">
        <w:t>2023–24</w:t>
      </w:r>
      <w:r w:rsidRPr="004B520E">
        <w:t xml:space="preserve"> water year</w:t>
      </w:r>
      <w:r w:rsidR="00EB3E02" w:rsidRPr="004B520E">
        <w:t xml:space="preserve">, </w:t>
      </w:r>
      <w:r w:rsidRPr="004B520E">
        <w:t xml:space="preserve">presented in </w:t>
      </w:r>
      <w:r w:rsidR="0096075B" w:rsidRPr="004B520E">
        <w:t xml:space="preserve">full in </w:t>
      </w:r>
      <w:r w:rsidRPr="004B520E">
        <w:t xml:space="preserve">the </w:t>
      </w:r>
      <w:r w:rsidR="00EC1E1C" w:rsidRPr="004B520E">
        <w:t xml:space="preserve">‘Basin-scale evaluation of </w:t>
      </w:r>
      <w:r w:rsidR="00244943" w:rsidRPr="004B520E">
        <w:t>2023–24</w:t>
      </w:r>
      <w:r w:rsidR="00EC1E1C" w:rsidRPr="004B520E">
        <w:t xml:space="preserve"> Commonwealth environmental water: Vegetation’</w:t>
      </w:r>
      <w:r w:rsidR="00EC1E1C" w:rsidRPr="004B520E" w:rsidDel="00E96AC8">
        <w:t xml:space="preserve"> </w:t>
      </w:r>
      <w:r w:rsidR="00EC1E1C" w:rsidRPr="004B520E">
        <w:t>r</w:t>
      </w:r>
      <w:r w:rsidR="00EC1E1C" w:rsidRPr="004B520E">
        <w:rPr>
          <w:iCs/>
          <w:szCs w:val="20"/>
        </w:rPr>
        <w:t xml:space="preserve">eport </w:t>
      </w:r>
      <w:r w:rsidRPr="004B520E">
        <w:t>(</w:t>
      </w:r>
      <w:r w:rsidR="00A47D17" w:rsidRPr="004B520E">
        <w:t xml:space="preserve">accompanying this document and will be </w:t>
      </w:r>
      <w:r w:rsidRPr="004B520E">
        <w:t>available</w:t>
      </w:r>
      <w:r w:rsidR="00EE234B">
        <w:t xml:space="preserve"> from</w:t>
      </w:r>
      <w:r w:rsidRPr="004B520E">
        <w:t xml:space="preserve"> </w:t>
      </w:r>
      <w:r w:rsidR="00D94ACD">
        <w:t>DCCEEW’s</w:t>
      </w:r>
      <w:r w:rsidR="00D94ACD" w:rsidRPr="004B520E">
        <w:t xml:space="preserve"> </w:t>
      </w:r>
      <w:hyperlink r:id="rId62" w:history="1">
        <w:r w:rsidR="00D94ACD" w:rsidRPr="004B520E">
          <w:rPr>
            <w:rStyle w:val="Hyperlink"/>
            <w:rFonts w:cs="Calibri Light"/>
          </w:rPr>
          <w:t>Flow-MER Basin-scale Project publications</w:t>
        </w:r>
      </w:hyperlink>
      <w:r w:rsidR="00D94ACD" w:rsidRPr="004B520E">
        <w:t xml:space="preserve"> </w:t>
      </w:r>
      <w:r w:rsidR="00D94ACD">
        <w:t>web</w:t>
      </w:r>
      <w:r w:rsidR="00D94ACD" w:rsidRPr="004B520E">
        <w:t>page</w:t>
      </w:r>
      <w:r w:rsidR="00A47D17" w:rsidRPr="004B520E">
        <w:t>)</w:t>
      </w:r>
      <w:r w:rsidRPr="004B520E">
        <w:t>.</w:t>
      </w:r>
    </w:p>
    <w:p w14:paraId="169AE6B6" w14:textId="3CB3C766" w:rsidR="003649B4" w:rsidRPr="004B520E" w:rsidRDefault="003649B4" w:rsidP="0024567F">
      <w:pPr>
        <w:pStyle w:val="Boxedheadingblue"/>
      </w:pPr>
      <w:bookmarkStart w:id="363" w:name="_Toc172283644"/>
      <w:bookmarkStart w:id="364" w:name="_Toc172290961"/>
      <w:bookmarkStart w:id="365" w:name="_Toc178668860"/>
      <w:r w:rsidRPr="004B520E">
        <w:t xml:space="preserve">What did </w:t>
      </w:r>
      <w:r w:rsidR="00605206" w:rsidRPr="004B520E">
        <w:t>Commonwealth environmental water</w:t>
      </w:r>
      <w:r w:rsidRPr="004B520E">
        <w:t xml:space="preserve"> contribute to </w:t>
      </w:r>
      <w:r w:rsidR="006715B7" w:rsidRPr="004B520E">
        <w:t xml:space="preserve">plant </w:t>
      </w:r>
      <w:r w:rsidRPr="004B520E">
        <w:t>species diversity?</w:t>
      </w:r>
      <w:bookmarkEnd w:id="363"/>
      <w:bookmarkEnd w:id="364"/>
      <w:bookmarkEnd w:id="365"/>
    </w:p>
    <w:p w14:paraId="4F918053" w14:textId="57F559A9" w:rsidR="003649B4" w:rsidRPr="004B520E" w:rsidRDefault="003649B4" w:rsidP="0024567F">
      <w:pPr>
        <w:pStyle w:val="Boxedheadingblue"/>
      </w:pPr>
      <w:bookmarkStart w:id="366" w:name="_Toc172283645"/>
      <w:bookmarkStart w:id="367" w:name="_Toc172290962"/>
      <w:bookmarkStart w:id="368" w:name="_Toc178668861"/>
      <w:r w:rsidRPr="004B520E">
        <w:t xml:space="preserve">What did </w:t>
      </w:r>
      <w:r w:rsidR="00605206" w:rsidRPr="004B520E">
        <w:t>Commonwealth environmental water</w:t>
      </w:r>
      <w:r w:rsidRPr="004B520E">
        <w:t xml:space="preserve"> contribute to vegetation community diversity?</w:t>
      </w:r>
      <w:bookmarkEnd w:id="366"/>
      <w:bookmarkEnd w:id="367"/>
      <w:bookmarkEnd w:id="368"/>
    </w:p>
    <w:p w14:paraId="43C7A24F" w14:textId="171ED56E" w:rsidR="0035012E" w:rsidRPr="004B520E" w:rsidRDefault="00C41ED5" w:rsidP="00AA7E40">
      <w:pPr>
        <w:pStyle w:val="BodyText"/>
      </w:pPr>
      <w:r w:rsidRPr="004B520E">
        <w:t xml:space="preserve">Changes in flow regimes are likely to significantly impact vegetation diversity across multiple scales, from local presence and abundance of plant species to landscape-scale vegetation community composition and structure. </w:t>
      </w:r>
      <w:r w:rsidR="003C46FE" w:rsidRPr="004B520E">
        <w:t>Th</w:t>
      </w:r>
      <w:r w:rsidR="00225EB4" w:rsidRPr="004B520E">
        <w:t>is</w:t>
      </w:r>
      <w:r w:rsidR="003C46FE" w:rsidRPr="004B520E">
        <w:t xml:space="preserve"> evaluation </w:t>
      </w:r>
      <w:r w:rsidR="00225EB4" w:rsidRPr="004B520E">
        <w:t>reports on the</w:t>
      </w:r>
      <w:r w:rsidR="003C46FE" w:rsidRPr="004B520E">
        <w:t xml:space="preserve"> contribution of Commonwealth environment</w:t>
      </w:r>
      <w:r w:rsidR="00D60D8B" w:rsidRPr="004B520E">
        <w:t>al water</w:t>
      </w:r>
      <w:r w:rsidR="003C46FE" w:rsidRPr="004B520E">
        <w:t xml:space="preserve"> to the diversity and condition of non-woody vegetation, including aquatic macrophytes, herbs, sedges and rushes</w:t>
      </w:r>
      <w:r w:rsidR="0035012E" w:rsidRPr="004B520E">
        <w:t>.</w:t>
      </w:r>
    </w:p>
    <w:p w14:paraId="320C62F0" w14:textId="47EACEB7" w:rsidR="00E72A48" w:rsidRDefault="00AA7E40" w:rsidP="00C85FFA">
      <w:pPr>
        <w:pStyle w:val="BodyText"/>
      </w:pPr>
      <w:r w:rsidRPr="004B520E">
        <w:t>E</w:t>
      </w:r>
      <w:r w:rsidR="003C46FE" w:rsidRPr="004B520E">
        <w:t>valuation of vegetation community diversity considers the composition and structure of vegetation assemblages occurring in riverine and floodplain–wetland</w:t>
      </w:r>
      <w:r w:rsidR="00081820" w:rsidRPr="004B520E">
        <w:t xml:space="preserve"> habitats</w:t>
      </w:r>
      <w:r w:rsidR="00E407FB" w:rsidRPr="004B520E">
        <w:t xml:space="preserve">, </w:t>
      </w:r>
      <w:r w:rsidR="003C46FE" w:rsidRPr="004B520E">
        <w:t>includ</w:t>
      </w:r>
      <w:r w:rsidR="00E407FB" w:rsidRPr="004B520E">
        <w:t>ing</w:t>
      </w:r>
      <w:r w:rsidR="003C46FE" w:rsidRPr="004B520E">
        <w:t xml:space="preserve"> water plant functional groups (submerged, amphibious, damp, woody flood</w:t>
      </w:r>
      <w:r w:rsidR="00141DA3" w:rsidRPr="004B520E">
        <w:t>-</w:t>
      </w:r>
      <w:r w:rsidR="003C46FE" w:rsidRPr="004B520E">
        <w:t>dependent</w:t>
      </w:r>
      <w:r w:rsidR="009F1562" w:rsidRPr="004B520E">
        <w:t>,</w:t>
      </w:r>
      <w:r w:rsidR="003C46FE" w:rsidRPr="004B520E">
        <w:t xml:space="preserve"> terrestrial), species growth forms (forbs, grasses, ferns), native and exotic species, threatened species, and species known to be used by Aboriginal people.</w:t>
      </w:r>
    </w:p>
    <w:p w14:paraId="38ED02B2" w14:textId="16090FE2" w:rsidR="00FC1565" w:rsidRDefault="00FC1565" w:rsidP="00FC1565">
      <w:pPr>
        <w:pStyle w:val="BodyText"/>
      </w:pPr>
      <w:r w:rsidRPr="004B520E">
        <w:t>Noticeable differences were observed in the 2023</w:t>
      </w:r>
      <w:r w:rsidRPr="004B520E">
        <w:rPr>
          <w:rFonts w:cs="Calibri"/>
        </w:rPr>
        <w:t>–</w:t>
      </w:r>
      <w:r w:rsidRPr="004B520E">
        <w:t xml:space="preserve">24 vegetation assemblages associated with sites that have a wetter inundation regime supported by environmental water, </w:t>
      </w:r>
      <w:r w:rsidR="00FE22E0">
        <w:t xml:space="preserve">when </w:t>
      </w:r>
      <w:r w:rsidRPr="004B520E">
        <w:t>compared with those that have a drier inundation regime. There was a greater proportion and cover of submerged and amphibious plants observed at sites that had wetter inundation regimes maintained using environmental water. It is very likely that in the absence of environmental water, there would have been a near</w:t>
      </w:r>
      <w:r w:rsidR="008C1E34">
        <w:t>-</w:t>
      </w:r>
      <w:r w:rsidRPr="004B520E">
        <w:t>absence of submerged species and considerably less diversity and cover of amphibious and damp-loving species at 38% of monitoring locations.</w:t>
      </w:r>
    </w:p>
    <w:p w14:paraId="038FDE85" w14:textId="4994BE3E" w:rsidR="006A3291" w:rsidRDefault="006A3291" w:rsidP="006A3291">
      <w:pPr>
        <w:pStyle w:val="Heading4"/>
      </w:pPr>
      <w:r w:rsidRPr="004B520E">
        <w:t xml:space="preserve">Observations </w:t>
      </w:r>
      <w:r>
        <w:t>for</w:t>
      </w:r>
      <w:r w:rsidRPr="004B520E">
        <w:t xml:space="preserve"> </w:t>
      </w:r>
      <w:r>
        <w:t>groundcover vegetation in</w:t>
      </w:r>
      <w:r w:rsidRPr="004B520E">
        <w:t xml:space="preserve"> </w:t>
      </w:r>
      <w:r w:rsidRPr="00E23B26">
        <w:rPr>
          <w:lang w:val="en-US"/>
        </w:rPr>
        <w:t>2</w:t>
      </w:r>
      <w:r w:rsidRPr="004B520E">
        <w:t>0</w:t>
      </w:r>
      <w:r>
        <w:t>23–24</w:t>
      </w:r>
    </w:p>
    <w:p w14:paraId="7D62CC4E" w14:textId="77777777" w:rsidR="006A3291" w:rsidRDefault="006A3291" w:rsidP="006A3291">
      <w:pPr>
        <w:pStyle w:val="ListBullet2"/>
      </w:pPr>
      <w:r w:rsidRPr="004B520E">
        <w:t>360 plant taxa were observed in 2023–24 across floodplain, wetland and riverine monitoring locations.</w:t>
      </w:r>
    </w:p>
    <w:p w14:paraId="5244B5C2" w14:textId="77777777" w:rsidR="006A3291" w:rsidRDefault="006A3291" w:rsidP="006A3291">
      <w:pPr>
        <w:pStyle w:val="ListBullet2"/>
      </w:pPr>
      <w:r>
        <w:t>Most were native plant species (70% of taxa) and most of the plant cover (87%) was native.</w:t>
      </w:r>
    </w:p>
    <w:p w14:paraId="30FDC332" w14:textId="77777777" w:rsidR="006A3291" w:rsidRDefault="006A3291" w:rsidP="006A3291">
      <w:pPr>
        <w:pStyle w:val="ListBullet2"/>
      </w:pPr>
      <w:r>
        <w:lastRenderedPageBreak/>
        <w:t xml:space="preserve">15 previously unrecorded plant species were observed, including 4 species </w:t>
      </w:r>
      <w:r w:rsidRPr="0FDCD585">
        <w:rPr>
          <w:color w:val="auto"/>
        </w:rPr>
        <w:t>associated with wetter habitats</w:t>
      </w:r>
      <w:r>
        <w:t>.</w:t>
      </w:r>
    </w:p>
    <w:p w14:paraId="6A400FD3" w14:textId="637D5C0B" w:rsidR="006A3291" w:rsidRPr="004B520E" w:rsidRDefault="006A3291" w:rsidP="006A3291">
      <w:pPr>
        <w:pStyle w:val="ListBullet"/>
      </w:pPr>
      <w:r w:rsidRPr="004B520E">
        <w:rPr>
          <w:b/>
          <w:bCs/>
          <w:color w:val="000000" w:themeColor="text2"/>
        </w:rPr>
        <w:t>Commonwealth environmental water support for threatened species</w:t>
      </w:r>
      <w:r>
        <w:rPr>
          <w:b/>
          <w:bCs/>
          <w:color w:val="000000" w:themeColor="text2"/>
        </w:rPr>
        <w:t>:</w:t>
      </w:r>
    </w:p>
    <w:p w14:paraId="36ABFADA" w14:textId="1F3D2DEE" w:rsidR="006A3291" w:rsidRPr="004B520E" w:rsidRDefault="006A3291" w:rsidP="006A3291">
      <w:pPr>
        <w:pStyle w:val="ListBullet2"/>
      </w:pPr>
      <w:r>
        <w:t>46 listed species were recorded at monitored locations in 2023–24 (but not all are listed in the state in which they were recorded</w:t>
      </w:r>
      <w:r w:rsidR="15E71BDE">
        <w:t>)</w:t>
      </w:r>
      <w:r>
        <w:t>.</w:t>
      </w:r>
    </w:p>
    <w:p w14:paraId="4F333A0A" w14:textId="76F89D79" w:rsidR="006A3291" w:rsidRPr="005821CB" w:rsidRDefault="006A3291" w:rsidP="005821CB">
      <w:pPr>
        <w:pStyle w:val="ListBullet"/>
        <w:rPr>
          <w:b/>
          <w:bCs/>
        </w:rPr>
      </w:pPr>
      <w:r w:rsidRPr="005821CB">
        <w:rPr>
          <w:b/>
          <w:bCs/>
          <w:color w:val="000000" w:themeColor="text2"/>
        </w:rPr>
        <w:t>Commonwealth environmental water support for plants with traditional Aboriginal uses:</w:t>
      </w:r>
    </w:p>
    <w:p w14:paraId="2A400C93" w14:textId="77777777" w:rsidR="006A3291" w:rsidRPr="004B520E" w:rsidRDefault="006A3291" w:rsidP="006A3291">
      <w:pPr>
        <w:pStyle w:val="ListBullet2"/>
      </w:pPr>
      <w:r w:rsidRPr="004B520E">
        <w:t>54 taxa used by Aboriginal people were recorded in 2023–24.</w:t>
      </w:r>
    </w:p>
    <w:p w14:paraId="762F35AC" w14:textId="77777777" w:rsidR="006A3291" w:rsidRPr="004B520E" w:rsidRDefault="006A3291" w:rsidP="006A3291">
      <w:pPr>
        <w:pStyle w:val="ListBullet2"/>
      </w:pPr>
      <w:r w:rsidRPr="004B520E">
        <w:t>These plants are used for food (21 taxa), fibre and shelter (2 taxa), medicine (5 taxa), fishing and hunting (1 taxon) or ceremonial (1 taxon)</w:t>
      </w:r>
      <w:r>
        <w:t>.</w:t>
      </w:r>
      <w:r w:rsidRPr="004B520E">
        <w:t xml:space="preserve"> 22 taxa are known to have multiple uses.</w:t>
      </w:r>
    </w:p>
    <w:p w14:paraId="0C2AF243" w14:textId="77777777" w:rsidR="006A3291" w:rsidRPr="004B520E" w:rsidRDefault="006A3291" w:rsidP="006A3291">
      <w:pPr>
        <w:pStyle w:val="ListBullet2"/>
      </w:pPr>
      <w:r w:rsidRPr="004B520E">
        <w:t xml:space="preserve">27 plant taxa used by </w:t>
      </w:r>
      <w:r w:rsidRPr="004B520E">
        <w:rPr>
          <w:color w:val="auto"/>
        </w:rPr>
        <w:t xml:space="preserve">Aboriginal </w:t>
      </w:r>
      <w:r w:rsidRPr="004B520E">
        <w:t>people require support by flooding, including 6 amphibious, 3</w:t>
      </w:r>
      <w:r>
        <w:t> </w:t>
      </w:r>
      <w:r w:rsidRPr="004B520E">
        <w:t>submerged, 9 damp-loving and</w:t>
      </w:r>
      <w:r w:rsidRPr="004B520E">
        <w:rPr>
          <w:color w:val="auto"/>
        </w:rPr>
        <w:t xml:space="preserve"> 9 woody flood-dependent taxa</w:t>
      </w:r>
      <w:r w:rsidRPr="004B520E">
        <w:t>.</w:t>
      </w:r>
    </w:p>
    <w:p w14:paraId="15E167FD" w14:textId="6A5320C5" w:rsidR="006A3291" w:rsidRDefault="006A3291" w:rsidP="006A3291">
      <w:pPr>
        <w:pStyle w:val="Heading4"/>
      </w:pPr>
      <w:r w:rsidRPr="004B520E">
        <w:t xml:space="preserve">Outcomes for </w:t>
      </w:r>
      <w:r>
        <w:t>groundcover vegetation</w:t>
      </w:r>
      <w:r w:rsidRPr="004B520E">
        <w:t xml:space="preserve"> </w:t>
      </w:r>
      <w:r>
        <w:t xml:space="preserve">in </w:t>
      </w:r>
      <w:r w:rsidRPr="004B520E">
        <w:t>20</w:t>
      </w:r>
      <w:r>
        <w:t>23–24</w:t>
      </w:r>
    </w:p>
    <w:p w14:paraId="358F2AD0" w14:textId="107DB69C" w:rsidR="00D50F39" w:rsidRPr="004B520E" w:rsidRDefault="00D50F39" w:rsidP="00A30010">
      <w:pPr>
        <w:pStyle w:val="ListBullet"/>
      </w:pPr>
      <w:r w:rsidRPr="0FDCD585">
        <w:rPr>
          <w:b/>
          <w:bCs/>
        </w:rPr>
        <w:t>Commonwealth environment</w:t>
      </w:r>
      <w:r w:rsidR="003066B5" w:rsidRPr="0FDCD585">
        <w:rPr>
          <w:b/>
          <w:bCs/>
        </w:rPr>
        <w:t>al water</w:t>
      </w:r>
      <w:r w:rsidRPr="0FDCD585">
        <w:rPr>
          <w:b/>
          <w:bCs/>
        </w:rPr>
        <w:t xml:space="preserve"> support for vegetation communities.</w:t>
      </w:r>
      <w:r>
        <w:t xml:space="preserve"> </w:t>
      </w:r>
      <w:r w:rsidR="00FC1565">
        <w:t>2,421</w:t>
      </w:r>
      <w:r>
        <w:t xml:space="preserve"> GL of </w:t>
      </w:r>
      <w:r w:rsidR="00CB055B">
        <w:t>Commonwealth environmental water</w:t>
      </w:r>
      <w:r w:rsidR="00C662E9">
        <w:t xml:space="preserve"> w</w:t>
      </w:r>
      <w:r w:rsidR="00664AD9">
        <w:t>ere</w:t>
      </w:r>
      <w:r w:rsidR="00C662E9">
        <w:t xml:space="preserve"> delivered for </w:t>
      </w:r>
      <w:r>
        <w:t xml:space="preserve">vegetation outcomes </w:t>
      </w:r>
      <w:r w:rsidR="00EB14BF">
        <w:t xml:space="preserve">through </w:t>
      </w:r>
      <w:r w:rsidR="00FC1565">
        <w:t>72</w:t>
      </w:r>
      <w:r w:rsidR="00EB14BF">
        <w:t xml:space="preserve"> watering actions </w:t>
      </w:r>
      <w:r w:rsidR="00A43C8F">
        <w:t xml:space="preserve">during </w:t>
      </w:r>
      <w:r w:rsidR="00244943">
        <w:t>2023–24</w:t>
      </w:r>
      <w:r w:rsidR="00A43C8F">
        <w:t xml:space="preserve">. </w:t>
      </w:r>
      <w:r>
        <w:t xml:space="preserve">These actions </w:t>
      </w:r>
      <w:r w:rsidR="00953AC0">
        <w:t>helped</w:t>
      </w:r>
      <w:r w:rsidR="00035A6D">
        <w:t xml:space="preserve"> </w:t>
      </w:r>
      <w:r w:rsidR="00A359D3">
        <w:t xml:space="preserve">sustain </w:t>
      </w:r>
      <w:r>
        <w:t>vegetation communities that include submerged</w:t>
      </w:r>
      <w:r w:rsidR="4F48980E">
        <w:t xml:space="preserve"> and</w:t>
      </w:r>
      <w:r>
        <w:t xml:space="preserve"> amphibious species and contribute</w:t>
      </w:r>
      <w:r w:rsidR="00683607">
        <w:t>d</w:t>
      </w:r>
      <w:r>
        <w:t xml:space="preserve"> to maintaining </w:t>
      </w:r>
      <w:r w:rsidR="004518C3">
        <w:t xml:space="preserve">a diversity of </w:t>
      </w:r>
      <w:r>
        <w:t>riverine and floodplain</w:t>
      </w:r>
      <w:r w:rsidR="00683607">
        <w:t>–wetland</w:t>
      </w:r>
      <w:r>
        <w:t xml:space="preserve"> ecosystem types in the Basin.</w:t>
      </w:r>
    </w:p>
    <w:p w14:paraId="30640E08" w14:textId="5F444B70" w:rsidR="00395E7C" w:rsidRPr="004B520E" w:rsidRDefault="00D50F39" w:rsidP="007B35D7">
      <w:pPr>
        <w:pStyle w:val="ListBullet"/>
        <w:keepNext/>
      </w:pPr>
      <w:r w:rsidRPr="004B520E">
        <w:rPr>
          <w:rStyle w:val="Italics"/>
          <w:b/>
          <w:bCs/>
          <w:i w:val="0"/>
          <w:iCs/>
        </w:rPr>
        <w:t xml:space="preserve">Strategy </w:t>
      </w:r>
      <w:r w:rsidR="00207B19" w:rsidRPr="004B520E">
        <w:rPr>
          <w:b/>
          <w:bCs/>
        </w:rPr>
        <w:t>annual watering priorities for</w:t>
      </w:r>
      <w:r w:rsidRPr="004B520E">
        <w:rPr>
          <w:b/>
          <w:bCs/>
        </w:rPr>
        <w:t xml:space="preserve"> vegetation</w:t>
      </w:r>
      <w:r w:rsidR="000D520D" w:rsidRPr="004B520E">
        <w:rPr>
          <w:b/>
          <w:bCs/>
        </w:rPr>
        <w:t xml:space="preserve">, </w:t>
      </w:r>
      <w:r w:rsidR="00244943" w:rsidRPr="004B520E">
        <w:rPr>
          <w:b/>
          <w:bCs/>
        </w:rPr>
        <w:t>2023–24</w:t>
      </w:r>
      <w:r w:rsidR="00395E7C" w:rsidRPr="004B520E">
        <w:rPr>
          <w:b/>
          <w:bCs/>
        </w:rPr>
        <w:t xml:space="preserve">. </w:t>
      </w:r>
      <w:bookmarkEnd w:id="38"/>
      <w:r w:rsidR="00395E7C" w:rsidRPr="004B520E">
        <w:t xml:space="preserve">Vegetated ecosystems were supported in agreement with the Strategy’s Basin-wide annual watering priorities for </w:t>
      </w:r>
      <w:r w:rsidR="00244943" w:rsidRPr="004B520E">
        <w:t>2023–24</w:t>
      </w:r>
      <w:r w:rsidR="00FC1565" w:rsidRPr="004B520E">
        <w:t>:</w:t>
      </w:r>
    </w:p>
    <w:p w14:paraId="404D7DD8" w14:textId="2BAD6340" w:rsidR="0072552F" w:rsidRPr="004B520E" w:rsidRDefault="0072552F" w:rsidP="0072552F">
      <w:pPr>
        <w:pStyle w:val="ListBullet2"/>
      </w:pPr>
      <w:r w:rsidRPr="004B520E">
        <w:t>Non-woody vegetation priorities to provide opportunities for growth were met. C</w:t>
      </w:r>
      <w:r w:rsidR="00C6416C">
        <w:t>ommonwealth environmental water</w:t>
      </w:r>
      <w:r w:rsidRPr="004B520E">
        <w:t xml:space="preserve"> was delivered to 30,835 ha of meadow and marsh upstream of the Lower Lakes and another 9,803 ha of marsh around the Lower Lakes. 12 ha of sedge/forb/grassland riparian zone or floodplain and 21,075 km of river channel were inundated, supporting non-woody riverbank vegetation.</w:t>
      </w:r>
    </w:p>
    <w:p w14:paraId="77E18F06" w14:textId="35C5513D" w:rsidR="0072552F" w:rsidRPr="004B520E" w:rsidRDefault="0072552F" w:rsidP="0072552F">
      <w:pPr>
        <w:pStyle w:val="ListBullet2"/>
      </w:pPr>
      <w:r w:rsidRPr="004B520E">
        <w:t xml:space="preserve">A rolling priority to maintain the extent, improve the condition, and promote recruitment of forests and woodlands was met. </w:t>
      </w:r>
      <w:r w:rsidRPr="004B520E">
        <w:rPr>
          <w:bCs/>
        </w:rPr>
        <w:t>C</w:t>
      </w:r>
      <w:r w:rsidR="00C6416C">
        <w:rPr>
          <w:bCs/>
        </w:rPr>
        <w:t>ommonwealth environmental water</w:t>
      </w:r>
      <w:r w:rsidRPr="004B520E">
        <w:rPr>
          <w:bCs/>
        </w:rPr>
        <w:t xml:space="preserve"> was delivered to 38,658 ha of woody wetlands (swamps) and 47,684 ha of woody floodplain vegetation</w:t>
      </w:r>
      <w:r w:rsidRPr="004B520E">
        <w:t>.</w:t>
      </w:r>
    </w:p>
    <w:p w14:paraId="2338C4EE" w14:textId="09B4C607" w:rsidR="0072552F" w:rsidRPr="004B520E" w:rsidRDefault="0072552F" w:rsidP="0072552F">
      <w:pPr>
        <w:pStyle w:val="ListBullet2"/>
      </w:pPr>
      <w:r w:rsidRPr="004B520E">
        <w:t>A rolling priority to maintain the extent and improve the condition of lignum shrublands and an annual priority to support continued recovery of lignum shrublands at Narran Lakes and other</w:t>
      </w:r>
      <w:r w:rsidR="00323CF0" w:rsidRPr="004C5853">
        <w:t xml:space="preserve"> sites in the northern Basin</w:t>
      </w:r>
      <w:r w:rsidR="00323CF0" w:rsidRPr="004C5853">
        <w:rPr>
          <w:bCs/>
        </w:rPr>
        <w:t xml:space="preserve"> were </w:t>
      </w:r>
      <w:r w:rsidR="00323CF0" w:rsidRPr="004C5853">
        <w:t>met</w:t>
      </w:r>
      <w:r w:rsidR="00323CF0">
        <w:t>.</w:t>
      </w:r>
      <w:r w:rsidR="00323CF0" w:rsidRPr="004C5853">
        <w:t xml:space="preserve"> </w:t>
      </w:r>
      <w:r w:rsidRPr="004B520E">
        <w:rPr>
          <w:bCs/>
        </w:rPr>
        <w:t>4,895 ha of lignum floodplain were inundated, and another 215 ha of temporary lignum swamp</w:t>
      </w:r>
      <w:r w:rsidRPr="004B520E">
        <w:t xml:space="preserve"> received C</w:t>
      </w:r>
      <w:r w:rsidR="009F64AE">
        <w:t>ommonwealth environmental water</w:t>
      </w:r>
      <w:r w:rsidRPr="004B520E">
        <w:t>.</w:t>
      </w:r>
    </w:p>
    <w:p w14:paraId="53E799BA" w14:textId="77777777" w:rsidR="0072552F" w:rsidRPr="004B520E" w:rsidRDefault="0072552F" w:rsidP="0072552F">
      <w:pPr>
        <w:pStyle w:val="ListBullet2"/>
      </w:pPr>
      <w:r w:rsidRPr="004B520E">
        <w:t>An annual priority to provide flows to support core wetland vegetation at key sites in the Macquarie Marshe</w:t>
      </w:r>
      <w:r w:rsidRPr="004B520E">
        <w:rPr>
          <w:bCs/>
        </w:rPr>
        <w:t>s was met by watering 25,415 ha of wetlands and 18,927 ha of floodplains in the</w:t>
      </w:r>
      <w:r w:rsidRPr="004B520E">
        <w:t xml:space="preserve"> Macquarie Valley, including 10,290 ha (56%) of the Macquarie Marshes Ramsar Site.</w:t>
      </w:r>
    </w:p>
    <w:p w14:paraId="77016868" w14:textId="0931A350" w:rsidR="0072552F" w:rsidRPr="004B520E" w:rsidRDefault="0072552F" w:rsidP="0072552F">
      <w:pPr>
        <w:pStyle w:val="ListBullet2"/>
      </w:pPr>
      <w:r w:rsidRPr="004B520E">
        <w:t xml:space="preserve">A rolling priority was to expand the extent and improve the condition of Moira grass in Barmah–Millewa Forest, and </w:t>
      </w:r>
      <w:r w:rsidRPr="004B520E">
        <w:rPr>
          <w:bCs/>
        </w:rPr>
        <w:t>99 ha of freshwater meadow was inundated in 2023–24</w:t>
      </w:r>
      <w:r w:rsidR="00D0581E">
        <w:rPr>
          <w:bCs/>
        </w:rPr>
        <w:t>. H</w:t>
      </w:r>
      <w:r w:rsidRPr="004B520E">
        <w:t>owever, Moira grass was not monitored.</w:t>
      </w:r>
    </w:p>
    <w:p w14:paraId="0C0F56F2" w14:textId="5052FAF2" w:rsidR="0072552F" w:rsidRPr="004B520E" w:rsidRDefault="0072552F" w:rsidP="0072552F">
      <w:pPr>
        <w:pStyle w:val="ListBullet2"/>
      </w:pPr>
      <w:r w:rsidRPr="004B520E">
        <w:t xml:space="preserve">An annual priority to support inundation of the Warrego floodplain was met – </w:t>
      </w:r>
      <w:r w:rsidRPr="004B520E">
        <w:rPr>
          <w:bCs/>
        </w:rPr>
        <w:t>65 ha of floodplain and 2,435 ha wetlands were inundated by C</w:t>
      </w:r>
      <w:r w:rsidR="00D07CB4">
        <w:rPr>
          <w:bCs/>
        </w:rPr>
        <w:t>ommonwealth environmental water</w:t>
      </w:r>
      <w:r w:rsidRPr="004B520E">
        <w:rPr>
          <w:bCs/>
        </w:rPr>
        <w:t xml:space="preserve"> in the Warrego Valley.</w:t>
      </w:r>
    </w:p>
    <w:p w14:paraId="36B3E8C9" w14:textId="00C1DEAB" w:rsidR="0035012E" w:rsidRPr="004B520E" w:rsidRDefault="003066B5" w:rsidP="00FC1565">
      <w:pPr>
        <w:pStyle w:val="ListBullet"/>
      </w:pPr>
      <w:r w:rsidRPr="004B520E">
        <w:rPr>
          <w:b/>
          <w:bCs/>
        </w:rPr>
        <w:t xml:space="preserve">Commonwealth environmental water </w:t>
      </w:r>
      <w:r w:rsidR="00976C1C" w:rsidRPr="004B520E">
        <w:rPr>
          <w:b/>
          <w:bCs/>
          <w:color w:val="000000" w:themeColor="text2"/>
        </w:rPr>
        <w:t>support</w:t>
      </w:r>
      <w:r w:rsidR="009B58B5" w:rsidRPr="004B520E">
        <w:rPr>
          <w:b/>
          <w:bCs/>
          <w:color w:val="000000" w:themeColor="text2"/>
        </w:rPr>
        <w:t xml:space="preserve"> for</w:t>
      </w:r>
      <w:r w:rsidR="00976C1C" w:rsidRPr="004B520E">
        <w:rPr>
          <w:b/>
          <w:bCs/>
          <w:color w:val="000000" w:themeColor="text2"/>
        </w:rPr>
        <w:t xml:space="preserve"> groundcover plants</w:t>
      </w:r>
    </w:p>
    <w:p w14:paraId="2EF633AC" w14:textId="5C7F5F3E" w:rsidR="0035012E" w:rsidRPr="004B520E" w:rsidRDefault="006D0F41" w:rsidP="00FC1565">
      <w:pPr>
        <w:pStyle w:val="ListBullet2"/>
      </w:pPr>
      <w:r w:rsidRPr="004B520E">
        <w:t xml:space="preserve">Environmental water has contributed to maintaining the cover (amount) of water plants. </w:t>
      </w:r>
      <w:r w:rsidR="00B666EB" w:rsidRPr="004B520E">
        <w:t>There was a greater proportion and cover of submerged and amphibious plants observed at sites that had wetter inundation regimes</w:t>
      </w:r>
      <w:r w:rsidR="00184ADD">
        <w:t xml:space="preserve"> that were</w:t>
      </w:r>
      <w:r w:rsidR="00B666EB" w:rsidRPr="004B520E">
        <w:t xml:space="preserve"> maintained using environmental water</w:t>
      </w:r>
      <w:r w:rsidR="0035012E" w:rsidRPr="004B520E">
        <w:t>.</w:t>
      </w:r>
    </w:p>
    <w:p w14:paraId="02E11F97" w14:textId="77777777" w:rsidR="00FC1565" w:rsidRPr="004B520E" w:rsidRDefault="00FC1565" w:rsidP="00FC1565">
      <w:pPr>
        <w:pStyle w:val="ListBullet2"/>
      </w:pPr>
      <w:r w:rsidRPr="004B520E">
        <w:lastRenderedPageBreak/>
        <w:t>There was a greater proportion and cover of submerged and amphibious plants observed at sites that had wetter inundation regimes maintained using environmental water.</w:t>
      </w:r>
    </w:p>
    <w:p w14:paraId="11859503" w14:textId="024AED79" w:rsidR="00FC1565" w:rsidRPr="004B520E" w:rsidRDefault="00FC1565" w:rsidP="00FC1565">
      <w:pPr>
        <w:pStyle w:val="ListBullet2"/>
      </w:pPr>
      <w:r w:rsidRPr="004B520E">
        <w:t>It is very likely that in the absence of environmental water, there would have been a near</w:t>
      </w:r>
      <w:r w:rsidR="00C52221">
        <w:t>-</w:t>
      </w:r>
      <w:r w:rsidRPr="004B520E">
        <w:t>absence of submerged species and considerably less diversity and cover of amphibious and damp-loving species at 38% of monitoring locations.</w:t>
      </w:r>
    </w:p>
    <w:p w14:paraId="6EEBE387" w14:textId="53B1F3BC" w:rsidR="00207B19" w:rsidRPr="004B520E" w:rsidRDefault="00207B19" w:rsidP="00113FC9">
      <w:pPr>
        <w:pStyle w:val="Heading3"/>
      </w:pPr>
      <w:bookmarkStart w:id="369" w:name="_Toc168579852"/>
      <w:bookmarkStart w:id="370" w:name="_Toc172283646"/>
      <w:r w:rsidRPr="004B520E">
        <w:t>Native fish</w:t>
      </w:r>
      <w:bookmarkEnd w:id="369"/>
      <w:bookmarkEnd w:id="370"/>
    </w:p>
    <w:p w14:paraId="6773C908" w14:textId="4B97F0D9" w:rsidR="00C97C48" w:rsidRPr="004B520E" w:rsidRDefault="00C97C48" w:rsidP="00244943">
      <w:pPr>
        <w:pStyle w:val="ChapterSignposting"/>
      </w:pPr>
      <w:r w:rsidRPr="004B520E">
        <w:t xml:space="preserve">This section presents findings from the Fish evaluation for the </w:t>
      </w:r>
      <w:r w:rsidR="00244943" w:rsidRPr="004B520E">
        <w:t>2023–24</w:t>
      </w:r>
      <w:r w:rsidRPr="004B520E">
        <w:t xml:space="preserve"> water year</w:t>
      </w:r>
      <w:r w:rsidR="00E671B0" w:rsidRPr="004B520E">
        <w:t xml:space="preserve">, </w:t>
      </w:r>
      <w:r w:rsidRPr="004B520E">
        <w:t xml:space="preserve">presented in full in the </w:t>
      </w:r>
      <w:r w:rsidR="00D01A16" w:rsidRPr="004B520E">
        <w:t xml:space="preserve">‘Basin-scale evaluation of </w:t>
      </w:r>
      <w:r w:rsidR="00244943" w:rsidRPr="004B520E">
        <w:t>2023–24</w:t>
      </w:r>
      <w:r w:rsidR="00D01A16" w:rsidRPr="004B520E">
        <w:t xml:space="preserve"> Commonwealth environmental water: Fish’</w:t>
      </w:r>
      <w:r w:rsidR="00D01A16" w:rsidRPr="004B520E" w:rsidDel="00E96AC8">
        <w:t xml:space="preserve"> </w:t>
      </w:r>
      <w:r w:rsidR="00D01A16" w:rsidRPr="004B520E">
        <w:t>r</w:t>
      </w:r>
      <w:r w:rsidR="00D01A16" w:rsidRPr="004B520E">
        <w:rPr>
          <w:iCs/>
          <w:szCs w:val="20"/>
        </w:rPr>
        <w:t xml:space="preserve">eport </w:t>
      </w:r>
      <w:r w:rsidRPr="004B520E">
        <w:t>(</w:t>
      </w:r>
      <w:r w:rsidR="00D01A16" w:rsidRPr="004B520E">
        <w:t xml:space="preserve">accompanying this document and will be </w:t>
      </w:r>
      <w:r w:rsidRPr="004B520E">
        <w:t xml:space="preserve">available from </w:t>
      </w:r>
      <w:r w:rsidR="007706E5">
        <w:t>DCCEEW’s</w:t>
      </w:r>
      <w:r w:rsidR="007706E5" w:rsidRPr="004B520E">
        <w:t xml:space="preserve"> </w:t>
      </w:r>
      <w:hyperlink r:id="rId63" w:history="1">
        <w:r w:rsidR="007706E5" w:rsidRPr="004B520E">
          <w:rPr>
            <w:rStyle w:val="Hyperlink"/>
            <w:rFonts w:cs="Calibri Light"/>
          </w:rPr>
          <w:t>Flow-MER Basin-scale Project publications</w:t>
        </w:r>
      </w:hyperlink>
      <w:r w:rsidR="007706E5" w:rsidRPr="004B520E">
        <w:t xml:space="preserve"> </w:t>
      </w:r>
      <w:r w:rsidR="007706E5">
        <w:t>web</w:t>
      </w:r>
      <w:r w:rsidR="007706E5" w:rsidRPr="004B520E">
        <w:t>page</w:t>
      </w:r>
      <w:r w:rsidR="00D01A16" w:rsidRPr="004B520E">
        <w:t>).</w:t>
      </w:r>
    </w:p>
    <w:p w14:paraId="1DFE56A0" w14:textId="77777777" w:rsidR="003649B4" w:rsidRPr="004B520E" w:rsidRDefault="003649B4" w:rsidP="0024567F">
      <w:pPr>
        <w:pStyle w:val="Boxedheadingblue"/>
      </w:pPr>
      <w:bookmarkStart w:id="371" w:name="_Toc172283647"/>
      <w:bookmarkStart w:id="372" w:name="_Toc172290963"/>
      <w:bookmarkStart w:id="373" w:name="_Toc178668862"/>
      <w:r w:rsidRPr="004B520E">
        <w:t>What did Commonwealth environmental water contribute to sustaining native fish?</w:t>
      </w:r>
      <w:bookmarkEnd w:id="371"/>
      <w:bookmarkEnd w:id="372"/>
      <w:bookmarkEnd w:id="373"/>
    </w:p>
    <w:p w14:paraId="00388BC4" w14:textId="03EAE61F" w:rsidR="0035012E" w:rsidRPr="004B520E" w:rsidRDefault="00BD6F3A" w:rsidP="008F31A2">
      <w:pPr>
        <w:pStyle w:val="BodyText"/>
        <w:widowControl w:val="0"/>
      </w:pPr>
      <w:r w:rsidRPr="004B520E">
        <w:t>Many of the critical life-history processes for fish (pre-spawning condition and maturation, spawning cues and movements, larval and juvenile dispersal, growth and survival) are linked either directly or indirectly to the flow regime</w:t>
      </w:r>
      <w:r w:rsidR="008B3488" w:rsidRPr="004B520E">
        <w:t xml:space="preserve">. </w:t>
      </w:r>
      <w:r w:rsidRPr="004B520E">
        <w:t>In the Basin, the delivery of environmental water is a key approach to supporting critical life-history processes and sustaining and restoring native fish populations</w:t>
      </w:r>
      <w:r w:rsidR="006469E6" w:rsidRPr="004B520E">
        <w:t xml:space="preserve">. </w:t>
      </w:r>
      <w:r w:rsidR="00C977B4" w:rsidRPr="004B520E">
        <w:t xml:space="preserve">This evaluation reports on the </w:t>
      </w:r>
      <w:r w:rsidR="008D1314" w:rsidRPr="004B520E">
        <w:t>contribution of Commonwealth environment</w:t>
      </w:r>
      <w:r w:rsidR="00E358CB" w:rsidRPr="004B520E">
        <w:t>al water</w:t>
      </w:r>
      <w:r w:rsidR="008D1314" w:rsidRPr="004B520E">
        <w:t xml:space="preserve"> to sustaining native fish</w:t>
      </w:r>
      <w:r w:rsidR="0035012E" w:rsidRPr="004B520E">
        <w:t>.</w:t>
      </w:r>
    </w:p>
    <w:p w14:paraId="069F69AD" w14:textId="0711FF88" w:rsidR="00E72A48" w:rsidRDefault="00F84EFF" w:rsidP="00D324EB">
      <w:pPr>
        <w:pStyle w:val="BodyText"/>
        <w:widowControl w:val="0"/>
        <w:numPr>
          <w:ilvl w:val="0"/>
          <w:numId w:val="3"/>
        </w:numPr>
      </w:pPr>
      <w:r>
        <w:t xml:space="preserve">In </w:t>
      </w:r>
      <w:r w:rsidR="00244943">
        <w:t>2023–24</w:t>
      </w:r>
      <w:r>
        <w:t xml:space="preserve">, the Basin experienced </w:t>
      </w:r>
      <w:r w:rsidR="008E0D6A">
        <w:t xml:space="preserve">a return to </w:t>
      </w:r>
      <w:r w:rsidR="00FF2439">
        <w:t xml:space="preserve">more </w:t>
      </w:r>
      <w:r w:rsidR="008E0D6A">
        <w:t>average</w:t>
      </w:r>
      <w:r w:rsidR="00FF2439">
        <w:t xml:space="preserve"> </w:t>
      </w:r>
      <w:r w:rsidR="008E0D6A">
        <w:t xml:space="preserve">climate conditions across the Basin following </w:t>
      </w:r>
      <w:r w:rsidR="00677FD9">
        <w:t>2 </w:t>
      </w:r>
      <w:r w:rsidR="008E0D6A">
        <w:t xml:space="preserve">wetter years (2021–23). </w:t>
      </w:r>
      <w:r w:rsidR="00CB055B">
        <w:t>Commonwealth environmental water</w:t>
      </w:r>
      <w:r>
        <w:t xml:space="preserve"> </w:t>
      </w:r>
      <w:r w:rsidR="79A4A9E6">
        <w:t>was used to water wetlands, lakes and ephemeral creeks, reduce rapid recessions, protect stable flows</w:t>
      </w:r>
      <w:r w:rsidR="55498793">
        <w:t xml:space="preserve"> during key periods</w:t>
      </w:r>
      <w:r w:rsidR="79A4A9E6">
        <w:t>, and provide variable base</w:t>
      </w:r>
      <w:r w:rsidR="001E6C5D">
        <w:t xml:space="preserve"> </w:t>
      </w:r>
      <w:r w:rsidR="79A4A9E6">
        <w:t>flows and winter/spring freshes and autumn freshes.</w:t>
      </w:r>
      <w:r w:rsidR="29BBA05C">
        <w:t xml:space="preserve"> </w:t>
      </w:r>
    </w:p>
    <w:p w14:paraId="49385765" w14:textId="5B0DFB25" w:rsidR="008025C6" w:rsidRDefault="008025C6" w:rsidP="008025C6">
      <w:pPr>
        <w:pStyle w:val="Heading4"/>
      </w:pPr>
      <w:r>
        <w:t>Observations for native fish</w:t>
      </w:r>
      <w:r w:rsidRPr="004B520E">
        <w:t xml:space="preserve"> </w:t>
      </w:r>
      <w:r>
        <w:t xml:space="preserve">in </w:t>
      </w:r>
      <w:r w:rsidRPr="004B520E">
        <w:t>20</w:t>
      </w:r>
      <w:r>
        <w:t>23–24</w:t>
      </w:r>
    </w:p>
    <w:p w14:paraId="6440EB62" w14:textId="77777777" w:rsidR="008025C6" w:rsidRPr="004B520E" w:rsidRDefault="008025C6" w:rsidP="008025C6">
      <w:pPr>
        <w:pStyle w:val="ListBullet"/>
      </w:pPr>
      <w:r w:rsidRPr="004B520E">
        <w:rPr>
          <w:b/>
          <w:bCs/>
        </w:rPr>
        <w:t>Commonwealth environmental water providing flows and habitat for native fish</w:t>
      </w:r>
    </w:p>
    <w:p w14:paraId="29930990" w14:textId="77777777" w:rsidR="008025C6" w:rsidRPr="004B520E" w:rsidRDefault="008025C6" w:rsidP="008025C6">
      <w:pPr>
        <w:pStyle w:val="ListBullet2"/>
      </w:pPr>
      <w:r w:rsidRPr="0FDCD585">
        <w:rPr>
          <w:color w:val="auto"/>
        </w:rPr>
        <w:t>Through 99 watering actions, 2,708 </w:t>
      </w:r>
      <w:r>
        <w:t xml:space="preserve">GL of Commonwealth environmental water were delivered with expected outcomes for fish, primarily to improve habitat, enhance connectivity or provide cues to support fish movement, and for various targeted species outcomes </w:t>
      </w:r>
      <w:r w:rsidRPr="0FDCD585">
        <w:rPr>
          <w:rFonts w:cs="Calibri"/>
        </w:rPr>
        <w:t>(e.g. survival of Murray hardyhead [</w:t>
      </w:r>
      <w:r w:rsidRPr="0FDCD585">
        <w:rPr>
          <w:rFonts w:cs="Calibri"/>
          <w:i/>
          <w:iCs/>
        </w:rPr>
        <w:t>Craterocephalus fluviatilis</w:t>
      </w:r>
      <w:r w:rsidRPr="0FDCD585">
        <w:rPr>
          <w:rFonts w:cs="Calibri"/>
        </w:rPr>
        <w:t>] and support of breeding and recruitment of freshwater catfish [</w:t>
      </w:r>
      <w:r w:rsidRPr="0FDCD585">
        <w:rPr>
          <w:rFonts w:cs="Calibri"/>
          <w:i/>
          <w:iCs/>
        </w:rPr>
        <w:t>Tandanus tandanus</w:t>
      </w:r>
      <w:r w:rsidRPr="0FDCD585">
        <w:rPr>
          <w:rFonts w:cs="Calibri"/>
        </w:rPr>
        <w:t>] and migration flow cues for lamprey [</w:t>
      </w:r>
      <w:r w:rsidRPr="0FDCD585">
        <w:rPr>
          <w:rFonts w:cs="Calibri"/>
          <w:i/>
          <w:iCs/>
        </w:rPr>
        <w:t>Mordacia mordax</w:t>
      </w:r>
      <w:r w:rsidRPr="0FDCD585">
        <w:rPr>
          <w:rFonts w:cs="Calibri"/>
        </w:rPr>
        <w:t>] and congolli [</w:t>
      </w:r>
      <w:r w:rsidRPr="0FDCD585">
        <w:rPr>
          <w:rFonts w:cs="Calibri"/>
          <w:i/>
          <w:iCs/>
        </w:rPr>
        <w:t>Pseudaphritis urvillii</w:t>
      </w:r>
      <w:r w:rsidRPr="0FDCD585">
        <w:rPr>
          <w:rFonts w:cs="Calibri"/>
        </w:rPr>
        <w:t>])</w:t>
      </w:r>
      <w:r>
        <w:t>.</w:t>
      </w:r>
    </w:p>
    <w:p w14:paraId="7078DC1A" w14:textId="77777777" w:rsidR="00F95F76" w:rsidRPr="004B520E" w:rsidRDefault="00F95F76" w:rsidP="00F95F76">
      <w:pPr>
        <w:pStyle w:val="ListBullet"/>
        <w:rPr>
          <w:b/>
          <w:bCs/>
        </w:rPr>
      </w:pPr>
      <w:r w:rsidRPr="004B520E">
        <w:rPr>
          <w:b/>
          <w:bCs/>
        </w:rPr>
        <w:t>Strategy annual watering priorities for fish in 2023–24</w:t>
      </w:r>
    </w:p>
    <w:p w14:paraId="67A0BB3E" w14:textId="77777777" w:rsidR="00F95F76" w:rsidRDefault="00F95F76" w:rsidP="00F95F76">
      <w:pPr>
        <w:pStyle w:val="ListBullet2"/>
      </w:pPr>
      <w:r w:rsidRPr="004B520E">
        <w:t xml:space="preserve">No loss of native species was evident in monitoring locations, </w:t>
      </w:r>
      <w:r>
        <w:t>and</w:t>
      </w:r>
      <w:r w:rsidRPr="004B520E">
        <w:t xml:space="preserve"> 14 native fish species</w:t>
      </w:r>
      <w:r>
        <w:t xml:space="preserve"> were</w:t>
      </w:r>
      <w:r w:rsidRPr="004B520E">
        <w:t xml:space="preserve"> detected in 2023–24 at monitored sites.</w:t>
      </w:r>
    </w:p>
    <w:p w14:paraId="1C3C25A6" w14:textId="77777777" w:rsidR="00F95F76" w:rsidRPr="004B520E" w:rsidRDefault="00F95F76" w:rsidP="00F95F76">
      <w:pPr>
        <w:pStyle w:val="ListBullet2"/>
        <w:rPr>
          <w:rStyle w:val="FootnoteReference"/>
        </w:rPr>
      </w:pPr>
      <w:r w:rsidRPr="004B520E">
        <w:t>Evidence of Murray cod recruitment was minimal in most monitoring locations except in the Lower Murray, possibly due to high or variable flows (displacing/desiccating eggs or larvae), or insufficient prey availability, or past hypoxic conditions causing fish emigration or fish deaths.</w:t>
      </w:r>
    </w:p>
    <w:p w14:paraId="50008738" w14:textId="77777777" w:rsidR="008025C6" w:rsidRDefault="008025C6" w:rsidP="008025C6">
      <w:pPr>
        <w:pStyle w:val="Heading4"/>
      </w:pPr>
      <w:r w:rsidRPr="004B520E">
        <w:t xml:space="preserve">Outcomes for </w:t>
      </w:r>
      <w:r>
        <w:t>native fish</w:t>
      </w:r>
      <w:r w:rsidRPr="004B520E">
        <w:t xml:space="preserve"> </w:t>
      </w:r>
      <w:r>
        <w:t xml:space="preserve">in </w:t>
      </w:r>
      <w:r w:rsidRPr="004B520E">
        <w:t>20</w:t>
      </w:r>
      <w:r>
        <w:t>23–24</w:t>
      </w:r>
    </w:p>
    <w:p w14:paraId="2CA5D536" w14:textId="4F43FFB2" w:rsidR="00E72A48" w:rsidRDefault="009D4FEE" w:rsidP="009D4FEE">
      <w:pPr>
        <w:pStyle w:val="ListBullet2"/>
      </w:pPr>
      <w:r>
        <w:t>Commonwealth environmental water benefited recruitment of Australian smelt</w:t>
      </w:r>
      <w:r w:rsidR="00E0617A">
        <w:t xml:space="preserve"> </w:t>
      </w:r>
      <w:r>
        <w:t>in the Goulburn River, Lachlan River System and Lower Murray River</w:t>
      </w:r>
      <w:r w:rsidR="27591EB2">
        <w:t xml:space="preserve"> (with positive associations between Commonwealth environmental water and recruitment)</w:t>
      </w:r>
      <w:r>
        <w:t>. High unregulated instream flows likely facilitated hydrological connectivity and increased habitat and food resources.</w:t>
      </w:r>
    </w:p>
    <w:p w14:paraId="70F13768" w14:textId="7EB538C9" w:rsidR="00E72A48" w:rsidRDefault="009D4FEE" w:rsidP="009D4FEE">
      <w:pPr>
        <w:pStyle w:val="ListBullet2"/>
      </w:pPr>
      <w:r>
        <w:lastRenderedPageBreak/>
        <w:t>Abundance and recruitment of the Murray–Darling rainbowfish was again lower than previous years in some</w:t>
      </w:r>
      <w:r w:rsidR="74B44485">
        <w:t xml:space="preserve"> monitoring locations</w:t>
      </w:r>
      <w:r w:rsidR="13792BE2">
        <w:t xml:space="preserve"> (no positive associations between Commonwealth environmental water and recruitment were found)</w:t>
      </w:r>
      <w:r>
        <w:t xml:space="preserve">. </w:t>
      </w:r>
      <w:r w:rsidR="00577785">
        <w:t xml:space="preserve">High </w:t>
      </w:r>
      <w:r w:rsidR="277D8DB9">
        <w:t xml:space="preserve">or variable </w:t>
      </w:r>
      <w:r w:rsidR="00577785">
        <w:t xml:space="preserve">natural flows may have impacted populations of this species, as it prefers low-to-moderate stable flows during </w:t>
      </w:r>
      <w:r w:rsidR="00A5481C">
        <w:t>its</w:t>
      </w:r>
      <w:r w:rsidR="00577785">
        <w:t xml:space="preserve"> extended spawning and recruitment period</w:t>
      </w:r>
      <w:r>
        <w:t>.</w:t>
      </w:r>
    </w:p>
    <w:p w14:paraId="562D3B98" w14:textId="7F88DE35" w:rsidR="00672519" w:rsidRPr="004B520E" w:rsidRDefault="00207B19" w:rsidP="006824BA">
      <w:pPr>
        <w:pStyle w:val="ListBullet"/>
        <w:rPr>
          <w:b/>
          <w:color w:val="000000" w:themeColor="text2"/>
        </w:rPr>
      </w:pPr>
      <w:r w:rsidRPr="004B520E">
        <w:rPr>
          <w:b/>
          <w:color w:val="000000" w:themeColor="text2"/>
        </w:rPr>
        <w:t>Murray cod populations</w:t>
      </w:r>
    </w:p>
    <w:p w14:paraId="70E772DC" w14:textId="2F160314" w:rsidR="00E72A48" w:rsidRDefault="009D4FEE" w:rsidP="009D4FEE">
      <w:pPr>
        <w:pStyle w:val="ListBullet2"/>
      </w:pPr>
      <w:r w:rsidRPr="004B520E">
        <w:t>There was evidence of recruitment of Murray cod in the Lower Murray River.</w:t>
      </w:r>
    </w:p>
    <w:p w14:paraId="23216792" w14:textId="4A871AA3" w:rsidR="009D4FEE" w:rsidRPr="004B520E" w:rsidRDefault="009D4FEE" w:rsidP="0FDCD585">
      <w:pPr>
        <w:pStyle w:val="ListBullet2"/>
        <w:rPr>
          <w:color w:val="000000" w:themeColor="text2"/>
        </w:rPr>
      </w:pPr>
      <w:r>
        <w:t>Recruitment was either very low or absent in other Selected Areas</w:t>
      </w:r>
      <w:r w:rsidR="0FCE44CA">
        <w:t xml:space="preserve"> (no positive associations between Commonwealth environmental water and recruitment were found)</w:t>
      </w:r>
      <w:r>
        <w:t xml:space="preserve">. Possible reasons include </w:t>
      </w:r>
      <w:r w:rsidR="79F64073" w:rsidRPr="00D324EB">
        <w:t>unfavourable flow or hydraulic conditions during the spawning and early life stage period (eggs and larvae), insufficient prey availability in summer leading to poor recruitment, or populations still recovering from disturbances the previous year, when widespread flooding and high flows reduced water quality (hypoxic conditions) which may have caused fish emigration or fish deaths.</w:t>
      </w:r>
      <w:r w:rsidR="11FE5217">
        <w:t xml:space="preserve"> </w:t>
      </w:r>
    </w:p>
    <w:p w14:paraId="07BFF4B1" w14:textId="2DB8BA39" w:rsidR="0006617E" w:rsidRPr="004B520E" w:rsidRDefault="00AD75E1" w:rsidP="007B35D7">
      <w:pPr>
        <w:pStyle w:val="ListBullet"/>
        <w:rPr>
          <w:b/>
          <w:bCs/>
        </w:rPr>
      </w:pPr>
      <w:r w:rsidRPr="004B520E">
        <w:rPr>
          <w:b/>
          <w:bCs/>
        </w:rPr>
        <w:t xml:space="preserve">Golden </w:t>
      </w:r>
      <w:r w:rsidR="009D4FEE" w:rsidRPr="004B520E">
        <w:rPr>
          <w:b/>
          <w:bCs/>
        </w:rPr>
        <w:t xml:space="preserve">and silver </w:t>
      </w:r>
      <w:r w:rsidRPr="004B520E">
        <w:rPr>
          <w:b/>
          <w:bCs/>
        </w:rPr>
        <w:t>perch populations</w:t>
      </w:r>
    </w:p>
    <w:p w14:paraId="7A2E5948" w14:textId="45B24DCD" w:rsidR="00E72A48" w:rsidRDefault="009D4FEE" w:rsidP="009D4FEE">
      <w:pPr>
        <w:pStyle w:val="ListBullet2"/>
      </w:pPr>
      <w:r w:rsidRPr="004B520E">
        <w:t>Golden perch spawned in the Goulburn River, coinciding with a large overbank flow and a Commonwealth environmental water delivery of a fresh</w:t>
      </w:r>
      <w:r w:rsidR="000904F2" w:rsidRPr="004B520E">
        <w:t>.</w:t>
      </w:r>
    </w:p>
    <w:p w14:paraId="5F2406A1" w14:textId="6E11C200" w:rsidR="00E72A48" w:rsidRDefault="009D4FEE" w:rsidP="009D4FEE">
      <w:pPr>
        <w:pStyle w:val="ListBullet2"/>
      </w:pPr>
      <w:r>
        <w:t>Golden perch and silver perch</w:t>
      </w:r>
      <w:r w:rsidRPr="0FDCD585">
        <w:rPr>
          <w:b/>
          <w:bCs/>
        </w:rPr>
        <w:t xml:space="preserve"> </w:t>
      </w:r>
      <w:r>
        <w:t xml:space="preserve">spawned in the Lower Murray River and there were low levels of recruitment of golden perch, coinciding with high </w:t>
      </w:r>
      <w:r w:rsidR="3AC383F0">
        <w:t xml:space="preserve">instream </w:t>
      </w:r>
      <w:r>
        <w:t xml:space="preserve">flows </w:t>
      </w:r>
      <w:r w:rsidR="4E9DCDF2">
        <w:t>supported by</w:t>
      </w:r>
      <w:r>
        <w:t xml:space="preserve"> Commonwealth environmental water.</w:t>
      </w:r>
    </w:p>
    <w:p w14:paraId="041F48DA" w14:textId="3C60D9BC" w:rsidR="00E72A48" w:rsidRDefault="009D4FEE" w:rsidP="009D4FEE">
      <w:pPr>
        <w:pStyle w:val="ListBullet2"/>
      </w:pPr>
      <w:r w:rsidRPr="004B520E">
        <w:t>Drifting silver perch eggs were detected in the Murrumbidgee River System.</w:t>
      </w:r>
    </w:p>
    <w:p w14:paraId="33E7A0DB" w14:textId="3A4C7C3A" w:rsidR="00E72A48" w:rsidRDefault="009D4FEE" w:rsidP="009D4FEE">
      <w:pPr>
        <w:pStyle w:val="ListBullet2"/>
      </w:pPr>
      <w:r>
        <w:t xml:space="preserve">There was little evidence of recruitment in other </w:t>
      </w:r>
      <w:r w:rsidR="56A16C38">
        <w:t>monitoring locations</w:t>
      </w:r>
      <w:r>
        <w:t>. High instream flows may have reduced detectability of larvae, eggs and new recruits.</w:t>
      </w:r>
      <w:r w:rsidR="2918EA25">
        <w:t xml:space="preserve"> </w:t>
      </w:r>
      <w:r w:rsidR="144AA64E">
        <w:t>Future monitoring of juvenile fish and year-class assessments will provide a more accurate reflection of recruitment for the 2023–24 flow year.</w:t>
      </w:r>
    </w:p>
    <w:p w14:paraId="411CBF60" w14:textId="4FD5058E" w:rsidR="00E72A48" w:rsidRDefault="009D4FEE" w:rsidP="009D4FEE">
      <w:pPr>
        <w:pStyle w:val="ListBullet"/>
        <w:rPr>
          <w:color w:val="auto"/>
        </w:rPr>
      </w:pPr>
      <w:r w:rsidRPr="004B520E">
        <w:t>Some exotic species (common carp, goldfish [</w:t>
      </w:r>
      <w:r w:rsidRPr="004B520E">
        <w:rPr>
          <w:i/>
          <w:iCs/>
        </w:rPr>
        <w:t>Carassius auratus</w:t>
      </w:r>
      <w:r w:rsidRPr="004B520E">
        <w:t>]) declined in abundance this year after the initial boom response to widespread flooding in 2022–23 and high flows in Selected Areas.</w:t>
      </w:r>
    </w:p>
    <w:p w14:paraId="7D73CF2E" w14:textId="7338922E" w:rsidR="003F0F0F" w:rsidRPr="004B520E" w:rsidRDefault="00207B19" w:rsidP="00113FC9">
      <w:pPr>
        <w:pStyle w:val="Heading3"/>
      </w:pPr>
      <w:bookmarkStart w:id="374" w:name="_Toc168499816"/>
      <w:bookmarkStart w:id="375" w:name="_Toc168499969"/>
      <w:bookmarkStart w:id="376" w:name="_Toc168500114"/>
      <w:bookmarkStart w:id="377" w:name="_Toc168499817"/>
      <w:bookmarkStart w:id="378" w:name="_Toc168499970"/>
      <w:bookmarkStart w:id="379" w:name="_Toc168500115"/>
      <w:bookmarkStart w:id="380" w:name="_Toc168579854"/>
      <w:bookmarkStart w:id="381" w:name="_Toc172283649"/>
      <w:bookmarkEnd w:id="374"/>
      <w:bookmarkEnd w:id="375"/>
      <w:bookmarkEnd w:id="376"/>
      <w:bookmarkEnd w:id="377"/>
      <w:bookmarkEnd w:id="378"/>
      <w:bookmarkEnd w:id="379"/>
      <w:r w:rsidRPr="004B520E">
        <w:t>W</w:t>
      </w:r>
      <w:r w:rsidR="008212A3" w:rsidRPr="004B520E">
        <w:t>aterbirds</w:t>
      </w:r>
      <w:bookmarkEnd w:id="380"/>
      <w:bookmarkEnd w:id="381"/>
    </w:p>
    <w:p w14:paraId="7158CCBC" w14:textId="4D33AC9B" w:rsidR="00BA332B" w:rsidRPr="004B520E" w:rsidRDefault="00BA332B" w:rsidP="00244943">
      <w:pPr>
        <w:pStyle w:val="ChapterSignposting"/>
      </w:pPr>
      <w:r w:rsidRPr="004B520E">
        <w:t xml:space="preserve">This section presents findings from the Species Diversity evaluation for the </w:t>
      </w:r>
      <w:r w:rsidR="00244943" w:rsidRPr="004B520E">
        <w:t>2023–24</w:t>
      </w:r>
      <w:r w:rsidRPr="004B520E">
        <w:t xml:space="preserve"> water year</w:t>
      </w:r>
      <w:r w:rsidR="00C77C87" w:rsidRPr="004B520E">
        <w:t xml:space="preserve">, </w:t>
      </w:r>
      <w:r w:rsidRPr="004B520E">
        <w:t xml:space="preserve">presented in full in the </w:t>
      </w:r>
      <w:r w:rsidR="00C77C87" w:rsidRPr="004B520E">
        <w:t xml:space="preserve">‘Basin-scale evaluation of </w:t>
      </w:r>
      <w:r w:rsidR="00244943" w:rsidRPr="004B520E">
        <w:t>2023–24</w:t>
      </w:r>
      <w:r w:rsidR="00C77C87" w:rsidRPr="004B520E">
        <w:t xml:space="preserve"> Commonwealth environmental water: Species Diversity’</w:t>
      </w:r>
      <w:r w:rsidR="00C77C87" w:rsidRPr="004B520E" w:rsidDel="00E96AC8">
        <w:t xml:space="preserve"> </w:t>
      </w:r>
      <w:r w:rsidR="00C77C87" w:rsidRPr="004B520E">
        <w:t>r</w:t>
      </w:r>
      <w:r w:rsidR="00C77C87" w:rsidRPr="004B520E">
        <w:rPr>
          <w:iCs/>
          <w:szCs w:val="20"/>
        </w:rPr>
        <w:t xml:space="preserve">eport </w:t>
      </w:r>
      <w:r w:rsidRPr="004B520E">
        <w:t>(</w:t>
      </w:r>
      <w:r w:rsidR="00C77C87" w:rsidRPr="004B520E">
        <w:t xml:space="preserve">accompanying this document and will be </w:t>
      </w:r>
      <w:r w:rsidRPr="004B520E">
        <w:t xml:space="preserve">available from </w:t>
      </w:r>
      <w:r w:rsidR="000301D2">
        <w:t>DCCEEW’s</w:t>
      </w:r>
      <w:r w:rsidR="000301D2" w:rsidRPr="004B520E">
        <w:t xml:space="preserve"> </w:t>
      </w:r>
      <w:hyperlink r:id="rId64" w:history="1">
        <w:r w:rsidR="000301D2" w:rsidRPr="004B520E">
          <w:rPr>
            <w:rStyle w:val="Hyperlink"/>
            <w:rFonts w:cs="Calibri Light"/>
          </w:rPr>
          <w:t>Flow-MER Basin-scale Project publications</w:t>
        </w:r>
      </w:hyperlink>
      <w:r w:rsidR="000301D2" w:rsidRPr="004B520E">
        <w:t xml:space="preserve"> </w:t>
      </w:r>
      <w:r w:rsidR="000301D2">
        <w:t>web</w:t>
      </w:r>
      <w:r w:rsidR="000301D2" w:rsidRPr="004B520E">
        <w:t>page</w:t>
      </w:r>
      <w:r w:rsidR="00C77C87" w:rsidRPr="004B520E">
        <w:t>).</w:t>
      </w:r>
    </w:p>
    <w:p w14:paraId="493D1F86" w14:textId="6FA1F58B" w:rsidR="00DA0269" w:rsidRPr="004B520E" w:rsidRDefault="00DA0269" w:rsidP="0024567F">
      <w:pPr>
        <w:pStyle w:val="Boxedheadingblue"/>
        <w:rPr>
          <w:rStyle w:val="Italics"/>
          <w:rFonts w:ascii="Times New Roman" w:hAnsi="Times New Roman" w:cstheme="minorHAnsi"/>
          <w:i w:val="0"/>
          <w:color w:val="auto"/>
          <w:sz w:val="24"/>
          <w:szCs w:val="22"/>
          <w:lang w:eastAsia="en-US"/>
        </w:rPr>
      </w:pPr>
      <w:bookmarkStart w:id="382" w:name="_Toc172283650"/>
      <w:bookmarkStart w:id="383" w:name="_Toc172290964"/>
      <w:bookmarkStart w:id="384" w:name="_Toc178668863"/>
      <w:r w:rsidRPr="004B520E">
        <w:rPr>
          <w:rStyle w:val="Italics"/>
          <w:i w:val="0"/>
        </w:rPr>
        <w:t xml:space="preserve">What did </w:t>
      </w:r>
      <w:r w:rsidR="00605206" w:rsidRPr="004B520E">
        <w:rPr>
          <w:rFonts w:cs="Calibri"/>
        </w:rPr>
        <w:t>Commonwealth environmental water</w:t>
      </w:r>
      <w:r w:rsidRPr="004B520E">
        <w:rPr>
          <w:rFonts w:eastAsiaTheme="majorEastAsia" w:cs="Calibri"/>
        </w:rPr>
        <w:t xml:space="preserve"> </w:t>
      </w:r>
      <w:r w:rsidRPr="004B520E">
        <w:rPr>
          <w:rStyle w:val="Italics"/>
          <w:i w:val="0"/>
        </w:rPr>
        <w:t xml:space="preserve">contribute to </w:t>
      </w:r>
      <w:r w:rsidR="007C5D4B" w:rsidRPr="004B520E">
        <w:rPr>
          <w:rStyle w:val="Italics"/>
          <w:i w:val="0"/>
        </w:rPr>
        <w:t>species</w:t>
      </w:r>
      <w:r w:rsidRPr="004B520E">
        <w:rPr>
          <w:rStyle w:val="Italics"/>
          <w:i w:val="0"/>
        </w:rPr>
        <w:t xml:space="preserve"> diversity</w:t>
      </w:r>
      <w:r w:rsidR="002A1A3B" w:rsidRPr="004B520E">
        <w:rPr>
          <w:rStyle w:val="Italics"/>
          <w:i w:val="0"/>
        </w:rPr>
        <w:t>?</w:t>
      </w:r>
      <w:bookmarkEnd w:id="382"/>
      <w:bookmarkEnd w:id="383"/>
      <w:bookmarkEnd w:id="384"/>
    </w:p>
    <w:p w14:paraId="76B8EA23" w14:textId="41CB77D3" w:rsidR="0021626C" w:rsidRPr="004B520E" w:rsidRDefault="0021626C" w:rsidP="00E00EA3">
      <w:pPr>
        <w:pStyle w:val="Boxedlistbullet"/>
      </w:pPr>
      <w:r w:rsidRPr="004B520E">
        <w:t>What was the contribution of Commonwealth environmental water to the diversity and abundance of waterbirds?</w:t>
      </w:r>
    </w:p>
    <w:p w14:paraId="2EFB31EF" w14:textId="77777777" w:rsidR="0021626C" w:rsidRPr="004B520E" w:rsidRDefault="0021626C" w:rsidP="006824BA">
      <w:pPr>
        <w:pStyle w:val="Boxedlistbullet"/>
      </w:pPr>
      <w:r w:rsidRPr="004B520E">
        <w:t>What was the contribution of Commonwealth environmental water to threatened species and ecological communities?</w:t>
      </w:r>
    </w:p>
    <w:p w14:paraId="5C1A28D7" w14:textId="51F6C622" w:rsidR="0021626C" w:rsidRPr="004B520E" w:rsidRDefault="0021626C" w:rsidP="006824BA">
      <w:pPr>
        <w:pStyle w:val="Boxedlistbullet"/>
        <w:rPr>
          <w:rStyle w:val="Italics"/>
          <w:i w:val="0"/>
        </w:rPr>
      </w:pPr>
      <w:r w:rsidRPr="004B520E">
        <w:t xml:space="preserve">What was the contribution of Commonwealth environmental water to migratory species listed under international agreements </w:t>
      </w:r>
      <w:r w:rsidR="008216DC" w:rsidRPr="004B520E">
        <w:t>– </w:t>
      </w:r>
      <w:r w:rsidRPr="004B520E">
        <w:t xml:space="preserve">Bonn Convention, </w:t>
      </w:r>
      <w:r w:rsidR="008216DC" w:rsidRPr="004B520E">
        <w:t>China</w:t>
      </w:r>
      <w:r w:rsidR="003E30F7" w:rsidRPr="004B520E">
        <w:t>–</w:t>
      </w:r>
      <w:r w:rsidR="008216DC" w:rsidRPr="004B520E">
        <w:t>Australia Migratory Bird Agreement (</w:t>
      </w:r>
      <w:r w:rsidRPr="004B520E">
        <w:t>CAMBA</w:t>
      </w:r>
      <w:r w:rsidR="008216DC" w:rsidRPr="004B520E">
        <w:t>)</w:t>
      </w:r>
      <w:r w:rsidRPr="004B520E">
        <w:t>, J</w:t>
      </w:r>
      <w:r w:rsidR="003E30F7" w:rsidRPr="004B520E">
        <w:t xml:space="preserve">apan–Australia Migratory Bird Agreement (JAMBA) </w:t>
      </w:r>
      <w:r w:rsidRPr="004B520E">
        <w:t xml:space="preserve">or </w:t>
      </w:r>
      <w:r w:rsidR="003E30F7" w:rsidRPr="004B520E">
        <w:t>Republic of Korea–Australia Migratory Bird Agreement (</w:t>
      </w:r>
      <w:r w:rsidRPr="004B520E">
        <w:t>ROKAMBA)?</w:t>
      </w:r>
    </w:p>
    <w:p w14:paraId="66EFE9B6" w14:textId="201D68AE" w:rsidR="0035012E" w:rsidRPr="004B520E" w:rsidRDefault="007345A0" w:rsidP="00A5767B">
      <w:pPr>
        <w:pStyle w:val="BodyText"/>
        <w:widowControl w:val="0"/>
      </w:pPr>
      <w:r w:rsidRPr="004B520E">
        <w:t xml:space="preserve">There are </w:t>
      </w:r>
      <w:r w:rsidR="00036F3C">
        <w:t>more than</w:t>
      </w:r>
      <w:r w:rsidR="00036F3C" w:rsidRPr="004B520E">
        <w:t xml:space="preserve"> </w:t>
      </w:r>
      <w:r w:rsidRPr="004B520E">
        <w:t>100 waterbird species known to occur in the Basin. This includes 16 species listed under the EPBC Act</w:t>
      </w:r>
      <w:r w:rsidRPr="0FDCD585">
        <w:rPr>
          <w:rStyle w:val="Italics"/>
          <w:i w:val="0"/>
        </w:rPr>
        <w:t xml:space="preserve"> </w:t>
      </w:r>
      <w:r w:rsidRPr="004B520E">
        <w:t xml:space="preserve">and 25 species listed under international migratory waterbird treaties (Bonn </w:t>
      </w:r>
      <w:r w:rsidRPr="004B520E">
        <w:lastRenderedPageBreak/>
        <w:t>Convention, CAMBA, JAMBA or ROKAMBA)</w:t>
      </w:r>
      <w:r w:rsidR="00BC0AA2" w:rsidRPr="004B520E">
        <w:t>.</w:t>
      </w:r>
      <w:bookmarkStart w:id="385" w:name="_Ref138315559"/>
      <w:r w:rsidR="004814E1" w:rsidRPr="004B520E">
        <w:rPr>
          <w:rStyle w:val="FootnoteReference"/>
        </w:rPr>
        <w:footnoteReference w:id="8"/>
      </w:r>
      <w:bookmarkEnd w:id="385"/>
      <w:r w:rsidRPr="004B520E">
        <w:t xml:space="preserve"> There is growing evidence of the importance of environmental water to maintain waterbird populations in Australia</w:t>
      </w:r>
      <w:r w:rsidR="00DF1AB6" w:rsidRPr="004B520E">
        <w:t>.</w:t>
      </w:r>
      <w:r w:rsidR="00E228C0" w:rsidRPr="004B520E">
        <w:rPr>
          <w:vertAlign w:val="superscript"/>
        </w:rPr>
        <w:fldChar w:fldCharType="begin"/>
      </w:r>
      <w:r w:rsidR="00E228C0" w:rsidRPr="004B520E">
        <w:rPr>
          <w:vertAlign w:val="superscript"/>
        </w:rPr>
        <w:instrText xml:space="preserve"> NOTEREF _Ref138315559 \h  \* MERGEFORMAT </w:instrText>
      </w:r>
      <w:r w:rsidR="00E228C0" w:rsidRPr="004B520E">
        <w:rPr>
          <w:vertAlign w:val="superscript"/>
        </w:rPr>
      </w:r>
      <w:r w:rsidR="00E228C0" w:rsidRPr="004B520E">
        <w:rPr>
          <w:vertAlign w:val="superscript"/>
        </w:rPr>
        <w:fldChar w:fldCharType="separate"/>
      </w:r>
      <w:r w:rsidR="00C43C1D">
        <w:rPr>
          <w:vertAlign w:val="superscript"/>
        </w:rPr>
        <w:t>7</w:t>
      </w:r>
      <w:r w:rsidR="00E228C0" w:rsidRPr="004B520E">
        <w:rPr>
          <w:vertAlign w:val="superscript"/>
        </w:rPr>
        <w:fldChar w:fldCharType="end"/>
      </w:r>
      <w:r w:rsidRPr="004B520E">
        <w:t xml:space="preserve"> </w:t>
      </w:r>
      <w:r w:rsidR="00DD330C" w:rsidRPr="004B520E">
        <w:t xml:space="preserve">Evaluation of outcomes for </w:t>
      </w:r>
      <w:r w:rsidR="00DD330C" w:rsidRPr="0FDCD585">
        <w:rPr>
          <w:rStyle w:val="Bold"/>
          <w:b w:val="0"/>
        </w:rPr>
        <w:t>waterbirds (as well as frogs</w:t>
      </w:r>
      <w:r w:rsidR="00DD330C" w:rsidRPr="004B520E">
        <w:rPr>
          <w:b/>
          <w:bCs/>
        </w:rPr>
        <w:t xml:space="preserve">, </w:t>
      </w:r>
      <w:r w:rsidR="00DD330C" w:rsidRPr="0FDCD585">
        <w:rPr>
          <w:rStyle w:val="Bold"/>
          <w:b w:val="0"/>
        </w:rPr>
        <w:t>turtles</w:t>
      </w:r>
      <w:r w:rsidR="00DD330C" w:rsidRPr="004B520E">
        <w:t xml:space="preserve"> and other water-dependent aquatic reptiles, mammals and birds</w:t>
      </w:r>
      <w:r w:rsidR="00BF6C8A" w:rsidRPr="004B520E">
        <w:t>;</w:t>
      </w:r>
      <w:r w:rsidR="004B2258" w:rsidRPr="004B520E">
        <w:t xml:space="preserve"> Section </w:t>
      </w:r>
      <w:r w:rsidR="004B2258" w:rsidRPr="004B520E">
        <w:fldChar w:fldCharType="begin"/>
      </w:r>
      <w:r w:rsidR="004B2258" w:rsidRPr="004B520E">
        <w:instrText xml:space="preserve"> REF _Ref138313045 \n \h </w:instrText>
      </w:r>
      <w:r w:rsidR="00125873" w:rsidRPr="004B520E">
        <w:instrText xml:space="preserve"> \* MERGEFORMAT </w:instrText>
      </w:r>
      <w:r w:rsidR="004B2258" w:rsidRPr="004B520E">
        <w:fldChar w:fldCharType="separate"/>
      </w:r>
      <w:r w:rsidR="00C43C1D">
        <w:t>3.1.4</w:t>
      </w:r>
      <w:r w:rsidR="004B2258" w:rsidRPr="004B520E">
        <w:fldChar w:fldCharType="end"/>
      </w:r>
      <w:r w:rsidR="00DD330C" w:rsidRPr="004B520E">
        <w:t xml:space="preserve">) </w:t>
      </w:r>
      <w:r w:rsidR="00990225" w:rsidRPr="004B520E">
        <w:t>considers</w:t>
      </w:r>
      <w:r w:rsidR="00DD330C" w:rsidRPr="004B520E">
        <w:t xml:space="preserve"> </w:t>
      </w:r>
      <w:r w:rsidR="00990225" w:rsidRPr="004B520E">
        <w:t xml:space="preserve">outcomes for </w:t>
      </w:r>
      <w:r w:rsidR="00DD330C" w:rsidRPr="004B520E">
        <w:t>listed threatened species as defined under the EPBC Act and relevant state legislation</w:t>
      </w:r>
      <w:r w:rsidR="0035012E" w:rsidRPr="004B520E">
        <w:t>.</w:t>
      </w:r>
    </w:p>
    <w:p w14:paraId="582B256B" w14:textId="0A7CA658" w:rsidR="00E72A48" w:rsidRDefault="00AF26A3" w:rsidP="00AF26A3">
      <w:pPr>
        <w:pStyle w:val="BodyText"/>
      </w:pPr>
      <w:r w:rsidRPr="004B520E">
        <w:t xml:space="preserve">In </w:t>
      </w:r>
      <w:r w:rsidR="00244943" w:rsidRPr="004B520E">
        <w:t>2023–24</w:t>
      </w:r>
      <w:r w:rsidR="0081257E" w:rsidRPr="004B520E">
        <w:t>,</w:t>
      </w:r>
      <w:r w:rsidRPr="004B520E">
        <w:t xml:space="preserve"> </w:t>
      </w:r>
      <w:r w:rsidR="0033095A">
        <w:t xml:space="preserve">36 watering actions delivered </w:t>
      </w:r>
      <w:r w:rsidR="0081257E" w:rsidRPr="004B520E">
        <w:t>2,011</w:t>
      </w:r>
      <w:r w:rsidR="00814673" w:rsidRPr="004B520E">
        <w:t xml:space="preserve"> </w:t>
      </w:r>
      <w:r w:rsidRPr="004B520E">
        <w:t xml:space="preserve">GL of </w:t>
      </w:r>
      <w:r w:rsidR="00CB055B" w:rsidRPr="004B520E">
        <w:t>Commonwealth environmental water</w:t>
      </w:r>
      <w:r w:rsidRPr="004B520E">
        <w:t xml:space="preserve"> </w:t>
      </w:r>
      <w:r w:rsidR="0033095A">
        <w:t xml:space="preserve">with </w:t>
      </w:r>
      <w:r w:rsidRPr="004B520E">
        <w:t>objectives related to waterbird</w:t>
      </w:r>
      <w:r w:rsidR="0081257E" w:rsidRPr="004B520E">
        <w:t xml:space="preserve">s. </w:t>
      </w:r>
      <w:r w:rsidR="00592B0F">
        <w:t>The l</w:t>
      </w:r>
      <w:r w:rsidR="0081257E" w:rsidRPr="004B520E">
        <w:t>argest volumes were delivered in the</w:t>
      </w:r>
      <w:r w:rsidRPr="004B520E">
        <w:t xml:space="preserve"> </w:t>
      </w:r>
      <w:r w:rsidR="0081257E" w:rsidRPr="004B520E">
        <w:t>Lower Murray (1,386 GL), Central Murray (308 GL), Lower Darling</w:t>
      </w:r>
      <w:r w:rsidR="00481871">
        <w:t>/Baaka</w:t>
      </w:r>
      <w:r w:rsidR="0081257E" w:rsidRPr="004B520E">
        <w:t xml:space="preserve"> (111 GL), Condamine Balonne (71 GL), Macquarie (60 GL) and Murrumbidgee (53 GL). Smaller volumes of under 10 GL were delivered to 5 other valleys.</w:t>
      </w:r>
    </w:p>
    <w:p w14:paraId="0A47682B" w14:textId="353D694F" w:rsidR="00E72A48" w:rsidRDefault="0081257E" w:rsidP="0081257E">
      <w:pPr>
        <w:pStyle w:val="BodyText"/>
      </w:pPr>
      <w:r w:rsidRPr="004B520E">
        <w:t xml:space="preserve">In 2023–24, there was a return to </w:t>
      </w:r>
      <w:r w:rsidR="00FF2439">
        <w:t>more average</w:t>
      </w:r>
      <w:r w:rsidR="00FF2439" w:rsidRPr="004B520E">
        <w:t xml:space="preserve"> </w:t>
      </w:r>
      <w:r w:rsidRPr="004B520E">
        <w:t>conditions across the Basin. Commonwealth environmental water was delivered to sustain waterbird breeding events (for example, Australian pelicans) in the Condamine</w:t>
      </w:r>
      <w:r w:rsidR="00F517E7">
        <w:t xml:space="preserve"> </w:t>
      </w:r>
      <w:r w:rsidRPr="004B520E">
        <w:t>Balonne (71 GL), Warrego (8</w:t>
      </w:r>
      <w:r w:rsidRPr="004B520E">
        <w:rPr>
          <w:rFonts w:eastAsia="Times New Roman"/>
        </w:rPr>
        <w:t> GL</w:t>
      </w:r>
      <w:r w:rsidRPr="004B520E">
        <w:t>), Lachlan (4 GL) and Wimmera (3 GL). Extensive group-nesting waterbird rookeries were observed in the Lower Murray, Condamine Balonne, Murrumbidgee, Macquarie, Lachlan and Wimmera valleys, in conjunction with the delivery of Commonwealth environmental water.</w:t>
      </w:r>
    </w:p>
    <w:p w14:paraId="7073FB7B" w14:textId="077C0463" w:rsidR="00E72A48" w:rsidRDefault="0081257E" w:rsidP="00AF26A3">
      <w:pPr>
        <w:pStyle w:val="BodyText"/>
      </w:pPr>
      <w:r w:rsidRPr="004B520E">
        <w:t>During 2023–24, 68,718 individuals were reported in Flow-MER and NSW DCCEEW data (noting these data reflect survey effort), representing 8 waterbird functional groups and 2 water-associated groups (reed-inhabiting passerines and raptors) and 68 species. Grey teal (</w:t>
      </w:r>
      <w:r w:rsidRPr="002434D3">
        <w:rPr>
          <w:rStyle w:val="Italics"/>
        </w:rPr>
        <w:t>Anas gracilis</w:t>
      </w:r>
      <w:r w:rsidRPr="004B520E">
        <w:t>) was the most</w:t>
      </w:r>
      <w:r w:rsidR="00F563B9">
        <w:t>-</w:t>
      </w:r>
      <w:r w:rsidRPr="004B520E">
        <w:t>recorded species, followed by Australian pelican (</w:t>
      </w:r>
      <w:r w:rsidRPr="002434D3">
        <w:rPr>
          <w:rStyle w:val="Italics"/>
        </w:rPr>
        <w:t>Pelecanus conspicillatus</w:t>
      </w:r>
      <w:r w:rsidRPr="004B520E">
        <w:t>)</w:t>
      </w:r>
      <w:r w:rsidR="00401A9A">
        <w:t>,</w:t>
      </w:r>
      <w:r w:rsidRPr="004B520E">
        <w:t xml:space="preserve"> Eurasian coot (</w:t>
      </w:r>
      <w:r w:rsidRPr="004B520E">
        <w:rPr>
          <w:i/>
          <w:iCs/>
        </w:rPr>
        <w:t>Fulica atra</w:t>
      </w:r>
      <w:r w:rsidRPr="004B520E">
        <w:t>)</w:t>
      </w:r>
      <w:r w:rsidR="00401A9A">
        <w:t>,</w:t>
      </w:r>
      <w:r w:rsidRPr="004B520E">
        <w:t xml:space="preserve"> Pacific black duck (</w:t>
      </w:r>
      <w:r w:rsidRPr="002434D3">
        <w:rPr>
          <w:rStyle w:val="Italics"/>
        </w:rPr>
        <w:t>Anas superciliosa</w:t>
      </w:r>
      <w:r w:rsidRPr="004B520E">
        <w:t>) and Australian wood duck (</w:t>
      </w:r>
      <w:r w:rsidRPr="002434D3">
        <w:rPr>
          <w:rStyle w:val="Italics"/>
        </w:rPr>
        <w:t>Chenonetta jubata</w:t>
      </w:r>
      <w:r w:rsidRPr="004B520E">
        <w:t>).</w:t>
      </w:r>
    </w:p>
    <w:p w14:paraId="1FD16A5A" w14:textId="02A7F322" w:rsidR="00652800" w:rsidRDefault="00652800" w:rsidP="00652800">
      <w:pPr>
        <w:pStyle w:val="Heading4"/>
      </w:pPr>
      <w:r>
        <w:t>Observations for waterbirds</w:t>
      </w:r>
      <w:r w:rsidRPr="004B520E">
        <w:t xml:space="preserve"> </w:t>
      </w:r>
      <w:r>
        <w:t xml:space="preserve">in </w:t>
      </w:r>
      <w:r w:rsidRPr="004B520E">
        <w:t>20</w:t>
      </w:r>
      <w:r>
        <w:t>23–24</w:t>
      </w:r>
    </w:p>
    <w:p w14:paraId="0579D22A" w14:textId="57CD5C88" w:rsidR="00B45DA9" w:rsidRPr="004B520E" w:rsidRDefault="006D5EEB" w:rsidP="00AE7C71">
      <w:pPr>
        <w:pStyle w:val="ListBullet"/>
      </w:pPr>
      <w:r w:rsidRPr="004B520E">
        <w:rPr>
          <w:b/>
          <w:color w:val="000000" w:themeColor="text2"/>
        </w:rPr>
        <w:t xml:space="preserve">Commonwealth </w:t>
      </w:r>
      <w:r w:rsidRPr="004B520E">
        <w:rPr>
          <w:b/>
        </w:rPr>
        <w:t>environment</w:t>
      </w:r>
      <w:r w:rsidR="006B7222" w:rsidRPr="004B520E">
        <w:rPr>
          <w:b/>
        </w:rPr>
        <w:t xml:space="preserve">al water </w:t>
      </w:r>
      <w:r w:rsidRPr="004B520E">
        <w:rPr>
          <w:b/>
          <w:color w:val="000000" w:themeColor="text2"/>
        </w:rPr>
        <w:t>support</w:t>
      </w:r>
      <w:r w:rsidR="000D520D" w:rsidRPr="004B520E">
        <w:rPr>
          <w:b/>
          <w:color w:val="000000" w:themeColor="text2"/>
        </w:rPr>
        <w:t xml:space="preserve"> for</w:t>
      </w:r>
      <w:r w:rsidR="00D92B2F" w:rsidRPr="004B520E">
        <w:rPr>
          <w:b/>
          <w:color w:val="000000" w:themeColor="text2"/>
        </w:rPr>
        <w:t xml:space="preserve"> </w:t>
      </w:r>
      <w:r w:rsidRPr="004B520E">
        <w:rPr>
          <w:b/>
          <w:color w:val="000000" w:themeColor="text2"/>
        </w:rPr>
        <w:t>waterbirds</w:t>
      </w:r>
    </w:p>
    <w:p w14:paraId="6BF8C889" w14:textId="3BC10DA0" w:rsidR="00837236" w:rsidRPr="004B520E" w:rsidRDefault="0081257E" w:rsidP="00440CE5">
      <w:pPr>
        <w:pStyle w:val="ListBullet2"/>
      </w:pPr>
      <w:r w:rsidRPr="004B520E">
        <w:t>2,011</w:t>
      </w:r>
      <w:r w:rsidR="00440CE5" w:rsidRPr="004B520E">
        <w:t xml:space="preserve"> GL of Commonwealth environmental water</w:t>
      </w:r>
      <w:r w:rsidR="00440CE5" w:rsidRPr="004B520E" w:rsidDel="005B05D5">
        <w:t xml:space="preserve"> </w:t>
      </w:r>
      <w:r w:rsidR="00440CE5" w:rsidRPr="004B520E">
        <w:t>w</w:t>
      </w:r>
      <w:r w:rsidR="00D74BAF" w:rsidRPr="004B520E">
        <w:t>ere</w:t>
      </w:r>
      <w:r w:rsidR="00440CE5" w:rsidRPr="004B520E">
        <w:t xml:space="preserve"> delivered to support waterbirds through 3</w:t>
      </w:r>
      <w:r w:rsidRPr="004B520E">
        <w:t>6</w:t>
      </w:r>
      <w:r w:rsidR="009725C5">
        <w:t> </w:t>
      </w:r>
      <w:r w:rsidRPr="004B520E">
        <w:t>independent</w:t>
      </w:r>
      <w:r w:rsidR="00440CE5" w:rsidRPr="004B520E">
        <w:t xml:space="preserve"> watering actions</w:t>
      </w:r>
      <w:r w:rsidR="00837236" w:rsidRPr="004B520E">
        <w:t>.</w:t>
      </w:r>
    </w:p>
    <w:p w14:paraId="376DAE94" w14:textId="5A4E33D4" w:rsidR="00C15618" w:rsidRPr="004B520E" w:rsidRDefault="0081257E" w:rsidP="00C15618">
      <w:pPr>
        <w:pStyle w:val="ListBullet2"/>
      </w:pPr>
      <w:r w:rsidRPr="004B520E">
        <w:t>68</w:t>
      </w:r>
      <w:r w:rsidR="00BE29D2" w:rsidRPr="004B520E">
        <w:t xml:space="preserve"> waterbird species were reported from 8 functional groups and 2 water-associated groups (reed-inhabiting passerines and raptors) </w:t>
      </w:r>
      <w:r w:rsidR="007C5F68" w:rsidRPr="004B520E">
        <w:t xml:space="preserve">from monitoring </w:t>
      </w:r>
      <w:r w:rsidR="00FA378B" w:rsidRPr="004B520E">
        <w:t>locations</w:t>
      </w:r>
      <w:r w:rsidR="0035012E" w:rsidRPr="004B520E">
        <w:t>.</w:t>
      </w:r>
    </w:p>
    <w:p w14:paraId="391A5623" w14:textId="6182704C" w:rsidR="0035012E" w:rsidRPr="004B520E" w:rsidRDefault="008A327C" w:rsidP="0085494B">
      <w:pPr>
        <w:pStyle w:val="ListBullet"/>
        <w:rPr>
          <w:b/>
          <w:bCs/>
        </w:rPr>
      </w:pPr>
      <w:r w:rsidRPr="004B520E">
        <w:rPr>
          <w:b/>
          <w:bCs/>
        </w:rPr>
        <w:t xml:space="preserve">Commonwealth </w:t>
      </w:r>
      <w:r w:rsidR="005B05D5" w:rsidRPr="004B520E">
        <w:rPr>
          <w:b/>
          <w:bCs/>
        </w:rPr>
        <w:t>environment</w:t>
      </w:r>
      <w:r w:rsidR="003704DA" w:rsidRPr="004B520E">
        <w:rPr>
          <w:b/>
          <w:bCs/>
        </w:rPr>
        <w:t>al water</w:t>
      </w:r>
      <w:r w:rsidR="005B05D5" w:rsidRPr="004B520E" w:rsidDel="005B05D5">
        <w:rPr>
          <w:b/>
          <w:bCs/>
        </w:rPr>
        <w:t xml:space="preserve"> </w:t>
      </w:r>
      <w:r w:rsidRPr="004B520E">
        <w:rPr>
          <w:b/>
          <w:bCs/>
        </w:rPr>
        <w:t>support</w:t>
      </w:r>
      <w:r w:rsidR="000D520D" w:rsidRPr="004B520E">
        <w:rPr>
          <w:b/>
          <w:bCs/>
        </w:rPr>
        <w:t xml:space="preserve"> for</w:t>
      </w:r>
      <w:r w:rsidRPr="004B520E">
        <w:rPr>
          <w:b/>
          <w:bCs/>
        </w:rPr>
        <w:t xml:space="preserve"> threatened </w:t>
      </w:r>
      <w:r w:rsidR="003649B4" w:rsidRPr="004B520E">
        <w:rPr>
          <w:b/>
          <w:bCs/>
        </w:rPr>
        <w:t xml:space="preserve">or listed </w:t>
      </w:r>
      <w:r w:rsidRPr="004B520E">
        <w:rPr>
          <w:b/>
          <w:bCs/>
        </w:rPr>
        <w:t>waterbirds</w:t>
      </w:r>
    </w:p>
    <w:p w14:paraId="426755A8" w14:textId="30745D7D" w:rsidR="0035012E" w:rsidRPr="004B520E" w:rsidRDefault="22985309" w:rsidP="00B0282A">
      <w:pPr>
        <w:pStyle w:val="ListBullet2"/>
      </w:pPr>
      <w:r w:rsidRPr="004B520E">
        <w:t>18</w:t>
      </w:r>
      <w:r w:rsidR="00FE1C42" w:rsidRPr="004B520E">
        <w:t xml:space="preserve"> conservation-significant species were identified from the combined Flow-MER and NSW DCCEEW monitoring in </w:t>
      </w:r>
      <w:r w:rsidR="00244943" w:rsidRPr="004B520E">
        <w:t>2023–24</w:t>
      </w:r>
      <w:r w:rsidR="00C15618" w:rsidRPr="004B520E">
        <w:t xml:space="preserve"> that coincided with Commonwealth environmental water</w:t>
      </w:r>
      <w:r w:rsidR="00FE1C42" w:rsidRPr="004B520E">
        <w:t>, including 3</w:t>
      </w:r>
      <w:r w:rsidR="00F563B9">
        <w:t> </w:t>
      </w:r>
      <w:r w:rsidR="00FE1C42" w:rsidRPr="004B520E">
        <w:t>species listed under the EPBC Act</w:t>
      </w:r>
      <w:r w:rsidR="00833457" w:rsidRPr="004B520E">
        <w:t xml:space="preserve"> </w:t>
      </w:r>
      <w:r w:rsidR="00FE1C42" w:rsidRPr="004B520E">
        <w:t>– Australasian bittern, sharp-tailed sandpiper and Latham’s snipe</w:t>
      </w:r>
      <w:r w:rsidR="0035012E" w:rsidRPr="004B520E">
        <w:t>.</w:t>
      </w:r>
    </w:p>
    <w:p w14:paraId="5677E2D1" w14:textId="358E7686" w:rsidR="00132D6D" w:rsidRDefault="00FE1C42" w:rsidP="00132D6D">
      <w:pPr>
        <w:pStyle w:val="ListBullet2"/>
        <w:rPr>
          <w:i/>
          <w:iCs/>
        </w:rPr>
      </w:pPr>
      <w:r w:rsidRPr="004B520E">
        <w:t xml:space="preserve">Other species of significance included the threatened black-necked stork, blue-billed duck, freckled duck </w:t>
      </w:r>
      <w:r w:rsidR="005A0699">
        <w:t xml:space="preserve">and </w:t>
      </w:r>
      <w:r w:rsidR="005A0699" w:rsidRPr="00804B87">
        <w:t>marsh sa</w:t>
      </w:r>
      <w:r w:rsidR="005A0699" w:rsidRPr="00D324EB">
        <w:t>n</w:t>
      </w:r>
      <w:r w:rsidR="005A0699" w:rsidRPr="00804B87">
        <w:t>dpiper</w:t>
      </w:r>
      <w:r w:rsidR="005A0699">
        <w:rPr>
          <w:i/>
          <w:iCs/>
        </w:rPr>
        <w:t>.</w:t>
      </w:r>
    </w:p>
    <w:p w14:paraId="1014DADF" w14:textId="4402E931" w:rsidR="00C070B3" w:rsidRDefault="00C070B3" w:rsidP="00C070B3">
      <w:pPr>
        <w:pStyle w:val="Heading4"/>
      </w:pPr>
      <w:r>
        <w:t>Outcomes for waterbirds</w:t>
      </w:r>
      <w:r w:rsidRPr="004B520E">
        <w:t xml:space="preserve"> </w:t>
      </w:r>
      <w:r>
        <w:t xml:space="preserve">in </w:t>
      </w:r>
      <w:r w:rsidRPr="004B520E">
        <w:t>20</w:t>
      </w:r>
      <w:r>
        <w:t>23–24</w:t>
      </w:r>
    </w:p>
    <w:p w14:paraId="794303F9" w14:textId="77777777" w:rsidR="00C070B3" w:rsidRDefault="00C070B3" w:rsidP="00C070B3">
      <w:pPr>
        <w:pStyle w:val="ListBullet2"/>
      </w:pPr>
      <w:r w:rsidRPr="004B520E">
        <w:t>Modelling demonstrates that Commonwealth environmental water</w:t>
      </w:r>
      <w:r w:rsidRPr="004B520E" w:rsidDel="005B05D5">
        <w:t xml:space="preserve"> </w:t>
      </w:r>
      <w:r w:rsidRPr="004B520E">
        <w:t>contributed to the habitat preferences for Australian painted snipe</w:t>
      </w:r>
      <w:r>
        <w:t xml:space="preserve"> (</w:t>
      </w:r>
      <w:r>
        <w:rPr>
          <w:i/>
          <w:iCs/>
        </w:rPr>
        <w:t>Rostratula australis</w:t>
      </w:r>
      <w:r>
        <w:t>)</w:t>
      </w:r>
      <w:r w:rsidRPr="004B520E">
        <w:t>, common greenshank</w:t>
      </w:r>
      <w:r>
        <w:t xml:space="preserve"> (</w:t>
      </w:r>
      <w:r>
        <w:rPr>
          <w:i/>
          <w:iCs/>
        </w:rPr>
        <w:t>Tringa nebularia</w:t>
      </w:r>
      <w:r>
        <w:t>)</w:t>
      </w:r>
      <w:r w:rsidRPr="004B520E">
        <w:t>, sharp-tailed sandpiper and Latham’s snipe in 2023–24.</w:t>
      </w:r>
    </w:p>
    <w:p w14:paraId="7DC5AF2E" w14:textId="7DAD7963" w:rsidR="00430FF2" w:rsidRPr="004B520E" w:rsidRDefault="00207B19" w:rsidP="000628C8">
      <w:pPr>
        <w:pStyle w:val="Heading3"/>
        <w:pageBreakBefore/>
      </w:pPr>
      <w:bookmarkStart w:id="386" w:name="_Ref138313045"/>
      <w:bookmarkStart w:id="387" w:name="_Toc168579856"/>
      <w:bookmarkStart w:id="388" w:name="_Toc172283651"/>
      <w:r w:rsidRPr="004B520E">
        <w:lastRenderedPageBreak/>
        <w:t>Other fauna</w:t>
      </w:r>
      <w:r w:rsidR="00B879CB" w:rsidRPr="004B520E">
        <w:t xml:space="preserve"> – t</w:t>
      </w:r>
      <w:r w:rsidR="00430FF2" w:rsidRPr="004B520E">
        <w:t>urtles, snakes and f</w:t>
      </w:r>
      <w:r w:rsidR="00430FF2" w:rsidRPr="004B520E">
        <w:rPr>
          <w:rStyle w:val="Italics"/>
          <w:i w:val="0"/>
        </w:rPr>
        <w:t>rogs</w:t>
      </w:r>
      <w:bookmarkEnd w:id="386"/>
      <w:bookmarkEnd w:id="387"/>
      <w:bookmarkEnd w:id="388"/>
    </w:p>
    <w:p w14:paraId="376672EA" w14:textId="28AA1098" w:rsidR="00AC73AC" w:rsidRPr="004B520E" w:rsidRDefault="00AC73AC" w:rsidP="00244943">
      <w:pPr>
        <w:pStyle w:val="ChapterSignposting"/>
      </w:pPr>
      <w:r w:rsidRPr="004B520E">
        <w:t xml:space="preserve">This section presents findings from the Species Diversity evaluation for the </w:t>
      </w:r>
      <w:r w:rsidR="00244943" w:rsidRPr="004B520E">
        <w:t>2023–24</w:t>
      </w:r>
      <w:r w:rsidRPr="004B520E">
        <w:t xml:space="preserve"> water year</w:t>
      </w:r>
      <w:r w:rsidR="00DC6173" w:rsidRPr="004B520E">
        <w:t xml:space="preserve">, </w:t>
      </w:r>
      <w:r w:rsidRPr="004B520E">
        <w:t xml:space="preserve">presented in full in the </w:t>
      </w:r>
      <w:r w:rsidR="00DC6173" w:rsidRPr="004B520E">
        <w:t xml:space="preserve">‘Basin-scale evaluation of </w:t>
      </w:r>
      <w:r w:rsidR="00244943" w:rsidRPr="004B520E">
        <w:t>2023–24</w:t>
      </w:r>
      <w:r w:rsidR="00DC6173" w:rsidRPr="004B520E">
        <w:t xml:space="preserve"> Commonwealth environmental water: Species Diversity’</w:t>
      </w:r>
      <w:r w:rsidR="00DC6173" w:rsidRPr="004B520E" w:rsidDel="00E96AC8">
        <w:t xml:space="preserve"> </w:t>
      </w:r>
      <w:r w:rsidR="00DC6173" w:rsidRPr="004B520E">
        <w:t>r</w:t>
      </w:r>
      <w:r w:rsidR="00DC6173" w:rsidRPr="004B520E">
        <w:rPr>
          <w:iCs/>
          <w:szCs w:val="20"/>
        </w:rPr>
        <w:t xml:space="preserve">eport </w:t>
      </w:r>
      <w:r w:rsidRPr="004B520E">
        <w:t>(</w:t>
      </w:r>
      <w:r w:rsidR="00DC6173" w:rsidRPr="004B520E">
        <w:t xml:space="preserve">accompanying this document and will be </w:t>
      </w:r>
      <w:r w:rsidRPr="004B520E">
        <w:t xml:space="preserve">available </w:t>
      </w:r>
      <w:r w:rsidR="00D25542">
        <w:t xml:space="preserve">from </w:t>
      </w:r>
      <w:r w:rsidR="00D802B9">
        <w:t>DCCEEW’s</w:t>
      </w:r>
      <w:r w:rsidR="00D802B9" w:rsidRPr="004B520E">
        <w:t xml:space="preserve"> </w:t>
      </w:r>
      <w:hyperlink r:id="rId65" w:history="1">
        <w:r w:rsidR="00D802B9" w:rsidRPr="004B520E">
          <w:rPr>
            <w:rStyle w:val="Hyperlink"/>
            <w:rFonts w:cs="Calibri Light"/>
          </w:rPr>
          <w:t>Flow-MER Basin-scale Project publications</w:t>
        </w:r>
      </w:hyperlink>
      <w:r w:rsidR="00D802B9" w:rsidRPr="004B520E">
        <w:t xml:space="preserve"> </w:t>
      </w:r>
      <w:r w:rsidR="00D802B9">
        <w:t>web</w:t>
      </w:r>
      <w:r w:rsidR="00D802B9" w:rsidRPr="004B520E">
        <w:t>page</w:t>
      </w:r>
      <w:r w:rsidR="00DC6173" w:rsidRPr="004B520E">
        <w:t>).</w:t>
      </w:r>
    </w:p>
    <w:p w14:paraId="2F4914A2" w14:textId="5DE2CD88" w:rsidR="00FA3F01" w:rsidRPr="004B520E" w:rsidRDefault="00FA3F01" w:rsidP="0024567F">
      <w:pPr>
        <w:pStyle w:val="Boxedheadingblue"/>
        <w:rPr>
          <w:rStyle w:val="Italics"/>
          <w:rFonts w:ascii="Times New Roman" w:hAnsi="Times New Roman" w:cstheme="minorHAnsi"/>
          <w:i w:val="0"/>
          <w:color w:val="auto"/>
          <w:sz w:val="24"/>
          <w:szCs w:val="22"/>
          <w:lang w:eastAsia="en-US"/>
        </w:rPr>
      </w:pPr>
      <w:bookmarkStart w:id="389" w:name="_Toc172283652"/>
      <w:bookmarkStart w:id="390" w:name="_Toc172290965"/>
      <w:bookmarkStart w:id="391" w:name="_Toc178668864"/>
      <w:r w:rsidRPr="004B520E">
        <w:rPr>
          <w:rStyle w:val="Italics"/>
          <w:i w:val="0"/>
        </w:rPr>
        <w:t xml:space="preserve">What did </w:t>
      </w:r>
      <w:r w:rsidRPr="004B520E">
        <w:rPr>
          <w:rFonts w:cs="Calibri"/>
        </w:rPr>
        <w:t>Commonwealth environment</w:t>
      </w:r>
      <w:r w:rsidR="00630BF5" w:rsidRPr="004B520E">
        <w:rPr>
          <w:rFonts w:cs="Calibri"/>
        </w:rPr>
        <w:t>al water</w:t>
      </w:r>
      <w:r w:rsidRPr="004B520E">
        <w:rPr>
          <w:rFonts w:eastAsiaTheme="majorEastAsia" w:cs="Calibri"/>
        </w:rPr>
        <w:t xml:space="preserve"> </w:t>
      </w:r>
      <w:r w:rsidRPr="004B520E">
        <w:rPr>
          <w:rStyle w:val="Italics"/>
          <w:i w:val="0"/>
        </w:rPr>
        <w:t>contribute to species diversity</w:t>
      </w:r>
      <w:r w:rsidR="00BF39C0" w:rsidRPr="004B520E">
        <w:rPr>
          <w:rStyle w:val="Italics"/>
          <w:i w:val="0"/>
        </w:rPr>
        <w:t>?</w:t>
      </w:r>
      <w:bookmarkEnd w:id="389"/>
      <w:bookmarkEnd w:id="390"/>
      <w:bookmarkEnd w:id="391"/>
    </w:p>
    <w:p w14:paraId="21A9485F" w14:textId="39BC6425" w:rsidR="00FA3F01" w:rsidRPr="004B520E" w:rsidRDefault="00FA3F01" w:rsidP="00E00EA3">
      <w:pPr>
        <w:pStyle w:val="Boxedlistbullet"/>
      </w:pPr>
      <w:r w:rsidRPr="004B520E">
        <w:t>What was the contribution of Commonwealth environmental water to the diversity and abundance of frogs, turtles and other water-dependent vertebrates?</w:t>
      </w:r>
    </w:p>
    <w:p w14:paraId="1B3592C7" w14:textId="2EF44745" w:rsidR="00FA3F01" w:rsidRPr="004B520E" w:rsidRDefault="00FA3F01" w:rsidP="00D931BB">
      <w:pPr>
        <w:pStyle w:val="Boxedlistbullet"/>
      </w:pPr>
      <w:r w:rsidRPr="004B520E">
        <w:t>What was the contribution of Commonwealth environmental water to threatened species and ecological communities?</w:t>
      </w:r>
    </w:p>
    <w:p w14:paraId="4E5B95A9" w14:textId="4AD10E6C" w:rsidR="00E72A48" w:rsidRDefault="0081257E" w:rsidP="0081257E">
      <w:pPr>
        <w:pStyle w:val="BodyText"/>
      </w:pPr>
      <w:r w:rsidRPr="004B520E">
        <w:t>In 2023–24</w:t>
      </w:r>
      <w:r w:rsidR="007078C9">
        <w:t>,</w:t>
      </w:r>
      <w:r w:rsidRPr="004B520E">
        <w:t xml:space="preserve"> there were 25 individual watering actions</w:t>
      </w:r>
      <w:r w:rsidR="00D77C78">
        <w:t xml:space="preserve"> </w:t>
      </w:r>
      <w:r w:rsidR="00E81846">
        <w:t>–</w:t>
      </w:r>
      <w:r w:rsidR="00742B11">
        <w:t xml:space="preserve"> </w:t>
      </w:r>
      <w:r w:rsidR="00742B11" w:rsidRPr="004B520E">
        <w:t>a combined volume of about 95 GL of Commonwealth environmental water</w:t>
      </w:r>
      <w:r w:rsidR="00E53E21">
        <w:t xml:space="preserve"> –</w:t>
      </w:r>
      <w:r w:rsidRPr="004B520E">
        <w:t xml:space="preserve"> </w:t>
      </w:r>
      <w:r w:rsidR="00F70073" w:rsidRPr="00FF6E08">
        <w:t xml:space="preserve">with at least one </w:t>
      </w:r>
      <w:r w:rsidR="00894E9D">
        <w:t xml:space="preserve">watering </w:t>
      </w:r>
      <w:r w:rsidR="00F70073" w:rsidRPr="00FF6E08">
        <w:t>objective related</w:t>
      </w:r>
      <w:r w:rsidRPr="004B520E">
        <w:t xml:space="preserve"> to</w:t>
      </w:r>
      <w:r w:rsidR="00A422FA">
        <w:t xml:space="preserve"> outcomes for</w:t>
      </w:r>
      <w:r w:rsidRPr="004B520E">
        <w:t xml:space="preserve"> frog</w:t>
      </w:r>
      <w:r w:rsidR="00A422FA">
        <w:t>s</w:t>
      </w:r>
      <w:r w:rsidRPr="004B520E">
        <w:t>. 11 species were detected</w:t>
      </w:r>
      <w:r w:rsidR="002B530D">
        <w:t xml:space="preserve"> – </w:t>
      </w:r>
      <w:r w:rsidRPr="004B520E">
        <w:t>the most abundant and widespread being the spotted marsh frog</w:t>
      </w:r>
      <w:r w:rsidR="00363B77">
        <w:t xml:space="preserve"> (</w:t>
      </w:r>
      <w:r w:rsidR="00363B77">
        <w:rPr>
          <w:i/>
          <w:iCs/>
        </w:rPr>
        <w:t>Limnodynastes tasmaniensis</w:t>
      </w:r>
      <w:r w:rsidR="00363B77">
        <w:t>)</w:t>
      </w:r>
      <w:r w:rsidRPr="004B520E">
        <w:t xml:space="preserve">, barking marsh frog </w:t>
      </w:r>
      <w:r w:rsidR="006219BF">
        <w:t>(</w:t>
      </w:r>
      <w:r w:rsidR="006219BF">
        <w:rPr>
          <w:i/>
          <w:iCs/>
        </w:rPr>
        <w:t>Limnodynastes fletcheri</w:t>
      </w:r>
      <w:r w:rsidR="006219BF">
        <w:t xml:space="preserve">) </w:t>
      </w:r>
      <w:r w:rsidRPr="004B520E">
        <w:t xml:space="preserve">and Peron’s tree frog </w:t>
      </w:r>
      <w:r w:rsidR="00017800">
        <w:t>(</w:t>
      </w:r>
      <w:r w:rsidR="00017800">
        <w:rPr>
          <w:i/>
          <w:iCs/>
        </w:rPr>
        <w:t>Litoria peronii</w:t>
      </w:r>
      <w:r w:rsidR="00017800">
        <w:t>)</w:t>
      </w:r>
      <w:r w:rsidR="00160CA0">
        <w:t>,</w:t>
      </w:r>
      <w:r w:rsidR="00017800">
        <w:t xml:space="preserve"> </w:t>
      </w:r>
      <w:r w:rsidRPr="004B520E">
        <w:t>which were detected in both the Junction of the Warrego and Darling rivers in the northern Basin and the Murrumbidgee in the southern Basin. As in previous years</w:t>
      </w:r>
      <w:r w:rsidR="00160CA0">
        <w:t>,</w:t>
      </w:r>
      <w:r w:rsidRPr="004B520E">
        <w:t xml:space="preserve"> the diversity of frog species is higher in the northern Basin due to the presence of rain</w:t>
      </w:r>
      <w:r w:rsidR="00160CA0">
        <w:t>-</w:t>
      </w:r>
      <w:r w:rsidRPr="004B520E">
        <w:t>responding species.</w:t>
      </w:r>
    </w:p>
    <w:p w14:paraId="45C5EBBE" w14:textId="1A82C2EC" w:rsidR="00C070B3" w:rsidRDefault="00C070B3" w:rsidP="00C070B3">
      <w:pPr>
        <w:pStyle w:val="Heading4"/>
      </w:pPr>
      <w:r>
        <w:t>Observations for frogs and other biota</w:t>
      </w:r>
      <w:r w:rsidRPr="004B520E">
        <w:t xml:space="preserve"> </w:t>
      </w:r>
      <w:r>
        <w:t xml:space="preserve">in </w:t>
      </w:r>
      <w:r w:rsidRPr="004B520E">
        <w:t>20</w:t>
      </w:r>
      <w:r>
        <w:t>23–24</w:t>
      </w:r>
    </w:p>
    <w:p w14:paraId="114DD8D0" w14:textId="175ED7D1" w:rsidR="0035012E" w:rsidRPr="004B520E" w:rsidRDefault="00B9246F" w:rsidP="00D931BB">
      <w:pPr>
        <w:pStyle w:val="ListBullet"/>
        <w:keepNext/>
        <w:rPr>
          <w:b/>
          <w:bCs/>
        </w:rPr>
      </w:pPr>
      <w:r w:rsidRPr="004B520E">
        <w:rPr>
          <w:b/>
          <w:bCs/>
        </w:rPr>
        <w:t>Commonwealth</w:t>
      </w:r>
      <w:r w:rsidR="00DE594C" w:rsidRPr="004B520E">
        <w:rPr>
          <w:b/>
          <w:bCs/>
        </w:rPr>
        <w:t xml:space="preserve"> </w:t>
      </w:r>
      <w:r w:rsidRPr="004B520E">
        <w:rPr>
          <w:b/>
          <w:bCs/>
        </w:rPr>
        <w:t>environment</w:t>
      </w:r>
      <w:r w:rsidR="00630BF5" w:rsidRPr="004B520E">
        <w:rPr>
          <w:b/>
          <w:bCs/>
        </w:rPr>
        <w:t>al water</w:t>
      </w:r>
      <w:r w:rsidRPr="004B520E">
        <w:rPr>
          <w:b/>
          <w:bCs/>
        </w:rPr>
        <w:t xml:space="preserve"> support</w:t>
      </w:r>
      <w:r w:rsidR="000D520D" w:rsidRPr="004B520E">
        <w:rPr>
          <w:b/>
          <w:bCs/>
        </w:rPr>
        <w:t xml:space="preserve"> for</w:t>
      </w:r>
      <w:r w:rsidRPr="004B520E">
        <w:rPr>
          <w:b/>
          <w:bCs/>
        </w:rPr>
        <w:t xml:space="preserve"> </w:t>
      </w:r>
      <w:r w:rsidR="00E709E8" w:rsidRPr="004B520E">
        <w:rPr>
          <w:b/>
          <w:bCs/>
        </w:rPr>
        <w:t>frogs and other biota</w:t>
      </w:r>
      <w:bookmarkStart w:id="392" w:name="_Hlk132125710"/>
    </w:p>
    <w:p w14:paraId="44A80D68" w14:textId="3AB05445" w:rsidR="00B25261" w:rsidRPr="004B520E" w:rsidRDefault="0081257E" w:rsidP="00C000E0">
      <w:pPr>
        <w:pStyle w:val="ListBullet2"/>
      </w:pPr>
      <w:r w:rsidRPr="004B520E">
        <w:t>25</w:t>
      </w:r>
      <w:r w:rsidR="00B25261" w:rsidRPr="004B520E">
        <w:t xml:space="preserve"> watering actions</w:t>
      </w:r>
      <w:r w:rsidR="00DA0D9C" w:rsidRPr="004B520E">
        <w:t xml:space="preserve"> deliver</w:t>
      </w:r>
      <w:r w:rsidR="00EC7E66" w:rsidRPr="004B520E">
        <w:t>ed</w:t>
      </w:r>
      <w:r w:rsidR="00DA0D9C" w:rsidRPr="004B520E">
        <w:t xml:space="preserve"> </w:t>
      </w:r>
      <w:r w:rsidR="00A93EBB">
        <w:t>95</w:t>
      </w:r>
      <w:r w:rsidR="00A93EBB" w:rsidRPr="004B520E">
        <w:t xml:space="preserve"> </w:t>
      </w:r>
      <w:r w:rsidR="003847F6" w:rsidRPr="004B520E">
        <w:t>G</w:t>
      </w:r>
      <w:r w:rsidR="00816C90" w:rsidRPr="004B520E">
        <w:t xml:space="preserve">L of </w:t>
      </w:r>
      <w:r w:rsidR="00CB055B" w:rsidRPr="004B520E">
        <w:t>Commonwealth environmental water</w:t>
      </w:r>
      <w:r w:rsidR="00B25261" w:rsidRPr="004B520E">
        <w:t xml:space="preserve"> with objective</w:t>
      </w:r>
      <w:r w:rsidR="00DA0D9C" w:rsidRPr="004B520E">
        <w:t>s</w:t>
      </w:r>
      <w:r w:rsidR="00B25261" w:rsidRPr="004B520E">
        <w:t xml:space="preserve"> related to frog</w:t>
      </w:r>
      <w:r w:rsidR="00816C90" w:rsidRPr="004B520E">
        <w:t>s</w:t>
      </w:r>
      <w:r w:rsidR="00EF75F0" w:rsidRPr="004B520E">
        <w:t>,</w:t>
      </w:r>
      <w:r w:rsidR="00C000E0" w:rsidRPr="004B520E">
        <w:t xml:space="preserve"> and </w:t>
      </w:r>
      <w:r w:rsidRPr="004B520E">
        <w:t>46</w:t>
      </w:r>
      <w:r w:rsidR="00B25261" w:rsidRPr="004B520E">
        <w:t xml:space="preserve"> watering actions </w:t>
      </w:r>
      <w:r w:rsidR="00816C90" w:rsidRPr="004B520E">
        <w:t>deliver</w:t>
      </w:r>
      <w:r w:rsidR="00D3082F" w:rsidRPr="004B520E">
        <w:t>ed</w:t>
      </w:r>
      <w:r w:rsidR="00B25261" w:rsidRPr="004B520E">
        <w:t xml:space="preserve"> 31</w:t>
      </w:r>
      <w:r w:rsidRPr="004B520E">
        <w:t>5</w:t>
      </w:r>
      <w:r w:rsidR="00B25261" w:rsidRPr="004B520E">
        <w:t> </w:t>
      </w:r>
      <w:r w:rsidR="003847F6" w:rsidRPr="004B520E">
        <w:t>G</w:t>
      </w:r>
      <w:r w:rsidR="00B25261" w:rsidRPr="004B520E">
        <w:t xml:space="preserve">L </w:t>
      </w:r>
      <w:r w:rsidR="00816C90" w:rsidRPr="004B520E">
        <w:t xml:space="preserve">with objectives related to </w:t>
      </w:r>
      <w:r w:rsidR="00B25261" w:rsidRPr="004B520E">
        <w:t>‘other biota’.</w:t>
      </w:r>
    </w:p>
    <w:p w14:paraId="728361AD" w14:textId="61921893" w:rsidR="0035012E" w:rsidRPr="004B520E" w:rsidRDefault="00E709E8" w:rsidP="00E709E8">
      <w:pPr>
        <w:pStyle w:val="ListBullet2"/>
      </w:pPr>
      <w:r w:rsidRPr="004B520E">
        <w:t xml:space="preserve">In </w:t>
      </w:r>
      <w:r w:rsidR="00244943" w:rsidRPr="004B520E">
        <w:t>2023–24</w:t>
      </w:r>
      <w:r w:rsidRPr="004B520E">
        <w:t>, 11 species of frog were detected</w:t>
      </w:r>
      <w:r w:rsidR="00B508A6" w:rsidRPr="004B520E">
        <w:t xml:space="preserve"> at monitored locations</w:t>
      </w:r>
      <w:r w:rsidR="0081257E" w:rsidRPr="004B520E">
        <w:t>.</w:t>
      </w:r>
    </w:p>
    <w:p w14:paraId="2A894BC3" w14:textId="4578F7FC" w:rsidR="00E72A48" w:rsidRDefault="0081257E" w:rsidP="0081257E">
      <w:pPr>
        <w:pStyle w:val="ListBullet2"/>
      </w:pPr>
      <w:r w:rsidRPr="004B520E">
        <w:t>Southern bell frog (listed as Vulnerable under the EPBC Act) adults and tadpoles were identified at multiple sites receiving Commonwealth environmental water across the lower Murrumbidgee.</w:t>
      </w:r>
    </w:p>
    <w:p w14:paraId="03BB0234" w14:textId="766488A2" w:rsidR="0035012E" w:rsidRPr="004B520E" w:rsidRDefault="00D92B2F" w:rsidP="007107C6">
      <w:pPr>
        <w:pStyle w:val="ListBullet"/>
        <w:keepNext/>
        <w:rPr>
          <w:b/>
          <w:bCs/>
        </w:rPr>
      </w:pPr>
      <w:r w:rsidRPr="004B520E">
        <w:rPr>
          <w:b/>
          <w:bCs/>
        </w:rPr>
        <w:t xml:space="preserve">Commonwealth </w:t>
      </w:r>
      <w:r w:rsidR="00630BF5" w:rsidRPr="004B520E">
        <w:rPr>
          <w:b/>
          <w:bCs/>
        </w:rPr>
        <w:t xml:space="preserve">environmental water </w:t>
      </w:r>
      <w:r w:rsidRPr="004B520E">
        <w:rPr>
          <w:b/>
          <w:bCs/>
        </w:rPr>
        <w:t>support</w:t>
      </w:r>
      <w:r w:rsidR="000D520D" w:rsidRPr="004B520E">
        <w:rPr>
          <w:b/>
          <w:bCs/>
        </w:rPr>
        <w:t xml:space="preserve"> for </w:t>
      </w:r>
      <w:r w:rsidRPr="004B520E">
        <w:rPr>
          <w:b/>
          <w:bCs/>
        </w:rPr>
        <w:t>threatened species</w:t>
      </w:r>
      <w:bookmarkEnd w:id="392"/>
    </w:p>
    <w:p w14:paraId="3F4FBA0D" w14:textId="162CEA52" w:rsidR="00FB3413" w:rsidRPr="004B520E" w:rsidRDefault="0021653A" w:rsidP="00FB3413">
      <w:pPr>
        <w:pStyle w:val="ListBullet2"/>
      </w:pPr>
      <w:r>
        <w:t>21</w:t>
      </w:r>
      <w:r w:rsidR="00FB3413" w:rsidRPr="004B520E">
        <w:t xml:space="preserve"> watering actions deliver</w:t>
      </w:r>
      <w:r w:rsidR="002152D3" w:rsidRPr="004B520E">
        <w:t>ed</w:t>
      </w:r>
      <w:r w:rsidR="00FB3413" w:rsidRPr="004B520E">
        <w:t xml:space="preserve"> </w:t>
      </w:r>
      <w:r>
        <w:t>111</w:t>
      </w:r>
      <w:r w:rsidRPr="004B520E">
        <w:t xml:space="preserve"> </w:t>
      </w:r>
      <w:r w:rsidR="00542136" w:rsidRPr="004B520E">
        <w:t xml:space="preserve">GL </w:t>
      </w:r>
      <w:r w:rsidR="00FB3413" w:rsidRPr="004B520E">
        <w:t>with at least one watering objective related to listed species.</w:t>
      </w:r>
    </w:p>
    <w:p w14:paraId="0394BC8E" w14:textId="09F760A5" w:rsidR="00B508A6" w:rsidRPr="004B520E" w:rsidRDefault="00B508A6" w:rsidP="00B508A6">
      <w:pPr>
        <w:pStyle w:val="ListBullet2"/>
        <w:rPr>
          <w:bCs/>
        </w:rPr>
      </w:pPr>
      <w:r w:rsidRPr="004B520E">
        <w:t>Southern bell frog (listed as Vulnerable under the EPBC Act) adults and tadpoles were identified in the lower Murrumbidgee</w:t>
      </w:r>
      <w:r w:rsidR="00D33799" w:rsidRPr="004B520E">
        <w:t>,</w:t>
      </w:r>
      <w:r w:rsidRPr="004B520E">
        <w:t xml:space="preserve"> and adults were detected in the </w:t>
      </w:r>
      <w:r w:rsidR="00AD29BA">
        <w:t>l</w:t>
      </w:r>
      <w:r w:rsidR="00AD29BA" w:rsidRPr="00804B87">
        <w:t>ower Lachlan</w:t>
      </w:r>
      <w:r w:rsidRPr="004B520E">
        <w:t>.</w:t>
      </w:r>
    </w:p>
    <w:p w14:paraId="18DDD5C4" w14:textId="749D2073" w:rsidR="0035012E" w:rsidRPr="004B520E" w:rsidRDefault="00CB055B" w:rsidP="005C724C">
      <w:pPr>
        <w:pStyle w:val="ListBullet2"/>
      </w:pPr>
      <w:r>
        <w:t>Commonwealth environmental water</w:t>
      </w:r>
      <w:r w:rsidR="00DE594C">
        <w:t xml:space="preserve"> supported </w:t>
      </w:r>
      <w:r w:rsidR="00D4140D">
        <w:t>habitat for</w:t>
      </w:r>
      <w:r w:rsidR="00DE594C">
        <w:t xml:space="preserve"> national</w:t>
      </w:r>
      <w:r w:rsidR="00BE2560">
        <w:t>ly</w:t>
      </w:r>
      <w:r w:rsidR="00DE594C">
        <w:t xml:space="preserve"> and state-listed threatened species, including the </w:t>
      </w:r>
      <w:r w:rsidR="00DB65DD">
        <w:t>grey snake</w:t>
      </w:r>
      <w:r w:rsidR="008215C2">
        <w:t xml:space="preserve"> (</w:t>
      </w:r>
      <w:r w:rsidR="008215C2" w:rsidRPr="3FDBBA6B">
        <w:rPr>
          <w:rStyle w:val="Italics"/>
        </w:rPr>
        <w:t>Hemiaspis damelii</w:t>
      </w:r>
      <w:r w:rsidR="008215C2">
        <w:t>)</w:t>
      </w:r>
      <w:r w:rsidR="00DB65DD">
        <w:t>, regent parrot</w:t>
      </w:r>
      <w:r w:rsidR="00CC47CA">
        <w:t xml:space="preserve"> (</w:t>
      </w:r>
      <w:r w:rsidR="00581F80" w:rsidRPr="3FDBBA6B">
        <w:rPr>
          <w:rStyle w:val="Italics"/>
        </w:rPr>
        <w:t>Polytelis anthopeplus</w:t>
      </w:r>
      <w:r w:rsidR="00CC47CA">
        <w:t>)</w:t>
      </w:r>
      <w:r w:rsidR="00DB65DD">
        <w:t>, platypus</w:t>
      </w:r>
      <w:r w:rsidR="0013186C">
        <w:t xml:space="preserve"> (</w:t>
      </w:r>
      <w:r w:rsidR="008B687D" w:rsidRPr="3FDBBA6B">
        <w:rPr>
          <w:i/>
          <w:iCs/>
        </w:rPr>
        <w:t>Ornithorhynchus anatinus</w:t>
      </w:r>
      <w:r w:rsidR="0013186C">
        <w:t>)</w:t>
      </w:r>
      <w:r w:rsidR="00DB65DD">
        <w:t xml:space="preserve">, </w:t>
      </w:r>
      <w:r w:rsidR="002A3983">
        <w:t xml:space="preserve">large-footed </w:t>
      </w:r>
      <w:r w:rsidR="00DB65DD">
        <w:t>myotis</w:t>
      </w:r>
      <w:r w:rsidR="00D66F81">
        <w:t xml:space="preserve"> (</w:t>
      </w:r>
      <w:r w:rsidR="00D66F81" w:rsidRPr="3FDBBA6B">
        <w:rPr>
          <w:rStyle w:val="Italics"/>
        </w:rPr>
        <w:t xml:space="preserve">Myotis </w:t>
      </w:r>
      <w:r w:rsidR="002A3983" w:rsidRPr="3FDBBA6B">
        <w:rPr>
          <w:rStyle w:val="Italics"/>
        </w:rPr>
        <w:t>macropus</w:t>
      </w:r>
      <w:r w:rsidR="002A3983" w:rsidRPr="3FDBBA6B">
        <w:rPr>
          <w:i/>
          <w:iCs/>
        </w:rPr>
        <w:t>,</w:t>
      </w:r>
      <w:r w:rsidR="002A3983">
        <w:t xml:space="preserve"> also known as the southern myotis</w:t>
      </w:r>
      <w:r w:rsidR="00D66F81">
        <w:t>)</w:t>
      </w:r>
      <w:r w:rsidR="00187056">
        <w:t xml:space="preserve"> and</w:t>
      </w:r>
      <w:r w:rsidR="00DB65DD">
        <w:t xml:space="preserve"> </w:t>
      </w:r>
      <w:r w:rsidR="001532DB">
        <w:t>s</w:t>
      </w:r>
      <w:r w:rsidR="00DB65DD">
        <w:t>outhern bell frog</w:t>
      </w:r>
      <w:bookmarkStart w:id="393" w:name="_Toc168579858"/>
      <w:bookmarkStart w:id="394" w:name="_Toc172283653"/>
      <w:bookmarkStart w:id="395" w:name="_Toc172290966"/>
      <w:bookmarkStart w:id="396" w:name="_Toc178668865"/>
      <w:r w:rsidR="0035012E">
        <w:t>.</w:t>
      </w:r>
    </w:p>
    <w:p w14:paraId="75210F27" w14:textId="0896A8C6" w:rsidR="00C57124" w:rsidRPr="004B520E" w:rsidRDefault="00C57124" w:rsidP="00E00EA3">
      <w:pPr>
        <w:pStyle w:val="Boxedheadingblue"/>
      </w:pPr>
      <w:r w:rsidRPr="004B520E">
        <w:rPr>
          <w:rStyle w:val="Strong"/>
          <w:b/>
          <w:bCs w:val="0"/>
          <w:smallCaps/>
          <w:sz w:val="26"/>
        </w:rPr>
        <w:t xml:space="preserve">Highlight: </w:t>
      </w:r>
      <w:r w:rsidR="00E83202" w:rsidRPr="004B520E">
        <w:t>Supporting the recovery of the threatened southern bell frog</w:t>
      </w:r>
      <w:bookmarkEnd w:id="393"/>
      <w:bookmarkEnd w:id="394"/>
      <w:bookmarkEnd w:id="395"/>
      <w:bookmarkEnd w:id="396"/>
    </w:p>
    <w:p w14:paraId="3FD867B4" w14:textId="651A7B5D" w:rsidR="000904F2" w:rsidRPr="004B520E" w:rsidRDefault="006B3C5A" w:rsidP="000904F2">
      <w:pPr>
        <w:pStyle w:val="Boxedtext"/>
      </w:pPr>
      <w:r w:rsidRPr="004B520E">
        <w:t xml:space="preserve">Commonwealth environmental water significantly benefitted southern bell frogs, listed as </w:t>
      </w:r>
      <w:r w:rsidR="008B687D">
        <w:t>V</w:t>
      </w:r>
      <w:r w:rsidRPr="004B520E">
        <w:t xml:space="preserve">ulnerable under the </w:t>
      </w:r>
      <w:r w:rsidR="00B248DB" w:rsidRPr="004B520E">
        <w:t>EPBC Act</w:t>
      </w:r>
      <w:r w:rsidRPr="004B520E">
        <w:t xml:space="preserve">. </w:t>
      </w:r>
      <w:r w:rsidR="000904F2" w:rsidRPr="004B520E">
        <w:t>Since Commonwealth environmental water delivery began in 2014, 161 known locations of southern bell frogs received Commonwealth environmental water at least once.</w:t>
      </w:r>
    </w:p>
    <w:p w14:paraId="331C6ADF" w14:textId="39AD13AB" w:rsidR="00AC73AC" w:rsidRPr="004B520E" w:rsidRDefault="006B3C5A" w:rsidP="000904F2">
      <w:pPr>
        <w:pStyle w:val="Boxedtext"/>
      </w:pPr>
      <w:r w:rsidRPr="004B520E">
        <w:t xml:space="preserve">The southern bell frog is a large, wetland-dependent frog found in floodplain wetlands in the Murrumbidgee River System, Lachlan River System, Central Murray and Lower Murray. This sensitive </w:t>
      </w:r>
      <w:r w:rsidRPr="004B520E">
        <w:lastRenderedPageBreak/>
        <w:t>species needs its critical refuge habitats maintained by water during dry periods. Flow-MER research has shown that even a 2-year dry spell can make a wetland uninhabitable for this frog. Targeted watering objectives for this species include supporting its habitat, breeding and recruitment. The delivery of Commonwealth environmental water since 2014 has increased the number of sites occupied by the frog</w:t>
      </w:r>
      <w:r w:rsidR="000904F2" w:rsidRPr="004B520E">
        <w:t xml:space="preserve">. </w:t>
      </w:r>
      <w:r w:rsidRPr="004B520E">
        <w:t>Many of these are sites the frog had previously disappeared from – meaning that the southern bell frog is moving back into areas where it once lived and being supported in areas where it continues to live, thanks to the delivery of environmental water by the Commonwealth and other environmental water managers.</w:t>
      </w:r>
    </w:p>
    <w:p w14:paraId="1D955EE4" w14:textId="7243537C" w:rsidR="00E72A48" w:rsidRDefault="006B3C5A" w:rsidP="000904F2">
      <w:pPr>
        <w:pStyle w:val="Boxedtext"/>
      </w:pPr>
      <w:r>
        <w:t xml:space="preserve">In the Murrumbidgee, southern bell frogs have been monitored since 2000. Over the past </w:t>
      </w:r>
      <w:r w:rsidR="73B1A023">
        <w:t>6</w:t>
      </w:r>
      <w:r>
        <w:t xml:space="preserve"> years, the frogs have moved back into wetlands through the North Redbank and Western Lakes areas where they had</w:t>
      </w:r>
      <w:r w:rsidR="00D25542">
        <w:t xml:space="preserve"> </w:t>
      </w:r>
      <w:r>
        <w:t>n</w:t>
      </w:r>
      <w:r w:rsidR="00D25542">
        <w:t>o</w:t>
      </w:r>
      <w:r>
        <w:t>t been seen for more than 10 years. And southern bell frogs successfully produced their next generation in the Murrumbidgee, Central Murray and Lower Murray valleys after inundation supported by Commonwealth environmental water</w:t>
      </w:r>
      <w:r w:rsidR="0035012E">
        <w:t>.</w:t>
      </w:r>
      <w:bookmarkStart w:id="397" w:name="_Toc106204469"/>
      <w:bookmarkStart w:id="398" w:name="_Toc168579859"/>
      <w:bookmarkStart w:id="399" w:name="_Toc172283654"/>
      <w:bookmarkStart w:id="400" w:name="_Toc172290967"/>
      <w:bookmarkStart w:id="401" w:name="_Toc178668866"/>
      <w:bookmarkStart w:id="402" w:name="_Toc200743762"/>
      <w:bookmarkStart w:id="403" w:name="_Toc200743861"/>
      <w:bookmarkEnd w:id="397"/>
    </w:p>
    <w:p w14:paraId="3C6EF59B" w14:textId="6114F353" w:rsidR="00F0139E" w:rsidRPr="004B520E" w:rsidRDefault="00F0139E" w:rsidP="00113FC9">
      <w:pPr>
        <w:pStyle w:val="Heading2"/>
      </w:pPr>
      <w:bookmarkStart w:id="404" w:name="_Toc203682275"/>
      <w:bookmarkStart w:id="405" w:name="_Toc204606890"/>
      <w:r w:rsidRPr="004B520E">
        <w:t xml:space="preserve">Ecosystem </w:t>
      </w:r>
      <w:r w:rsidR="00093417" w:rsidRPr="004B520E">
        <w:t>f</w:t>
      </w:r>
      <w:r w:rsidRPr="004B520E">
        <w:t xml:space="preserve">unction </w:t>
      </w:r>
      <w:r w:rsidR="00ED3D30" w:rsidRPr="004B520E">
        <w:t xml:space="preserve">outcomes </w:t>
      </w:r>
      <w:r w:rsidR="00244943" w:rsidRPr="004B520E">
        <w:t>2023–24</w:t>
      </w:r>
      <w:bookmarkEnd w:id="398"/>
      <w:bookmarkEnd w:id="399"/>
      <w:bookmarkEnd w:id="400"/>
      <w:bookmarkEnd w:id="401"/>
      <w:bookmarkEnd w:id="402"/>
      <w:bookmarkEnd w:id="403"/>
      <w:bookmarkEnd w:id="404"/>
      <w:bookmarkEnd w:id="405"/>
    </w:p>
    <w:p w14:paraId="74346808" w14:textId="2A4EB45E" w:rsidR="00AC73AC" w:rsidRPr="004B520E" w:rsidRDefault="00AC73AC" w:rsidP="00244943">
      <w:pPr>
        <w:pStyle w:val="ChapterSignposting"/>
        <w:keepNext/>
        <w:keepLines/>
      </w:pPr>
      <w:bookmarkStart w:id="406" w:name="_Toc168579860"/>
      <w:r w:rsidRPr="004B520E">
        <w:t xml:space="preserve">This section presents findings from the Foodwebs and Water Quality evaluation for the </w:t>
      </w:r>
      <w:r w:rsidR="00244943" w:rsidRPr="004B520E">
        <w:t>2023–24</w:t>
      </w:r>
      <w:r w:rsidRPr="004B520E">
        <w:t xml:space="preserve"> water year</w:t>
      </w:r>
      <w:r w:rsidR="00555141" w:rsidRPr="004B520E">
        <w:t xml:space="preserve">, </w:t>
      </w:r>
      <w:r w:rsidRPr="004B520E">
        <w:t xml:space="preserve">presented in full in the </w:t>
      </w:r>
      <w:r w:rsidR="00555141" w:rsidRPr="004B520E">
        <w:t xml:space="preserve">‘Basin-scale evaluation of </w:t>
      </w:r>
      <w:r w:rsidR="00244943" w:rsidRPr="004B520E">
        <w:t>2023–24</w:t>
      </w:r>
      <w:r w:rsidR="00555141" w:rsidRPr="004B520E">
        <w:t xml:space="preserve"> Commonwealth environmental water: Foodwebs and Water Quality’</w:t>
      </w:r>
      <w:r w:rsidR="00555141" w:rsidRPr="004B520E" w:rsidDel="00E96AC8">
        <w:t xml:space="preserve"> </w:t>
      </w:r>
      <w:r w:rsidR="00555141" w:rsidRPr="004B520E">
        <w:t>r</w:t>
      </w:r>
      <w:r w:rsidR="00555141" w:rsidRPr="004B520E">
        <w:rPr>
          <w:iCs/>
          <w:szCs w:val="20"/>
        </w:rPr>
        <w:t xml:space="preserve">eport </w:t>
      </w:r>
      <w:r w:rsidRPr="004B520E">
        <w:t>(</w:t>
      </w:r>
      <w:r w:rsidR="00555141" w:rsidRPr="004B520E">
        <w:t>accompanying this document a</w:t>
      </w:r>
      <w:r w:rsidR="00DE780D" w:rsidRPr="004B520E">
        <w:t>n</w:t>
      </w:r>
      <w:r w:rsidR="00555141" w:rsidRPr="004B520E">
        <w:t xml:space="preserve">d will be </w:t>
      </w:r>
      <w:r w:rsidRPr="004B520E">
        <w:t xml:space="preserve">available from </w:t>
      </w:r>
      <w:r w:rsidR="00D25542">
        <w:t>DCCEEW’s</w:t>
      </w:r>
      <w:r w:rsidR="00D25542" w:rsidRPr="004B520E">
        <w:t xml:space="preserve"> </w:t>
      </w:r>
      <w:hyperlink r:id="rId66" w:history="1">
        <w:r w:rsidR="00D25542" w:rsidRPr="004B520E">
          <w:rPr>
            <w:rStyle w:val="Hyperlink"/>
            <w:rFonts w:cs="Calibri Light"/>
          </w:rPr>
          <w:t>Flow-MER Basin-scale Project publications</w:t>
        </w:r>
      </w:hyperlink>
      <w:r w:rsidR="00D25542" w:rsidRPr="004B520E">
        <w:t xml:space="preserve"> </w:t>
      </w:r>
      <w:r w:rsidR="00D25542">
        <w:t>web</w:t>
      </w:r>
      <w:r w:rsidR="00D25542" w:rsidRPr="004B520E">
        <w:t>page</w:t>
      </w:r>
      <w:r w:rsidR="00555141" w:rsidRPr="004B520E">
        <w:t>).</w:t>
      </w:r>
    </w:p>
    <w:p w14:paraId="647254C2" w14:textId="55F8F8C8" w:rsidR="00450172" w:rsidRPr="004B520E" w:rsidRDefault="00D05A46" w:rsidP="00954CC4">
      <w:pPr>
        <w:pStyle w:val="Boxedheadingblue"/>
      </w:pPr>
      <w:bookmarkStart w:id="407" w:name="_Toc172283655"/>
      <w:bookmarkStart w:id="408" w:name="_Toc172290968"/>
      <w:bookmarkStart w:id="409" w:name="_Toc178668867"/>
      <w:bookmarkEnd w:id="406"/>
      <w:r w:rsidRPr="004B520E">
        <w:t>What did Commonwealth</w:t>
      </w:r>
      <w:r w:rsidR="00DE594C" w:rsidRPr="004B520E">
        <w:t xml:space="preserve"> </w:t>
      </w:r>
      <w:r w:rsidRPr="004B520E">
        <w:t>environment</w:t>
      </w:r>
      <w:r w:rsidR="00C10E5A" w:rsidRPr="004B520E">
        <w:t>al water</w:t>
      </w:r>
      <w:r w:rsidR="00DE594C" w:rsidRPr="004B520E">
        <w:t xml:space="preserve"> </w:t>
      </w:r>
      <w:r w:rsidRPr="004B520E">
        <w:t xml:space="preserve">contribute to </w:t>
      </w:r>
      <w:r w:rsidR="00915116" w:rsidRPr="004B520E">
        <w:t>protecting and restoring energy, carbon and nutrient dynamics, primary production and respiration</w:t>
      </w:r>
      <w:r w:rsidR="00C56D66" w:rsidRPr="004B520E">
        <w:t>?</w:t>
      </w:r>
      <w:bookmarkEnd w:id="407"/>
      <w:bookmarkEnd w:id="408"/>
      <w:bookmarkEnd w:id="409"/>
    </w:p>
    <w:p w14:paraId="35E95E62" w14:textId="28A2FDF6" w:rsidR="00E53DB0" w:rsidRPr="004B520E" w:rsidRDefault="00CE5A4D" w:rsidP="00E53DB0">
      <w:pPr>
        <w:pStyle w:val="BodyText"/>
      </w:pPr>
      <w:r w:rsidRPr="004B520E">
        <w:t>N</w:t>
      </w:r>
      <w:r w:rsidR="006439C8" w:rsidRPr="004B520E">
        <w:t xml:space="preserve">ative fish, vegetation and waterbirds </w:t>
      </w:r>
      <w:r w:rsidR="000E524D" w:rsidRPr="004B520E">
        <w:t>rely</w:t>
      </w:r>
      <w:r w:rsidR="006439C8" w:rsidRPr="004B520E">
        <w:t xml:space="preserve"> on a range of ecosystem functions </w:t>
      </w:r>
      <w:r w:rsidR="00940A72" w:rsidRPr="004B520E">
        <w:t xml:space="preserve">to </w:t>
      </w:r>
      <w:r w:rsidRPr="004B520E">
        <w:t>support healthy populations</w:t>
      </w:r>
      <w:r w:rsidR="006439C8" w:rsidRPr="004B520E">
        <w:t xml:space="preserve">. </w:t>
      </w:r>
      <w:r w:rsidR="005309BA" w:rsidRPr="004B520E">
        <w:t>Food webs illustrate how much energy</w:t>
      </w:r>
      <w:r w:rsidR="00B40680" w:rsidRPr="004B520E">
        <w:t xml:space="preserve"> (carbon)</w:t>
      </w:r>
      <w:r w:rsidR="005309BA" w:rsidRPr="004B520E">
        <w:t xml:space="preserve"> is moving between organisms or groups and </w:t>
      </w:r>
      <w:r w:rsidR="006732FF" w:rsidRPr="004B520E">
        <w:t xml:space="preserve">show </w:t>
      </w:r>
      <w:r w:rsidR="005309BA" w:rsidRPr="004B520E">
        <w:t>the role of individual animal</w:t>
      </w:r>
      <w:r w:rsidR="00D36A03" w:rsidRPr="004B520E">
        <w:t xml:space="preserve"> species</w:t>
      </w:r>
      <w:r w:rsidR="005309BA" w:rsidRPr="004B520E">
        <w:t xml:space="preserve"> or connections in sustaining life across an ecosystem.</w:t>
      </w:r>
      <w:r w:rsidR="00415798" w:rsidRPr="004B520E">
        <w:t xml:space="preserve"> </w:t>
      </w:r>
      <w:r w:rsidR="00CB0C07" w:rsidRPr="004B520E">
        <w:t>Without energy</w:t>
      </w:r>
      <w:r w:rsidR="00C14AC8" w:rsidRPr="004B520E">
        <w:t>,</w:t>
      </w:r>
      <w:r w:rsidR="00CB0C07" w:rsidRPr="004B520E">
        <w:t xml:space="preserve"> </w:t>
      </w:r>
      <w:r w:rsidR="003769BA" w:rsidRPr="004B520E">
        <w:t xml:space="preserve">organisms </w:t>
      </w:r>
      <w:r w:rsidR="003A0B46" w:rsidRPr="004B520E">
        <w:t>have</w:t>
      </w:r>
      <w:r w:rsidR="00CB0C07" w:rsidRPr="004B520E">
        <w:t xml:space="preserve"> no capacity for growth </w:t>
      </w:r>
      <w:r w:rsidR="00A23D18" w:rsidRPr="004B520E">
        <w:t>and</w:t>
      </w:r>
      <w:r w:rsidR="00CB0C07" w:rsidRPr="004B520E">
        <w:t xml:space="preserve"> reproduction. </w:t>
      </w:r>
      <w:r w:rsidR="00363511" w:rsidRPr="004B520E">
        <w:t>Understanding the relationship</w:t>
      </w:r>
      <w:r w:rsidR="001C4D73">
        <w:t>s</w:t>
      </w:r>
      <w:r w:rsidR="00363511" w:rsidRPr="004B520E">
        <w:t xml:space="preserve"> between the provision of energy for food webs and flow is critical</w:t>
      </w:r>
      <w:r w:rsidR="00DD57E0" w:rsidRPr="004B520E">
        <w:t xml:space="preserve"> for environmen</w:t>
      </w:r>
      <w:r w:rsidR="008E7978" w:rsidRPr="004B520E">
        <w:t>t</w:t>
      </w:r>
      <w:r w:rsidR="00DD57E0" w:rsidRPr="004B520E">
        <w:t>al water management.</w:t>
      </w:r>
    </w:p>
    <w:p w14:paraId="3EE899DC" w14:textId="77777777" w:rsidR="00145477" w:rsidRPr="00125873" w:rsidRDefault="004370F4" w:rsidP="00145477">
      <w:pPr>
        <w:pStyle w:val="BodyText"/>
      </w:pPr>
      <w:r w:rsidRPr="004B520E">
        <w:t>A</w:t>
      </w:r>
      <w:r w:rsidR="00D20FD4" w:rsidRPr="004B520E">
        <w:t xml:space="preserve">quatic </w:t>
      </w:r>
      <w:r w:rsidR="00CB1E34" w:rsidRPr="004B520E">
        <w:t>food</w:t>
      </w:r>
      <w:r w:rsidRPr="004B520E">
        <w:t xml:space="preserve"> </w:t>
      </w:r>
      <w:r w:rsidR="00CB1E34" w:rsidRPr="004B520E">
        <w:t xml:space="preserve">webs are </w:t>
      </w:r>
      <w:r w:rsidR="006370DE" w:rsidRPr="004B520E">
        <w:t xml:space="preserve">underpinned by </w:t>
      </w:r>
      <w:r w:rsidR="006A2FEF" w:rsidRPr="004B520E">
        <w:t xml:space="preserve">2 </w:t>
      </w:r>
      <w:r w:rsidRPr="004B520E">
        <w:t>fund</w:t>
      </w:r>
      <w:r w:rsidR="002B449C" w:rsidRPr="004B520E">
        <w:t>a</w:t>
      </w:r>
      <w:r w:rsidRPr="004B520E">
        <w:t>m</w:t>
      </w:r>
      <w:r w:rsidR="00AE1B5F" w:rsidRPr="004B520E">
        <w:t>ental</w:t>
      </w:r>
      <w:r w:rsidR="006A2FEF" w:rsidRPr="004B520E">
        <w:t xml:space="preserve"> </w:t>
      </w:r>
      <w:r w:rsidR="00C23A1C" w:rsidRPr="004B520E">
        <w:t>biological</w:t>
      </w:r>
      <w:r w:rsidR="006A2FEF" w:rsidRPr="004B520E">
        <w:t xml:space="preserve"> processes</w:t>
      </w:r>
      <w:r w:rsidR="00B91E8F" w:rsidRPr="004B520E">
        <w:t>:</w:t>
      </w:r>
      <w:r w:rsidR="006A2FEF" w:rsidRPr="004B520E">
        <w:t xml:space="preserve"> gross primary production (GPP) and ecosystem respiration (ER)</w:t>
      </w:r>
      <w:r w:rsidR="006100DE" w:rsidRPr="004B520E">
        <w:t>.</w:t>
      </w:r>
      <w:r w:rsidR="00283CEE" w:rsidRPr="004B520E">
        <w:t xml:space="preserve"> C</w:t>
      </w:r>
      <w:r w:rsidR="00D3065C" w:rsidRPr="004B520E">
        <w:t>ollectively termed ‘st</w:t>
      </w:r>
      <w:r w:rsidR="00736623" w:rsidRPr="004B520E">
        <w:t>r</w:t>
      </w:r>
      <w:r w:rsidR="00D3065C" w:rsidRPr="004B520E">
        <w:t>eam metabol</w:t>
      </w:r>
      <w:r w:rsidR="00736623" w:rsidRPr="004B520E">
        <w:t>is</w:t>
      </w:r>
      <w:r w:rsidR="00D3065C" w:rsidRPr="004B520E">
        <w:t>m’</w:t>
      </w:r>
      <w:r w:rsidR="00283CEE" w:rsidRPr="004B520E">
        <w:t xml:space="preserve"> in rivers</w:t>
      </w:r>
      <w:r w:rsidR="00D3065C" w:rsidRPr="004B520E">
        <w:t xml:space="preserve">, </w:t>
      </w:r>
      <w:r w:rsidR="006100DE" w:rsidRPr="004B520E">
        <w:t>GPP</w:t>
      </w:r>
      <w:r w:rsidR="006A2FEF" w:rsidRPr="004B520E">
        <w:t xml:space="preserve"> </w:t>
      </w:r>
      <w:r w:rsidR="00E76F31" w:rsidRPr="004B520E">
        <w:t>describes the rate</w:t>
      </w:r>
      <w:r w:rsidR="00431C31" w:rsidRPr="004B520E">
        <w:t xml:space="preserve"> o</w:t>
      </w:r>
      <w:r w:rsidR="00D77640" w:rsidRPr="004B520E">
        <w:t>f</w:t>
      </w:r>
      <w:r w:rsidR="00431C31" w:rsidRPr="004B520E">
        <w:t xml:space="preserve"> </w:t>
      </w:r>
      <w:r w:rsidR="00731D08" w:rsidRPr="004B520E">
        <w:t xml:space="preserve">new organic matter </w:t>
      </w:r>
      <w:r w:rsidR="00D77640" w:rsidRPr="004B520E">
        <w:t xml:space="preserve">generation </w:t>
      </w:r>
      <w:r w:rsidR="00731D08" w:rsidRPr="004B520E">
        <w:t>via phot</w:t>
      </w:r>
      <w:r w:rsidR="002B449C" w:rsidRPr="004B520E">
        <w:t>o</w:t>
      </w:r>
      <w:r w:rsidR="00731D08" w:rsidRPr="004B520E">
        <w:t>s</w:t>
      </w:r>
      <w:r w:rsidR="00247E1B" w:rsidRPr="004B520E">
        <w:t>y</w:t>
      </w:r>
      <w:r w:rsidR="00731D08" w:rsidRPr="004B520E">
        <w:t>nthesis</w:t>
      </w:r>
      <w:r w:rsidR="00CE5A9F" w:rsidRPr="004B520E">
        <w:t>,</w:t>
      </w:r>
      <w:r w:rsidR="00731D08" w:rsidRPr="004B520E">
        <w:t xml:space="preserve"> </w:t>
      </w:r>
      <w:r w:rsidR="00C15D1D" w:rsidRPr="004B520E">
        <w:t>and</w:t>
      </w:r>
      <w:r w:rsidR="006A2FEF" w:rsidRPr="004B520E">
        <w:t xml:space="preserve"> </w:t>
      </w:r>
      <w:r w:rsidR="00D77640" w:rsidRPr="004B520E">
        <w:t>ER</w:t>
      </w:r>
      <w:r w:rsidR="00E03AE3" w:rsidRPr="004B520E">
        <w:t xml:space="preserve"> describes</w:t>
      </w:r>
      <w:r w:rsidR="00D77640" w:rsidRPr="004B520E">
        <w:t xml:space="preserve"> the rate </w:t>
      </w:r>
      <w:r w:rsidR="008B6652" w:rsidRPr="004B520E">
        <w:t xml:space="preserve">at which organic matter is </w:t>
      </w:r>
      <w:r w:rsidR="006A2FEF" w:rsidRPr="004B520E">
        <w:t>recycle</w:t>
      </w:r>
      <w:r w:rsidR="008B6652" w:rsidRPr="004B520E">
        <w:t>d</w:t>
      </w:r>
      <w:r w:rsidR="00EA0485" w:rsidRPr="004B520E">
        <w:t>.</w:t>
      </w:r>
      <w:r w:rsidR="00C70AD2" w:rsidRPr="004B520E">
        <w:t xml:space="preserve"> </w:t>
      </w:r>
      <w:r w:rsidR="008667CF" w:rsidRPr="004B520E">
        <w:t xml:space="preserve">Net ecosystem production – the difference between GPP and ER – determines </w:t>
      </w:r>
      <w:r w:rsidR="00145477" w:rsidRPr="00125873">
        <w:t>whether carbon accumulates (autotrophic) or is depleted (heterotrophic) within an ecosystem.</w:t>
      </w:r>
    </w:p>
    <w:p w14:paraId="6C29600E" w14:textId="6252B3CE" w:rsidR="007119DC" w:rsidRPr="004B520E" w:rsidRDefault="00E0402B" w:rsidP="007119DC">
      <w:pPr>
        <w:pStyle w:val="BodyText"/>
      </w:pPr>
      <w:r>
        <w:t xml:space="preserve">Commonwealth environmental water can support higher ER rates and heterotrophic production if flows lead to increases in terrestrial carbon subsidies to the river channel (e.g. litter). </w:t>
      </w:r>
      <w:r w:rsidR="007119DC" w:rsidRPr="004B520E">
        <w:t xml:space="preserve">The amount of litter incorporated into the river channel is governed primarily by flow type (e.g. bankfull and overbank flows may mobilise large quantities of litter, while freshes may </w:t>
      </w:r>
      <w:r w:rsidR="007603AB" w:rsidRPr="004B520E">
        <w:t>be limited to</w:t>
      </w:r>
      <w:r w:rsidR="007119DC" w:rsidRPr="004B520E">
        <w:t xml:space="preserve"> small quantities of litter from in</w:t>
      </w:r>
      <w:r w:rsidR="00061D76">
        <w:t>stream</w:t>
      </w:r>
      <w:r w:rsidR="00061D76" w:rsidRPr="004B520E">
        <w:t xml:space="preserve"> </w:t>
      </w:r>
      <w:r w:rsidR="007119DC" w:rsidRPr="004B520E">
        <w:t>features) and antecedent patterns (e.g. climate, time since last flow, magnitude of last flow).</w:t>
      </w:r>
    </w:p>
    <w:p w14:paraId="0A56D70D" w14:textId="7758ABDE" w:rsidR="007119DC" w:rsidRPr="004B520E" w:rsidRDefault="007119DC" w:rsidP="007119DC">
      <w:pPr>
        <w:pStyle w:val="BodyText"/>
        <w:rPr>
          <w:rFonts w:cs="Calibri"/>
          <w:color w:val="000000" w:themeColor="text2"/>
        </w:rPr>
      </w:pPr>
      <w:r w:rsidRPr="004B520E">
        <w:t xml:space="preserve">Increasing flow reduces the volumetric rate of primary production but increases cross-sectional channel GPP, particularly in reaches where the channel broadens, by increasing the cross-sectional area of the photic zone. Although rates of GPP and ER are not direct estimates of secondary production by higher </w:t>
      </w:r>
      <w:r w:rsidRPr="004B520E">
        <w:lastRenderedPageBreak/>
        <w:t xml:space="preserve">trophic levels, ecological theory and existing empirical evidence suggest that this increased ecosystem metabolism </w:t>
      </w:r>
      <w:r w:rsidR="001E6CC9">
        <w:t>is</w:t>
      </w:r>
      <w:r w:rsidRPr="004B520E">
        <w:t xml:space="preserve"> correlated with higher consumer productivity.</w:t>
      </w:r>
    </w:p>
    <w:p w14:paraId="2A540E85" w14:textId="68B72B35" w:rsidR="008600DE" w:rsidRPr="004B520E" w:rsidRDefault="00C70AD2" w:rsidP="00D8406A">
      <w:pPr>
        <w:pStyle w:val="BodyText"/>
      </w:pPr>
      <w:r w:rsidRPr="004B520E">
        <w:t>A</w:t>
      </w:r>
      <w:r w:rsidR="00AA1D01" w:rsidRPr="004B520E">
        <w:t xml:space="preserve"> metabolic fingerprinting approach </w:t>
      </w:r>
      <w:r w:rsidRPr="004B520E">
        <w:t>was used to</w:t>
      </w:r>
      <w:r w:rsidR="00AA1D01" w:rsidRPr="004B520E">
        <w:t xml:space="preserve"> </w:t>
      </w:r>
      <w:r w:rsidRPr="004B520E">
        <w:t xml:space="preserve">visualise </w:t>
      </w:r>
      <w:r w:rsidR="00AA1D01" w:rsidRPr="004B520E">
        <w:t xml:space="preserve">and </w:t>
      </w:r>
      <w:r w:rsidRPr="004B520E">
        <w:t xml:space="preserve">diagnose </w:t>
      </w:r>
      <w:r w:rsidR="00AA1D01" w:rsidRPr="004B520E">
        <w:t>change in stream metabolism</w:t>
      </w:r>
      <w:r w:rsidR="00C01A77" w:rsidRPr="004B520E">
        <w:t xml:space="preserve"> (</w:t>
      </w:r>
      <w:r w:rsidR="00D8406A">
        <w:fldChar w:fldCharType="begin"/>
      </w:r>
      <w:r w:rsidR="00D8406A">
        <w:instrText xml:space="preserve"> REF _Ref206408825 \h </w:instrText>
      </w:r>
      <w:r w:rsidR="00D8406A">
        <w:fldChar w:fldCharType="separate"/>
      </w:r>
      <w:r w:rsidR="00C43C1D" w:rsidRPr="004B520E">
        <w:t>Figure </w:t>
      </w:r>
      <w:r w:rsidR="00C43C1D">
        <w:rPr>
          <w:noProof/>
        </w:rPr>
        <w:t>3</w:t>
      </w:r>
      <w:r w:rsidR="00C43C1D" w:rsidRPr="004B520E">
        <w:t>.</w:t>
      </w:r>
      <w:r w:rsidR="00C43C1D">
        <w:rPr>
          <w:noProof/>
        </w:rPr>
        <w:t>1</w:t>
      </w:r>
      <w:r w:rsidR="00D8406A">
        <w:fldChar w:fldCharType="end"/>
      </w:r>
      <w:r w:rsidR="00C01A77" w:rsidRPr="004B520E">
        <w:t>)</w:t>
      </w:r>
      <w:r w:rsidR="00AA1D01" w:rsidRPr="004B520E">
        <w:t>. Th</w:t>
      </w:r>
      <w:r w:rsidRPr="004B520E">
        <w:t>is approach shows</w:t>
      </w:r>
      <w:r w:rsidR="00AA1D01" w:rsidRPr="004B520E">
        <w:t xml:space="preserve"> whether metabolic responses to flow condition</w:t>
      </w:r>
      <w:r w:rsidRPr="004B520E">
        <w:t>s</w:t>
      </w:r>
      <w:r w:rsidR="00AA1D01" w:rsidRPr="004B520E">
        <w:t xml:space="preserve"> are within the typical metabolic regime of a </w:t>
      </w:r>
      <w:r w:rsidRPr="004B520E">
        <w:t xml:space="preserve">location </w:t>
      </w:r>
      <w:r w:rsidR="00AA1D01" w:rsidRPr="004B520E">
        <w:t xml:space="preserve">or </w:t>
      </w:r>
      <w:r w:rsidR="00C23A0E" w:rsidRPr="004B520E">
        <w:t>if they</w:t>
      </w:r>
      <w:r w:rsidR="00AA1D01" w:rsidRPr="004B520E">
        <w:t xml:space="preserve"> represent atypical conditions at that </w:t>
      </w:r>
      <w:r w:rsidRPr="004B520E">
        <w:t>location</w:t>
      </w:r>
      <w:r w:rsidR="00AA1D01" w:rsidRPr="004B520E">
        <w:t>. Atypical metabolic conditions may indicate a desirable state (</w:t>
      </w:r>
      <w:r w:rsidRPr="004B520E">
        <w:t>such as</w:t>
      </w:r>
      <w:r w:rsidR="00AA1D01" w:rsidRPr="004B520E">
        <w:t xml:space="preserve"> high GPP and ER) or an undesirable state (</w:t>
      </w:r>
      <w:r w:rsidR="00936AE7" w:rsidRPr="004B520E">
        <w:t>such as</w:t>
      </w:r>
      <w:r w:rsidR="00AA1D01" w:rsidRPr="004B520E">
        <w:t xml:space="preserve"> algal blooms </w:t>
      </w:r>
      <w:r w:rsidR="00936AE7" w:rsidRPr="004B520E">
        <w:t>and</w:t>
      </w:r>
      <w:r w:rsidR="00AA1D01" w:rsidRPr="004B520E">
        <w:t xml:space="preserve"> hypoxic</w:t>
      </w:r>
      <w:r w:rsidR="001B007C">
        <w:t xml:space="preserve"> conditions</w:t>
      </w:r>
      <w:r w:rsidR="00AA1D01" w:rsidRPr="004B520E">
        <w:t>)</w:t>
      </w:r>
      <w:r w:rsidRPr="004B520E">
        <w:t xml:space="preserve">. </w:t>
      </w:r>
      <w:r w:rsidR="00ED2151" w:rsidRPr="004B520E">
        <w:t>Fingerprints above</w:t>
      </w:r>
      <w:r w:rsidR="00EB4D3E" w:rsidRPr="004B520E">
        <w:t xml:space="preserve"> the </w:t>
      </w:r>
      <w:r w:rsidR="00DD7556" w:rsidRPr="004B520E">
        <w:t xml:space="preserve">diagonal dotted line </w:t>
      </w:r>
      <w:r w:rsidR="0002483D" w:rsidRPr="004B520E">
        <w:t xml:space="preserve">in </w:t>
      </w:r>
      <w:r w:rsidR="00D8406A">
        <w:fldChar w:fldCharType="begin"/>
      </w:r>
      <w:r w:rsidR="00D8406A">
        <w:instrText xml:space="preserve"> REF _Ref206408825 \h </w:instrText>
      </w:r>
      <w:r w:rsidR="00D8406A">
        <w:fldChar w:fldCharType="separate"/>
      </w:r>
      <w:r w:rsidR="00C43C1D" w:rsidRPr="004B520E">
        <w:t>Figure </w:t>
      </w:r>
      <w:r w:rsidR="00C43C1D">
        <w:rPr>
          <w:noProof/>
        </w:rPr>
        <w:t>3</w:t>
      </w:r>
      <w:r w:rsidR="00C43C1D" w:rsidRPr="004B520E">
        <w:t>.</w:t>
      </w:r>
      <w:r w:rsidR="00C43C1D">
        <w:rPr>
          <w:noProof/>
        </w:rPr>
        <w:t>1</w:t>
      </w:r>
      <w:r w:rsidR="00D8406A">
        <w:fldChar w:fldCharType="end"/>
      </w:r>
      <w:r w:rsidR="00D8406A">
        <w:t xml:space="preserve"> </w:t>
      </w:r>
      <w:r w:rsidR="00BB173A" w:rsidRPr="004B520E">
        <w:t>re</w:t>
      </w:r>
      <w:r w:rsidRPr="004B520E">
        <w:t>p</w:t>
      </w:r>
      <w:r w:rsidR="00BB173A" w:rsidRPr="004B520E">
        <w:t>resent locations that are heterotrop</w:t>
      </w:r>
      <w:r w:rsidR="00CC348F" w:rsidRPr="004B520E">
        <w:t>hic</w:t>
      </w:r>
      <w:r w:rsidR="001C1E5D" w:rsidRPr="004B520E">
        <w:t xml:space="preserve"> (consuming more carbon than they are producing)</w:t>
      </w:r>
      <w:r w:rsidR="00CF2912" w:rsidRPr="004B520E">
        <w:t xml:space="preserve"> while those </w:t>
      </w:r>
      <w:r w:rsidR="001C0C75" w:rsidRPr="004B520E">
        <w:t xml:space="preserve">below </w:t>
      </w:r>
      <w:r w:rsidR="004B2C3B" w:rsidRPr="004B520E">
        <w:t xml:space="preserve">the line </w:t>
      </w:r>
      <w:r w:rsidR="001C0C75" w:rsidRPr="004B520E">
        <w:t>are autotrophic</w:t>
      </w:r>
      <w:r w:rsidR="001C1E5D" w:rsidRPr="004B520E">
        <w:t xml:space="preserve"> </w:t>
      </w:r>
      <w:r w:rsidR="001C1E5D" w:rsidRPr="00D8406A">
        <w:t>(deriving energy and nutrients from within the river channel)</w:t>
      </w:r>
      <w:r w:rsidR="001C0C75" w:rsidRPr="004B520E">
        <w:t>.</w:t>
      </w:r>
      <w:r w:rsidR="00C4202A" w:rsidRPr="004B520E">
        <w:t xml:space="preserve"> </w:t>
      </w:r>
      <w:r w:rsidR="00115A4A" w:rsidRPr="004B520E">
        <w:t>Microbial processing rates are highly sensitive to temperature</w:t>
      </w:r>
      <w:r w:rsidR="008C7EDA" w:rsidRPr="004B520E">
        <w:t>,</w:t>
      </w:r>
      <w:r w:rsidR="00115A4A" w:rsidRPr="004B520E">
        <w:t xml:space="preserve"> </w:t>
      </w:r>
      <w:r w:rsidR="00A36906" w:rsidRPr="004B520E">
        <w:t>so</w:t>
      </w:r>
      <w:r w:rsidRPr="004B520E">
        <w:t xml:space="preserve"> </w:t>
      </w:r>
      <w:r w:rsidR="00C4202A" w:rsidRPr="004B520E">
        <w:t xml:space="preserve">the highest rates of </w:t>
      </w:r>
      <w:r w:rsidRPr="004B520E">
        <w:t>GPP</w:t>
      </w:r>
      <w:r w:rsidR="00C4202A" w:rsidRPr="004B520E">
        <w:t xml:space="preserve"> and </w:t>
      </w:r>
      <w:r w:rsidRPr="004B520E">
        <w:t>ER are</w:t>
      </w:r>
      <w:r w:rsidR="00C4202A" w:rsidRPr="004B520E">
        <w:t xml:space="preserve"> recorded in summer.</w:t>
      </w:r>
    </w:p>
    <w:p w14:paraId="3C7CC528" w14:textId="207B42A9" w:rsidR="0035012E" w:rsidRPr="004B520E" w:rsidRDefault="00624813" w:rsidP="00E63FCA">
      <w:pPr>
        <w:pStyle w:val="Boxedtextorange"/>
      </w:pPr>
      <w:r w:rsidRPr="004B520E">
        <w:t xml:space="preserve">In </w:t>
      </w:r>
      <w:r w:rsidR="00244943" w:rsidRPr="004B520E">
        <w:t>2023–24</w:t>
      </w:r>
      <w:r w:rsidRPr="004B520E">
        <w:t xml:space="preserve">, </w:t>
      </w:r>
      <w:r w:rsidR="009A03C5" w:rsidRPr="004B520E">
        <w:t>38</w:t>
      </w:r>
      <w:r w:rsidR="0012533B" w:rsidRPr="004B520E">
        <w:t xml:space="preserve"> </w:t>
      </w:r>
      <w:r w:rsidR="00C10E5A" w:rsidRPr="004B520E">
        <w:t xml:space="preserve">Commonwealth environmental water </w:t>
      </w:r>
      <w:r w:rsidRPr="004B520E">
        <w:t>actions</w:t>
      </w:r>
      <w:r w:rsidR="00164CFA" w:rsidRPr="004B520E">
        <w:t xml:space="preserve"> –</w:t>
      </w:r>
      <w:r w:rsidRPr="004B520E">
        <w:t xml:space="preserve"> </w:t>
      </w:r>
      <w:r w:rsidR="00DB65DD" w:rsidRPr="004B520E">
        <w:t xml:space="preserve">totalling </w:t>
      </w:r>
      <w:r w:rsidR="009A03C5" w:rsidRPr="004B520E">
        <w:t>2,160</w:t>
      </w:r>
      <w:r w:rsidR="00DB65DD" w:rsidRPr="004B520E">
        <w:t xml:space="preserve"> GL</w:t>
      </w:r>
      <w:r w:rsidR="00164CFA" w:rsidRPr="004B520E">
        <w:t xml:space="preserve"> –</w:t>
      </w:r>
      <w:r w:rsidR="00DB65DD" w:rsidRPr="004B520E">
        <w:t xml:space="preserve"> </w:t>
      </w:r>
      <w:r w:rsidR="009E7827" w:rsidRPr="004B520E">
        <w:t>target</w:t>
      </w:r>
      <w:r w:rsidR="00331340" w:rsidRPr="004B520E">
        <w:t>ed</w:t>
      </w:r>
      <w:r w:rsidRPr="004B520E">
        <w:t xml:space="preserve"> </w:t>
      </w:r>
      <w:r w:rsidR="00667DC6" w:rsidRPr="00125873">
        <w:t xml:space="preserve">ecological outcomes for water quality, food webs, stream metabolism, productivity and river function. </w:t>
      </w:r>
      <w:r w:rsidR="002B46C9" w:rsidRPr="004B520E">
        <w:t>3</w:t>
      </w:r>
      <w:r w:rsidR="002B46C9">
        <w:t>3</w:t>
      </w:r>
      <w:r w:rsidR="00950ED6" w:rsidRPr="004B520E">
        <w:t> </w:t>
      </w:r>
      <w:r w:rsidRPr="004B520E">
        <w:t>watering actions</w:t>
      </w:r>
      <w:r w:rsidR="00C4202A" w:rsidRPr="004B520E">
        <w:t xml:space="preserve"> targeted water quality</w:t>
      </w:r>
      <w:r w:rsidR="00BA0CB3">
        <w:t>, of which</w:t>
      </w:r>
      <w:r w:rsidR="009A03C5" w:rsidRPr="004B520E">
        <w:t xml:space="preserve"> </w:t>
      </w:r>
      <w:r w:rsidR="00491749">
        <w:t>5</w:t>
      </w:r>
      <w:r w:rsidR="00491749" w:rsidRPr="004B520E">
        <w:t xml:space="preserve"> </w:t>
      </w:r>
      <w:r w:rsidR="002714F4">
        <w:t xml:space="preserve">also </w:t>
      </w:r>
      <w:r w:rsidR="00BA5218" w:rsidRPr="004B520E">
        <w:t xml:space="preserve">targeted </w:t>
      </w:r>
      <w:r w:rsidR="00C4202A" w:rsidRPr="004B520E">
        <w:t xml:space="preserve">ecosystem processes </w:t>
      </w:r>
      <w:r w:rsidR="002714F4">
        <w:t>/</w:t>
      </w:r>
      <w:r w:rsidR="002714F4" w:rsidRPr="004B520E">
        <w:t xml:space="preserve"> </w:t>
      </w:r>
      <w:r w:rsidR="00C4202A" w:rsidRPr="004B520E">
        <w:t>food webs</w:t>
      </w:r>
      <w:r w:rsidR="0035012E" w:rsidRPr="004B520E">
        <w:t>.</w:t>
      </w:r>
    </w:p>
    <w:p w14:paraId="086C4E74" w14:textId="5D094E04" w:rsidR="00C24541" w:rsidRDefault="00C24541" w:rsidP="00C24541">
      <w:pPr>
        <w:pStyle w:val="Heading4"/>
      </w:pPr>
      <w:r>
        <w:t>Observations for stream metabolism</w:t>
      </w:r>
      <w:r w:rsidRPr="004B520E">
        <w:t xml:space="preserve"> </w:t>
      </w:r>
      <w:r>
        <w:t xml:space="preserve">in </w:t>
      </w:r>
      <w:r w:rsidRPr="004B520E">
        <w:t>20</w:t>
      </w:r>
      <w:r>
        <w:t>23–24</w:t>
      </w:r>
    </w:p>
    <w:p w14:paraId="49B59740" w14:textId="719CBD3E" w:rsidR="00316158" w:rsidRPr="004B520E" w:rsidRDefault="00316158" w:rsidP="00316158">
      <w:pPr>
        <w:pStyle w:val="ListBullet"/>
      </w:pPr>
      <w:r w:rsidRPr="004B520E">
        <w:rPr>
          <w:rStyle w:val="Bold"/>
        </w:rPr>
        <w:t>Food webs, stream metabolism, gross primary productivity and ecosystem respiration</w:t>
      </w:r>
    </w:p>
    <w:p w14:paraId="56784951" w14:textId="56504C9A" w:rsidR="00316158" w:rsidRPr="004B520E" w:rsidRDefault="009A03C5" w:rsidP="00316158">
      <w:pPr>
        <w:pStyle w:val="ListBullet2"/>
      </w:pPr>
      <w:r w:rsidRPr="004B520E">
        <w:t xml:space="preserve">6 of the </w:t>
      </w:r>
      <w:r w:rsidR="00316158" w:rsidRPr="004B520E">
        <w:t xml:space="preserve">7 </w:t>
      </w:r>
      <w:r w:rsidR="00674FCE" w:rsidRPr="004B520E">
        <w:t>monitoring</w:t>
      </w:r>
      <w:r w:rsidR="00316158" w:rsidRPr="004B520E">
        <w:t xml:space="preserve"> </w:t>
      </w:r>
      <w:r w:rsidR="00674FCE" w:rsidRPr="004B520E">
        <w:t>a</w:t>
      </w:r>
      <w:r w:rsidR="00316158" w:rsidRPr="004B520E">
        <w:t>reas were net consumers of carbon (ratio of GPP to ER &lt;</w:t>
      </w:r>
      <w:r w:rsidR="007412ED" w:rsidRPr="004B520E">
        <w:t xml:space="preserve"> </w:t>
      </w:r>
      <w:r w:rsidR="00316158" w:rsidRPr="004B520E">
        <w:t>1). This highlights the importance of terrestrial organic carbon in the Basin as a major energy source in these systems made available through channel and floodplain connectivity.</w:t>
      </w:r>
    </w:p>
    <w:p w14:paraId="5FA184D0" w14:textId="0156D922" w:rsidR="00316158" w:rsidRPr="004B520E" w:rsidRDefault="00316158" w:rsidP="00316158">
      <w:pPr>
        <w:pStyle w:val="ListBullet2"/>
      </w:pPr>
      <w:r w:rsidRPr="004B520E">
        <w:t>Season was the primary driver of rates of stream metabolism</w:t>
      </w:r>
      <w:r w:rsidR="009020AA">
        <w:t xml:space="preserve"> –</w:t>
      </w:r>
      <w:r w:rsidRPr="004B520E">
        <w:t xml:space="preserve"> the highest daily rates of GPP and ER </w:t>
      </w:r>
      <w:r w:rsidR="009020AA">
        <w:t xml:space="preserve">were </w:t>
      </w:r>
      <w:r w:rsidRPr="004B520E">
        <w:t>consistently recorded in summer.</w:t>
      </w:r>
    </w:p>
    <w:p w14:paraId="5270F7FA" w14:textId="5D68A567" w:rsidR="00316158" w:rsidRPr="004B520E" w:rsidRDefault="00316158" w:rsidP="00316158">
      <w:pPr>
        <w:pStyle w:val="ListBullet2"/>
      </w:pPr>
      <w:r w:rsidRPr="004B520E">
        <w:t>There were significant relationships between stream metabolism and flow. Higher flows generally decreased</w:t>
      </w:r>
      <w:r w:rsidR="007E567F">
        <w:t xml:space="preserve"> </w:t>
      </w:r>
      <w:r w:rsidRPr="004B520E">
        <w:t>in</w:t>
      </w:r>
      <w:r w:rsidR="00061D76">
        <w:t>stream</w:t>
      </w:r>
      <w:r w:rsidR="00061D76" w:rsidRPr="004B520E">
        <w:t xml:space="preserve"> </w:t>
      </w:r>
      <w:r w:rsidRPr="004B520E">
        <w:t>volumetric rates of GPP and ER, likely due to disturbance and dilution effects. However, responses were variable among sites, emphasising a high level of context dependency, likely related to channel morphology and other site-specific characteristics.</w:t>
      </w:r>
    </w:p>
    <w:p w14:paraId="64EEBD22" w14:textId="7F90BC1A" w:rsidR="007C7BD5" w:rsidRPr="009A03C5" w:rsidRDefault="009A03C5" w:rsidP="007C7BD5">
      <w:pPr>
        <w:pStyle w:val="ListBullet2"/>
      </w:pPr>
      <w:r w:rsidRPr="004B520E">
        <w:t xml:space="preserve">Overall, Commonwealth environmental water reduced annual GPP by a mean of 5.3% (range 0.3% to 17.5% among site and years). On individual days with Commonwealth environmental water contribution, daily GPP was 15% lower on average compared to the counterfactual </w:t>
      </w:r>
      <w:r w:rsidR="007C7BD5" w:rsidRPr="009A03C5">
        <w:t>scenario.</w:t>
      </w:r>
    </w:p>
    <w:p w14:paraId="3CD38DB4" w14:textId="37FCCF37" w:rsidR="009A03C5" w:rsidRPr="004B520E" w:rsidRDefault="009A03C5" w:rsidP="009A03C5">
      <w:pPr>
        <w:pStyle w:val="ListBullet2"/>
      </w:pPr>
      <w:r w:rsidRPr="004B520E">
        <w:t>Within Selected Areas, changes to rates of GPP and ER in response to flow were generally small and comparable to previous years.</w:t>
      </w:r>
    </w:p>
    <w:p w14:paraId="19A4768F" w14:textId="73AC4AF3" w:rsidR="0035012E" w:rsidRPr="004B520E" w:rsidRDefault="00B73C24">
      <w:pPr>
        <w:pStyle w:val="ListBullet"/>
      </w:pPr>
      <w:r w:rsidRPr="00784EC6">
        <w:t>The 2014–2</w:t>
      </w:r>
      <w:r w:rsidR="009A03C5" w:rsidRPr="00784EC6">
        <w:t>3</w:t>
      </w:r>
      <w:r w:rsidRPr="00784EC6">
        <w:t xml:space="preserve"> metabolic fingerprints for monitored Areas</w:t>
      </w:r>
      <w:r w:rsidRPr="004B520E">
        <w:t xml:space="preserve"> are overlaid with the </w:t>
      </w:r>
      <w:r w:rsidR="00244943" w:rsidRPr="004B520E">
        <w:t>2023–24</w:t>
      </w:r>
      <w:r w:rsidRPr="004B520E">
        <w:t xml:space="preserve"> metabolic data (</w:t>
      </w:r>
      <w:r w:rsidR="006B19FF">
        <w:fldChar w:fldCharType="begin"/>
      </w:r>
      <w:r w:rsidR="006B19FF">
        <w:instrText xml:space="preserve"> REF _Ref206408825 \h </w:instrText>
      </w:r>
      <w:r w:rsidR="006B19FF">
        <w:fldChar w:fldCharType="separate"/>
      </w:r>
      <w:r w:rsidR="00C43C1D" w:rsidRPr="004B520E">
        <w:t>Figure </w:t>
      </w:r>
      <w:r w:rsidR="00C43C1D">
        <w:rPr>
          <w:noProof/>
        </w:rPr>
        <w:t>3</w:t>
      </w:r>
      <w:r w:rsidR="00C43C1D" w:rsidRPr="004B520E">
        <w:t>.</w:t>
      </w:r>
      <w:r w:rsidR="00C43C1D">
        <w:rPr>
          <w:noProof/>
        </w:rPr>
        <w:t>1</w:t>
      </w:r>
      <w:r w:rsidR="006B19FF">
        <w:fldChar w:fldCharType="end"/>
      </w:r>
      <w:r w:rsidR="008D41C2" w:rsidRPr="004B520E">
        <w:t>)</w:t>
      </w:r>
      <w:r w:rsidR="00B516AB" w:rsidRPr="004B520E">
        <w:t xml:space="preserve">. </w:t>
      </w:r>
      <w:r w:rsidR="00C4202A" w:rsidRPr="004B520E">
        <w:t xml:space="preserve">Shaded </w:t>
      </w:r>
      <w:r w:rsidR="00C4202A" w:rsidRPr="00E23DE7">
        <w:t>areas</w:t>
      </w:r>
      <w:r w:rsidR="00C4202A" w:rsidRPr="004B520E">
        <w:t xml:space="preserve"> above the line indicate heterotrophic systems</w:t>
      </w:r>
      <w:r w:rsidR="00B35C07" w:rsidRPr="004B520E">
        <w:t xml:space="preserve"> that are</w:t>
      </w:r>
      <w:r w:rsidR="00C4202A" w:rsidRPr="004B520E">
        <w:t xml:space="preserve"> consuming more carbon than they are producing.</w:t>
      </w:r>
      <w:r w:rsidR="000D7CD7" w:rsidRPr="004B520E">
        <w:t xml:space="preserve"> </w:t>
      </w:r>
      <w:r w:rsidR="00E23B26" w:rsidRPr="004B520E">
        <w:t xml:space="preserve">This information provides context for understanding stream metabolism for the </w:t>
      </w:r>
      <w:r w:rsidR="00244943" w:rsidRPr="004B520E">
        <w:t>2023–24</w:t>
      </w:r>
      <w:r w:rsidR="00E23B26" w:rsidRPr="004B520E">
        <w:t xml:space="preserve"> year and does not demonstrate impacts of environmental water delivery</w:t>
      </w:r>
      <w:r w:rsidR="0035012E" w:rsidRPr="004B520E">
        <w:t>.</w:t>
      </w:r>
    </w:p>
    <w:p w14:paraId="08E80B5F" w14:textId="24A60CB3" w:rsidR="009A03C5" w:rsidRPr="004B520E" w:rsidRDefault="009A03C5" w:rsidP="009A03C5">
      <w:pPr>
        <w:pStyle w:val="ListBullet2"/>
      </w:pPr>
      <w:r w:rsidRPr="004B520E">
        <w:t>In 2023–24, all Selected Areas were net heterotrophic, except for the Lower Murray River, which was strongly autotrophic</w:t>
      </w:r>
      <w:r w:rsidR="003A1523">
        <w:t>.</w:t>
      </w:r>
    </w:p>
    <w:p w14:paraId="5E8BFEEF" w14:textId="1DDF0677" w:rsidR="009A03C5" w:rsidRPr="004B520E" w:rsidRDefault="009A03C5" w:rsidP="009A03C5">
      <w:pPr>
        <w:pStyle w:val="ListBullet2"/>
      </w:pPr>
      <w:r w:rsidRPr="004B520E">
        <w:t>The Lower Murray River is typically net autotrophic, likely a product of the lentic character of sites within this Selected Area that support phytoplankton. Results for the remaining Selected Areas highlight the importance of terrestrial organic carbon from channel and floodplain connectivity as a major energy source in rivers</w:t>
      </w:r>
      <w:r w:rsidR="003A1523">
        <w:t>.</w:t>
      </w:r>
    </w:p>
    <w:p w14:paraId="642DD0AB" w14:textId="20E29B02" w:rsidR="00E72A48" w:rsidRDefault="009A03C5" w:rsidP="009A03C5">
      <w:pPr>
        <w:pStyle w:val="ListBullet2"/>
      </w:pPr>
      <w:r w:rsidRPr="004B520E">
        <w:t>The Murrumbidgee River System was notable for its narrow range of metabolic throughput, shown by the metabolic fingerprint being constrained in a small region close to the diagonal 1:1 because of highly uniform and stable rates of both ER and GPP. In contrast, all other Selected Areas were stretched across a wide range along the 1:1 line, reflecting more variable metabolic rates.</w:t>
      </w:r>
    </w:p>
    <w:p w14:paraId="4CAB20F6" w14:textId="30F95B50" w:rsidR="00E72A48" w:rsidRDefault="009A03C5" w:rsidP="009A03C5">
      <w:pPr>
        <w:pStyle w:val="ListBullet2"/>
      </w:pPr>
      <w:r w:rsidRPr="004B520E">
        <w:lastRenderedPageBreak/>
        <w:t xml:space="preserve">In 2023–24, the Lachlan River system was dominated by relatively high metabolic throughput – the 10% kernel-density area resided relatively high up the 1:1 </w:t>
      </w:r>
      <w:r w:rsidR="00B70AC1">
        <w:t>line</w:t>
      </w:r>
      <w:r w:rsidRPr="004B520E">
        <w:t>.</w:t>
      </w:r>
      <w:bookmarkStart w:id="410" w:name="_Ref168398684"/>
      <w:bookmarkStart w:id="411" w:name="_Toc172283760"/>
      <w:bookmarkStart w:id="412" w:name="_Toc172283784"/>
      <w:bookmarkStart w:id="413" w:name="_Toc172290281"/>
    </w:p>
    <w:p w14:paraId="120AA639" w14:textId="271B6C02" w:rsidR="00F01C07" w:rsidRPr="004B520E" w:rsidRDefault="00F01C07" w:rsidP="000B73AA">
      <w:pPr>
        <w:pStyle w:val="CaptionWithNote"/>
      </w:pPr>
      <w:bookmarkStart w:id="414" w:name="_Ref206408825"/>
      <w:bookmarkStart w:id="415" w:name="_Toc206528492"/>
      <w:r w:rsidRPr="004B520E">
        <w:t>Figure</w:t>
      </w:r>
      <w:r w:rsidR="008D41C2" w:rsidRPr="004B520E">
        <w:t> </w:t>
      </w:r>
      <w:r w:rsidR="00ED530E" w:rsidRPr="004B520E" w:rsidDel="00182001">
        <w:fldChar w:fldCharType="begin"/>
      </w:r>
      <w:r w:rsidR="00ED530E" w:rsidRPr="004B520E" w:rsidDel="00182001">
        <w:fldChar w:fldCharType="separate"/>
      </w:r>
      <w:r w:rsidR="00871E58" w:rsidRPr="004B520E" w:rsidDel="00182001">
        <w:rPr>
          <w:noProof/>
        </w:rPr>
        <w:t>3</w:t>
      </w:r>
      <w:r w:rsidR="00ED530E" w:rsidRPr="004B520E" w:rsidDel="00182001">
        <w:fldChar w:fldCharType="end"/>
      </w:r>
      <w:r>
        <w:fldChar w:fldCharType="begin"/>
      </w:r>
      <w:r>
        <w:instrText>STYLEREF 1 \s</w:instrText>
      </w:r>
      <w:r>
        <w:fldChar w:fldCharType="separate"/>
      </w:r>
      <w:r w:rsidR="00C43C1D">
        <w:rPr>
          <w:noProof/>
        </w:rPr>
        <w:t>3</w:t>
      </w:r>
      <w:r>
        <w:fldChar w:fldCharType="end"/>
      </w:r>
      <w:r w:rsidR="000E33F7" w:rsidRPr="004B520E">
        <w:t>.</w:t>
      </w:r>
      <w:r>
        <w:fldChar w:fldCharType="begin"/>
      </w:r>
      <w:r>
        <w:instrText>SEQ Figure \* ARABIC \s 1</w:instrText>
      </w:r>
      <w:r>
        <w:fldChar w:fldCharType="separate"/>
      </w:r>
      <w:r w:rsidR="00C43C1D">
        <w:rPr>
          <w:noProof/>
        </w:rPr>
        <w:t>1</w:t>
      </w:r>
      <w:r>
        <w:fldChar w:fldCharType="end"/>
      </w:r>
      <w:bookmarkEnd w:id="410"/>
      <w:bookmarkEnd w:id="414"/>
      <w:r w:rsidRPr="004B520E">
        <w:t xml:space="preserve"> Longer</w:t>
      </w:r>
      <w:r w:rsidR="00591B75">
        <w:t>-</w:t>
      </w:r>
      <w:r w:rsidRPr="004B520E">
        <w:t>term 2014–2</w:t>
      </w:r>
      <w:r w:rsidR="009A03C5" w:rsidRPr="004B520E">
        <w:t>3</w:t>
      </w:r>
      <w:r w:rsidRPr="004B520E">
        <w:t xml:space="preserve"> metabolic fingerprints overlaid with the </w:t>
      </w:r>
      <w:r w:rsidR="00244943" w:rsidRPr="004B520E">
        <w:t>2023–24</w:t>
      </w:r>
      <w:r w:rsidRPr="004B520E">
        <w:t xml:space="preserve"> metabolic fingerprint for </w:t>
      </w:r>
      <w:r w:rsidR="004C49D7">
        <w:t>the 7</w:t>
      </w:r>
      <w:r w:rsidR="00591B75">
        <w:t> </w:t>
      </w:r>
      <w:r w:rsidRPr="004B520E">
        <w:t>Selected Areas</w:t>
      </w:r>
      <w:bookmarkEnd w:id="411"/>
      <w:bookmarkEnd w:id="412"/>
      <w:bookmarkEnd w:id="413"/>
      <w:bookmarkEnd w:id="415"/>
    </w:p>
    <w:p w14:paraId="1EEF00F7" w14:textId="7ED145D5" w:rsidR="00F01C07" w:rsidRPr="004B520E" w:rsidRDefault="00F01C07" w:rsidP="0080788E">
      <w:pPr>
        <w:pStyle w:val="CaptionNote"/>
        <w:rPr>
          <w:b/>
          <w:bCs/>
        </w:rPr>
      </w:pPr>
      <w:r w:rsidRPr="004B520E">
        <w:t>Note log scale on x-</w:t>
      </w:r>
      <w:r w:rsidR="00322F65" w:rsidRPr="004B520E">
        <w:t>axis</w:t>
      </w:r>
      <w:r w:rsidRPr="004B520E">
        <w:t xml:space="preserve"> and y-ax</w:t>
      </w:r>
      <w:r w:rsidR="00322F65" w:rsidRPr="004B520E">
        <w:t>i</w:t>
      </w:r>
      <w:r w:rsidRPr="004B520E">
        <w:t>s.</w:t>
      </w:r>
      <w:r w:rsidR="004C49D7">
        <w:t xml:space="preserve"> Longer-term metabolic fingerprints are shown as contour lines, and </w:t>
      </w:r>
      <w:r w:rsidR="00591B75">
        <w:t>the most recent metabolic fingerprints are shown as dots.</w:t>
      </w:r>
    </w:p>
    <w:p w14:paraId="1013ABFD" w14:textId="77777777" w:rsidR="0080788E" w:rsidRPr="004B520E" w:rsidRDefault="0080788E" w:rsidP="0080788E">
      <w:pPr>
        <w:pStyle w:val="Figure"/>
      </w:pPr>
      <w:bookmarkStart w:id="416" w:name="_Toc74060292"/>
      <w:bookmarkStart w:id="417" w:name="_Toc74060502"/>
      <w:bookmarkStart w:id="418" w:name="_Toc74295733"/>
      <w:bookmarkStart w:id="419" w:name="_Toc74295794"/>
      <w:bookmarkStart w:id="420" w:name="_Toc168579861"/>
      <w:bookmarkStart w:id="421" w:name="_Toc172283657"/>
      <w:bookmarkStart w:id="422" w:name="_Toc172290970"/>
      <w:bookmarkStart w:id="423" w:name="_Toc178668869"/>
      <w:bookmarkEnd w:id="416"/>
      <w:bookmarkEnd w:id="417"/>
      <w:bookmarkEnd w:id="418"/>
      <w:bookmarkEnd w:id="419"/>
      <w:r w:rsidRPr="004B520E">
        <w:rPr>
          <w:noProof/>
        </w:rPr>
        <w:drawing>
          <wp:inline distT="0" distB="0" distL="0" distR="0" wp14:anchorId="5AA4D715" wp14:editId="52B75488">
            <wp:extent cx="6120000" cy="5974940"/>
            <wp:effectExtent l="0" t="0" r="0" b="6985"/>
            <wp:docPr id="470272462" name="Picture 17"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72462" name="Picture 17"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rotWithShape="1">
                    <a:blip r:embed="rId67"/>
                    <a:srcRect t="1876" r="2099" b="902"/>
                    <a:stretch>
                      <a:fillRect/>
                    </a:stretch>
                  </pic:blipFill>
                  <pic:spPr bwMode="auto">
                    <a:xfrm>
                      <a:off x="0" y="0"/>
                      <a:ext cx="6120000" cy="5974940"/>
                    </a:xfrm>
                    <a:prstGeom prst="rect">
                      <a:avLst/>
                    </a:prstGeom>
                    <a:ln>
                      <a:noFill/>
                    </a:ln>
                    <a:extLst>
                      <a:ext uri="{53640926-AAD7-44D8-BBD7-CCE9431645EC}">
                        <a14:shadowObscured xmlns:a14="http://schemas.microsoft.com/office/drawing/2010/main"/>
                      </a:ext>
                    </a:extLst>
                  </pic:spPr>
                </pic:pic>
              </a:graphicData>
            </a:graphic>
          </wp:inline>
        </w:drawing>
      </w:r>
    </w:p>
    <w:p w14:paraId="033448E5" w14:textId="721EE10B" w:rsidR="00F0139E" w:rsidRPr="004B520E" w:rsidRDefault="00ED3D30" w:rsidP="00113FC9">
      <w:pPr>
        <w:pStyle w:val="Heading2"/>
      </w:pPr>
      <w:bookmarkStart w:id="424" w:name="_Toc200743763"/>
      <w:bookmarkStart w:id="425" w:name="_Toc200743862"/>
      <w:bookmarkStart w:id="426" w:name="_Toc203682276"/>
      <w:bookmarkStart w:id="427" w:name="_Toc204606891"/>
      <w:r w:rsidRPr="004B520E">
        <w:lastRenderedPageBreak/>
        <w:t xml:space="preserve">Water quality outcomes </w:t>
      </w:r>
      <w:r w:rsidR="00244943" w:rsidRPr="004B520E">
        <w:t>2023–24</w:t>
      </w:r>
      <w:bookmarkEnd w:id="420"/>
      <w:bookmarkEnd w:id="421"/>
      <w:bookmarkEnd w:id="422"/>
      <w:bookmarkEnd w:id="423"/>
      <w:bookmarkEnd w:id="424"/>
      <w:bookmarkEnd w:id="425"/>
      <w:bookmarkEnd w:id="426"/>
      <w:bookmarkEnd w:id="427"/>
    </w:p>
    <w:p w14:paraId="67F76815" w14:textId="6B6A113E" w:rsidR="00277D3E" w:rsidRPr="004B520E" w:rsidRDefault="00277D3E" w:rsidP="00244943">
      <w:pPr>
        <w:pStyle w:val="ChapterSignposting"/>
        <w:keepNext/>
        <w:keepLines/>
      </w:pPr>
      <w:r w:rsidRPr="004B520E">
        <w:t xml:space="preserve">This section presents findings from the Foodwebs and Water Quality evaluation for the </w:t>
      </w:r>
      <w:r w:rsidR="00244943" w:rsidRPr="004B520E">
        <w:t>2023–24</w:t>
      </w:r>
      <w:r w:rsidRPr="004B520E">
        <w:t xml:space="preserve"> water year</w:t>
      </w:r>
      <w:r w:rsidR="00BA3DC2" w:rsidRPr="004B520E">
        <w:t xml:space="preserve">, </w:t>
      </w:r>
      <w:r w:rsidRPr="004B520E">
        <w:t xml:space="preserve">presented in full in the </w:t>
      </w:r>
      <w:r w:rsidR="009226E0" w:rsidRPr="004B520E">
        <w:t xml:space="preserve">‘Basin-scale evaluation of </w:t>
      </w:r>
      <w:r w:rsidR="00244943" w:rsidRPr="004B520E">
        <w:t>2023–24</w:t>
      </w:r>
      <w:r w:rsidR="009226E0" w:rsidRPr="004B520E">
        <w:t xml:space="preserve"> Commonwealth environmental water: Foodwebs and Water Quality’</w:t>
      </w:r>
      <w:r w:rsidR="009226E0" w:rsidRPr="004B520E" w:rsidDel="00E96AC8">
        <w:t xml:space="preserve"> </w:t>
      </w:r>
      <w:r w:rsidR="009226E0" w:rsidRPr="004B520E">
        <w:t>r</w:t>
      </w:r>
      <w:r w:rsidR="009226E0" w:rsidRPr="004B520E">
        <w:rPr>
          <w:iCs/>
          <w:szCs w:val="20"/>
        </w:rPr>
        <w:t xml:space="preserve">eport </w:t>
      </w:r>
      <w:r w:rsidRPr="004B520E">
        <w:t>(</w:t>
      </w:r>
      <w:r w:rsidR="009226E0" w:rsidRPr="004B520E">
        <w:t xml:space="preserve">accompanying this document and will be </w:t>
      </w:r>
      <w:r w:rsidRPr="004B520E">
        <w:t xml:space="preserve">available from </w:t>
      </w:r>
      <w:r w:rsidR="00A62256">
        <w:t>DCCEEW’s</w:t>
      </w:r>
      <w:r w:rsidR="00A62256" w:rsidRPr="004B520E">
        <w:t xml:space="preserve"> </w:t>
      </w:r>
      <w:hyperlink r:id="rId68" w:history="1">
        <w:r w:rsidR="00A62256" w:rsidRPr="004B520E">
          <w:rPr>
            <w:rStyle w:val="Hyperlink"/>
            <w:rFonts w:cs="Calibri Light"/>
          </w:rPr>
          <w:t>Flow-MER Basin-scale Project publications</w:t>
        </w:r>
      </w:hyperlink>
      <w:r w:rsidR="00A62256" w:rsidRPr="004B520E">
        <w:t xml:space="preserve"> </w:t>
      </w:r>
      <w:r w:rsidR="00A62256">
        <w:t>web</w:t>
      </w:r>
      <w:r w:rsidR="00A62256" w:rsidRPr="004B520E">
        <w:t>page</w:t>
      </w:r>
      <w:r w:rsidR="009226E0" w:rsidRPr="004B520E">
        <w:t>).</w:t>
      </w:r>
    </w:p>
    <w:p w14:paraId="4F2FF7E1" w14:textId="72BE7855" w:rsidR="00D05A46" w:rsidRPr="004B520E" w:rsidRDefault="00D05A46" w:rsidP="00244943">
      <w:pPr>
        <w:pStyle w:val="Boxedheadingblue"/>
        <w:rPr>
          <w:rStyle w:val="Italics"/>
          <w:rFonts w:ascii="Times New Roman" w:hAnsi="Times New Roman" w:cstheme="minorHAnsi"/>
          <w:b w:val="0"/>
          <w:i w:val="0"/>
          <w:smallCaps/>
          <w:color w:val="auto"/>
          <w:sz w:val="24"/>
          <w:szCs w:val="22"/>
          <w:lang w:eastAsia="en-US"/>
        </w:rPr>
      </w:pPr>
      <w:bookmarkStart w:id="428" w:name="_Toc172290971"/>
      <w:bookmarkStart w:id="429" w:name="_Toc178668870"/>
      <w:r w:rsidRPr="004B520E">
        <w:rPr>
          <w:rStyle w:val="Italics"/>
          <w:i w:val="0"/>
        </w:rPr>
        <w:t xml:space="preserve">What was the contribution </w:t>
      </w:r>
      <w:r w:rsidR="003478C4" w:rsidRPr="004B520E">
        <w:rPr>
          <w:rStyle w:val="Italics"/>
          <w:i w:val="0"/>
        </w:rPr>
        <w:t xml:space="preserve">of Commonwealth </w:t>
      </w:r>
      <w:r w:rsidR="003478C4" w:rsidRPr="004B520E">
        <w:t>environment</w:t>
      </w:r>
      <w:r w:rsidR="0013783E" w:rsidRPr="004B520E">
        <w:t>al water</w:t>
      </w:r>
      <w:r w:rsidR="003478C4" w:rsidRPr="004B520E">
        <w:t xml:space="preserve"> </w:t>
      </w:r>
      <w:r w:rsidRPr="004B520E">
        <w:rPr>
          <w:rStyle w:val="Italics"/>
          <w:i w:val="0"/>
        </w:rPr>
        <w:t>to maintaining water quality and meet</w:t>
      </w:r>
      <w:r w:rsidR="00274610" w:rsidRPr="004B520E">
        <w:rPr>
          <w:rStyle w:val="Italics"/>
          <w:i w:val="0"/>
        </w:rPr>
        <w:t>ing</w:t>
      </w:r>
      <w:r w:rsidRPr="004B520E">
        <w:rPr>
          <w:rStyle w:val="Italics"/>
          <w:i w:val="0"/>
        </w:rPr>
        <w:t xml:space="preserve"> </w:t>
      </w:r>
      <w:r w:rsidR="000E224C" w:rsidRPr="004B520E">
        <w:rPr>
          <w:rStyle w:val="Italics"/>
          <w:i w:val="0"/>
        </w:rPr>
        <w:t>targets for</w:t>
      </w:r>
      <w:r w:rsidRPr="004B520E">
        <w:rPr>
          <w:rStyle w:val="Italics"/>
          <w:i w:val="0"/>
        </w:rPr>
        <w:t xml:space="preserve"> dissolved oxygen, salinity and salt export?</w:t>
      </w:r>
      <w:bookmarkEnd w:id="428"/>
      <w:bookmarkEnd w:id="429"/>
    </w:p>
    <w:p w14:paraId="0D3DC805" w14:textId="3A8DCB8F" w:rsidR="00384625" w:rsidRPr="004B520E" w:rsidRDefault="00384625" w:rsidP="00A06FEB">
      <w:pPr>
        <w:pStyle w:val="BodyText"/>
      </w:pPr>
      <w:r w:rsidRPr="004B520E">
        <w:rPr>
          <w:rStyle w:val="Bold"/>
        </w:rPr>
        <w:t>Water quality</w:t>
      </w:r>
      <w:r w:rsidRPr="004B520E">
        <w:t xml:space="preserve"> describes the chemical, physical and biological characteristics of water and its suitability for environmental uses. Water quality is a key indicator of aquatic ecosystem health, and flow plays an important role in the maintenance of water quality in rivers. Water quality objectives and associated watering actions </w:t>
      </w:r>
      <w:r w:rsidR="00C4202A" w:rsidRPr="004B520E">
        <w:t>aim to</w:t>
      </w:r>
      <w:r w:rsidRPr="004B520E">
        <w:t xml:space="preserve"> prevent or reduc</w:t>
      </w:r>
      <w:r w:rsidR="00F25F91" w:rsidRPr="004B520E">
        <w:t>e</w:t>
      </w:r>
      <w:r w:rsidRPr="004B520E">
        <w:t xml:space="preserve"> the impact of </w:t>
      </w:r>
      <w:r w:rsidR="002E5C03" w:rsidRPr="00125873">
        <w:t>poor water quality (low dissolved oxygen, high salinity</w:t>
      </w:r>
      <w:r w:rsidR="002E5C03">
        <w:t>,</w:t>
      </w:r>
      <w:r w:rsidR="002E5C03" w:rsidRPr="00125873">
        <w:t xml:space="preserve"> algal blooms) on ecosystems, plants and animals. </w:t>
      </w:r>
      <w:r w:rsidR="00066354" w:rsidRPr="004B520E">
        <w:t xml:space="preserve">Maintenance of </w:t>
      </w:r>
      <w:r w:rsidR="00AE7F7C" w:rsidRPr="004B520E">
        <w:t>w</w:t>
      </w:r>
      <w:r w:rsidR="001F3D79" w:rsidRPr="004B520E">
        <w:t xml:space="preserve">ater quality is critical </w:t>
      </w:r>
      <w:r w:rsidR="00066354" w:rsidRPr="004B520E">
        <w:t>to the completion of life c</w:t>
      </w:r>
      <w:r w:rsidR="00AE7F7C" w:rsidRPr="004B520E">
        <w:t>y</w:t>
      </w:r>
      <w:r w:rsidR="00066354" w:rsidRPr="004B520E">
        <w:t>cles for n</w:t>
      </w:r>
      <w:r w:rsidR="000161FD" w:rsidRPr="004B520E">
        <w:t>ative fish, vegetation and waterbirds</w:t>
      </w:r>
      <w:r w:rsidR="00066354" w:rsidRPr="004B520E">
        <w:t>.</w:t>
      </w:r>
    </w:p>
    <w:p w14:paraId="29466F68" w14:textId="08983D44" w:rsidR="00450172" w:rsidRPr="004B520E" w:rsidRDefault="006A0818" w:rsidP="00113FC9">
      <w:pPr>
        <w:pStyle w:val="Heading3"/>
      </w:pPr>
      <w:bookmarkStart w:id="430" w:name="_Toc168579863"/>
      <w:bookmarkStart w:id="431" w:name="_Toc172283659"/>
      <w:r>
        <w:t>Concentration of d</w:t>
      </w:r>
      <w:r w:rsidR="00450172" w:rsidRPr="004B520E">
        <w:t xml:space="preserve">issolved oxygen </w:t>
      </w:r>
      <w:bookmarkEnd w:id="430"/>
      <w:bookmarkEnd w:id="431"/>
    </w:p>
    <w:p w14:paraId="5A79A624" w14:textId="5535A557" w:rsidR="0035012E" w:rsidRPr="004B520E" w:rsidRDefault="00C33ED6" w:rsidP="003478C4">
      <w:pPr>
        <w:pStyle w:val="BodyText"/>
      </w:pPr>
      <w:r w:rsidRPr="004B520E">
        <w:t>The</w:t>
      </w:r>
      <w:r w:rsidR="00D20537" w:rsidRPr="004B520E">
        <w:t xml:space="preserve"> Basin Plan</w:t>
      </w:r>
      <w:r w:rsidRPr="004B520E">
        <w:t xml:space="preserve"> target for </w:t>
      </w:r>
      <w:r w:rsidR="0040746C" w:rsidRPr="004B520E">
        <w:t xml:space="preserve">dissolved oxygen </w:t>
      </w:r>
      <w:r w:rsidRPr="004B520E">
        <w:t xml:space="preserve">is to maintain a value of at least 50% saturation, which equates to a </w:t>
      </w:r>
      <w:r w:rsidR="0040746C" w:rsidRPr="004B520E">
        <w:t>dissolved oxy</w:t>
      </w:r>
      <w:r w:rsidR="00F25F91" w:rsidRPr="004B520E">
        <w:t>g</w:t>
      </w:r>
      <w:r w:rsidR="0040746C" w:rsidRPr="004B520E">
        <w:t>en</w:t>
      </w:r>
      <w:r w:rsidRPr="004B520E">
        <w:t xml:space="preserve"> concentration of approximately 4</w:t>
      </w:r>
      <w:r w:rsidR="000A6852" w:rsidRPr="004B520E">
        <w:t>–</w:t>
      </w:r>
      <w:r w:rsidR="0027626C" w:rsidRPr="004B520E">
        <w:t xml:space="preserve">5 </w:t>
      </w:r>
      <w:r w:rsidRPr="004B520E">
        <w:t>mg/L</w:t>
      </w:r>
      <w:r w:rsidR="0035012E" w:rsidRPr="004B520E">
        <w:t>.</w:t>
      </w:r>
    </w:p>
    <w:p w14:paraId="07E79F34" w14:textId="388B3D8C" w:rsidR="0035012E" w:rsidRPr="004B520E" w:rsidRDefault="00F009F8" w:rsidP="00A837F5">
      <w:pPr>
        <w:pStyle w:val="ListBullet"/>
      </w:pPr>
      <w:r w:rsidRPr="004B520E">
        <w:t xml:space="preserve">In </w:t>
      </w:r>
      <w:r w:rsidR="000938D3" w:rsidRPr="004B520E">
        <w:t xml:space="preserve">past </w:t>
      </w:r>
      <w:r w:rsidR="004647D3" w:rsidRPr="004B520E">
        <w:t>years</w:t>
      </w:r>
      <w:r w:rsidR="000938D3" w:rsidRPr="004B520E">
        <w:t xml:space="preserve">, delivery of </w:t>
      </w:r>
      <w:r w:rsidR="00CB055B" w:rsidRPr="004B520E">
        <w:t>Commonwealth environmental water</w:t>
      </w:r>
      <w:r w:rsidR="001765D4" w:rsidRPr="004B520E">
        <w:t xml:space="preserve"> </w:t>
      </w:r>
      <w:r w:rsidR="00AE28DD" w:rsidRPr="004B520E">
        <w:t xml:space="preserve">has decreased the likelihood of low </w:t>
      </w:r>
      <w:r w:rsidR="000938D3" w:rsidRPr="004B520E">
        <w:t xml:space="preserve">dissolved oxygen </w:t>
      </w:r>
      <w:r w:rsidR="005531E3" w:rsidRPr="004B520E">
        <w:t xml:space="preserve">in the Lower Murray </w:t>
      </w:r>
      <w:r w:rsidR="00AE28DD" w:rsidRPr="004B520E">
        <w:t>by increasing water mixing and oxygen exchange at the surface</w:t>
      </w:r>
      <w:r w:rsidR="000938D3" w:rsidRPr="004B520E">
        <w:t xml:space="preserve"> and</w:t>
      </w:r>
      <w:r w:rsidR="00AE28DD" w:rsidRPr="004B520E">
        <w:t xml:space="preserve"> </w:t>
      </w:r>
      <w:r w:rsidR="00B8215B" w:rsidRPr="004B520E">
        <w:t>el</w:t>
      </w:r>
      <w:r w:rsidR="00DF1C98" w:rsidRPr="004B520E">
        <w:t>e</w:t>
      </w:r>
      <w:r w:rsidR="00B8215B" w:rsidRPr="004B520E">
        <w:t xml:space="preserve">vating flow </w:t>
      </w:r>
      <w:r w:rsidR="00AE28DD" w:rsidRPr="004B520E">
        <w:t>veloci</w:t>
      </w:r>
      <w:r w:rsidR="00B8215B" w:rsidRPr="004B520E">
        <w:t>ty</w:t>
      </w:r>
      <w:r w:rsidR="006A3240" w:rsidRPr="004B520E">
        <w:t xml:space="preserve"> </w:t>
      </w:r>
      <w:r w:rsidR="000938D3" w:rsidRPr="004B520E">
        <w:t xml:space="preserve">above </w:t>
      </w:r>
      <w:r w:rsidR="00AE28DD" w:rsidRPr="004B520E">
        <w:t>0.18 m/s</w:t>
      </w:r>
      <w:r w:rsidR="00172B44" w:rsidRPr="004B520E">
        <w:t xml:space="preserve">. </w:t>
      </w:r>
      <w:r w:rsidR="000938D3" w:rsidRPr="004B520E">
        <w:t xml:space="preserve">Once </w:t>
      </w:r>
      <w:r w:rsidR="00172B44" w:rsidRPr="004B520E">
        <w:t>flow</w:t>
      </w:r>
      <w:r w:rsidR="008403FD" w:rsidRPr="004B520E">
        <w:t xml:space="preserve"> velocity</w:t>
      </w:r>
      <w:r w:rsidR="00172B44" w:rsidRPr="004B520E">
        <w:t xml:space="preserve"> </w:t>
      </w:r>
      <w:r w:rsidR="000938D3" w:rsidRPr="004B520E">
        <w:t xml:space="preserve">is greater than </w:t>
      </w:r>
      <w:r w:rsidR="008403FD" w:rsidRPr="004B520E">
        <w:t>0.4 m/s</w:t>
      </w:r>
      <w:r w:rsidR="000938D3" w:rsidRPr="004B520E">
        <w:t>, there is no</w:t>
      </w:r>
      <w:r w:rsidR="009770DE" w:rsidRPr="004B520E">
        <w:t xml:space="preserve"> additional benefit </w:t>
      </w:r>
      <w:r w:rsidR="000938D3" w:rsidRPr="004B520E">
        <w:t xml:space="preserve">for </w:t>
      </w:r>
      <w:r w:rsidR="009839B0" w:rsidRPr="004B520E">
        <w:t>gas exchange</w:t>
      </w:r>
      <w:r w:rsidR="009D0453" w:rsidRPr="004B520E">
        <w:t xml:space="preserve">. </w:t>
      </w:r>
      <w:r w:rsidR="000D7CD7" w:rsidRPr="004B520E">
        <w:t xml:space="preserve">During </w:t>
      </w:r>
      <w:r w:rsidR="00244943" w:rsidRPr="004B520E">
        <w:t>2023–24</w:t>
      </w:r>
      <w:r w:rsidR="000D7CD7" w:rsidRPr="004B520E">
        <w:t xml:space="preserve">, naturally high flows </w:t>
      </w:r>
      <w:r w:rsidR="00AE7F7C" w:rsidRPr="004B520E">
        <w:t>maintained flow velocity above</w:t>
      </w:r>
      <w:r w:rsidR="000D7CD7" w:rsidRPr="004B520E">
        <w:t xml:space="preserve"> 0.4 m/s in the Lower Murray River</w:t>
      </w:r>
      <w:r w:rsidR="000938D3" w:rsidRPr="004B520E">
        <w:t xml:space="preserve">, </w:t>
      </w:r>
      <w:r w:rsidR="00EA5CDD" w:rsidRPr="004B520E">
        <w:t>so</w:t>
      </w:r>
      <w:r w:rsidR="009D0453" w:rsidRPr="004B520E">
        <w:t xml:space="preserve"> </w:t>
      </w:r>
      <w:r w:rsidR="000D7CD7" w:rsidRPr="004B520E">
        <w:t xml:space="preserve">the addition of </w:t>
      </w:r>
      <w:r w:rsidR="00CB055B" w:rsidRPr="004B520E">
        <w:t>Commonwealth environmental water</w:t>
      </w:r>
      <w:r w:rsidR="000D7CD7" w:rsidRPr="004B520E">
        <w:t xml:space="preserve"> did not influence gas exchange and saturation levels</w:t>
      </w:r>
      <w:r w:rsidR="0035012E" w:rsidRPr="004B520E">
        <w:t>.</w:t>
      </w:r>
    </w:p>
    <w:p w14:paraId="3C185F69" w14:textId="290D22A8" w:rsidR="00A837F5" w:rsidRPr="004B520E" w:rsidRDefault="00A837F5" w:rsidP="00A837F5">
      <w:pPr>
        <w:pStyle w:val="ListBullet"/>
      </w:pPr>
      <w:r w:rsidRPr="004B520E">
        <w:t xml:space="preserve">Environmental watering actions in the Edward/Kolety–Wakool river systems and Murrumbidgee River System helped to maintain dissolved oxygen concentrations and prevent the development of hypoxic </w:t>
      </w:r>
      <w:r w:rsidR="009A03C5" w:rsidRPr="004B520E">
        <w:t>conditions</w:t>
      </w:r>
      <w:r w:rsidRPr="004B520E">
        <w:t>.</w:t>
      </w:r>
    </w:p>
    <w:p w14:paraId="63DD3A55" w14:textId="4187A03D" w:rsidR="00450172" w:rsidRPr="004B520E" w:rsidRDefault="0040764F" w:rsidP="00113FC9">
      <w:pPr>
        <w:pStyle w:val="Heading3"/>
      </w:pPr>
      <w:bookmarkStart w:id="432" w:name="_Toc168579864"/>
      <w:bookmarkStart w:id="433" w:name="_Toc172283660"/>
      <w:r w:rsidRPr="004B520E">
        <w:t xml:space="preserve">Salt </w:t>
      </w:r>
      <w:r w:rsidR="00156113" w:rsidRPr="004B520E">
        <w:t>export</w:t>
      </w:r>
      <w:r w:rsidRPr="004B520E">
        <w:t xml:space="preserve"> and salinity</w:t>
      </w:r>
      <w:bookmarkEnd w:id="432"/>
      <w:bookmarkEnd w:id="433"/>
    </w:p>
    <w:p w14:paraId="5BD3457C" w14:textId="400A8199" w:rsidR="0035012E" w:rsidRPr="004B520E" w:rsidRDefault="00BC7B78" w:rsidP="00A06FEB">
      <w:pPr>
        <w:pStyle w:val="BodyText"/>
      </w:pPr>
      <w:r w:rsidRPr="004B520E">
        <w:t>The Basin Plan salt</w:t>
      </w:r>
      <w:r w:rsidR="000A5239" w:rsidRPr="004B520E">
        <w:t>-</w:t>
      </w:r>
      <w:r w:rsidRPr="004B520E">
        <w:t>export objective (</w:t>
      </w:r>
      <w:r w:rsidR="00C73EAA" w:rsidRPr="004B520E">
        <w:t xml:space="preserve">section </w:t>
      </w:r>
      <w:r w:rsidRPr="004B520E">
        <w:t>9.09) aims to ensure adequate removal of salt from the Murray River system into the Southern Ocean</w:t>
      </w:r>
      <w:r w:rsidR="0035012E" w:rsidRPr="004B520E">
        <w:t>.</w:t>
      </w:r>
    </w:p>
    <w:p w14:paraId="531D9DB5" w14:textId="50C4F408" w:rsidR="0035012E" w:rsidRPr="004B520E" w:rsidRDefault="009A03C5" w:rsidP="009C2387">
      <w:pPr>
        <w:pStyle w:val="ListBullet"/>
        <w:keepNext/>
        <w:rPr>
          <w:b/>
          <w:bCs/>
        </w:rPr>
      </w:pPr>
      <w:r w:rsidRPr="004B520E">
        <w:rPr>
          <w:b/>
          <w:bCs/>
        </w:rPr>
        <w:t>221,272</w:t>
      </w:r>
      <w:r w:rsidR="00C4202A" w:rsidRPr="004B520E">
        <w:rPr>
          <w:b/>
          <w:bCs/>
        </w:rPr>
        <w:t xml:space="preserve"> </w:t>
      </w:r>
      <w:r w:rsidR="0021010B" w:rsidRPr="004B520E">
        <w:rPr>
          <w:b/>
          <w:bCs/>
        </w:rPr>
        <w:t xml:space="preserve">tonnes of salt </w:t>
      </w:r>
      <w:r w:rsidR="009E6438" w:rsidRPr="004B520E">
        <w:rPr>
          <w:b/>
          <w:bCs/>
        </w:rPr>
        <w:t>w</w:t>
      </w:r>
      <w:r w:rsidR="004D185A">
        <w:rPr>
          <w:b/>
          <w:bCs/>
        </w:rPr>
        <w:t>ere</w:t>
      </w:r>
      <w:r w:rsidR="009E6438" w:rsidRPr="004B520E">
        <w:rPr>
          <w:b/>
          <w:bCs/>
        </w:rPr>
        <w:t xml:space="preserve"> </w:t>
      </w:r>
      <w:r w:rsidR="0021010B" w:rsidRPr="004B520E">
        <w:rPr>
          <w:b/>
          <w:bCs/>
        </w:rPr>
        <w:t>export</w:t>
      </w:r>
      <w:r w:rsidR="009E6438" w:rsidRPr="004B520E">
        <w:rPr>
          <w:b/>
          <w:bCs/>
        </w:rPr>
        <w:t>ed</w:t>
      </w:r>
      <w:r w:rsidR="0021010B" w:rsidRPr="004B520E">
        <w:rPr>
          <w:b/>
          <w:bCs/>
        </w:rPr>
        <w:t xml:space="preserve"> due to Commonwealth </w:t>
      </w:r>
      <w:r w:rsidR="003478C4" w:rsidRPr="004B520E">
        <w:rPr>
          <w:b/>
          <w:bCs/>
        </w:rPr>
        <w:t>environment</w:t>
      </w:r>
      <w:r w:rsidR="00442B3F" w:rsidRPr="004B520E">
        <w:rPr>
          <w:b/>
          <w:bCs/>
        </w:rPr>
        <w:t>al water</w:t>
      </w:r>
      <w:r w:rsidR="0035012E" w:rsidRPr="004B520E">
        <w:rPr>
          <w:b/>
          <w:bCs/>
        </w:rPr>
        <w:t>.</w:t>
      </w:r>
    </w:p>
    <w:p w14:paraId="32A65461" w14:textId="6E402F7C" w:rsidR="000D7CD7" w:rsidRPr="004B520E" w:rsidRDefault="00CB055B" w:rsidP="00D358F7">
      <w:pPr>
        <w:pStyle w:val="ListBullet2"/>
      </w:pPr>
      <w:r w:rsidRPr="004B520E">
        <w:t>Commonwealth environmental water</w:t>
      </w:r>
      <w:r w:rsidR="003478C4" w:rsidRPr="004B520E">
        <w:t xml:space="preserve"> </w:t>
      </w:r>
      <w:r w:rsidR="00C4202A" w:rsidRPr="004B520E">
        <w:t xml:space="preserve">was responsible for the export of </w:t>
      </w:r>
      <w:r w:rsidR="00B4543E" w:rsidRPr="004B520E">
        <w:t xml:space="preserve">approximately </w:t>
      </w:r>
      <w:r w:rsidR="009A03C5" w:rsidRPr="004B520E">
        <w:t>18</w:t>
      </w:r>
      <w:r w:rsidR="00C4202A" w:rsidRPr="004B520E">
        <w:t xml:space="preserve">% of the salt exported from the Basin through the barrages in </w:t>
      </w:r>
      <w:r w:rsidR="00244943" w:rsidRPr="004B520E">
        <w:t>2023–24</w:t>
      </w:r>
      <w:r w:rsidR="00242C7B" w:rsidRPr="004B520E">
        <w:t xml:space="preserve">, equating to </w:t>
      </w:r>
      <w:r w:rsidR="009A03C5" w:rsidRPr="004B520E">
        <w:t>11</w:t>
      </w:r>
      <w:r w:rsidR="00F14D2F" w:rsidRPr="004B520E">
        <w:t>% of the Basin target</w:t>
      </w:r>
      <w:r w:rsidR="00C4202A" w:rsidRPr="004B520E">
        <w:t>.</w:t>
      </w:r>
    </w:p>
    <w:p w14:paraId="6781FBEA" w14:textId="035E9917" w:rsidR="000D7CD7" w:rsidRPr="004B520E" w:rsidRDefault="00CB055B" w:rsidP="00D358F7">
      <w:pPr>
        <w:pStyle w:val="ListBullet2"/>
      </w:pPr>
      <w:r w:rsidRPr="004B520E">
        <w:t>Commonwealth environmental water</w:t>
      </w:r>
      <w:r w:rsidR="003478C4" w:rsidRPr="004B520E">
        <w:t xml:space="preserve"> </w:t>
      </w:r>
      <w:r w:rsidR="00C4202A" w:rsidRPr="004B520E">
        <w:t xml:space="preserve">was responsible for the reduction of salt import into the Coorong estuary in </w:t>
      </w:r>
      <w:r w:rsidR="00244943" w:rsidRPr="004B520E">
        <w:t>2023–24</w:t>
      </w:r>
      <w:r w:rsidR="00C4202A" w:rsidRPr="004B520E">
        <w:t xml:space="preserve"> by </w:t>
      </w:r>
      <w:r w:rsidR="009A03C5" w:rsidRPr="004B520E">
        <w:t>an estimated</w:t>
      </w:r>
      <w:r w:rsidR="00C4202A" w:rsidRPr="004B520E">
        <w:t xml:space="preserve"> </w:t>
      </w:r>
      <w:r w:rsidR="009A03C5" w:rsidRPr="004B520E">
        <w:t>2,854</w:t>
      </w:r>
      <w:r w:rsidR="007B66C8" w:rsidRPr="004B520E">
        <w:t>,</w:t>
      </w:r>
      <w:r w:rsidR="009A03C5" w:rsidRPr="004B520E">
        <w:t>965</w:t>
      </w:r>
      <w:r w:rsidR="007B66C8" w:rsidRPr="004B520E">
        <w:t xml:space="preserve"> </w:t>
      </w:r>
      <w:r w:rsidR="00AB7580" w:rsidRPr="004B520E">
        <w:t>tonnes.</w:t>
      </w:r>
    </w:p>
    <w:p w14:paraId="0168413D" w14:textId="534CE744" w:rsidR="00450172" w:rsidRPr="004B520E" w:rsidRDefault="00450172" w:rsidP="00142CA6">
      <w:pPr>
        <w:pStyle w:val="ListBullet"/>
      </w:pPr>
      <w:r w:rsidRPr="004B520E">
        <w:rPr>
          <w:b/>
          <w:bCs/>
          <w:color w:val="000000" w:themeColor="text1"/>
        </w:rPr>
        <w:t xml:space="preserve">Commonwealth </w:t>
      </w:r>
      <w:r w:rsidR="008246EE" w:rsidRPr="004B520E">
        <w:rPr>
          <w:b/>
          <w:bCs/>
        </w:rPr>
        <w:t xml:space="preserve">environmental water </w:t>
      </w:r>
      <w:r w:rsidR="003478C4" w:rsidRPr="004B520E">
        <w:rPr>
          <w:b/>
          <w:bCs/>
        </w:rPr>
        <w:t>contributed to</w:t>
      </w:r>
      <w:r w:rsidR="003478C4" w:rsidRPr="004B520E">
        <w:t xml:space="preserve"> </w:t>
      </w:r>
      <w:r w:rsidR="002F1FCC" w:rsidRPr="004B520E">
        <w:rPr>
          <w:b/>
          <w:bCs/>
          <w:color w:val="000000" w:themeColor="text1"/>
        </w:rPr>
        <w:t xml:space="preserve">low </w:t>
      </w:r>
      <w:r w:rsidRPr="004B520E">
        <w:rPr>
          <w:b/>
          <w:bCs/>
          <w:color w:val="000000" w:themeColor="text1"/>
        </w:rPr>
        <w:t xml:space="preserve">river salinity </w:t>
      </w:r>
      <w:r w:rsidR="00B64EA3" w:rsidRPr="004B520E">
        <w:rPr>
          <w:b/>
          <w:bCs/>
          <w:color w:val="000000" w:themeColor="text1"/>
        </w:rPr>
        <w:t>in S</w:t>
      </w:r>
      <w:r w:rsidR="0040746C" w:rsidRPr="004B520E">
        <w:rPr>
          <w:b/>
          <w:bCs/>
          <w:color w:val="000000" w:themeColor="text1"/>
        </w:rPr>
        <w:t xml:space="preserve">outh </w:t>
      </w:r>
      <w:r w:rsidR="00B64EA3" w:rsidRPr="004B520E">
        <w:rPr>
          <w:b/>
          <w:bCs/>
          <w:color w:val="000000" w:themeColor="text1"/>
        </w:rPr>
        <w:t>A</w:t>
      </w:r>
      <w:r w:rsidR="0040746C" w:rsidRPr="004B520E">
        <w:rPr>
          <w:b/>
          <w:bCs/>
          <w:color w:val="000000" w:themeColor="text1"/>
        </w:rPr>
        <w:t>ustralia</w:t>
      </w:r>
      <w:r w:rsidR="00B64EA3" w:rsidRPr="004B520E">
        <w:rPr>
          <w:b/>
          <w:bCs/>
          <w:color w:val="000000" w:themeColor="text1"/>
        </w:rPr>
        <w:t xml:space="preserve"> </w:t>
      </w:r>
      <w:r w:rsidR="002F1FCC" w:rsidRPr="004B520E">
        <w:t xml:space="preserve">by diluting salt in the Lower Murray River channel. </w:t>
      </w:r>
      <w:r w:rsidR="00605206" w:rsidRPr="004B520E">
        <w:t>Commonwealth environmental water</w:t>
      </w:r>
      <w:r w:rsidR="003478C4" w:rsidRPr="004B520E">
        <w:t xml:space="preserve"> </w:t>
      </w:r>
      <w:r w:rsidR="002F1FCC" w:rsidRPr="004B520E">
        <w:t xml:space="preserve">is important for maintaining salt export from the Basin and limiting </w:t>
      </w:r>
      <w:r w:rsidR="00B76470" w:rsidRPr="004B520E">
        <w:t xml:space="preserve">net </w:t>
      </w:r>
      <w:r w:rsidR="002F1FCC" w:rsidRPr="004B520E">
        <w:t>salt import to the Coorong.</w:t>
      </w:r>
    </w:p>
    <w:p w14:paraId="7DD10403" w14:textId="65DE8985" w:rsidR="00DD5118" w:rsidRPr="004B520E" w:rsidRDefault="001379C8" w:rsidP="00113FC9">
      <w:pPr>
        <w:pStyle w:val="Heading1"/>
      </w:pPr>
      <w:bookmarkStart w:id="434" w:name="_Toc168579865"/>
      <w:bookmarkStart w:id="435" w:name="_Ref172014747"/>
      <w:bookmarkStart w:id="436" w:name="_Toc172283661"/>
      <w:bookmarkStart w:id="437" w:name="_Toc172290972"/>
      <w:bookmarkStart w:id="438" w:name="_Toc178668871"/>
      <w:bookmarkStart w:id="439" w:name="_Toc200743764"/>
      <w:bookmarkStart w:id="440" w:name="_Toc200743863"/>
      <w:bookmarkStart w:id="441" w:name="_Toc203682277"/>
      <w:bookmarkStart w:id="442" w:name="_Toc204606892"/>
      <w:r w:rsidRPr="004B520E">
        <w:lastRenderedPageBreak/>
        <w:t>O</w:t>
      </w:r>
      <w:r w:rsidR="00DD5118" w:rsidRPr="004B520E">
        <w:t>utcomes 201</w:t>
      </w:r>
      <w:r w:rsidR="00A4624E" w:rsidRPr="004B520E">
        <w:t>4</w:t>
      </w:r>
      <w:r w:rsidR="00A94C33" w:rsidRPr="004B520E">
        <w:t>–</w:t>
      </w:r>
      <w:r w:rsidR="00636AB3" w:rsidRPr="004B520E">
        <w:t>2</w:t>
      </w:r>
      <w:r w:rsidR="00AD1E0F">
        <w:t>4</w:t>
      </w:r>
      <w:bookmarkEnd w:id="434"/>
      <w:bookmarkEnd w:id="435"/>
      <w:bookmarkEnd w:id="436"/>
      <w:bookmarkEnd w:id="437"/>
      <w:bookmarkEnd w:id="438"/>
      <w:bookmarkEnd w:id="439"/>
      <w:bookmarkEnd w:id="440"/>
      <w:bookmarkEnd w:id="441"/>
      <w:bookmarkEnd w:id="442"/>
    </w:p>
    <w:p w14:paraId="72200419" w14:textId="4851055A" w:rsidR="008D29A0" w:rsidRPr="004B520E" w:rsidRDefault="00186988" w:rsidP="006C69E4">
      <w:pPr>
        <w:pStyle w:val="Boxedheadingteal"/>
      </w:pPr>
      <w:bookmarkStart w:id="443" w:name="_Toc168579866"/>
      <w:bookmarkStart w:id="444" w:name="_Toc172283662"/>
      <w:bookmarkStart w:id="445" w:name="_Toc172290973"/>
      <w:bookmarkStart w:id="446" w:name="_Toc178668872"/>
      <w:r w:rsidRPr="004B520E">
        <w:t>A</w:t>
      </w:r>
      <w:r w:rsidR="008D29A0" w:rsidRPr="004B520E">
        <w:t>t a glance</w:t>
      </w:r>
      <w:bookmarkEnd w:id="443"/>
      <w:bookmarkEnd w:id="444"/>
      <w:bookmarkEnd w:id="445"/>
      <w:bookmarkEnd w:id="446"/>
    </w:p>
    <w:p w14:paraId="1A104006" w14:textId="17AA7C79" w:rsidR="008D29A0" w:rsidRPr="004B520E" w:rsidRDefault="004C4AFE" w:rsidP="00695A81">
      <w:pPr>
        <w:pStyle w:val="Boxedheadingblue"/>
      </w:pPr>
      <w:bookmarkStart w:id="447" w:name="_Toc168579867"/>
      <w:bookmarkStart w:id="448" w:name="_Toc172283663"/>
      <w:bookmarkStart w:id="449" w:name="_Toc172290974"/>
      <w:bookmarkStart w:id="450" w:name="_Toc178668873"/>
      <w:r w:rsidRPr="004B520E">
        <w:t>Vegetation</w:t>
      </w:r>
      <w:bookmarkEnd w:id="447"/>
      <w:bookmarkEnd w:id="448"/>
      <w:bookmarkEnd w:id="449"/>
      <w:bookmarkEnd w:id="450"/>
    </w:p>
    <w:p w14:paraId="7445709C" w14:textId="1E1B97E3" w:rsidR="006A6ABD" w:rsidRPr="004B520E" w:rsidRDefault="11F38025" w:rsidP="000F4ABD">
      <w:pPr>
        <w:pStyle w:val="Boxedlistbullet"/>
      </w:pPr>
      <w:r>
        <w:t xml:space="preserve">Over the 10 years </w:t>
      </w:r>
      <w:r w:rsidRPr="49141223">
        <w:rPr>
          <w:color w:val="auto"/>
        </w:rPr>
        <w:t xml:space="preserve">since 2014, </w:t>
      </w:r>
      <w:r w:rsidR="00B126A4">
        <w:t xml:space="preserve">818 watering actions– totalling </w:t>
      </w:r>
      <w:r w:rsidR="00FC1565">
        <w:t>13</w:t>
      </w:r>
      <w:r w:rsidR="002775F4">
        <w:t>,0</w:t>
      </w:r>
      <w:r w:rsidR="00FC1565">
        <w:t>11</w:t>
      </w:r>
      <w:r w:rsidR="006A6ABD">
        <w:t xml:space="preserve"> GL of Commonwealth environment</w:t>
      </w:r>
      <w:r w:rsidR="00A63E48">
        <w:t>al water</w:t>
      </w:r>
      <w:r w:rsidR="006A6ABD">
        <w:t xml:space="preserve"> </w:t>
      </w:r>
      <w:r w:rsidR="008C5F45">
        <w:t xml:space="preserve">– </w:t>
      </w:r>
      <w:r w:rsidR="00136CEE">
        <w:t>target</w:t>
      </w:r>
      <w:r w:rsidR="00433518">
        <w:t>ed</w:t>
      </w:r>
      <w:r w:rsidR="00136CEE">
        <w:t xml:space="preserve"> </w:t>
      </w:r>
      <w:r w:rsidR="002445CB">
        <w:t xml:space="preserve">outcomes for </w:t>
      </w:r>
      <w:r w:rsidR="006A6ABD">
        <w:t>vegetation.</w:t>
      </w:r>
    </w:p>
    <w:p w14:paraId="5A9BA810" w14:textId="6E8D33F8" w:rsidR="00E251DB" w:rsidRPr="00E251DB" w:rsidRDefault="68CD16CE" w:rsidP="00D324EB">
      <w:pPr>
        <w:pStyle w:val="Boxedlistbullet"/>
      </w:pPr>
      <w:r w:rsidRPr="00E251DB">
        <w:t xml:space="preserve">Commonwealth environmental water has contributed to distinct hydrological regimes across the Basin, which likely contributed to the observed diversity in </w:t>
      </w:r>
      <w:r w:rsidR="00E251DB" w:rsidRPr="00E251DB">
        <w:t>functional and structural assemblages of vegetation.</w:t>
      </w:r>
    </w:p>
    <w:p w14:paraId="7787B049" w14:textId="13403A78" w:rsidR="00282B0E" w:rsidRPr="004B520E" w:rsidRDefault="3283D515">
      <w:pPr>
        <w:pStyle w:val="Boxedlistbullet"/>
      </w:pPr>
      <w:r>
        <w:t xml:space="preserve">Notably, </w:t>
      </w:r>
      <w:r w:rsidR="00CB055B">
        <w:t>Commonwealth environmental water</w:t>
      </w:r>
      <w:r w:rsidR="00282B0E">
        <w:t xml:space="preserve"> </w:t>
      </w:r>
      <w:r w:rsidR="0BCFA9FE">
        <w:t xml:space="preserve">has </w:t>
      </w:r>
      <w:r w:rsidR="00282B0E">
        <w:t xml:space="preserve">supported </w:t>
      </w:r>
      <w:r w:rsidR="578AA46C">
        <w:t>ecosystem types with distinct vegetation communities such as</w:t>
      </w:r>
      <w:r w:rsidR="007C6ABC">
        <w:t xml:space="preserve"> freshwater meadows and permanent tall marsh</w:t>
      </w:r>
      <w:r w:rsidR="009020AA">
        <w:t>. T</w:t>
      </w:r>
      <w:r w:rsidR="007C6ABC">
        <w:t>hese</w:t>
      </w:r>
      <w:r w:rsidR="3231F16C">
        <w:t xml:space="preserve"> </w:t>
      </w:r>
      <w:r w:rsidR="000C2B29">
        <w:t xml:space="preserve">habitats </w:t>
      </w:r>
      <w:r w:rsidR="009020AA">
        <w:t>were</w:t>
      </w:r>
      <w:r w:rsidR="000C2B29">
        <w:t xml:space="preserve"> watered more </w:t>
      </w:r>
      <w:r w:rsidR="007C6ABC">
        <w:t xml:space="preserve">frequently than most treed swamps, and palustrine wetlands </w:t>
      </w:r>
      <w:r w:rsidR="009020AA">
        <w:t xml:space="preserve">were </w:t>
      </w:r>
      <w:r w:rsidR="007C6ABC">
        <w:t>watered more frequently than floodplains</w:t>
      </w:r>
      <w:r w:rsidR="00282B0E">
        <w:t>. Without environmental water and in the absence of overbank flooding, these ecosystem</w:t>
      </w:r>
      <w:r w:rsidR="00723AFF">
        <w:t>s</w:t>
      </w:r>
      <w:r w:rsidR="00282B0E">
        <w:t xml:space="preserve"> would transition to vegetation communities typical of drier conditions.</w:t>
      </w:r>
    </w:p>
    <w:p w14:paraId="65847ACA" w14:textId="51DDBF7D" w:rsidR="002A7703" w:rsidRPr="004B520E" w:rsidRDefault="00282B0E" w:rsidP="002A7703">
      <w:pPr>
        <w:pStyle w:val="Boxedlistbullet"/>
      </w:pPr>
      <w:r w:rsidRPr="004B520E">
        <w:rPr>
          <w:color w:val="auto"/>
        </w:rPr>
        <w:t>Without</w:t>
      </w:r>
      <w:r w:rsidRPr="004B520E">
        <w:t xml:space="preserve"> </w:t>
      </w:r>
      <w:r w:rsidR="00CB055B" w:rsidRPr="004B520E">
        <w:t>Commonwealth environmental water</w:t>
      </w:r>
      <w:r w:rsidRPr="004B520E">
        <w:t xml:space="preserve">, </w:t>
      </w:r>
      <w:bookmarkStart w:id="451" w:name="_Hlk104232313"/>
      <w:r w:rsidR="00A63E48" w:rsidRPr="004B520E">
        <w:t>4</w:t>
      </w:r>
      <w:r w:rsidR="00FC1565" w:rsidRPr="004B520E">
        <w:t>0</w:t>
      </w:r>
      <w:r w:rsidR="00A63E48" w:rsidRPr="004B520E">
        <w:t xml:space="preserve">% of </w:t>
      </w:r>
      <w:r w:rsidRPr="004B520E">
        <w:t>floodplain–wetland monitoring locations</w:t>
      </w:r>
      <w:r w:rsidR="00A63E48" w:rsidRPr="004B520E">
        <w:t xml:space="preserve"> </w:t>
      </w:r>
      <w:r w:rsidRPr="004B520E">
        <w:t>would have experienced drier water regimes</w:t>
      </w:r>
      <w:bookmarkEnd w:id="451"/>
      <w:r w:rsidR="00E01ABB" w:rsidRPr="004B520E">
        <w:t>,</w:t>
      </w:r>
      <w:r w:rsidRPr="004B520E">
        <w:t xml:space="preserve"> resulting in less diversity and less cover of submerged, amphibious and damp-loving plant species.</w:t>
      </w:r>
      <w:r w:rsidR="005A253C" w:rsidRPr="004B520E">
        <w:t xml:space="preserve"> </w:t>
      </w:r>
      <w:r w:rsidR="00F60D78" w:rsidRPr="004B520E">
        <w:t xml:space="preserve">By maintaining these species assemblages, </w:t>
      </w:r>
      <w:r w:rsidR="00CB055B" w:rsidRPr="004B520E">
        <w:t>Commonwealth environmental water</w:t>
      </w:r>
      <w:r w:rsidR="000938D3" w:rsidRPr="004B520E" w:rsidDel="000938D3">
        <w:t xml:space="preserve"> </w:t>
      </w:r>
      <w:r w:rsidR="00DD673D" w:rsidRPr="004B520E">
        <w:t>is</w:t>
      </w:r>
      <w:r w:rsidR="005A253C" w:rsidRPr="004B520E">
        <w:t xml:space="preserve"> preventing a permanent transition </w:t>
      </w:r>
      <w:r w:rsidR="000938D3" w:rsidRPr="004B520E">
        <w:t>in</w:t>
      </w:r>
      <w:r w:rsidR="005A253C" w:rsidRPr="004B520E">
        <w:t xml:space="preserve"> vegetation community assemblages and a loss of resilience of water-dependent plant communities.</w:t>
      </w:r>
    </w:p>
    <w:p w14:paraId="2A3E2D97" w14:textId="589B3B59" w:rsidR="0035012E" w:rsidRPr="004B520E" w:rsidRDefault="00FC1565" w:rsidP="002A7703">
      <w:pPr>
        <w:pStyle w:val="Boxedlistbullet"/>
      </w:pPr>
      <w:r w:rsidRPr="004B520E">
        <w:t>804</w:t>
      </w:r>
      <w:r w:rsidR="005A4883" w:rsidRPr="004B520E">
        <w:t xml:space="preserve"> taxa </w:t>
      </w:r>
      <w:r w:rsidR="00D75066" w:rsidRPr="004B520E">
        <w:t>were</w:t>
      </w:r>
      <w:r w:rsidR="005A4883" w:rsidRPr="004B520E">
        <w:t xml:space="preserve"> recorded at monitored floodplain, wetland and riverine locations since 2014</w:t>
      </w:r>
      <w:r w:rsidR="002A7703" w:rsidRPr="004B520E">
        <w:t xml:space="preserve">, including </w:t>
      </w:r>
      <w:r w:rsidR="005A4883" w:rsidRPr="004B520E">
        <w:t>52</w:t>
      </w:r>
      <w:r w:rsidRPr="004B520E">
        <w:t>7</w:t>
      </w:r>
      <w:r w:rsidR="005A4883" w:rsidRPr="004B520E">
        <w:t xml:space="preserve"> native and 2</w:t>
      </w:r>
      <w:r w:rsidRPr="004B520E">
        <w:t>21</w:t>
      </w:r>
      <w:r w:rsidR="005A4883" w:rsidRPr="004B520E">
        <w:t xml:space="preserve"> exotic </w:t>
      </w:r>
      <w:r w:rsidR="00F01A66" w:rsidRPr="00FC1565">
        <w:t>species</w:t>
      </w:r>
      <w:r w:rsidR="0035012E" w:rsidRPr="004B520E">
        <w:t>.</w:t>
      </w:r>
    </w:p>
    <w:p w14:paraId="237AB74A" w14:textId="2EF41B08" w:rsidR="005A4883" w:rsidRPr="004B520E" w:rsidRDefault="005A4883" w:rsidP="002727AB">
      <w:pPr>
        <w:pStyle w:val="Boxedlistbullet"/>
      </w:pPr>
      <w:r w:rsidRPr="004B520E">
        <w:t xml:space="preserve">Almost 10% </w:t>
      </w:r>
      <w:r w:rsidR="1CA311F2" w:rsidRPr="004B520E">
        <w:t xml:space="preserve">(77) </w:t>
      </w:r>
      <w:r w:rsidRPr="004B520E">
        <w:t>of the plant taxa observed at monitoring locations are known to be used by Aboriginal people for uses including food, fibre, shelter, medicine, messages and boundaries, dreaming/storytelling or ceremonial, and basket weaving.</w:t>
      </w:r>
    </w:p>
    <w:p w14:paraId="2E67C3BC" w14:textId="76A2C243" w:rsidR="0035012E" w:rsidRPr="004B520E" w:rsidRDefault="005A4883" w:rsidP="002727AB">
      <w:pPr>
        <w:pStyle w:val="Boxedlistbullet"/>
      </w:pPr>
      <w:r w:rsidRPr="004B520E">
        <w:t xml:space="preserve">33 of the plants used by Aboriginal people require flooding </w:t>
      </w:r>
      <w:r w:rsidR="00AC05D5" w:rsidRPr="004B520E">
        <w:t>to</w:t>
      </w:r>
      <w:r w:rsidRPr="004B520E">
        <w:t xml:space="preserve"> occur, including 8 amphibious taxa, 3</w:t>
      </w:r>
      <w:r w:rsidR="00AC05D5" w:rsidRPr="004B520E">
        <w:t> </w:t>
      </w:r>
      <w:r w:rsidRPr="004B520E">
        <w:t>submerged taxa, 13 damp-loving taxa and 9 woody flood-dependent taxa</w:t>
      </w:r>
      <w:r w:rsidR="0035012E" w:rsidRPr="004B520E">
        <w:t>.</w:t>
      </w:r>
    </w:p>
    <w:p w14:paraId="5DCCE0E1" w14:textId="2D4A16BD" w:rsidR="0035012E" w:rsidRPr="004B520E" w:rsidRDefault="00E23B26" w:rsidP="00D324EB">
      <w:pPr>
        <w:pStyle w:val="Boxedlistbullet"/>
      </w:pPr>
      <w:r>
        <w:t>101</w:t>
      </w:r>
      <w:r w:rsidR="002727AB">
        <w:t xml:space="preserve"> groundcover plant species </w:t>
      </w:r>
      <w:r w:rsidR="004D2742">
        <w:t>that are</w:t>
      </w:r>
      <w:r w:rsidR="002727AB">
        <w:t xml:space="preserve"> </w:t>
      </w:r>
      <w:r w:rsidR="00730A58">
        <w:t xml:space="preserve">listed as threatened </w:t>
      </w:r>
      <w:r w:rsidR="00D75066">
        <w:t>were</w:t>
      </w:r>
      <w:r w:rsidR="002727AB">
        <w:t xml:space="preserve"> recorded at monitoring locations</w:t>
      </w:r>
      <w:r w:rsidR="7DEA374C">
        <w:t xml:space="preserve"> (but not all are listed in the state in which they were recorded)</w:t>
      </w:r>
      <w:bookmarkStart w:id="452" w:name="_Toc168579868"/>
      <w:bookmarkStart w:id="453" w:name="_Toc172283664"/>
      <w:bookmarkStart w:id="454" w:name="_Toc172290975"/>
      <w:bookmarkStart w:id="455" w:name="_Toc178668874"/>
      <w:r w:rsidR="0035012E">
        <w:t>.</w:t>
      </w:r>
    </w:p>
    <w:p w14:paraId="35562490" w14:textId="56331FCA" w:rsidR="00AA4FD6" w:rsidRPr="004B520E" w:rsidRDefault="008D29A0" w:rsidP="00695A81">
      <w:pPr>
        <w:pStyle w:val="Boxedheadingblue"/>
      </w:pPr>
      <w:r w:rsidRPr="004B520E">
        <w:t xml:space="preserve">Native </w:t>
      </w:r>
      <w:r w:rsidR="00A94C33" w:rsidRPr="004B520E">
        <w:t>f</w:t>
      </w:r>
      <w:r w:rsidRPr="004B520E">
        <w:t>ish</w:t>
      </w:r>
      <w:bookmarkEnd w:id="452"/>
      <w:bookmarkEnd w:id="453"/>
      <w:bookmarkEnd w:id="454"/>
      <w:bookmarkEnd w:id="455"/>
    </w:p>
    <w:p w14:paraId="29C6F82C" w14:textId="781553F0" w:rsidR="006A6ABD" w:rsidRPr="004B520E" w:rsidRDefault="00D36F17" w:rsidP="000F4ABD">
      <w:pPr>
        <w:pStyle w:val="Boxedlistbullet"/>
      </w:pPr>
      <w:r>
        <w:t xml:space="preserve">701 watering actions since 2014 – totalling </w:t>
      </w:r>
      <w:r w:rsidR="008E0D6A" w:rsidRPr="004B520E">
        <w:t>15,607</w:t>
      </w:r>
      <w:r w:rsidR="006A6ABD" w:rsidRPr="004B520E">
        <w:t xml:space="preserve"> GL of </w:t>
      </w:r>
      <w:r w:rsidR="00605206" w:rsidRPr="004B520E">
        <w:t>Commonwealth environmental water</w:t>
      </w:r>
      <w:r w:rsidR="006A6ABD" w:rsidRPr="004B520E">
        <w:t xml:space="preserve"> </w:t>
      </w:r>
      <w:r>
        <w:t>– targeted</w:t>
      </w:r>
      <w:r w:rsidR="006A6ABD" w:rsidRPr="004B520E">
        <w:t xml:space="preserve"> outcomes </w:t>
      </w:r>
      <w:r>
        <w:t>for</w:t>
      </w:r>
      <w:r w:rsidR="00960D14" w:rsidRPr="004B520E">
        <w:t xml:space="preserve"> </w:t>
      </w:r>
      <w:r w:rsidR="006A6ABD" w:rsidRPr="004B520E">
        <w:t>native fish.</w:t>
      </w:r>
    </w:p>
    <w:p w14:paraId="3EABCDA3" w14:textId="3A0F9B1E" w:rsidR="00D255AA" w:rsidRPr="00D255AA" w:rsidRDefault="00D255AA" w:rsidP="00D324EB">
      <w:pPr>
        <w:pStyle w:val="Boxedlistbullet"/>
      </w:pPr>
      <w:r w:rsidRPr="00D255AA">
        <w:t>15 native species and 5 exotic species were detected during the 10-year monitoring program by in-channel river sampling of adult fish communities in monitored areas. The number of native species detected did not vary greatly among years.</w:t>
      </w:r>
    </w:p>
    <w:p w14:paraId="33F0F28C" w14:textId="4956F8CC" w:rsidR="009159FE" w:rsidRPr="004B520E" w:rsidRDefault="009159FE" w:rsidP="009159FE">
      <w:pPr>
        <w:pStyle w:val="Boxedlistbullet"/>
      </w:pPr>
      <w:r>
        <w:t xml:space="preserve">Counterfactual modelling showed that </w:t>
      </w:r>
      <w:r w:rsidR="00CB055B">
        <w:t>Commonwealth environmental water</w:t>
      </w:r>
      <w:r>
        <w:t xml:space="preserve"> contributed to increased fish spawning, recruitment, frequency of occurrence, population growth rates, body condition</w:t>
      </w:r>
      <w:r w:rsidR="5D11BA49">
        <w:t xml:space="preserve">, movement (for </w:t>
      </w:r>
      <w:r w:rsidR="00991B6D">
        <w:t>g</w:t>
      </w:r>
      <w:r w:rsidR="5D11BA49">
        <w:t xml:space="preserve">olden </w:t>
      </w:r>
      <w:r w:rsidR="00991B6D">
        <w:t>p</w:t>
      </w:r>
      <w:r w:rsidR="5D11BA49">
        <w:t>erch using a basin scale movement mode</w:t>
      </w:r>
      <w:r w:rsidR="1DB9A09E">
        <w:t>l</w:t>
      </w:r>
      <w:r w:rsidR="5D11BA49">
        <w:t>)</w:t>
      </w:r>
      <w:r>
        <w:t xml:space="preserve"> and improved community composition in some </w:t>
      </w:r>
      <w:r w:rsidR="00014A23">
        <w:t>monitoring locations</w:t>
      </w:r>
      <w:r>
        <w:t xml:space="preserve"> and for several species.</w:t>
      </w:r>
      <w:r w:rsidR="07A4235F">
        <w:t xml:space="preserve"> </w:t>
      </w:r>
      <w:r>
        <w:t xml:space="preserve">Positive fish responses to </w:t>
      </w:r>
      <w:r w:rsidR="00CB055B">
        <w:t>Commonwealth environmental water</w:t>
      </w:r>
      <w:r>
        <w:t xml:space="preserve"> delivery were primarily driven by reductions in </w:t>
      </w:r>
      <w:r>
        <w:lastRenderedPageBreak/>
        <w:t>the number of low</w:t>
      </w:r>
      <w:r w:rsidR="00D87B47">
        <w:t xml:space="preserve"> </w:t>
      </w:r>
      <w:r>
        <w:t>flow days and, to a lesser extent, increased average daily flows and changes in flow variability.</w:t>
      </w:r>
    </w:p>
    <w:p w14:paraId="30A8D8ED" w14:textId="00926E1F" w:rsidR="0035012E" w:rsidRPr="004B520E" w:rsidRDefault="009159FE" w:rsidP="009159FE">
      <w:pPr>
        <w:pStyle w:val="Boxedlistbullet"/>
      </w:pPr>
      <w:r w:rsidRPr="004B520E">
        <w:t xml:space="preserve">Positive fish responses to </w:t>
      </w:r>
      <w:r w:rsidR="00CB055B" w:rsidRPr="004B520E">
        <w:t>Commonwealth environmental water</w:t>
      </w:r>
      <w:r w:rsidRPr="004B520E">
        <w:t xml:space="preserve"> delivery were most pronounced in the Goulburn River and Lower Murray River and to a lesser extent in the Edward/Kolety–Wakool river systems, Murrumbidgee River System and Lachlan River System. In the Gwydir River System, there were very few positive fish responses to </w:t>
      </w:r>
      <w:r w:rsidR="00CB055B" w:rsidRPr="004B520E">
        <w:t>Commonwealth environmental water</w:t>
      </w:r>
      <w:r w:rsidRPr="004B520E">
        <w:t xml:space="preserve"> </w:t>
      </w:r>
      <w:r w:rsidR="000F39DF" w:rsidRPr="008E0D6A">
        <w:t>delivery.</w:t>
      </w:r>
      <w:bookmarkStart w:id="456" w:name="_Toc168579869"/>
      <w:bookmarkStart w:id="457" w:name="_Toc172283665"/>
      <w:bookmarkStart w:id="458" w:name="_Toc172290976"/>
      <w:bookmarkStart w:id="459" w:name="_Toc178668875"/>
    </w:p>
    <w:p w14:paraId="3D21DF95" w14:textId="75092436" w:rsidR="00AA4FD6" w:rsidRPr="004B520E" w:rsidRDefault="003D2E4B" w:rsidP="00695A81">
      <w:pPr>
        <w:pStyle w:val="Boxedheadingblue"/>
      </w:pPr>
      <w:r w:rsidRPr="004B520E">
        <w:t>Waterbirds</w:t>
      </w:r>
      <w:bookmarkEnd w:id="456"/>
      <w:bookmarkEnd w:id="457"/>
      <w:bookmarkEnd w:id="458"/>
      <w:bookmarkEnd w:id="459"/>
    </w:p>
    <w:p w14:paraId="0051D215" w14:textId="13C7E220" w:rsidR="00E72A48" w:rsidRDefault="002445CB" w:rsidP="00193B29">
      <w:pPr>
        <w:pStyle w:val="Boxedlistbullet"/>
      </w:pPr>
      <w:r>
        <w:t>470 watering actions since 2014 – totall</w:t>
      </w:r>
      <w:r w:rsidR="00AE2A75">
        <w:t>ing</w:t>
      </w:r>
      <w:r>
        <w:t xml:space="preserve"> </w:t>
      </w:r>
      <w:r w:rsidR="009A03C5" w:rsidRPr="004B520E">
        <w:t>9</w:t>
      </w:r>
      <w:r w:rsidR="006100A2" w:rsidRPr="004B520E">
        <w:t>,</w:t>
      </w:r>
      <w:r w:rsidR="00D836AC" w:rsidRPr="004B520E">
        <w:t>29</w:t>
      </w:r>
      <w:r w:rsidR="009A03C5" w:rsidRPr="004B520E">
        <w:t>9</w:t>
      </w:r>
      <w:r w:rsidR="00DB65DD" w:rsidRPr="004B520E">
        <w:t xml:space="preserve"> GL of </w:t>
      </w:r>
      <w:r w:rsidR="00CB055B" w:rsidRPr="004B520E">
        <w:t>Commonwealth environmental water</w:t>
      </w:r>
      <w:r w:rsidR="003D066F" w:rsidRPr="004B520E">
        <w:t xml:space="preserve"> </w:t>
      </w:r>
      <w:r>
        <w:t>– targeted</w:t>
      </w:r>
      <w:r w:rsidR="00DB65DD" w:rsidRPr="004B520E">
        <w:t xml:space="preserve"> outcomes for waterbirds.</w:t>
      </w:r>
    </w:p>
    <w:p w14:paraId="1B8AD311" w14:textId="03BEA8A4" w:rsidR="00CA1A2C" w:rsidRPr="0081257E" w:rsidRDefault="00CA1A2C" w:rsidP="00CA1A2C">
      <w:pPr>
        <w:pStyle w:val="Boxedlistbullet"/>
      </w:pPr>
      <w:r w:rsidRPr="0081257E">
        <w:t>Since 2014, 97 waterbird species were recorded on the managed floodplain (for a subset of Basin valleys).</w:t>
      </w:r>
    </w:p>
    <w:p w14:paraId="6A66BE75" w14:textId="2DCD11E4" w:rsidR="00327A94" w:rsidRPr="004B520E" w:rsidRDefault="00CB055B" w:rsidP="00193B29">
      <w:pPr>
        <w:pStyle w:val="Boxedlistbullet"/>
      </w:pPr>
      <w:r w:rsidRPr="004B520E">
        <w:t>Commonwealth environmental water</w:t>
      </w:r>
      <w:r w:rsidR="003478C4" w:rsidRPr="004B520E">
        <w:t xml:space="preserve"> </w:t>
      </w:r>
      <w:r w:rsidR="00327A94" w:rsidRPr="004B520E">
        <w:t xml:space="preserve">has supported habitats of a wide range of </w:t>
      </w:r>
      <w:r w:rsidR="003478C4" w:rsidRPr="004B520E">
        <w:t xml:space="preserve">waterbird </w:t>
      </w:r>
      <w:r w:rsidR="00327A94" w:rsidRPr="004B520E">
        <w:t>species</w:t>
      </w:r>
      <w:r w:rsidR="00F13B88" w:rsidRPr="004B520E">
        <w:t>,</w:t>
      </w:r>
      <w:r w:rsidR="00327A94" w:rsidRPr="004B520E">
        <w:t xml:space="preserve"> including</w:t>
      </w:r>
      <w:r w:rsidR="003478C4" w:rsidRPr="004B520E">
        <w:t xml:space="preserve"> </w:t>
      </w:r>
      <w:r w:rsidR="00327A94" w:rsidRPr="004B520E">
        <w:t>straw</w:t>
      </w:r>
      <w:r w:rsidR="00C87F7C" w:rsidRPr="004B520E">
        <w:t>-</w:t>
      </w:r>
      <w:r w:rsidR="00327A94" w:rsidRPr="004B520E">
        <w:t>necked</w:t>
      </w:r>
      <w:r w:rsidR="00C87F7C" w:rsidRPr="004B520E">
        <w:t xml:space="preserve"> ibis</w:t>
      </w:r>
      <w:r w:rsidR="00327A94" w:rsidRPr="004B520E">
        <w:t xml:space="preserve">, white </w:t>
      </w:r>
      <w:r w:rsidR="00C87F7C" w:rsidRPr="004B520E">
        <w:t>ibis,</w:t>
      </w:r>
      <w:r w:rsidR="00327A94" w:rsidRPr="004B520E">
        <w:t xml:space="preserve"> glossy </w:t>
      </w:r>
      <w:r w:rsidR="00B22ACE" w:rsidRPr="004B520E">
        <w:t>i</w:t>
      </w:r>
      <w:r w:rsidR="00327A94" w:rsidRPr="004B520E">
        <w:t xml:space="preserve">bis, royal </w:t>
      </w:r>
      <w:r w:rsidR="00C87F7C" w:rsidRPr="004B520E">
        <w:t>spoonbills,</w:t>
      </w:r>
      <w:r w:rsidR="00327A94" w:rsidRPr="004B520E">
        <w:t xml:space="preserve"> yellow spoonbills, cormorants, darters, grebes and several species of duck</w:t>
      </w:r>
      <w:r w:rsidR="003478C4" w:rsidRPr="004B520E">
        <w:t>.</w:t>
      </w:r>
    </w:p>
    <w:p w14:paraId="5DF50F9F" w14:textId="1D22DCDF" w:rsidR="00E72A48" w:rsidRDefault="00193B29" w:rsidP="004D185A">
      <w:pPr>
        <w:pStyle w:val="Boxedlistbullet"/>
      </w:pPr>
      <w:r w:rsidRPr="004B520E">
        <w:t>2,201</w:t>
      </w:r>
      <w:r w:rsidR="001A59D7" w:rsidRPr="004B520E">
        <w:t xml:space="preserve"> GL of </w:t>
      </w:r>
      <w:r w:rsidR="00CB055B" w:rsidRPr="004B520E">
        <w:t>Commonwealth environmental water</w:t>
      </w:r>
      <w:r w:rsidR="001A59D7" w:rsidRPr="004B520E">
        <w:t xml:space="preserve"> w</w:t>
      </w:r>
      <w:r w:rsidR="00D74BAF" w:rsidRPr="004B520E">
        <w:t>ere</w:t>
      </w:r>
      <w:r w:rsidR="001A59D7" w:rsidRPr="004B520E">
        <w:t xml:space="preserve"> delivered to benefit listed threatened or migratory species, either alone or in combination with watering objectives.</w:t>
      </w:r>
    </w:p>
    <w:p w14:paraId="5DAAF9EA" w14:textId="44584DC8" w:rsidR="00F42B49" w:rsidRPr="002960A7" w:rsidRDefault="00F42B49" w:rsidP="005821CB">
      <w:pPr>
        <w:pStyle w:val="Boxedlistbullet"/>
      </w:pPr>
      <w:r w:rsidRPr="002960A7">
        <w:t xml:space="preserve">Since 2014, 59 listed threatened or migratory waterbird species were identified from the managed floodplain. </w:t>
      </w:r>
    </w:p>
    <w:p w14:paraId="4ED98EE3" w14:textId="6EDF87D0" w:rsidR="00E72A48" w:rsidRDefault="0081257E" w:rsidP="000B73AA">
      <w:pPr>
        <w:pStyle w:val="Boxedlistbullet"/>
      </w:pPr>
      <w:r w:rsidRPr="003242D0">
        <w:t>Commonwealth</w:t>
      </w:r>
      <w:r w:rsidRPr="004B520E">
        <w:t xml:space="preserve"> environmental water had a significant influence on the presence of the federally listed Australasian bittern. </w:t>
      </w:r>
      <w:bookmarkStart w:id="460" w:name="_Toc168579870"/>
      <w:bookmarkStart w:id="461" w:name="_Toc172283666"/>
      <w:bookmarkStart w:id="462" w:name="_Toc172290977"/>
      <w:bookmarkStart w:id="463" w:name="_Toc178668876"/>
    </w:p>
    <w:p w14:paraId="205524FF" w14:textId="5E8C64AE" w:rsidR="003D2E4B" w:rsidRPr="004B520E" w:rsidRDefault="004C4AFE" w:rsidP="004C4AFE">
      <w:pPr>
        <w:pStyle w:val="Boxedheadingblue"/>
      </w:pPr>
      <w:r w:rsidRPr="004B520E">
        <w:t>Other outcomes</w:t>
      </w:r>
      <w:bookmarkEnd w:id="460"/>
      <w:bookmarkEnd w:id="461"/>
      <w:bookmarkEnd w:id="462"/>
      <w:bookmarkEnd w:id="463"/>
    </w:p>
    <w:p w14:paraId="1F74979D" w14:textId="5B41414B" w:rsidR="00E72A48" w:rsidRDefault="0081257E" w:rsidP="0081257E">
      <w:pPr>
        <w:pStyle w:val="Boxedlistbullet"/>
      </w:pPr>
      <w:r w:rsidRPr="004B520E">
        <w:t xml:space="preserve">Since 2014, 1,991 GL of Commonwealth environmental water has been delivered </w:t>
      </w:r>
      <w:r w:rsidR="009019F4">
        <w:t xml:space="preserve">through 324 watering actions </w:t>
      </w:r>
      <w:r w:rsidRPr="004B520E">
        <w:t>with specific objectives for frogs.</w:t>
      </w:r>
    </w:p>
    <w:p w14:paraId="5302362C" w14:textId="28354581" w:rsidR="0081257E" w:rsidRPr="004B520E" w:rsidRDefault="0081257E" w:rsidP="0081257E">
      <w:pPr>
        <w:pStyle w:val="Boxedlistbullet"/>
      </w:pPr>
      <w:r w:rsidRPr="004B520E">
        <w:t>20 species of frog have been reported from wetlands inundated with Commonwealth environmental water in the Murrumbidgee</w:t>
      </w:r>
      <w:r w:rsidR="00F17F6D">
        <w:t xml:space="preserve"> River System</w:t>
      </w:r>
      <w:r w:rsidRPr="004B520E">
        <w:t>, Junction of Warrego and Darling</w:t>
      </w:r>
      <w:r w:rsidR="00A23B2F">
        <w:t xml:space="preserve"> rivers</w:t>
      </w:r>
      <w:r w:rsidRPr="004B520E">
        <w:t>, Macquarie Marshes, Lachlan</w:t>
      </w:r>
      <w:r w:rsidR="00F17F6D">
        <w:t xml:space="preserve"> River System</w:t>
      </w:r>
      <w:r w:rsidRPr="004B520E">
        <w:t xml:space="preserve"> and Gwydir </w:t>
      </w:r>
      <w:r w:rsidR="00F17F6D">
        <w:t>R</w:t>
      </w:r>
      <w:r w:rsidRPr="004B520E">
        <w:t xml:space="preserve">iver </w:t>
      </w:r>
      <w:r w:rsidR="00F17F6D">
        <w:t>S</w:t>
      </w:r>
      <w:r w:rsidRPr="004B520E">
        <w:t>ystem.</w:t>
      </w:r>
    </w:p>
    <w:p w14:paraId="56E9155C" w14:textId="2E35FD77" w:rsidR="00E72A48" w:rsidRDefault="0081257E" w:rsidP="0081257E">
      <w:pPr>
        <w:pStyle w:val="Boxedlistbullet"/>
      </w:pPr>
      <w:r w:rsidRPr="004B520E">
        <w:t>Commonwealth environmental water had a significant influence on the presence of the federally listed southern bell frog.</w:t>
      </w:r>
    </w:p>
    <w:p w14:paraId="4880ECC6" w14:textId="0AACBFF6" w:rsidR="00E8434A" w:rsidRPr="00E8434A" w:rsidRDefault="00E8434A" w:rsidP="00D324EB">
      <w:pPr>
        <w:pStyle w:val="Boxedlistbullet"/>
      </w:pPr>
      <w:r w:rsidRPr="00E8434A">
        <w:t>26 listed water-dependent fish, crayfish, mammals, frogs and reptiles were reported from habitats that received Commonwealth environmental water on at least one occasion over the 10-year period.</w:t>
      </w:r>
    </w:p>
    <w:p w14:paraId="46E55485" w14:textId="631F3358" w:rsidR="00E72A48" w:rsidRDefault="0081257E" w:rsidP="0081257E">
      <w:pPr>
        <w:pStyle w:val="Boxedlistbullet"/>
      </w:pPr>
      <w:r w:rsidRPr="004B520E">
        <w:t>Commonwealth environmental water has supported broad-shelled turtles (</w:t>
      </w:r>
      <w:r w:rsidR="00EE6A91">
        <w:rPr>
          <w:i/>
          <w:iCs/>
        </w:rPr>
        <w:t xml:space="preserve">Chelodina </w:t>
      </w:r>
      <w:r w:rsidR="00EE6A91" w:rsidRPr="00EE6A91">
        <w:rPr>
          <w:i/>
          <w:iCs/>
        </w:rPr>
        <w:t>expansa</w:t>
      </w:r>
      <w:r w:rsidR="00EE6A91">
        <w:t xml:space="preserve">; </w:t>
      </w:r>
      <w:r w:rsidRPr="00EE6A91">
        <w:t>threatened</w:t>
      </w:r>
      <w:r w:rsidRPr="004B520E">
        <w:t xml:space="preserve"> in South Australia)</w:t>
      </w:r>
      <w:r w:rsidR="008D7CC0">
        <w:t xml:space="preserve"> and</w:t>
      </w:r>
      <w:r w:rsidRPr="004B520E">
        <w:t xml:space="preserve"> created nursery habitats that supported hatchling Macquarie turtles</w:t>
      </w:r>
      <w:r w:rsidR="00622EC3">
        <w:t xml:space="preserve"> (</w:t>
      </w:r>
      <w:r w:rsidR="00622EC3">
        <w:rPr>
          <w:i/>
          <w:iCs/>
        </w:rPr>
        <w:t>Emydura macquarii</w:t>
      </w:r>
      <w:r w:rsidR="00622EC3">
        <w:t>)</w:t>
      </w:r>
      <w:r w:rsidRPr="004B520E">
        <w:t>, long-necked turtles</w:t>
      </w:r>
      <w:r w:rsidR="00442254">
        <w:t xml:space="preserve"> (</w:t>
      </w:r>
      <w:r w:rsidR="00442254">
        <w:rPr>
          <w:i/>
          <w:iCs/>
        </w:rPr>
        <w:t>Chelodina longicollis</w:t>
      </w:r>
      <w:r w:rsidR="00442254">
        <w:t>)</w:t>
      </w:r>
      <w:r w:rsidRPr="004B520E">
        <w:t xml:space="preserve"> and broad-shelled turtles.</w:t>
      </w:r>
    </w:p>
    <w:p w14:paraId="1296F212" w14:textId="23EBD648" w:rsidR="0035012E" w:rsidRPr="004B520E" w:rsidRDefault="000D7CD7" w:rsidP="0081257E">
      <w:pPr>
        <w:pStyle w:val="Boxedlistbullet"/>
      </w:pPr>
      <w:r w:rsidRPr="004B520E">
        <w:t xml:space="preserve">Since 2014, </w:t>
      </w:r>
      <w:r w:rsidR="00CB055B" w:rsidRPr="004B520E">
        <w:t>Commonwealth environmental water</w:t>
      </w:r>
      <w:r w:rsidRPr="004B520E">
        <w:t xml:space="preserve"> has been responsible for the export of </w:t>
      </w:r>
      <w:r w:rsidR="002034A5" w:rsidRPr="004B520E">
        <w:t xml:space="preserve">more than </w:t>
      </w:r>
      <w:r w:rsidR="00DC75E8">
        <w:t>4.3</w:t>
      </w:r>
      <w:r w:rsidRPr="004B520E">
        <w:t xml:space="preserve"> million tonnes of salt through the barrages </w:t>
      </w:r>
      <w:r w:rsidR="72199210" w:rsidRPr="004B520E">
        <w:t xml:space="preserve">(around 22% of the Basin Plan target) </w:t>
      </w:r>
      <w:r w:rsidRPr="004B520E">
        <w:t xml:space="preserve">and has reduced import of salt through the Murray Mouth by </w:t>
      </w:r>
      <w:r w:rsidR="002034A5" w:rsidRPr="004B520E">
        <w:t xml:space="preserve">almost </w:t>
      </w:r>
      <w:r w:rsidR="00DC75E8">
        <w:t xml:space="preserve">29 </w:t>
      </w:r>
      <w:r w:rsidRPr="004B520E">
        <w:t>million tonnes</w:t>
      </w:r>
      <w:r w:rsidR="0035012E" w:rsidRPr="004B520E">
        <w:t>.</w:t>
      </w:r>
    </w:p>
    <w:p w14:paraId="316E0151" w14:textId="2495D2B3" w:rsidR="00300952" w:rsidRPr="004B520E" w:rsidRDefault="00CB055B" w:rsidP="007B35D7">
      <w:pPr>
        <w:pStyle w:val="Boxedlistbullet"/>
      </w:pPr>
      <w:r w:rsidRPr="004B520E">
        <w:t>Commonwealth environmental water</w:t>
      </w:r>
      <w:r w:rsidR="004C4AFE" w:rsidRPr="004B520E">
        <w:t xml:space="preserve"> </w:t>
      </w:r>
      <w:r w:rsidR="00E74042" w:rsidRPr="004B520E">
        <w:t xml:space="preserve">has helped to </w:t>
      </w:r>
      <w:r w:rsidR="004C4AFE" w:rsidRPr="004B520E">
        <w:t xml:space="preserve">decrease the likelihood </w:t>
      </w:r>
      <w:r w:rsidR="00FD1FDC" w:rsidRPr="004B520E">
        <w:t xml:space="preserve">of widespread </w:t>
      </w:r>
      <w:r w:rsidR="00EC63F2" w:rsidRPr="004B520E">
        <w:t>hypoxic event</w:t>
      </w:r>
      <w:r w:rsidR="00FD1FDC" w:rsidRPr="004B520E">
        <w:t xml:space="preserve">s across the Basin. In wet years, </w:t>
      </w:r>
      <w:r w:rsidR="00CF39E5" w:rsidRPr="004B520E">
        <w:t xml:space="preserve">environmental </w:t>
      </w:r>
      <w:r w:rsidR="00FD1FDC" w:rsidRPr="004B520E">
        <w:t>water was used</w:t>
      </w:r>
      <w:r w:rsidR="00CF39E5" w:rsidRPr="004B520E">
        <w:t xml:space="preserve"> to pre-flush systems and </w:t>
      </w:r>
      <w:r w:rsidR="00FD1FDC" w:rsidRPr="004B520E">
        <w:t>maintain dissolved oxygen concentrations</w:t>
      </w:r>
      <w:r w:rsidR="00CF39E5" w:rsidRPr="004B520E">
        <w:t xml:space="preserve">. In dry years, environmental water was used </w:t>
      </w:r>
      <w:r w:rsidR="000E032A" w:rsidRPr="004B520E">
        <w:t>to increase</w:t>
      </w:r>
      <w:r w:rsidR="00843426" w:rsidRPr="004B520E">
        <w:t xml:space="preserve"> flow volumes </w:t>
      </w:r>
      <w:r w:rsidR="003D6743" w:rsidRPr="004B520E">
        <w:t>and increase water mixing.</w:t>
      </w:r>
    </w:p>
    <w:p w14:paraId="36F4B50F" w14:textId="5FA7606B" w:rsidR="00AA4F4D" w:rsidRPr="004B520E" w:rsidRDefault="00AA4F4D" w:rsidP="00113FC9">
      <w:pPr>
        <w:pStyle w:val="Heading2"/>
      </w:pPr>
      <w:bookmarkStart w:id="464" w:name="_Toc168579871"/>
      <w:bookmarkStart w:id="465" w:name="_Toc172283667"/>
      <w:bookmarkStart w:id="466" w:name="_Toc172290978"/>
      <w:bookmarkStart w:id="467" w:name="_Toc178668877"/>
      <w:bookmarkStart w:id="468" w:name="_Toc200743765"/>
      <w:bookmarkStart w:id="469" w:name="_Toc200743864"/>
      <w:bookmarkStart w:id="470" w:name="_Toc203682278"/>
      <w:bookmarkStart w:id="471" w:name="_Toc204606893"/>
      <w:r w:rsidRPr="004B520E">
        <w:lastRenderedPageBreak/>
        <w:t xml:space="preserve">Biodiversity outcomes </w:t>
      </w:r>
      <w:r w:rsidR="00244943" w:rsidRPr="004B520E">
        <w:t>2014–24</w:t>
      </w:r>
      <w:bookmarkEnd w:id="464"/>
      <w:bookmarkEnd w:id="465"/>
      <w:bookmarkEnd w:id="466"/>
      <w:bookmarkEnd w:id="467"/>
      <w:bookmarkEnd w:id="468"/>
      <w:bookmarkEnd w:id="469"/>
      <w:bookmarkEnd w:id="470"/>
      <w:bookmarkEnd w:id="471"/>
    </w:p>
    <w:p w14:paraId="5727C74D" w14:textId="49A19BDC" w:rsidR="0035012E" w:rsidRPr="004B520E" w:rsidRDefault="005A3A00" w:rsidP="00244943">
      <w:pPr>
        <w:pStyle w:val="BodyText"/>
        <w:keepNext/>
        <w:keepLines/>
      </w:pPr>
      <w:r w:rsidRPr="004B520E">
        <w:t xml:space="preserve">This evaluation reports on outcomes from </w:t>
      </w:r>
      <w:r w:rsidR="008230AC" w:rsidRPr="004B520E">
        <w:t xml:space="preserve">Commonwealth environmental water </w:t>
      </w:r>
      <w:r w:rsidRPr="004B520E">
        <w:t xml:space="preserve">for </w:t>
      </w:r>
      <w:r w:rsidR="00244943" w:rsidRPr="004B520E">
        <w:t>2014–24</w:t>
      </w:r>
      <w:r w:rsidRPr="004B520E">
        <w:t xml:space="preserve"> and assesses the contribution of </w:t>
      </w:r>
      <w:r w:rsidR="008230AC" w:rsidRPr="004B520E">
        <w:t xml:space="preserve">Commonwealth environmental water </w:t>
      </w:r>
      <w:r w:rsidRPr="004B520E">
        <w:t>to Basin Plan objectives</w:t>
      </w:r>
      <w:r w:rsidR="0035012E" w:rsidRPr="004B520E">
        <w:t>.</w:t>
      </w:r>
    </w:p>
    <w:p w14:paraId="2C15AA51" w14:textId="0201AB19" w:rsidR="0035012E" w:rsidRPr="004B520E" w:rsidRDefault="001C7090" w:rsidP="00E63FCA">
      <w:pPr>
        <w:pStyle w:val="Boxedtextorange"/>
      </w:pPr>
      <w:r w:rsidRPr="004B520E">
        <w:t>From 2014 to 202</w:t>
      </w:r>
      <w:r w:rsidR="009A03C5" w:rsidRPr="004B520E">
        <w:t>4</w:t>
      </w:r>
      <w:r w:rsidR="00F04145" w:rsidRPr="004B520E">
        <w:t>,</w:t>
      </w:r>
      <w:r w:rsidRPr="004B520E">
        <w:t xml:space="preserve"> </w:t>
      </w:r>
      <w:r w:rsidR="009A03C5" w:rsidRPr="004B520E">
        <w:t>18</w:t>
      </w:r>
      <w:r w:rsidR="00F00D4A" w:rsidRPr="004B520E">
        <w:t>,</w:t>
      </w:r>
      <w:r w:rsidR="009A03C5" w:rsidRPr="004B520E">
        <w:t>310</w:t>
      </w:r>
      <w:r w:rsidR="00F00D4A" w:rsidRPr="004B520E">
        <w:t> </w:t>
      </w:r>
      <w:r w:rsidR="00F00D4A" w:rsidRPr="004B520E">
        <w:rPr>
          <w:rFonts w:cs="Calibri"/>
        </w:rPr>
        <w:t>GL of</w:t>
      </w:r>
      <w:r w:rsidRPr="004B520E">
        <w:t xml:space="preserve"> </w:t>
      </w:r>
      <w:r w:rsidR="003478C4" w:rsidRPr="004B520E">
        <w:t>Commonwealth environment</w:t>
      </w:r>
      <w:r w:rsidR="008230AC" w:rsidRPr="004B520E">
        <w:t>al water</w:t>
      </w:r>
      <w:r w:rsidR="003478C4" w:rsidRPr="004B520E">
        <w:t xml:space="preserve"> </w:t>
      </w:r>
      <w:r w:rsidR="00C227F6" w:rsidRPr="004B520E">
        <w:t>w</w:t>
      </w:r>
      <w:r w:rsidR="00D74BAF" w:rsidRPr="004B520E">
        <w:t>ere</w:t>
      </w:r>
      <w:r w:rsidRPr="004B520E">
        <w:t xml:space="preserve"> delivered</w:t>
      </w:r>
      <w:r w:rsidR="000E28E7" w:rsidRPr="004B520E">
        <w:t xml:space="preserve"> </w:t>
      </w:r>
      <w:r w:rsidR="009547BB" w:rsidRPr="004B520E">
        <w:t>in the Basin</w:t>
      </w:r>
      <w:r w:rsidR="008B1421" w:rsidRPr="004B520E">
        <w:t xml:space="preserve"> through </w:t>
      </w:r>
      <w:r w:rsidR="00F00D4A" w:rsidRPr="004B520E">
        <w:t>1</w:t>
      </w:r>
      <w:r w:rsidR="00D0067F" w:rsidRPr="004B520E">
        <w:t>,</w:t>
      </w:r>
      <w:r w:rsidR="009A03C5" w:rsidRPr="004B520E">
        <w:t>194</w:t>
      </w:r>
      <w:r w:rsidR="00F00D4A" w:rsidRPr="004B520E">
        <w:rPr>
          <w:rFonts w:cs="Calibri"/>
        </w:rPr>
        <w:t xml:space="preserve"> </w:t>
      </w:r>
      <w:r w:rsidR="00282B0E" w:rsidRPr="004B520E">
        <w:t xml:space="preserve">watering </w:t>
      </w:r>
      <w:r w:rsidR="00A86935" w:rsidRPr="004B520E">
        <w:t>actions</w:t>
      </w:r>
      <w:r w:rsidR="00623C32" w:rsidRPr="004B520E">
        <w:t xml:space="preserve"> (</w:t>
      </w:r>
      <w:r w:rsidR="00917DB6">
        <w:fldChar w:fldCharType="begin"/>
      </w:r>
      <w:r w:rsidR="00917DB6">
        <w:instrText xml:space="preserve"> REF _Ref181181301 \h </w:instrText>
      </w:r>
      <w:r w:rsidR="00917DB6">
        <w:fldChar w:fldCharType="separate"/>
      </w:r>
      <w:r w:rsidR="00C43C1D" w:rsidRPr="005821CB">
        <w:t>Figure </w:t>
      </w:r>
      <w:r w:rsidR="00C43C1D">
        <w:rPr>
          <w:noProof/>
        </w:rPr>
        <w:t>4</w:t>
      </w:r>
      <w:r w:rsidR="00C43C1D" w:rsidRPr="005821CB">
        <w:t>.</w:t>
      </w:r>
      <w:r w:rsidR="00C43C1D">
        <w:rPr>
          <w:noProof/>
        </w:rPr>
        <w:t>1</w:t>
      </w:r>
      <w:r w:rsidR="00917DB6">
        <w:fldChar w:fldCharType="end"/>
      </w:r>
      <w:r w:rsidR="00623C32" w:rsidRPr="004B520E">
        <w:t>)</w:t>
      </w:r>
      <w:r w:rsidR="000D1368" w:rsidRPr="004B520E">
        <w:t xml:space="preserve">. </w:t>
      </w:r>
      <w:r w:rsidR="008D2468" w:rsidRPr="004B520E">
        <w:t xml:space="preserve">Many watering actions target more than one outcome. </w:t>
      </w:r>
      <w:r w:rsidR="003728FA" w:rsidRPr="004B520E">
        <w:t>Of those watering actions with</w:t>
      </w:r>
      <w:r w:rsidR="00A86935" w:rsidRPr="004B520E">
        <w:t xml:space="preserve"> objectives </w:t>
      </w:r>
      <w:r w:rsidR="009547BB" w:rsidRPr="004B520E">
        <w:t xml:space="preserve">relating to biodiversity, </w:t>
      </w:r>
      <w:r w:rsidR="009A03C5" w:rsidRPr="004B520E">
        <w:t>701</w:t>
      </w:r>
      <w:r w:rsidR="00920643" w:rsidRPr="004B520E">
        <w:t xml:space="preserve"> </w:t>
      </w:r>
      <w:r w:rsidR="0032157A" w:rsidRPr="004B520E">
        <w:t xml:space="preserve">actions </w:t>
      </w:r>
      <w:r w:rsidR="00282B0E" w:rsidRPr="004B520E">
        <w:t>totalling</w:t>
      </w:r>
      <w:r w:rsidR="000E28E7" w:rsidRPr="004B520E">
        <w:t xml:space="preserve"> </w:t>
      </w:r>
      <w:r w:rsidR="003728FA" w:rsidRPr="004B520E">
        <w:t>1</w:t>
      </w:r>
      <w:r w:rsidR="009A03C5" w:rsidRPr="004B520E">
        <w:t>5</w:t>
      </w:r>
      <w:r w:rsidR="003728FA" w:rsidRPr="004B520E">
        <w:t>,</w:t>
      </w:r>
      <w:r w:rsidR="009A03C5" w:rsidRPr="004B520E">
        <w:t>607</w:t>
      </w:r>
      <w:r w:rsidR="0088068E" w:rsidRPr="004B520E">
        <w:t> </w:t>
      </w:r>
      <w:r w:rsidR="00A86935" w:rsidRPr="004B520E">
        <w:t>GL</w:t>
      </w:r>
      <w:r w:rsidR="003728FA" w:rsidRPr="004B520E">
        <w:t xml:space="preserve"> </w:t>
      </w:r>
      <w:r w:rsidR="00D85E19" w:rsidRPr="004B520E">
        <w:t>t</w:t>
      </w:r>
      <w:r w:rsidR="00C3225C" w:rsidRPr="004B520E">
        <w:t>arget</w:t>
      </w:r>
      <w:r w:rsidR="00C11ACA" w:rsidRPr="004B520E">
        <w:t>ed</w:t>
      </w:r>
      <w:r w:rsidR="0032157A" w:rsidRPr="004B520E">
        <w:t xml:space="preserve"> fish, </w:t>
      </w:r>
      <w:r w:rsidR="009A03C5" w:rsidRPr="004B520E">
        <w:t>818</w:t>
      </w:r>
      <w:r w:rsidR="00920643" w:rsidRPr="004B520E">
        <w:t xml:space="preserve"> actions </w:t>
      </w:r>
      <w:r w:rsidR="00282B0E" w:rsidRPr="004B520E">
        <w:t>totall</w:t>
      </w:r>
      <w:r w:rsidR="00920643" w:rsidRPr="004B520E">
        <w:t xml:space="preserve">ing </w:t>
      </w:r>
      <w:r w:rsidR="009A03C5" w:rsidRPr="004B520E">
        <w:t>13,011</w:t>
      </w:r>
      <w:r w:rsidR="00A86935" w:rsidRPr="004B520E">
        <w:t xml:space="preserve"> GL </w:t>
      </w:r>
      <w:r w:rsidR="00EA3605" w:rsidRPr="004B520E">
        <w:t>ta</w:t>
      </w:r>
      <w:r w:rsidR="00C3225C" w:rsidRPr="004B520E">
        <w:t>rget</w:t>
      </w:r>
      <w:r w:rsidR="00C11ACA" w:rsidRPr="004B520E">
        <w:t>ed</w:t>
      </w:r>
      <w:r w:rsidR="00920643" w:rsidRPr="004B520E">
        <w:t xml:space="preserve"> </w:t>
      </w:r>
      <w:r w:rsidR="00A86935" w:rsidRPr="004B520E">
        <w:t>vegeta</w:t>
      </w:r>
      <w:r w:rsidR="0032157A" w:rsidRPr="004B520E">
        <w:t>t</w:t>
      </w:r>
      <w:r w:rsidR="00A86935" w:rsidRPr="004B520E">
        <w:t>ion</w:t>
      </w:r>
      <w:r w:rsidR="00C11ACA" w:rsidRPr="004B520E">
        <w:t>,</w:t>
      </w:r>
      <w:r w:rsidR="00A86935" w:rsidRPr="004B520E">
        <w:t xml:space="preserve"> and </w:t>
      </w:r>
      <w:r w:rsidR="009A03C5" w:rsidRPr="004B520E">
        <w:t>740</w:t>
      </w:r>
      <w:r w:rsidR="00F06163" w:rsidRPr="004B520E">
        <w:t xml:space="preserve"> actions totalling </w:t>
      </w:r>
      <w:r w:rsidR="009A03C5" w:rsidRPr="004B520E">
        <w:t>11,021</w:t>
      </w:r>
      <w:r w:rsidR="00F06163" w:rsidRPr="004B520E">
        <w:t xml:space="preserve"> GL </w:t>
      </w:r>
      <w:r w:rsidR="00282B0E" w:rsidRPr="004B520E">
        <w:t>target</w:t>
      </w:r>
      <w:r w:rsidR="00C11ACA" w:rsidRPr="004B520E">
        <w:t>ed</w:t>
      </w:r>
      <w:r w:rsidR="00920643" w:rsidRPr="004B520E">
        <w:t xml:space="preserve"> </w:t>
      </w:r>
      <w:r w:rsidR="00A86935" w:rsidRPr="004B520E">
        <w:t>waterbirds, frogs, turtles, platypus and rakali</w:t>
      </w:r>
      <w:r w:rsidR="005E6282">
        <w:t xml:space="preserve"> (</w:t>
      </w:r>
      <w:r w:rsidR="005E6282">
        <w:rPr>
          <w:i/>
          <w:iCs/>
        </w:rPr>
        <w:t>Hydromys chrysogaster</w:t>
      </w:r>
      <w:r w:rsidR="005E6282">
        <w:t>)</w:t>
      </w:r>
      <w:r w:rsidR="0035012E" w:rsidRPr="004B520E">
        <w:t>.</w:t>
      </w:r>
    </w:p>
    <w:p w14:paraId="7C22320A" w14:textId="620DDD9F" w:rsidR="00C33671" w:rsidRPr="005821CB" w:rsidRDefault="00FB7CE3" w:rsidP="000B73AA">
      <w:pPr>
        <w:pStyle w:val="CaptionWithNote"/>
      </w:pPr>
      <w:bookmarkStart w:id="472" w:name="_Ref181181301"/>
      <w:bookmarkStart w:id="473" w:name="_Toc206528493"/>
      <w:r w:rsidRPr="005821CB">
        <w:t>F</w:t>
      </w:r>
      <w:r w:rsidR="00C33671" w:rsidRPr="005821CB">
        <w:t>igure</w:t>
      </w:r>
      <w:r w:rsidR="006118AD" w:rsidRPr="005821CB">
        <w:t> </w:t>
      </w:r>
      <w:r>
        <w:fldChar w:fldCharType="begin"/>
      </w:r>
      <w:r>
        <w:instrText>STYLEREF 1 \s</w:instrText>
      </w:r>
      <w:r>
        <w:fldChar w:fldCharType="separate"/>
      </w:r>
      <w:r w:rsidR="00C43C1D">
        <w:rPr>
          <w:noProof/>
        </w:rPr>
        <w:t>4</w:t>
      </w:r>
      <w:r>
        <w:fldChar w:fldCharType="end"/>
      </w:r>
      <w:r w:rsidR="000E33F7" w:rsidRPr="005821CB">
        <w:t>.</w:t>
      </w:r>
      <w:r>
        <w:fldChar w:fldCharType="begin"/>
      </w:r>
      <w:r>
        <w:instrText>SEQ Figure \* ARABIC \s 1</w:instrText>
      </w:r>
      <w:r>
        <w:fldChar w:fldCharType="separate"/>
      </w:r>
      <w:r w:rsidR="00C43C1D">
        <w:rPr>
          <w:noProof/>
        </w:rPr>
        <w:t>1</w:t>
      </w:r>
      <w:r>
        <w:fldChar w:fldCharType="end"/>
      </w:r>
      <w:bookmarkEnd w:id="472"/>
      <w:r w:rsidR="00C33671" w:rsidRPr="005821CB">
        <w:t xml:space="preserve"> </w:t>
      </w:r>
      <w:r w:rsidR="00845743" w:rsidRPr="005821CB">
        <w:t xml:space="preserve">Number and volume of </w:t>
      </w:r>
      <w:r w:rsidR="00C33671" w:rsidRPr="005821CB">
        <w:t>Commonwealth environmental water</w:t>
      </w:r>
      <w:r w:rsidR="00845743" w:rsidRPr="005821CB">
        <w:t>ing actions</w:t>
      </w:r>
      <w:r w:rsidR="00536489" w:rsidRPr="005821CB">
        <w:t xml:space="preserve"> with objectives for fish, vegetation, species diversity and water quality</w:t>
      </w:r>
      <w:r w:rsidR="00845743" w:rsidRPr="005821CB">
        <w:t>,</w:t>
      </w:r>
      <w:r w:rsidR="00C33671" w:rsidRPr="005821CB">
        <w:t xml:space="preserve"> </w:t>
      </w:r>
      <w:r w:rsidR="00244943" w:rsidRPr="005821CB">
        <w:t>2014–24</w:t>
      </w:r>
      <w:bookmarkEnd w:id="473"/>
    </w:p>
    <w:p w14:paraId="5633BAFE" w14:textId="2F4BBB99" w:rsidR="0035012E" w:rsidRPr="004B520E" w:rsidRDefault="001C5A5D" w:rsidP="007326AB">
      <w:pPr>
        <w:pStyle w:val="CaptionNote"/>
      </w:pPr>
      <w:r w:rsidRPr="005821CB">
        <w:t xml:space="preserve">Volumes are rounded to the nearest </w:t>
      </w:r>
      <w:r w:rsidR="008E58B7" w:rsidRPr="005821CB">
        <w:t>gigalitre</w:t>
      </w:r>
      <w:r w:rsidRPr="005821CB">
        <w:t xml:space="preserve">. </w:t>
      </w:r>
      <w:r w:rsidR="00345490" w:rsidRPr="005821CB">
        <w:t xml:space="preserve">Many actions </w:t>
      </w:r>
      <w:r w:rsidRPr="005821CB">
        <w:t xml:space="preserve">contribute to multiple </w:t>
      </w:r>
      <w:r w:rsidR="00345490" w:rsidRPr="005821CB">
        <w:t>objectives</w:t>
      </w:r>
      <w:r w:rsidRPr="005821CB">
        <w:t>.</w:t>
      </w:r>
      <w:r w:rsidR="0051510A" w:rsidRPr="005821CB">
        <w:t xml:space="preserve"> </w:t>
      </w:r>
      <w:bookmarkStart w:id="474" w:name="_Toc172283426"/>
      <w:bookmarkStart w:id="475" w:name="_Toc172283547"/>
      <w:bookmarkStart w:id="476" w:name="_Toc172283668"/>
      <w:bookmarkEnd w:id="474"/>
      <w:bookmarkEnd w:id="475"/>
      <w:bookmarkEnd w:id="476"/>
      <w:r w:rsidR="00BD7C23" w:rsidRPr="005821CB">
        <w:t>Asterisk (</w:t>
      </w:r>
      <w:r w:rsidR="00C33671" w:rsidRPr="005821CB">
        <w:t>*</w:t>
      </w:r>
      <w:r w:rsidR="00BD7C23" w:rsidRPr="005821CB">
        <w:t>)</w:t>
      </w:r>
      <w:r w:rsidR="00C33671" w:rsidRPr="005821CB">
        <w:t xml:space="preserve"> </w:t>
      </w:r>
      <w:r w:rsidR="00BD7C23" w:rsidRPr="005821CB">
        <w:t>c</w:t>
      </w:r>
      <w:r w:rsidR="00C33671" w:rsidRPr="005821CB">
        <w:t xml:space="preserve">ombines actions for waterbirds, frogs and other biota; </w:t>
      </w:r>
      <w:r w:rsidR="00345490" w:rsidRPr="005821CB">
        <w:t>Hash (</w:t>
      </w:r>
      <w:r w:rsidR="003019F2">
        <w:t>#</w:t>
      </w:r>
      <w:r w:rsidR="00345490" w:rsidRPr="005821CB">
        <w:t>)</w:t>
      </w:r>
      <w:r w:rsidR="00C33671" w:rsidRPr="005821CB">
        <w:t xml:space="preserve"> combin</w:t>
      </w:r>
      <w:r w:rsidR="008E58B7" w:rsidRPr="005821CB">
        <w:t>es</w:t>
      </w:r>
      <w:r w:rsidR="00C33671" w:rsidRPr="005821CB">
        <w:t xml:space="preserve"> water quality and ecosystem processes</w:t>
      </w:r>
      <w:bookmarkStart w:id="477" w:name="_Toc172283427"/>
      <w:bookmarkStart w:id="478" w:name="_Toc172283548"/>
      <w:bookmarkStart w:id="479" w:name="_Toc172283669"/>
      <w:bookmarkStart w:id="480" w:name="_Toc74060305"/>
      <w:bookmarkStart w:id="481" w:name="_Toc74060515"/>
      <w:bookmarkStart w:id="482" w:name="_Toc168579872"/>
      <w:bookmarkStart w:id="483" w:name="_Toc172283670"/>
      <w:bookmarkEnd w:id="477"/>
      <w:bookmarkEnd w:id="478"/>
      <w:bookmarkEnd w:id="479"/>
      <w:bookmarkEnd w:id="480"/>
      <w:bookmarkEnd w:id="481"/>
      <w:r w:rsidR="0035012E" w:rsidRPr="005821CB">
        <w:t>.</w:t>
      </w:r>
    </w:p>
    <w:p w14:paraId="5EC55B00" w14:textId="77777777" w:rsidR="00BA6842" w:rsidRPr="004B520E" w:rsidRDefault="00BA6842" w:rsidP="00BA6842">
      <w:pPr>
        <w:pStyle w:val="Figure"/>
      </w:pPr>
      <w:r w:rsidRPr="004B520E">
        <w:rPr>
          <w:noProof/>
        </w:rPr>
        <w:drawing>
          <wp:inline distT="0" distB="0" distL="0" distR="0" wp14:anchorId="0F31C0CA" wp14:editId="18E5B531">
            <wp:extent cx="5641497" cy="4620109"/>
            <wp:effectExtent l="19050" t="19050" r="16510" b="28575"/>
            <wp:docPr id="697257118" name="Picture 14"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57118" name="Picture 14" descr="Due to the complexity of this graph / chart / figure and the niche scientific target audience, no alternative description has been provided. Please email the CEWH Environmental Water Science Section at CEWHscience@dcceew.gov.au for an alternative description."/>
                    <pic:cNvPicPr>
                      <a:picLocks noChangeAspect="1" noChangeArrowheads="1"/>
                    </pic:cNvPicPr>
                  </pic:nvPicPr>
                  <pic:blipFill>
                    <a:blip r:embed="rId69"/>
                    <a:stretch>
                      <a:fillRect/>
                    </a:stretch>
                  </pic:blipFill>
                  <pic:spPr bwMode="auto">
                    <a:xfrm>
                      <a:off x="0" y="0"/>
                      <a:ext cx="5641497" cy="4620109"/>
                    </a:xfrm>
                    <a:prstGeom prst="rect">
                      <a:avLst/>
                    </a:prstGeom>
                    <a:noFill/>
                    <a:ln>
                      <a:solidFill>
                        <a:schemeClr val="bg1">
                          <a:lumMod val="75000"/>
                        </a:schemeClr>
                      </a:solidFill>
                    </a:ln>
                  </pic:spPr>
                </pic:pic>
              </a:graphicData>
            </a:graphic>
          </wp:inline>
        </w:drawing>
      </w:r>
    </w:p>
    <w:p w14:paraId="499359AB" w14:textId="3EDEBB83" w:rsidR="004766F6" w:rsidRPr="004B520E" w:rsidRDefault="00D9079E" w:rsidP="000628C8">
      <w:pPr>
        <w:pStyle w:val="Heading3"/>
        <w:pageBreakBefore/>
        <w:rPr>
          <w:rStyle w:val="Bold"/>
          <w:b/>
        </w:rPr>
      </w:pPr>
      <w:r w:rsidRPr="004B520E">
        <w:rPr>
          <w:rStyle w:val="Bold"/>
          <w:b/>
        </w:rPr>
        <w:lastRenderedPageBreak/>
        <w:t>Vegetation</w:t>
      </w:r>
      <w:bookmarkEnd w:id="482"/>
      <w:bookmarkEnd w:id="483"/>
    </w:p>
    <w:p w14:paraId="1AD9F850" w14:textId="2D787CF0" w:rsidR="001A2CA7" w:rsidRPr="004B520E" w:rsidRDefault="001A2CA7" w:rsidP="00244943">
      <w:pPr>
        <w:pStyle w:val="ChapterSignposting"/>
      </w:pPr>
      <w:r w:rsidRPr="004B520E">
        <w:t xml:space="preserve">This section presents findings from the Vegetation evaluation for the </w:t>
      </w:r>
      <w:r w:rsidR="00FC1565" w:rsidRPr="004B520E">
        <w:t>10</w:t>
      </w:r>
      <w:r w:rsidRPr="004B520E">
        <w:t xml:space="preserve"> years from </w:t>
      </w:r>
      <w:r w:rsidR="00244943" w:rsidRPr="004B520E">
        <w:t>2014–24</w:t>
      </w:r>
      <w:r w:rsidR="006231F2" w:rsidRPr="004B520E">
        <w:t>,</w:t>
      </w:r>
      <w:r w:rsidRPr="004B520E">
        <w:t xml:space="preserve"> presented in full in the </w:t>
      </w:r>
      <w:r w:rsidR="006231F2" w:rsidRPr="004B520E">
        <w:t xml:space="preserve">‘Basin-scale evaluation of </w:t>
      </w:r>
      <w:r w:rsidR="00244943" w:rsidRPr="004B520E">
        <w:t>2023–24</w:t>
      </w:r>
      <w:r w:rsidR="006231F2" w:rsidRPr="004B520E">
        <w:t xml:space="preserve"> Commonwealth environmental water: Vegetation’</w:t>
      </w:r>
      <w:r w:rsidR="006231F2" w:rsidRPr="004B520E" w:rsidDel="00E96AC8">
        <w:t xml:space="preserve"> </w:t>
      </w:r>
      <w:r w:rsidR="006231F2" w:rsidRPr="004B520E">
        <w:t>r</w:t>
      </w:r>
      <w:r w:rsidR="006231F2" w:rsidRPr="004B520E">
        <w:rPr>
          <w:iCs/>
          <w:szCs w:val="20"/>
        </w:rPr>
        <w:t xml:space="preserve">eport </w:t>
      </w:r>
      <w:r w:rsidRPr="004B520E">
        <w:t>(</w:t>
      </w:r>
      <w:r w:rsidR="00BD6B56" w:rsidRPr="004B520E">
        <w:t xml:space="preserve">accompanying this document and </w:t>
      </w:r>
      <w:r w:rsidR="00DD645F">
        <w:t xml:space="preserve">will be </w:t>
      </w:r>
      <w:r w:rsidRPr="004B520E">
        <w:t xml:space="preserve">available </w:t>
      </w:r>
      <w:r w:rsidR="00666ADD">
        <w:t>from</w:t>
      </w:r>
      <w:r w:rsidR="00666ADD" w:rsidRPr="004B520E">
        <w:t xml:space="preserve"> </w:t>
      </w:r>
      <w:r w:rsidR="00666ADD">
        <w:t>DCCEEW’s</w:t>
      </w:r>
      <w:r w:rsidR="00666ADD" w:rsidRPr="004B520E">
        <w:t xml:space="preserve"> </w:t>
      </w:r>
      <w:hyperlink r:id="rId70" w:history="1">
        <w:r w:rsidR="00666ADD" w:rsidRPr="004B520E">
          <w:rPr>
            <w:rStyle w:val="Hyperlink"/>
            <w:rFonts w:cs="Calibri Light"/>
          </w:rPr>
          <w:t>Flow-MER Basin-scale Project publications</w:t>
        </w:r>
      </w:hyperlink>
      <w:r w:rsidR="00666ADD" w:rsidRPr="004B520E">
        <w:t xml:space="preserve"> </w:t>
      </w:r>
      <w:r w:rsidR="00666ADD">
        <w:t>web</w:t>
      </w:r>
      <w:r w:rsidR="00666ADD" w:rsidRPr="004B520E">
        <w:t>page)</w:t>
      </w:r>
      <w:r w:rsidR="006231F2" w:rsidRPr="004B520E">
        <w:t>.</w:t>
      </w:r>
    </w:p>
    <w:p w14:paraId="06031292" w14:textId="3122A870" w:rsidR="00282B0E" w:rsidRPr="004B520E" w:rsidRDefault="00723AFF" w:rsidP="00FC1565">
      <w:pPr>
        <w:pStyle w:val="Boxedtextgreen"/>
      </w:pPr>
      <w:r w:rsidRPr="004B520E">
        <w:t>Environmental water is preventing the loss of characteristic wetland and floodplain plants by maintaining wetter hydrological regimes across the</w:t>
      </w:r>
      <w:r w:rsidR="001837F8" w:rsidRPr="004B520E">
        <w:t xml:space="preserve"> managed portion of the</w:t>
      </w:r>
      <w:r w:rsidRPr="004B520E">
        <w:t xml:space="preserve"> Murray</w:t>
      </w:r>
      <w:r w:rsidR="000C7760" w:rsidRPr="004B520E">
        <w:rPr>
          <w:rFonts w:cs="Calibri"/>
        </w:rPr>
        <w:t>–</w:t>
      </w:r>
      <w:r w:rsidRPr="004B520E">
        <w:t xml:space="preserve">Darling Basin. </w:t>
      </w:r>
      <w:r w:rsidR="00B570C2" w:rsidRPr="004B520E">
        <w:t>In the absence of Commonwealth environmental water, important assemblages of species would</w:t>
      </w:r>
      <w:r w:rsidR="002803C1" w:rsidRPr="004B520E">
        <w:t xml:space="preserve"> have</w:t>
      </w:r>
      <w:r w:rsidR="00B570C2" w:rsidRPr="004B520E">
        <w:t xml:space="preserve"> be</w:t>
      </w:r>
      <w:r w:rsidR="002803C1" w:rsidRPr="004B520E">
        <w:t>en</w:t>
      </w:r>
      <w:r w:rsidR="00B570C2" w:rsidRPr="004B520E">
        <w:t xml:space="preserve"> markedly reduced in extent</w:t>
      </w:r>
      <w:r w:rsidR="002803C1" w:rsidRPr="004B520E">
        <w:t xml:space="preserve"> during dry periods</w:t>
      </w:r>
      <w:r w:rsidR="00B570C2" w:rsidRPr="004B520E">
        <w:t xml:space="preserve">. There would be a reduction in vegetation community richness </w:t>
      </w:r>
      <w:r w:rsidR="009020AA">
        <w:t>and</w:t>
      </w:r>
      <w:r w:rsidR="009020AA" w:rsidRPr="004B520E">
        <w:t xml:space="preserve"> </w:t>
      </w:r>
      <w:r w:rsidR="00B570C2" w:rsidRPr="004B520E">
        <w:t>a high risk of permanent transitions to altered vegetation community assemblages and loss of resilience of water-dependent plant communities.</w:t>
      </w:r>
      <w:r w:rsidR="00FC1565" w:rsidRPr="004B520E">
        <w:t xml:space="preserve"> The evaluation also demonstrates the importance of reducing the duration of the dry phase for supporting a greater cover of vegetation, particularly the cover of submerged and amphibious species.</w:t>
      </w:r>
    </w:p>
    <w:p w14:paraId="4F2A36EF" w14:textId="1E26BF8B" w:rsidR="006C30FC" w:rsidRPr="004B520E" w:rsidRDefault="00723AFF" w:rsidP="006C30FC">
      <w:pPr>
        <w:pStyle w:val="BodyText"/>
      </w:pPr>
      <w:r>
        <w:t xml:space="preserve">Between 2014 and </w:t>
      </w:r>
      <w:r w:rsidR="005701DD">
        <w:t>20</w:t>
      </w:r>
      <w:r>
        <w:t>2</w:t>
      </w:r>
      <w:r w:rsidR="00FC1565">
        <w:t>4</w:t>
      </w:r>
      <w:r>
        <w:t xml:space="preserve">, </w:t>
      </w:r>
      <w:r w:rsidR="00FC1565">
        <w:t>818</w:t>
      </w:r>
      <w:r>
        <w:t xml:space="preserve"> watering actions</w:t>
      </w:r>
      <w:r w:rsidR="00E45522">
        <w:t xml:space="preserve"> –</w:t>
      </w:r>
      <w:r>
        <w:t xml:space="preserve"> totalling </w:t>
      </w:r>
      <w:r w:rsidR="00C8022F">
        <w:t>1</w:t>
      </w:r>
      <w:r w:rsidR="00FC1565">
        <w:t>3</w:t>
      </w:r>
      <w:r w:rsidR="00C8022F">
        <w:t>,</w:t>
      </w:r>
      <w:r w:rsidR="00FC1565">
        <w:t>011</w:t>
      </w:r>
      <w:r>
        <w:t xml:space="preserve"> GL of </w:t>
      </w:r>
      <w:r w:rsidR="00CB055B">
        <w:t>Commonwealth environmental water</w:t>
      </w:r>
      <w:r>
        <w:t xml:space="preserve"> </w:t>
      </w:r>
      <w:r w:rsidR="00E45522">
        <w:t xml:space="preserve">– </w:t>
      </w:r>
      <w:r>
        <w:t>targeted expected outcomes for vegetation.</w:t>
      </w:r>
      <w:r w:rsidR="000938D3">
        <w:t xml:space="preserve"> </w:t>
      </w:r>
      <w:r w:rsidR="002D67DF">
        <w:t>E</w:t>
      </w:r>
      <w:r w:rsidR="006C30FC">
        <w:t xml:space="preserve">nvironmental water has resulted in </w:t>
      </w:r>
      <w:r w:rsidR="00FC1565">
        <w:t>4</w:t>
      </w:r>
      <w:r w:rsidR="006C30FC">
        <w:t xml:space="preserve"> distinct inundation regimes for 73</w:t>
      </w:r>
      <w:r w:rsidR="00015521">
        <w:t> </w:t>
      </w:r>
      <w:r w:rsidR="006C30FC">
        <w:t xml:space="preserve">monitored floodplain and wetland </w:t>
      </w:r>
      <w:r w:rsidR="002D67DF">
        <w:t>locations</w:t>
      </w:r>
      <w:r w:rsidR="006C30FC">
        <w:t xml:space="preserve"> across the Basin. The wetter of these inundation regimes are almost entirely the result of the delivery of environmental water. </w:t>
      </w:r>
      <w:r w:rsidR="70DC2E37">
        <w:t xml:space="preserve">Each inundation regime is associated with </w:t>
      </w:r>
      <w:r w:rsidR="006C30FC">
        <w:t>distinct functional and structural assemblages of plants.</w:t>
      </w:r>
      <w:r w:rsidR="004903E2">
        <w:t xml:space="preserve"> </w:t>
      </w:r>
      <w:r w:rsidR="6C1F9C02">
        <w:t>a</w:t>
      </w:r>
      <w:r w:rsidR="2D56E602">
        <w:t xml:space="preserve">nd </w:t>
      </w:r>
      <w:r w:rsidR="5DAF7088">
        <w:t>modelling shows that,</w:t>
      </w:r>
      <w:r w:rsidR="2D56E602">
        <w:t xml:space="preserve"> over the past 10 years</w:t>
      </w:r>
      <w:r w:rsidR="7C632BAA">
        <w:t>,</w:t>
      </w:r>
      <w:r w:rsidR="2D56E602">
        <w:t xml:space="preserve"> </w:t>
      </w:r>
      <w:r w:rsidR="006C30FC">
        <w:t xml:space="preserve">environmental water </w:t>
      </w:r>
      <w:r w:rsidR="006B24A3">
        <w:t>ha</w:t>
      </w:r>
      <w:r w:rsidR="00BD65C6">
        <w:t>s</w:t>
      </w:r>
      <w:r w:rsidR="006C30FC">
        <w:t xml:space="preserve"> maintain</w:t>
      </w:r>
      <w:r w:rsidR="006B24A3">
        <w:t>ed</w:t>
      </w:r>
      <w:r w:rsidR="006C30FC">
        <w:t xml:space="preserve"> important assemblages of species and </w:t>
      </w:r>
      <w:r w:rsidR="00EC7D51">
        <w:t>diverse</w:t>
      </w:r>
      <w:r w:rsidR="006C30FC">
        <w:t xml:space="preserve"> vegetation communities.</w:t>
      </w:r>
    </w:p>
    <w:p w14:paraId="5257B120" w14:textId="4083EC7E" w:rsidR="00FC1565" w:rsidRPr="004B520E" w:rsidRDefault="008F3A7C" w:rsidP="006C30FC">
      <w:pPr>
        <w:pStyle w:val="BodyText"/>
      </w:pPr>
      <w:r>
        <w:t>E</w:t>
      </w:r>
      <w:r w:rsidR="00FC1565" w:rsidRPr="004B520E">
        <w:t>nvironmental water has</w:t>
      </w:r>
      <w:r>
        <w:t xml:space="preserve"> likely</w:t>
      </w:r>
      <w:r w:rsidR="00FC1565" w:rsidRPr="004B520E">
        <w:t xml:space="preserve"> contributed to a greater number of plant species and increased vegetation community diversity in unmonitored areas that receive environmental water. Over the past 10 years, watering frequencies broadly aligned with the expected needs of vegetation groups. Permanent lowland rivers, temporary tall emergent marsh and permanent tall emergent marsh were watered more frequently than most treed swamps, and palustrine wetlands were watered more frequently than floodplains (Brooks 2025). Without environmental water, and in the absence of other overbank flooding because of water</w:t>
      </w:r>
      <w:r w:rsidR="00355FDC">
        <w:t>-</w:t>
      </w:r>
      <w:r w:rsidR="00FC1565" w:rsidRPr="004B520E">
        <w:t>resource management activities, these ecosystem types will shift to different assemblages of vegetation and transition to the ecosystem types that are more common to drier hydrological regimes.</w:t>
      </w:r>
    </w:p>
    <w:p w14:paraId="4E4423DA" w14:textId="77777777" w:rsidR="00872169" w:rsidRPr="004B520E" w:rsidRDefault="00872169" w:rsidP="00F013A2">
      <w:pPr>
        <w:pStyle w:val="Boxedtextblue"/>
      </w:pPr>
      <w:r w:rsidRPr="004B520E">
        <w:t>Basin Plan objective at paragraph 8.04(a): to protect and restore water-dependent ecosystems of the Murray–Darling Basin.</w:t>
      </w:r>
    </w:p>
    <w:p w14:paraId="6E343B34" w14:textId="20146F4C" w:rsidR="0035012E" w:rsidRPr="004B520E" w:rsidRDefault="00111254" w:rsidP="006C30FC">
      <w:pPr>
        <w:pStyle w:val="ListBullet"/>
      </w:pPr>
      <w:r w:rsidRPr="004B520E">
        <w:t>Enviro</w:t>
      </w:r>
      <w:r w:rsidR="00C03CBA" w:rsidRPr="004B520E">
        <w:t xml:space="preserve">nmental watering </w:t>
      </w:r>
      <w:r w:rsidR="00621854" w:rsidRPr="004B520E">
        <w:t>has</w:t>
      </w:r>
      <w:r w:rsidR="0007319F" w:rsidRPr="004B520E">
        <w:t xml:space="preserve"> contributed to a</w:t>
      </w:r>
      <w:r w:rsidR="00C03CBA" w:rsidRPr="004B520E">
        <w:t xml:space="preserve"> </w:t>
      </w:r>
      <w:r w:rsidR="00872169" w:rsidRPr="004B520E">
        <w:t>greater diversity and cover of submerged, amphibious and damp-loving species.</w:t>
      </w:r>
      <w:r w:rsidR="00872169" w:rsidRPr="004B520E" w:rsidDel="00591B97">
        <w:t xml:space="preserve"> </w:t>
      </w:r>
      <w:r w:rsidR="00A513CD" w:rsidRPr="004B520E">
        <w:t>Without</w:t>
      </w:r>
      <w:r w:rsidR="00872169" w:rsidRPr="004B520E">
        <w:t xml:space="preserve"> </w:t>
      </w:r>
      <w:r w:rsidR="00CB055B" w:rsidRPr="004B520E">
        <w:t>Commonwealth environmental water</w:t>
      </w:r>
      <w:r w:rsidR="00872169" w:rsidRPr="004B520E">
        <w:t xml:space="preserve">, many locations across the Basin would have experienced drier water regimes. </w:t>
      </w:r>
      <w:r w:rsidR="00575B75">
        <w:t>T</w:t>
      </w:r>
      <w:r w:rsidR="00872169" w:rsidRPr="004B520E">
        <w:t xml:space="preserve">his </w:t>
      </w:r>
      <w:r w:rsidR="00575B75">
        <w:t xml:space="preserve">likely </w:t>
      </w:r>
      <w:r w:rsidR="00872169" w:rsidRPr="004B520E">
        <w:t>would have resulted in the near</w:t>
      </w:r>
      <w:r w:rsidR="00A56258" w:rsidRPr="004B520E">
        <w:t>-</w:t>
      </w:r>
      <w:r w:rsidR="00872169" w:rsidRPr="004B520E">
        <w:t>absence of submerged species and substantially less diversity and cover of amphibious and damp-loving species at these locations</w:t>
      </w:r>
      <w:r w:rsidR="0035012E" w:rsidRPr="004B520E">
        <w:t>.</w:t>
      </w:r>
    </w:p>
    <w:p w14:paraId="59B957FE" w14:textId="20D07648" w:rsidR="00E97899" w:rsidRPr="004B520E" w:rsidRDefault="00B72511" w:rsidP="00DD75DB">
      <w:pPr>
        <w:pStyle w:val="ListBullet"/>
      </w:pPr>
      <w:r>
        <w:t>E</w:t>
      </w:r>
      <w:r w:rsidR="006C30FC" w:rsidRPr="004B520E">
        <w:t xml:space="preserve">nvironmental water has contributed to a greater number of plant species and increased vegetation community diversity. Over the past </w:t>
      </w:r>
      <w:r w:rsidR="00FC1565" w:rsidRPr="004B520E">
        <w:t>10</w:t>
      </w:r>
      <w:r w:rsidR="006C30FC" w:rsidRPr="004B520E">
        <w:t xml:space="preserve"> years, water</w:t>
      </w:r>
      <w:r w:rsidR="00E30A60" w:rsidRPr="004B520E">
        <w:t>ing</w:t>
      </w:r>
      <w:r w:rsidR="006C30FC" w:rsidRPr="004B520E">
        <w:t xml:space="preserve"> frequencies broadly align with expected needs of vegetation groups. Permanent lowland rivers, freshwater meadows and permanent tall marsh were watered more frequently than most treed swamps, and palustrine wetlands were watered more frequently than floodplains. Without environmental water and in the absence of other overbank flooding, these ecosystem types </w:t>
      </w:r>
      <w:r w:rsidR="001566CB" w:rsidRPr="004B520E">
        <w:t>would be expected to</w:t>
      </w:r>
      <w:r w:rsidR="006C30FC" w:rsidRPr="004B520E">
        <w:t xml:space="preserve"> transition to ecosystem </w:t>
      </w:r>
      <w:r w:rsidR="008A5F80" w:rsidRPr="004B520E">
        <w:t xml:space="preserve">types more </w:t>
      </w:r>
      <w:r w:rsidR="00E55457" w:rsidRPr="004B520E">
        <w:t>typical of</w:t>
      </w:r>
      <w:r w:rsidR="006C30FC" w:rsidRPr="004B520E">
        <w:t xml:space="preserve"> drier hydrological regimes.</w:t>
      </w:r>
    </w:p>
    <w:p w14:paraId="64D02410" w14:textId="385477C4" w:rsidR="0035012E" w:rsidRPr="004B520E" w:rsidRDefault="006C30FC" w:rsidP="00DD75DB">
      <w:pPr>
        <w:pStyle w:val="ListBullet"/>
      </w:pPr>
      <w:r w:rsidRPr="004B520E">
        <w:lastRenderedPageBreak/>
        <w:t>By maintaining distinct inundation regimes and corresponding vegetation communities, environmental water has contributed to the longer-term resilience of water-dependent plant communities</w:t>
      </w:r>
      <w:r w:rsidR="00B83124" w:rsidRPr="004B520E">
        <w:t xml:space="preserve"> across the Basin</w:t>
      </w:r>
      <w:r w:rsidRPr="004B520E">
        <w:t>. By maintaining submerged, amphibious and damp-loving species, environmental water is preventing a permanent transition to altered vegetation community assemblages and a loss of resilience of water-dependent plant communities</w:t>
      </w:r>
      <w:r w:rsidR="0035012E" w:rsidRPr="004B520E">
        <w:t>.</w:t>
      </w:r>
    </w:p>
    <w:p w14:paraId="2C046AB2" w14:textId="7D83C45F" w:rsidR="00FC1565" w:rsidRPr="004B520E" w:rsidRDefault="00FC1565" w:rsidP="00FC1565">
      <w:pPr>
        <w:pStyle w:val="ListBullet"/>
      </w:pPr>
      <w:r>
        <w:t>The evaluation shows that reducing the average duration of the dry phase in important in supporting a greater cover of vegetation and, particularly, the cover of submerged and amphibious species.</w:t>
      </w:r>
    </w:p>
    <w:p w14:paraId="4C9C3744" w14:textId="77777777" w:rsidR="00A30071" w:rsidRDefault="00A30071" w:rsidP="00A30071">
      <w:pPr>
        <w:pStyle w:val="Heading4"/>
      </w:pPr>
      <w:r w:rsidRPr="004B520E">
        <w:t xml:space="preserve">Observations since </w:t>
      </w:r>
      <w:r w:rsidRPr="00E23B26">
        <w:rPr>
          <w:lang w:val="en-US"/>
        </w:rPr>
        <w:t>2</w:t>
      </w:r>
      <w:r w:rsidRPr="004B520E">
        <w:t>014</w:t>
      </w:r>
    </w:p>
    <w:p w14:paraId="592CEF0D" w14:textId="0AE19C33" w:rsidR="008645F5" w:rsidRDefault="008645F5" w:rsidP="005821CB">
      <w:pPr>
        <w:pStyle w:val="ListBullet"/>
      </w:pPr>
      <w:r>
        <w:t>804</w:t>
      </w:r>
      <w:r w:rsidRPr="00D56494">
        <w:t xml:space="preserve"> taxa </w:t>
      </w:r>
      <w:r>
        <w:t>were</w:t>
      </w:r>
      <w:r w:rsidRPr="00D56494">
        <w:t xml:space="preserve"> recorded at monitored floodplain, wetland and riverine locations since 2014. This includes 52</w:t>
      </w:r>
      <w:r>
        <w:t>7</w:t>
      </w:r>
      <w:r w:rsidRPr="00D56494">
        <w:t xml:space="preserve"> native and 2</w:t>
      </w:r>
      <w:r>
        <w:t>21</w:t>
      </w:r>
      <w:r w:rsidRPr="00D56494">
        <w:t xml:space="preserve"> exotic species</w:t>
      </w:r>
      <w:r w:rsidR="003468FC">
        <w:t>,</w:t>
      </w:r>
      <w:r w:rsidR="003468FC" w:rsidRPr="004B520E">
        <w:t xml:space="preserve"> 70% of species and 86% of total cover were native plants.</w:t>
      </w:r>
    </w:p>
    <w:p w14:paraId="2BDBB97D" w14:textId="77777777" w:rsidR="008645F5" w:rsidRPr="0093570B" w:rsidRDefault="008645F5" w:rsidP="005821CB">
      <w:pPr>
        <w:pStyle w:val="ListBullet"/>
        <w:rPr>
          <w:lang w:val="en-US"/>
        </w:rPr>
      </w:pPr>
      <w:r w:rsidRPr="0093570B">
        <w:rPr>
          <w:lang w:val="en-US"/>
        </w:rPr>
        <w:t>Almost 10% of the plant taxa observed at monitoring locations—representing a total of 77 species recorded since 2014—are known to be used by Aboriginal people for a variety of traditional purposes, including food, fibre, shelter, medicine, hunting or fishing, messages and boundaries, dreaming or storytelling, ceremonial uses, and basket weaving.</w:t>
      </w:r>
    </w:p>
    <w:p w14:paraId="0FE15CC8" w14:textId="77777777" w:rsidR="008645F5" w:rsidRDefault="008645F5" w:rsidP="008645F5">
      <w:pPr>
        <w:pStyle w:val="ListBullet"/>
      </w:pPr>
      <w:r>
        <w:t>7 of the groundcover plant species recorded are listed as threatened, either nationally (under the EPBC Act) or within the state where they were detected. 4 of these are considered flow dependent.</w:t>
      </w:r>
    </w:p>
    <w:p w14:paraId="24579864" w14:textId="0768A6C4" w:rsidR="00890238" w:rsidRDefault="00890238" w:rsidP="00890238">
      <w:pPr>
        <w:pStyle w:val="Heading4"/>
      </w:pPr>
      <w:r w:rsidRPr="004B520E">
        <w:t xml:space="preserve">Outcomes for </w:t>
      </w:r>
      <w:r>
        <w:t>groundcover vegetation</w:t>
      </w:r>
      <w:r w:rsidRPr="004B520E">
        <w:t xml:space="preserve"> since 2014</w:t>
      </w:r>
    </w:p>
    <w:p w14:paraId="42C80266" w14:textId="1AAC5E56" w:rsidR="00354169" w:rsidRPr="004B520E" w:rsidRDefault="00354169" w:rsidP="00354169">
      <w:pPr>
        <w:pStyle w:val="ListBullet"/>
        <w:rPr>
          <w:b/>
          <w:bCs/>
        </w:rPr>
      </w:pPr>
      <w:r w:rsidRPr="004B520E">
        <w:rPr>
          <w:b/>
          <w:bCs/>
        </w:rPr>
        <w:t>Commonwealth environmental water</w:t>
      </w:r>
      <w:r w:rsidR="003478C4" w:rsidRPr="004B520E">
        <w:rPr>
          <w:b/>
          <w:bCs/>
        </w:rPr>
        <w:t xml:space="preserve"> </w:t>
      </w:r>
      <w:r w:rsidRPr="004B520E">
        <w:rPr>
          <w:b/>
          <w:bCs/>
        </w:rPr>
        <w:t xml:space="preserve">is </w:t>
      </w:r>
      <w:r w:rsidR="00B90D29" w:rsidRPr="004B520E">
        <w:rPr>
          <w:rStyle w:val="Bold"/>
        </w:rPr>
        <w:t>suppor</w:t>
      </w:r>
      <w:r w:rsidRPr="004B520E">
        <w:rPr>
          <w:rStyle w:val="Bold"/>
        </w:rPr>
        <w:t>ting</w:t>
      </w:r>
      <w:r w:rsidR="00B90D29" w:rsidRPr="004B520E">
        <w:rPr>
          <w:rStyle w:val="Bold"/>
        </w:rPr>
        <w:t xml:space="preserve"> groundcover plants</w:t>
      </w:r>
      <w:r w:rsidR="005A3FB5">
        <w:rPr>
          <w:rStyle w:val="Bold"/>
        </w:rPr>
        <w:t>.</w:t>
      </w:r>
    </w:p>
    <w:p w14:paraId="249F4F5F" w14:textId="38191677" w:rsidR="00235370" w:rsidRPr="004B520E" w:rsidRDefault="00235370" w:rsidP="00235370">
      <w:pPr>
        <w:pStyle w:val="ListBullet2"/>
      </w:pPr>
      <w:r w:rsidRPr="004B520E">
        <w:t>Environmental water is preventing the loss of characteristic wetland and floodplain plants by maintaining wetter hydrological regimes</w:t>
      </w:r>
      <w:r w:rsidR="00EA0BB8" w:rsidRPr="004B520E">
        <w:t>,</w:t>
      </w:r>
      <w:r w:rsidRPr="004B520E">
        <w:t xml:space="preserve"> help</w:t>
      </w:r>
      <w:r w:rsidR="00457448" w:rsidRPr="004B520E">
        <w:t>ing to</w:t>
      </w:r>
      <w:r w:rsidRPr="004B520E">
        <w:t xml:space="preserve"> maintain biodiversity across the Basin.</w:t>
      </w:r>
    </w:p>
    <w:p w14:paraId="6EB2B241" w14:textId="2DB9C4F6" w:rsidR="00326C5D" w:rsidRPr="004B520E" w:rsidRDefault="005940B9" w:rsidP="00326C5D">
      <w:pPr>
        <w:pStyle w:val="ListBullet2"/>
      </w:pPr>
      <w:r w:rsidRPr="004B520E">
        <w:t xml:space="preserve">Without </w:t>
      </w:r>
      <w:r w:rsidR="00CB055B" w:rsidRPr="004B520E">
        <w:t>Commonwealth environmental water</w:t>
      </w:r>
      <w:r w:rsidR="00326C5D" w:rsidRPr="004B520E">
        <w:t xml:space="preserve">, </w:t>
      </w:r>
      <w:r w:rsidR="00235370" w:rsidRPr="004B520E">
        <w:t>4</w:t>
      </w:r>
      <w:r w:rsidR="00FC1565" w:rsidRPr="004B520E">
        <w:t>0</w:t>
      </w:r>
      <w:r w:rsidR="00235370" w:rsidRPr="004B520E">
        <w:t>% of</w:t>
      </w:r>
      <w:r w:rsidR="00326C5D" w:rsidRPr="004B520E">
        <w:t xml:space="preserve"> </w:t>
      </w:r>
      <w:r w:rsidR="00477199" w:rsidRPr="004B520E">
        <w:t>monitoring locations</w:t>
      </w:r>
      <w:r w:rsidR="00326C5D" w:rsidRPr="004B520E">
        <w:t xml:space="preserve"> would have experienced a drier inundation regime. </w:t>
      </w:r>
      <w:r w:rsidR="00DC790E" w:rsidRPr="004B520E">
        <w:t xml:space="preserve">This </w:t>
      </w:r>
      <w:r w:rsidR="00326C5D" w:rsidRPr="004B520E">
        <w:t xml:space="preserve">is likely </w:t>
      </w:r>
      <w:r w:rsidR="00DC790E" w:rsidRPr="004B520E">
        <w:t>to</w:t>
      </w:r>
      <w:r w:rsidR="00326C5D" w:rsidRPr="004B520E">
        <w:t xml:space="preserve"> have resulted in less diversity and cover of submerged, amphibious and damp-loving species.</w:t>
      </w:r>
    </w:p>
    <w:p w14:paraId="228CE432" w14:textId="70A48D9A" w:rsidR="009C3FB6" w:rsidRPr="004B520E" w:rsidRDefault="009C3FB6" w:rsidP="00D358F7">
      <w:pPr>
        <w:pStyle w:val="ListBullet2"/>
      </w:pPr>
      <w:r w:rsidRPr="004B520E">
        <w:t xml:space="preserve">This highlights the significant role of environmental water in supporting a substantial number of native plant species across the Basin over the past </w:t>
      </w:r>
      <w:r w:rsidR="00FC1565" w:rsidRPr="004B520E">
        <w:t xml:space="preserve">10 </w:t>
      </w:r>
      <w:r w:rsidRPr="004B520E">
        <w:t>years.</w:t>
      </w:r>
    </w:p>
    <w:p w14:paraId="1914D5F0" w14:textId="2A8697F7" w:rsidR="00E0103F" w:rsidRPr="004B520E" w:rsidRDefault="003478C4" w:rsidP="00350D85">
      <w:pPr>
        <w:pStyle w:val="ListBullet"/>
        <w:rPr>
          <w:rStyle w:val="Bold"/>
          <w:b w:val="0"/>
          <w:bCs/>
        </w:rPr>
      </w:pPr>
      <w:r w:rsidRPr="004B520E">
        <w:rPr>
          <w:b/>
          <w:bCs/>
        </w:rPr>
        <w:t>Commonwealth environment</w:t>
      </w:r>
      <w:r w:rsidR="00F94B7B" w:rsidRPr="004B520E">
        <w:rPr>
          <w:b/>
          <w:bCs/>
        </w:rPr>
        <w:t>al water</w:t>
      </w:r>
      <w:r w:rsidR="005A3FB5">
        <w:rPr>
          <w:b/>
          <w:bCs/>
        </w:rPr>
        <w:t xml:space="preserve"> is</w:t>
      </w:r>
      <w:r w:rsidR="00F94B7B" w:rsidRPr="004B520E">
        <w:rPr>
          <w:b/>
          <w:bCs/>
        </w:rPr>
        <w:t xml:space="preserve"> </w:t>
      </w:r>
      <w:r w:rsidR="00B90D29" w:rsidRPr="004B520E">
        <w:rPr>
          <w:rStyle w:val="Bold"/>
          <w:bCs/>
        </w:rPr>
        <w:t>support</w:t>
      </w:r>
      <w:r w:rsidR="005A3FB5">
        <w:rPr>
          <w:rStyle w:val="Bold"/>
          <w:bCs/>
        </w:rPr>
        <w:t>ing</w:t>
      </w:r>
      <w:r w:rsidR="00B90D29" w:rsidRPr="004B520E">
        <w:rPr>
          <w:rStyle w:val="Bold"/>
          <w:bCs/>
        </w:rPr>
        <w:t xml:space="preserve"> plants</w:t>
      </w:r>
      <w:r w:rsidR="2F3EF368" w:rsidRPr="004B520E">
        <w:rPr>
          <w:rStyle w:val="Bold"/>
          <w:bCs/>
        </w:rPr>
        <w:t xml:space="preserve"> with </w:t>
      </w:r>
      <w:r w:rsidR="0012586A" w:rsidRPr="004B520E">
        <w:rPr>
          <w:rStyle w:val="Bold"/>
          <w:bCs/>
        </w:rPr>
        <w:t xml:space="preserve">traditional Aboriginal </w:t>
      </w:r>
      <w:r w:rsidR="000A5CBD" w:rsidRPr="00125873">
        <w:rPr>
          <w:rStyle w:val="Bold"/>
          <w:bCs/>
        </w:rPr>
        <w:t>uses</w:t>
      </w:r>
      <w:r w:rsidR="005A3FB5">
        <w:rPr>
          <w:rStyle w:val="Bold"/>
          <w:bCs/>
        </w:rPr>
        <w:t>.</w:t>
      </w:r>
    </w:p>
    <w:p w14:paraId="144285AE" w14:textId="36DDDC7F" w:rsidR="00FE78ED" w:rsidRPr="004B520E" w:rsidRDefault="00FE78ED" w:rsidP="00D358F7">
      <w:pPr>
        <w:pStyle w:val="ListBullet2"/>
      </w:pPr>
      <w:r w:rsidRPr="004B520E">
        <w:t xml:space="preserve">While </w:t>
      </w:r>
      <w:r w:rsidR="00CB055B" w:rsidRPr="004B520E">
        <w:t>Commonwealth environmental water</w:t>
      </w:r>
      <w:r w:rsidRPr="004B520E">
        <w:t xml:space="preserve"> has not deliberately targeted plant species of traditional uses, watering to support groundcover vegetation has supported a range of such species</w:t>
      </w:r>
      <w:r w:rsidR="00F83AD8" w:rsidRPr="004B520E">
        <w:t>.</w:t>
      </w:r>
    </w:p>
    <w:p w14:paraId="1C18832B" w14:textId="46036B38" w:rsidR="00E3593D" w:rsidRPr="004B520E" w:rsidRDefault="00E3593D" w:rsidP="00DC2D59">
      <w:pPr>
        <w:pStyle w:val="ListBullet2"/>
      </w:pPr>
      <w:r w:rsidRPr="004B520E">
        <w:t xml:space="preserve">33 of the plants used by Aboriginal people require flooding </w:t>
      </w:r>
      <w:r w:rsidR="00457448" w:rsidRPr="004B520E">
        <w:t>to</w:t>
      </w:r>
      <w:r w:rsidRPr="004B520E">
        <w:t xml:space="preserve"> occur, including 8</w:t>
      </w:r>
      <w:r w:rsidR="009235C1" w:rsidRPr="004B520E">
        <w:t> </w:t>
      </w:r>
      <w:r w:rsidRPr="004B520E">
        <w:t>amphibious taxa, 3</w:t>
      </w:r>
      <w:r w:rsidR="00457448" w:rsidRPr="004B520E">
        <w:t> </w:t>
      </w:r>
      <w:r w:rsidRPr="004B520E">
        <w:t>submerged taxa, 13 damp-loving taxa and 9 woody flood-dependent taxa. For example, the 3</w:t>
      </w:r>
      <w:r w:rsidR="006F0D26">
        <w:t> </w:t>
      </w:r>
      <w:r w:rsidRPr="004B520E">
        <w:t xml:space="preserve">submerged taxa </w:t>
      </w:r>
      <w:r w:rsidR="003308FA" w:rsidRPr="004B520E">
        <w:t>(</w:t>
      </w:r>
      <w:r w:rsidRPr="004B520E">
        <w:t xml:space="preserve">2 species of cumbungi </w:t>
      </w:r>
      <w:r w:rsidR="003308FA" w:rsidRPr="004B520E">
        <w:t>[</w:t>
      </w:r>
      <w:r w:rsidRPr="00A440D2">
        <w:rPr>
          <w:rStyle w:val="Italics"/>
        </w:rPr>
        <w:t>Typha domingensis</w:t>
      </w:r>
      <w:r w:rsidRPr="004B520E">
        <w:rPr>
          <w:i/>
        </w:rPr>
        <w:t xml:space="preserve"> </w:t>
      </w:r>
      <w:r w:rsidRPr="004B520E">
        <w:t xml:space="preserve">and </w:t>
      </w:r>
      <w:r w:rsidRPr="00A440D2">
        <w:rPr>
          <w:rStyle w:val="Italics"/>
        </w:rPr>
        <w:t>T</w:t>
      </w:r>
      <w:r w:rsidR="003308FA" w:rsidRPr="00A440D2">
        <w:rPr>
          <w:rStyle w:val="Italics"/>
        </w:rPr>
        <w:t>ypha</w:t>
      </w:r>
      <w:r w:rsidRPr="00A440D2">
        <w:rPr>
          <w:rStyle w:val="Italics"/>
        </w:rPr>
        <w:t xml:space="preserve"> orientalis</w:t>
      </w:r>
      <w:r w:rsidR="003308FA" w:rsidRPr="004B520E">
        <w:t>]</w:t>
      </w:r>
      <w:r w:rsidRPr="004B520E">
        <w:t xml:space="preserve"> and </w:t>
      </w:r>
      <w:r w:rsidR="00023D10" w:rsidRPr="004B520E">
        <w:t xml:space="preserve">the </w:t>
      </w:r>
      <w:r w:rsidRPr="004B520E">
        <w:t xml:space="preserve">common reed </w:t>
      </w:r>
      <w:r w:rsidR="003308FA" w:rsidRPr="004B520E">
        <w:t>[</w:t>
      </w:r>
      <w:r w:rsidRPr="004B520E">
        <w:rPr>
          <w:i/>
          <w:iCs/>
        </w:rPr>
        <w:t>Phragmites australis</w:t>
      </w:r>
      <w:r w:rsidR="003308FA" w:rsidRPr="004B520E">
        <w:t>]</w:t>
      </w:r>
      <w:r w:rsidRPr="004B520E">
        <w:t>) are culturally important species to Aboriginal people</w:t>
      </w:r>
      <w:r w:rsidR="00D21848">
        <w:t xml:space="preserve">; </w:t>
      </w:r>
      <w:r w:rsidR="00D21848">
        <w:rPr>
          <w:szCs w:val="18"/>
        </w:rPr>
        <w:t>c</w:t>
      </w:r>
      <w:r w:rsidRPr="004B520E">
        <w:rPr>
          <w:szCs w:val="18"/>
        </w:rPr>
        <w:t>umbungi requires near-permanent water while the common reed requires flooding every few years.</w:t>
      </w:r>
    </w:p>
    <w:p w14:paraId="198EE2A8" w14:textId="74B32854" w:rsidR="006A393C" w:rsidRPr="004B520E" w:rsidRDefault="006A393C" w:rsidP="00F013A2">
      <w:pPr>
        <w:pStyle w:val="Boxedheadingteal"/>
      </w:pPr>
      <w:bookmarkStart w:id="484" w:name="_Toc168579873"/>
      <w:bookmarkStart w:id="485" w:name="_Toc172283671"/>
      <w:bookmarkStart w:id="486" w:name="_Toc172290979"/>
      <w:bookmarkStart w:id="487" w:name="_Toc178668878"/>
      <w:r w:rsidRPr="004B520E">
        <w:rPr>
          <w:rStyle w:val="Strong"/>
          <w:b/>
          <w:bCs w:val="0"/>
          <w:smallCaps/>
          <w:sz w:val="26"/>
        </w:rPr>
        <w:t>H</w:t>
      </w:r>
      <w:r w:rsidR="0031294C" w:rsidRPr="004B520E">
        <w:rPr>
          <w:rStyle w:val="Strong"/>
          <w:b/>
          <w:bCs w:val="0"/>
          <w:smallCaps/>
          <w:sz w:val="26"/>
        </w:rPr>
        <w:t>IGHLIGHT</w:t>
      </w:r>
      <w:r w:rsidRPr="004B520E">
        <w:rPr>
          <w:rStyle w:val="Strong"/>
          <w:b/>
          <w:bCs w:val="0"/>
          <w:smallCaps/>
          <w:sz w:val="26"/>
        </w:rPr>
        <w:t xml:space="preserve">: </w:t>
      </w:r>
      <w:r w:rsidRPr="004B520E">
        <w:t>Water-dependent plant communities</w:t>
      </w:r>
      <w:bookmarkEnd w:id="484"/>
      <w:bookmarkEnd w:id="485"/>
      <w:bookmarkEnd w:id="486"/>
      <w:bookmarkEnd w:id="487"/>
    </w:p>
    <w:p w14:paraId="271D40BA" w14:textId="181F08FE" w:rsidR="00104BB6" w:rsidRPr="004B520E" w:rsidRDefault="00971B6C" w:rsidP="0058442E">
      <w:pPr>
        <w:pStyle w:val="Boxedtext"/>
      </w:pPr>
      <w:r w:rsidRPr="004B520E">
        <w:t xml:space="preserve">Vegetation </w:t>
      </w:r>
      <w:r w:rsidR="00D74886" w:rsidRPr="004B520E">
        <w:t xml:space="preserve">species and community </w:t>
      </w:r>
      <w:r w:rsidRPr="004B520E">
        <w:t xml:space="preserve">responses to environmental water are described </w:t>
      </w:r>
      <w:r w:rsidR="00D74886" w:rsidRPr="004B520E">
        <w:t xml:space="preserve">using </w:t>
      </w:r>
      <w:r w:rsidRPr="004B520E">
        <w:t>structural and functional attributes</w:t>
      </w:r>
      <w:r w:rsidR="00A61E13" w:rsidRPr="004B520E">
        <w:t xml:space="preserve">, </w:t>
      </w:r>
      <w:r w:rsidR="00D74886" w:rsidRPr="004B520E">
        <w:t>s</w:t>
      </w:r>
      <w:r w:rsidR="00F50195" w:rsidRPr="004B520E">
        <w:t>uch as</w:t>
      </w:r>
      <w:r w:rsidR="00A61E13" w:rsidRPr="004B520E">
        <w:t>:</w:t>
      </w:r>
    </w:p>
    <w:p w14:paraId="3DD8674C" w14:textId="18651D94" w:rsidR="00104BB6" w:rsidRPr="004B520E" w:rsidRDefault="00971B6C" w:rsidP="00104BB6">
      <w:pPr>
        <w:pStyle w:val="Boxedlistbullet"/>
      </w:pPr>
      <w:r w:rsidRPr="004B520E">
        <w:t>functional groups</w:t>
      </w:r>
      <w:r w:rsidR="00D74E88" w:rsidRPr="004B520E">
        <w:t xml:space="preserve"> – </w:t>
      </w:r>
      <w:r w:rsidRPr="004B520E">
        <w:t>submerged, amphibious, damp-loving, woody flood-dependent</w:t>
      </w:r>
      <w:r w:rsidR="003779F3" w:rsidRPr="004B520E">
        <w:t>,</w:t>
      </w:r>
      <w:r w:rsidRPr="004B520E">
        <w:t xml:space="preserve"> terrestrial</w:t>
      </w:r>
    </w:p>
    <w:p w14:paraId="65BF91E5" w14:textId="39B103DA" w:rsidR="00104BB6" w:rsidRPr="004B520E" w:rsidRDefault="00971B6C" w:rsidP="00104BB6">
      <w:pPr>
        <w:pStyle w:val="Boxedlistbullet"/>
      </w:pPr>
      <w:r w:rsidRPr="004B520E">
        <w:t xml:space="preserve">species growth forms </w:t>
      </w:r>
      <w:r w:rsidR="00066EE8" w:rsidRPr="004B520E">
        <w:t xml:space="preserve">– </w:t>
      </w:r>
      <w:r w:rsidRPr="004B520E">
        <w:t>forbs, grasses, ferns</w:t>
      </w:r>
    </w:p>
    <w:p w14:paraId="1D89A4E7" w14:textId="54EEF1D3" w:rsidR="00F50195" w:rsidRPr="004B520E" w:rsidRDefault="00971B6C" w:rsidP="00F50195">
      <w:pPr>
        <w:pStyle w:val="Boxedlistbullet"/>
      </w:pPr>
      <w:r w:rsidRPr="004B520E">
        <w:t>native and exotic species</w:t>
      </w:r>
      <w:r w:rsidR="00F50195" w:rsidRPr="004B520E">
        <w:t xml:space="preserve"> and </w:t>
      </w:r>
      <w:r w:rsidRPr="004B520E">
        <w:t>threatened species</w:t>
      </w:r>
    </w:p>
    <w:p w14:paraId="0CE85694" w14:textId="1BAB813C" w:rsidR="00235CFF" w:rsidRPr="004B520E" w:rsidRDefault="00971B6C" w:rsidP="00F50195">
      <w:pPr>
        <w:pStyle w:val="Boxedlistbullet"/>
      </w:pPr>
      <w:r w:rsidRPr="004B520E">
        <w:t>species that are known to be used by Aboriginal people.</w:t>
      </w:r>
    </w:p>
    <w:p w14:paraId="3FB60CCF" w14:textId="6134C889" w:rsidR="00AE348F" w:rsidRPr="004B520E" w:rsidRDefault="001D2266" w:rsidP="00276535">
      <w:pPr>
        <w:pStyle w:val="Boxedtext"/>
      </w:pPr>
      <w:r>
        <w:lastRenderedPageBreak/>
        <w:t>Since 2014, t</w:t>
      </w:r>
      <w:r w:rsidR="000C6C77" w:rsidRPr="004B520E">
        <w:t xml:space="preserve">he </w:t>
      </w:r>
      <w:r w:rsidR="000C5210" w:rsidRPr="004B520E">
        <w:t xml:space="preserve">greatest proportional cover of native </w:t>
      </w:r>
      <w:r w:rsidR="00B77205" w:rsidRPr="004B520E">
        <w:t>plants</w:t>
      </w:r>
      <w:r w:rsidR="000C5210" w:rsidRPr="004B520E">
        <w:t xml:space="preserve"> </w:t>
      </w:r>
      <w:r w:rsidR="00146F54" w:rsidRPr="004B520E">
        <w:t>was</w:t>
      </w:r>
      <w:r w:rsidR="000C5210" w:rsidRPr="004B520E">
        <w:t xml:space="preserve"> recorded over the last </w:t>
      </w:r>
      <w:r w:rsidR="00FC1565" w:rsidRPr="004B520E">
        <w:t>3</w:t>
      </w:r>
      <w:r w:rsidR="000C5210" w:rsidRPr="004B520E">
        <w:t xml:space="preserve"> years (</w:t>
      </w:r>
      <w:r w:rsidR="00A17DCB">
        <w:t>87</w:t>
      </w:r>
      <w:r w:rsidR="00E73310" w:rsidRPr="004B520E">
        <w:t xml:space="preserve">% to </w:t>
      </w:r>
      <w:r w:rsidR="000C5210" w:rsidRPr="004B520E">
        <w:t>96%)</w:t>
      </w:r>
      <w:r w:rsidR="00D8434B" w:rsidRPr="004B520E">
        <w:t xml:space="preserve">, </w:t>
      </w:r>
      <w:r>
        <w:t>as well as</w:t>
      </w:r>
      <w:r w:rsidR="000C5210" w:rsidRPr="004B520E">
        <w:t xml:space="preserve"> the greatest proportion of native species (74</w:t>
      </w:r>
      <w:r w:rsidR="00E73310" w:rsidRPr="004B520E">
        <w:t xml:space="preserve">% </w:t>
      </w:r>
      <w:r w:rsidR="00491FE1">
        <w:t>and</w:t>
      </w:r>
      <w:r w:rsidR="008462C2">
        <w:t xml:space="preserve"> </w:t>
      </w:r>
      <w:r w:rsidR="000C5210" w:rsidRPr="004B520E">
        <w:t>73%</w:t>
      </w:r>
      <w:r w:rsidR="00423A31">
        <w:t xml:space="preserve"> for </w:t>
      </w:r>
      <w:r w:rsidR="00423A31" w:rsidRPr="00423A31">
        <w:t>2021–22 and 2022–23</w:t>
      </w:r>
      <w:r w:rsidR="00BE29D9">
        <w:t>, respectively</w:t>
      </w:r>
      <w:r w:rsidR="000C5210" w:rsidRPr="004B520E">
        <w:t xml:space="preserve">). </w:t>
      </w:r>
      <w:r w:rsidR="001B4CB6" w:rsidRPr="004B520E">
        <w:t>It is likely that above-average rainfall conditions</w:t>
      </w:r>
      <w:r w:rsidR="00DE6303" w:rsidRPr="004B520E">
        <w:t xml:space="preserve"> combined with </w:t>
      </w:r>
      <w:r w:rsidR="001B4CB6" w:rsidRPr="004B520E">
        <w:t xml:space="preserve">environmental watering contributed to </w:t>
      </w:r>
      <w:r w:rsidR="00AE348F" w:rsidRPr="004B520E">
        <w:t>these</w:t>
      </w:r>
      <w:r w:rsidR="001B4CB6" w:rsidRPr="004B520E">
        <w:t xml:space="preserve"> increase</w:t>
      </w:r>
      <w:r w:rsidR="00AE348F" w:rsidRPr="004B520E">
        <w:t>s.</w:t>
      </w:r>
    </w:p>
    <w:p w14:paraId="744FB709" w14:textId="7634C9A7" w:rsidR="0035012E" w:rsidRPr="004B520E" w:rsidRDefault="00066EE8" w:rsidP="00AA1FC7">
      <w:pPr>
        <w:pStyle w:val="Boxedtext"/>
      </w:pPr>
      <w:r w:rsidRPr="004B520E">
        <w:t>F</w:t>
      </w:r>
      <w:r w:rsidR="000C5210" w:rsidRPr="004B520E">
        <w:t>orbs had the greatest average cover in most years (8</w:t>
      </w:r>
      <w:r w:rsidR="00E73310" w:rsidRPr="004B520E">
        <w:t xml:space="preserve">% to </w:t>
      </w:r>
      <w:r w:rsidR="000C5210" w:rsidRPr="004B520E">
        <w:t>15%), followed by sedges and rushes (7</w:t>
      </w:r>
      <w:r w:rsidR="00E73310" w:rsidRPr="004B520E">
        <w:t xml:space="preserve">% to </w:t>
      </w:r>
      <w:r w:rsidR="000C5210" w:rsidRPr="004B520E">
        <w:t>16%) and grasses (</w:t>
      </w:r>
      <w:r w:rsidR="00FC1565" w:rsidRPr="004B520E">
        <w:t>5</w:t>
      </w:r>
      <w:r w:rsidR="00E73310" w:rsidRPr="004B520E">
        <w:t xml:space="preserve">% to </w:t>
      </w:r>
      <w:r w:rsidR="000C5210" w:rsidRPr="004B520E">
        <w:t>14%)</w:t>
      </w:r>
      <w:r w:rsidR="002F121C" w:rsidRPr="004B520E">
        <w:t xml:space="preserve">. </w:t>
      </w:r>
      <w:r w:rsidR="003468FC">
        <w:t>W</w:t>
      </w:r>
      <w:r w:rsidR="002F121C" w:rsidRPr="004B520E">
        <w:t xml:space="preserve">etter conditions in </w:t>
      </w:r>
      <w:r w:rsidR="00FC1565" w:rsidRPr="004B520E">
        <w:t>recent</w:t>
      </w:r>
      <w:r w:rsidR="003B23B9" w:rsidRPr="004B520E">
        <w:t xml:space="preserve"> </w:t>
      </w:r>
      <w:r w:rsidR="002F121C" w:rsidRPr="004B520E">
        <w:t xml:space="preserve">years </w:t>
      </w:r>
      <w:r w:rsidR="003B23B9" w:rsidRPr="004B520E">
        <w:t>saw</w:t>
      </w:r>
      <w:r w:rsidR="002F121C" w:rsidRPr="004B520E">
        <w:t xml:space="preserve"> an increase in cover of </w:t>
      </w:r>
      <w:r w:rsidR="000C5210" w:rsidRPr="004B520E">
        <w:t>ferns and fern allies</w:t>
      </w:r>
      <w:r w:rsidR="005E69E7">
        <w:t>,</w:t>
      </w:r>
      <w:r w:rsidR="000C5210" w:rsidRPr="004B520E">
        <w:t xml:space="preserve"> </w:t>
      </w:r>
      <w:r w:rsidR="002951F5" w:rsidRPr="004B520E">
        <w:t>and</w:t>
      </w:r>
      <w:r w:rsidR="000C5210" w:rsidRPr="004B520E">
        <w:t xml:space="preserve"> sedges and rushes (</w:t>
      </w:r>
      <w:r w:rsidR="000812E7" w:rsidRPr="004B520E">
        <w:rPr>
          <w:rFonts w:cs="Calibri Light"/>
        </w:rPr>
        <w:fldChar w:fldCharType="begin"/>
      </w:r>
      <w:r w:rsidR="000812E7" w:rsidRPr="004B520E">
        <w:instrText xml:space="preserve"> REF _Ref167984923 \h </w:instrText>
      </w:r>
      <w:r w:rsidR="00BE18A5" w:rsidRPr="004B520E">
        <w:instrText xml:space="preserve"> \* MERGEFORMAT </w:instrText>
      </w:r>
      <w:r w:rsidR="000812E7" w:rsidRPr="004B520E">
        <w:rPr>
          <w:rFonts w:cs="Calibri Light"/>
        </w:rPr>
      </w:r>
      <w:r w:rsidR="000812E7" w:rsidRPr="004B520E">
        <w:rPr>
          <w:rFonts w:cs="Calibri Light"/>
        </w:rPr>
        <w:fldChar w:fldCharType="separate"/>
      </w:r>
      <w:r w:rsidR="00C43C1D" w:rsidRPr="00C43C1D">
        <w:rPr>
          <w:rFonts w:cs="Calibri Light"/>
        </w:rPr>
        <w:t>Figure 4.2</w:t>
      </w:r>
      <w:r w:rsidR="000812E7" w:rsidRPr="004B520E">
        <w:rPr>
          <w:rFonts w:cs="Calibri Light"/>
        </w:rPr>
        <w:fldChar w:fldCharType="end"/>
      </w:r>
      <w:r w:rsidR="000C5210" w:rsidRPr="004B520E">
        <w:rPr>
          <w:rFonts w:cs="Calibri Light"/>
        </w:rPr>
        <w:t>)</w:t>
      </w:r>
      <w:r w:rsidR="0028571F">
        <w:rPr>
          <w:rFonts w:cs="Calibri Light"/>
        </w:rPr>
        <w:t xml:space="preserve">, </w:t>
      </w:r>
      <w:r w:rsidR="00157707" w:rsidRPr="004B520E">
        <w:rPr>
          <w:rFonts w:cs="Calibri Light"/>
        </w:rPr>
        <w:t>greate</w:t>
      </w:r>
      <w:r w:rsidR="0092134F" w:rsidRPr="004B520E">
        <w:rPr>
          <w:rFonts w:cs="Calibri Light"/>
        </w:rPr>
        <w:t>st</w:t>
      </w:r>
      <w:r w:rsidR="00157707" w:rsidRPr="004B520E">
        <w:rPr>
          <w:rFonts w:cs="Calibri Light"/>
        </w:rPr>
        <w:t xml:space="preserve"> at sites </w:t>
      </w:r>
      <w:r w:rsidR="00A403BF">
        <w:rPr>
          <w:rFonts w:cs="Calibri Light"/>
        </w:rPr>
        <w:t>that</w:t>
      </w:r>
      <w:r w:rsidR="00157707" w:rsidRPr="004B520E">
        <w:rPr>
          <w:rFonts w:cs="Calibri Light"/>
        </w:rPr>
        <w:t xml:space="preserve"> had </w:t>
      </w:r>
      <w:r w:rsidR="00014D1E" w:rsidRPr="004B520E">
        <w:rPr>
          <w:rFonts w:cs="Calibri Light"/>
        </w:rPr>
        <w:t>wetter inundation regimes</w:t>
      </w:r>
      <w:r w:rsidR="00157707" w:rsidRPr="004B520E">
        <w:rPr>
          <w:rFonts w:cs="Calibri Light"/>
        </w:rPr>
        <w:t xml:space="preserve"> </w:t>
      </w:r>
      <w:r w:rsidR="001D2266">
        <w:rPr>
          <w:rFonts w:cs="Calibri Light"/>
        </w:rPr>
        <w:t>due to</w:t>
      </w:r>
      <w:r w:rsidR="00157707" w:rsidRPr="004B520E">
        <w:rPr>
          <w:rFonts w:cs="Calibri Light"/>
        </w:rPr>
        <w:t xml:space="preserve"> </w:t>
      </w:r>
      <w:r w:rsidR="00E73310" w:rsidRPr="004B520E">
        <w:rPr>
          <w:rFonts w:cs="Calibri Light"/>
        </w:rPr>
        <w:t>Commonwealth environmental water</w:t>
      </w:r>
      <w:r w:rsidR="000C5210" w:rsidRPr="004B520E">
        <w:rPr>
          <w:rFonts w:cs="Calibri Light"/>
        </w:rPr>
        <w:t>. Azolla a</w:t>
      </w:r>
      <w:r w:rsidR="000C5210" w:rsidRPr="004B520E">
        <w:t xml:space="preserve">nd </w:t>
      </w:r>
      <w:r w:rsidR="000C5210" w:rsidRPr="002434D3">
        <w:rPr>
          <w:rStyle w:val="Italics"/>
        </w:rPr>
        <w:t>Marsilea</w:t>
      </w:r>
      <w:r w:rsidR="000C5210" w:rsidRPr="004B520E">
        <w:t xml:space="preserve"> species increased cover of ferns and fern allies</w:t>
      </w:r>
      <w:r w:rsidR="007801C1" w:rsidRPr="004B520E">
        <w:t>,</w:t>
      </w:r>
      <w:r w:rsidR="000C5210" w:rsidRPr="004B520E">
        <w:t xml:space="preserve"> and </w:t>
      </w:r>
      <w:r w:rsidR="000C5210" w:rsidRPr="002434D3">
        <w:rPr>
          <w:rStyle w:val="Italics"/>
        </w:rPr>
        <w:t>Typha</w:t>
      </w:r>
      <w:r w:rsidR="000C5210" w:rsidRPr="004B520E">
        <w:t xml:space="preserve">, </w:t>
      </w:r>
      <w:r w:rsidR="000C5210" w:rsidRPr="002434D3">
        <w:rPr>
          <w:rStyle w:val="Italics"/>
        </w:rPr>
        <w:t>Eleocharis</w:t>
      </w:r>
      <w:r w:rsidR="000C5210" w:rsidRPr="004B520E">
        <w:t xml:space="preserve"> and </w:t>
      </w:r>
      <w:r w:rsidR="000C5210" w:rsidRPr="002434D3">
        <w:rPr>
          <w:rStyle w:val="Italics"/>
        </w:rPr>
        <w:t>Cyperus</w:t>
      </w:r>
      <w:r w:rsidR="000C5210" w:rsidRPr="004B520E">
        <w:t xml:space="preserve"> species increased cover of sedges and rushes</w:t>
      </w:r>
      <w:r w:rsidR="0028571F">
        <w:t xml:space="preserve">. </w:t>
      </w:r>
    </w:p>
    <w:p w14:paraId="49C88242" w14:textId="6178F7B6" w:rsidR="000C5210" w:rsidRPr="00EE5803" w:rsidRDefault="003F4F41" w:rsidP="00112682">
      <w:pPr>
        <w:pStyle w:val="BoxedTextCaption"/>
        <w:keepNext/>
        <w:keepLines/>
      </w:pPr>
      <w:bookmarkStart w:id="488" w:name="_Ref167984923"/>
      <w:bookmarkStart w:id="489" w:name="_Toc172283761"/>
      <w:bookmarkStart w:id="490" w:name="_Toc172283785"/>
      <w:bookmarkStart w:id="491" w:name="_Toc172290282"/>
      <w:bookmarkStart w:id="492" w:name="_Toc206528494"/>
      <w:r w:rsidRPr="004B520E">
        <w:t>Figure</w:t>
      </w:r>
      <w:r w:rsidR="003B23B9" w:rsidRPr="004B520E">
        <w:t> </w:t>
      </w:r>
      <w:r>
        <w:fldChar w:fldCharType="begin"/>
      </w:r>
      <w:r>
        <w:instrText>STYLEREF 1 \s</w:instrText>
      </w:r>
      <w:r>
        <w:fldChar w:fldCharType="separate"/>
      </w:r>
      <w:r w:rsidR="00C43C1D">
        <w:rPr>
          <w:noProof/>
        </w:rPr>
        <w:t>4</w:t>
      </w:r>
      <w:r>
        <w:fldChar w:fldCharType="end"/>
      </w:r>
      <w:r w:rsidR="000E33F7" w:rsidRPr="004B520E">
        <w:t>.</w:t>
      </w:r>
      <w:r>
        <w:fldChar w:fldCharType="begin"/>
      </w:r>
      <w:r>
        <w:instrText>SEQ Figure \* ARABIC \s 1</w:instrText>
      </w:r>
      <w:r>
        <w:fldChar w:fldCharType="separate"/>
      </w:r>
      <w:r w:rsidR="00C43C1D">
        <w:rPr>
          <w:noProof/>
        </w:rPr>
        <w:t>2</w:t>
      </w:r>
      <w:r>
        <w:fldChar w:fldCharType="end"/>
      </w:r>
      <w:bookmarkEnd w:id="488"/>
      <w:r w:rsidRPr="004B520E">
        <w:t xml:space="preserve"> Percentage of plant species cover recorded across all Selected Areas in each growth</w:t>
      </w:r>
      <w:r w:rsidR="00330EBE" w:rsidRPr="004B520E">
        <w:t>-</w:t>
      </w:r>
      <w:r w:rsidRPr="004B520E">
        <w:t xml:space="preserve">form group for each water year and across all years, </w:t>
      </w:r>
      <w:r w:rsidR="00244943" w:rsidRPr="004B520E">
        <w:t>2014–24</w:t>
      </w:r>
      <w:bookmarkEnd w:id="489"/>
      <w:bookmarkEnd w:id="490"/>
      <w:bookmarkEnd w:id="491"/>
      <w:bookmarkEnd w:id="492"/>
    </w:p>
    <w:p w14:paraId="73303523" w14:textId="77777777" w:rsidR="0058442E" w:rsidRPr="004B520E" w:rsidRDefault="0058442E" w:rsidP="002434D3">
      <w:pPr>
        <w:pStyle w:val="Boxedtext"/>
        <w:spacing w:before="120"/>
      </w:pPr>
      <w:r w:rsidRPr="004B520E">
        <w:rPr>
          <w:noProof/>
        </w:rPr>
        <w:drawing>
          <wp:inline distT="0" distB="0" distL="0" distR="0" wp14:anchorId="4EC7CF8A" wp14:editId="2F830A2B">
            <wp:extent cx="5807412" cy="2764431"/>
            <wp:effectExtent l="0" t="0" r="0" b="4445"/>
            <wp:docPr id="1487467827" name="Picture 1"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67827" name="Picture 1" descr="Due to the complexity of this graph / chart / figure and the niche scientific target audience, no alternative description has been provided. Please email the CEWH Environmental Water Science Section at CEWHscience@dcceew.gov.au for an alternative descriptio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8359" cy="2779162"/>
                    </a:xfrm>
                    <a:prstGeom prst="rect">
                      <a:avLst/>
                    </a:prstGeom>
                    <a:noFill/>
                  </pic:spPr>
                </pic:pic>
              </a:graphicData>
            </a:graphic>
          </wp:inline>
        </w:drawing>
      </w:r>
    </w:p>
    <w:p w14:paraId="202EC7C1" w14:textId="5A15DF3A" w:rsidR="000C5210" w:rsidRPr="004B520E" w:rsidRDefault="00385665" w:rsidP="00F17A53">
      <w:pPr>
        <w:pStyle w:val="Boxedtext"/>
      </w:pPr>
      <w:r w:rsidRPr="004B520E">
        <w:t xml:space="preserve">Amphibious taxa had the greatest average </w:t>
      </w:r>
      <w:r w:rsidR="00340735" w:rsidRPr="004B520E">
        <w:t>cover</w:t>
      </w:r>
      <w:r w:rsidR="00340735" w:rsidRPr="004B520E">
        <w:rPr>
          <w:rStyle w:val="BodyTextChar"/>
        </w:rPr>
        <w:t xml:space="preserve"> </w:t>
      </w:r>
      <w:r w:rsidR="000C5210" w:rsidRPr="004B520E">
        <w:rPr>
          <w:rStyle w:val="BodyTextChar"/>
        </w:rPr>
        <w:t>(</w:t>
      </w:r>
      <w:r w:rsidR="00C53B48" w:rsidRPr="004B520E">
        <w:rPr>
          <w:rStyle w:val="BodyTextChar"/>
        </w:rPr>
        <w:fldChar w:fldCharType="begin"/>
      </w:r>
      <w:r w:rsidR="00C53B48" w:rsidRPr="004B520E">
        <w:instrText xml:space="preserve"> REF _Ref167985288 \h  \* MERGEFORMAT </w:instrText>
      </w:r>
      <w:r w:rsidR="00C53B48" w:rsidRPr="004B520E">
        <w:rPr>
          <w:rStyle w:val="BodyTextChar"/>
        </w:rPr>
      </w:r>
      <w:r w:rsidR="00C53B48" w:rsidRPr="004B520E">
        <w:rPr>
          <w:rStyle w:val="BodyTextChar"/>
        </w:rPr>
        <w:fldChar w:fldCharType="separate"/>
      </w:r>
      <w:r w:rsidR="00C43C1D" w:rsidRPr="00C43C1D">
        <w:rPr>
          <w:rStyle w:val="BodyTextChar"/>
        </w:rPr>
        <w:t>Figure 4.3</w:t>
      </w:r>
      <w:r w:rsidR="00C53B48" w:rsidRPr="004B520E">
        <w:rPr>
          <w:rStyle w:val="BodyTextChar"/>
        </w:rPr>
        <w:fldChar w:fldCharType="end"/>
      </w:r>
      <w:r w:rsidR="000C5210" w:rsidRPr="004B520E">
        <w:rPr>
          <w:rStyle w:val="BodyTextChar"/>
        </w:rPr>
        <w:t>)</w:t>
      </w:r>
      <w:r w:rsidR="00340735" w:rsidRPr="004B520E">
        <w:rPr>
          <w:rStyle w:val="BodyTextChar"/>
        </w:rPr>
        <w:t xml:space="preserve"> in all ye</w:t>
      </w:r>
      <w:r w:rsidR="00340735" w:rsidRPr="004B520E">
        <w:t xml:space="preserve">ars except for </w:t>
      </w:r>
      <w:r w:rsidR="002235A7" w:rsidRPr="004B520E">
        <w:t>2019–20</w:t>
      </w:r>
      <w:r w:rsidR="00330EBE" w:rsidRPr="004B520E">
        <w:t>,</w:t>
      </w:r>
      <w:r w:rsidR="00460DD3" w:rsidRPr="004B520E">
        <w:t xml:space="preserve"> when</w:t>
      </w:r>
      <w:r w:rsidR="000C5210" w:rsidRPr="004B520E">
        <w:t xml:space="preserve"> terrestrial taxa dominat</w:t>
      </w:r>
      <w:r w:rsidR="00460DD3" w:rsidRPr="004B520E">
        <w:t>ed</w:t>
      </w:r>
      <w:r w:rsidR="00FB487C" w:rsidRPr="004B520E">
        <w:t xml:space="preserve"> </w:t>
      </w:r>
      <w:r w:rsidR="002951F5" w:rsidRPr="004B520E">
        <w:t>following</w:t>
      </w:r>
      <w:r w:rsidR="00FB487C" w:rsidRPr="004B520E">
        <w:t xml:space="preserve"> widespread dry conditions</w:t>
      </w:r>
      <w:r w:rsidR="00460DD3" w:rsidRPr="004B520E">
        <w:t xml:space="preserve">. </w:t>
      </w:r>
      <w:r w:rsidR="000C5210" w:rsidRPr="004B520E">
        <w:t xml:space="preserve">Damp-loving taxa </w:t>
      </w:r>
      <w:r w:rsidR="00E662E1" w:rsidRPr="004B520E">
        <w:t>were</w:t>
      </w:r>
      <w:r w:rsidR="000C5210" w:rsidRPr="004B520E">
        <w:t xml:space="preserve"> </w:t>
      </w:r>
      <w:r w:rsidR="00E662E1" w:rsidRPr="004B520E">
        <w:t>the next</w:t>
      </w:r>
      <w:r w:rsidR="00102511" w:rsidRPr="004B520E">
        <w:t>-</w:t>
      </w:r>
      <w:r w:rsidR="000C5210" w:rsidRPr="004B520E">
        <w:t xml:space="preserve">most dominant </w:t>
      </w:r>
      <w:r w:rsidR="00E662E1" w:rsidRPr="004B520E">
        <w:t>(</w:t>
      </w:r>
      <w:r w:rsidR="00FC1565" w:rsidRPr="004B520E">
        <w:t>7</w:t>
      </w:r>
      <w:r w:rsidR="000C5210" w:rsidRPr="004B520E">
        <w:t xml:space="preserve"> of the </w:t>
      </w:r>
      <w:r w:rsidR="00FC1565" w:rsidRPr="004B520E">
        <w:t>10</w:t>
      </w:r>
      <w:r w:rsidR="000C5210" w:rsidRPr="004B520E">
        <w:t xml:space="preserve"> years</w:t>
      </w:r>
      <w:r w:rsidR="00E662E1" w:rsidRPr="004B520E">
        <w:t>)</w:t>
      </w:r>
      <w:r w:rsidR="000C5210" w:rsidRPr="004B520E">
        <w:t xml:space="preserve">. </w:t>
      </w:r>
      <w:r w:rsidR="00FB487C" w:rsidRPr="004B520E">
        <w:t>S</w:t>
      </w:r>
      <w:r w:rsidR="000C5210" w:rsidRPr="004B520E">
        <w:t xml:space="preserve">ubmerged taxa </w:t>
      </w:r>
      <w:r w:rsidR="000D6FE9" w:rsidRPr="004B520E">
        <w:t xml:space="preserve">increased in the last 2 years </w:t>
      </w:r>
      <w:r w:rsidR="0028571F">
        <w:t>due to</w:t>
      </w:r>
      <w:r w:rsidR="0028571F" w:rsidRPr="004B520E">
        <w:t xml:space="preserve"> </w:t>
      </w:r>
      <w:r w:rsidR="000C5210" w:rsidRPr="004B520E">
        <w:t>wet</w:t>
      </w:r>
      <w:r w:rsidR="0028571F">
        <w:t>ter</w:t>
      </w:r>
      <w:r w:rsidR="000C5210" w:rsidRPr="004B520E">
        <w:t xml:space="preserve"> conditions.</w:t>
      </w:r>
      <w:r w:rsidR="00FC1565" w:rsidRPr="004B520E">
        <w:t xml:space="preserve"> </w:t>
      </w:r>
    </w:p>
    <w:p w14:paraId="4653DA8F" w14:textId="79548540" w:rsidR="006A393C" w:rsidRPr="004B520E" w:rsidRDefault="004A630C" w:rsidP="00112682">
      <w:pPr>
        <w:pStyle w:val="BoxedTextCaption"/>
        <w:keepNext/>
        <w:keepLines/>
      </w:pPr>
      <w:bookmarkStart w:id="493" w:name="_Ref167985288"/>
      <w:bookmarkStart w:id="494" w:name="_Toc172283762"/>
      <w:bookmarkStart w:id="495" w:name="_Toc172283786"/>
      <w:bookmarkStart w:id="496" w:name="_Toc172290283"/>
      <w:bookmarkStart w:id="497" w:name="_Toc206528495"/>
      <w:r w:rsidRPr="004B520E">
        <w:lastRenderedPageBreak/>
        <w:t>Figure</w:t>
      </w:r>
      <w:r w:rsidR="003B23B9" w:rsidRPr="004B520E">
        <w:t> </w:t>
      </w:r>
      <w:r>
        <w:fldChar w:fldCharType="begin"/>
      </w:r>
      <w:r>
        <w:instrText>STYLEREF 1 \s</w:instrText>
      </w:r>
      <w:r>
        <w:fldChar w:fldCharType="separate"/>
      </w:r>
      <w:r w:rsidR="00C43C1D">
        <w:rPr>
          <w:noProof/>
        </w:rPr>
        <w:t>4</w:t>
      </w:r>
      <w:r>
        <w:fldChar w:fldCharType="end"/>
      </w:r>
      <w:r w:rsidR="000E33F7" w:rsidRPr="004B520E">
        <w:t>.</w:t>
      </w:r>
      <w:r>
        <w:fldChar w:fldCharType="begin"/>
      </w:r>
      <w:r>
        <w:instrText>SEQ Figure \* ARABIC \s 1</w:instrText>
      </w:r>
      <w:r>
        <w:fldChar w:fldCharType="separate"/>
      </w:r>
      <w:r w:rsidR="00C43C1D">
        <w:rPr>
          <w:noProof/>
        </w:rPr>
        <w:t>3</w:t>
      </w:r>
      <w:r>
        <w:fldChar w:fldCharType="end"/>
      </w:r>
      <w:bookmarkEnd w:id="493"/>
      <w:r w:rsidRPr="004B520E">
        <w:t xml:space="preserve"> Average percentage cover of plant functional groups across Selected Areas for each water year and across all years, </w:t>
      </w:r>
      <w:r w:rsidR="00244943" w:rsidRPr="004B520E">
        <w:t>2014–24</w:t>
      </w:r>
      <w:bookmarkEnd w:id="494"/>
      <w:bookmarkEnd w:id="495"/>
      <w:bookmarkEnd w:id="496"/>
      <w:bookmarkEnd w:id="497"/>
    </w:p>
    <w:p w14:paraId="41ED564B" w14:textId="77777777" w:rsidR="007D7BC5" w:rsidRPr="004B520E" w:rsidRDefault="007D7BC5" w:rsidP="002434D3">
      <w:pPr>
        <w:pStyle w:val="Boxedtext"/>
        <w:spacing w:before="120"/>
      </w:pPr>
      <w:bookmarkStart w:id="498" w:name="_Toc168579874"/>
      <w:bookmarkStart w:id="499" w:name="_Toc172283672"/>
      <w:r w:rsidRPr="004B520E">
        <w:rPr>
          <w:noProof/>
        </w:rPr>
        <w:drawing>
          <wp:inline distT="0" distB="0" distL="0" distR="0" wp14:anchorId="17AE667D" wp14:editId="29E6F74B">
            <wp:extent cx="5855331" cy="3235460"/>
            <wp:effectExtent l="0" t="0" r="0" b="3175"/>
            <wp:docPr id="89539462" name="Picture 5"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9462" name="Picture 5" descr="Due to the complexity of this graph / chart / figure and the niche scientific target audience, no alternative description has been provided. Please email the CEWH Environmental Water Science Section at CEWHscience@dcceew.gov.au for an alternative descriptio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70458" cy="3243818"/>
                    </a:xfrm>
                    <a:prstGeom prst="rect">
                      <a:avLst/>
                    </a:prstGeom>
                    <a:noFill/>
                  </pic:spPr>
                </pic:pic>
              </a:graphicData>
            </a:graphic>
          </wp:inline>
        </w:drawing>
      </w:r>
    </w:p>
    <w:p w14:paraId="182BB0FB" w14:textId="4255B20A" w:rsidR="00207B19" w:rsidRPr="004B520E" w:rsidRDefault="007A7764" w:rsidP="00113FC9">
      <w:pPr>
        <w:pStyle w:val="Heading3"/>
      </w:pPr>
      <w:r w:rsidRPr="004B520E">
        <w:t>Native f</w:t>
      </w:r>
      <w:r w:rsidR="00207B19" w:rsidRPr="004B520E">
        <w:t>ish</w:t>
      </w:r>
      <w:bookmarkEnd w:id="498"/>
      <w:bookmarkEnd w:id="499"/>
    </w:p>
    <w:p w14:paraId="74B0FBCD" w14:textId="06C9C6D2" w:rsidR="001A2CA7" w:rsidRPr="004B520E" w:rsidRDefault="001A2CA7" w:rsidP="00244943">
      <w:pPr>
        <w:pStyle w:val="ChapterSignposting"/>
      </w:pPr>
      <w:r w:rsidRPr="004B520E">
        <w:t xml:space="preserve">This section presents findings from the Fish evaluation for the </w:t>
      </w:r>
      <w:r w:rsidR="0002191D" w:rsidRPr="004B520E">
        <w:t>10</w:t>
      </w:r>
      <w:r w:rsidRPr="004B520E">
        <w:t xml:space="preserve"> years from </w:t>
      </w:r>
      <w:r w:rsidR="00244943" w:rsidRPr="004B520E">
        <w:t>2014–24</w:t>
      </w:r>
      <w:r w:rsidR="009254AD" w:rsidRPr="004B520E">
        <w:t>,</w:t>
      </w:r>
      <w:r w:rsidRPr="004B520E">
        <w:t xml:space="preserve"> presented in full in the </w:t>
      </w:r>
      <w:r w:rsidR="009254AD" w:rsidRPr="004B520E">
        <w:t xml:space="preserve">‘Basin-scale evaluation of </w:t>
      </w:r>
      <w:r w:rsidR="00244943" w:rsidRPr="004B520E">
        <w:t>2023–24</w:t>
      </w:r>
      <w:r w:rsidR="009254AD" w:rsidRPr="004B520E">
        <w:t xml:space="preserve"> Commonwealth environmental water: Fish’</w:t>
      </w:r>
      <w:r w:rsidR="009254AD" w:rsidRPr="004B520E" w:rsidDel="00E96AC8">
        <w:t xml:space="preserve"> </w:t>
      </w:r>
      <w:r w:rsidR="009254AD" w:rsidRPr="004B520E">
        <w:t>r</w:t>
      </w:r>
      <w:r w:rsidR="009254AD" w:rsidRPr="004B520E">
        <w:rPr>
          <w:iCs/>
          <w:szCs w:val="20"/>
        </w:rPr>
        <w:t xml:space="preserve">eport </w:t>
      </w:r>
      <w:r w:rsidRPr="004B520E">
        <w:t>(</w:t>
      </w:r>
      <w:r w:rsidR="00DD645F" w:rsidRPr="004B520E">
        <w:t xml:space="preserve">accompanying this document and will be available </w:t>
      </w:r>
      <w:r w:rsidR="00666ADD">
        <w:t>from</w:t>
      </w:r>
      <w:r w:rsidR="00666ADD" w:rsidRPr="004B520E">
        <w:t xml:space="preserve"> </w:t>
      </w:r>
      <w:r w:rsidR="00666ADD">
        <w:t>DCCEEW’s</w:t>
      </w:r>
      <w:r w:rsidR="00666ADD" w:rsidRPr="004B520E">
        <w:t xml:space="preserve"> </w:t>
      </w:r>
      <w:hyperlink r:id="rId73" w:history="1">
        <w:r w:rsidR="00666ADD" w:rsidRPr="004B520E">
          <w:rPr>
            <w:rStyle w:val="Hyperlink"/>
            <w:rFonts w:cs="Calibri Light"/>
          </w:rPr>
          <w:t>Flow-MER Basin-scale Project publications</w:t>
        </w:r>
      </w:hyperlink>
      <w:r w:rsidR="00666ADD" w:rsidRPr="004B520E">
        <w:t xml:space="preserve"> </w:t>
      </w:r>
      <w:r w:rsidR="00666ADD">
        <w:t>web</w:t>
      </w:r>
      <w:r w:rsidR="00666ADD" w:rsidRPr="004B520E">
        <w:t>page)</w:t>
      </w:r>
      <w:r w:rsidR="009254AD" w:rsidRPr="004B520E">
        <w:t>.</w:t>
      </w:r>
    </w:p>
    <w:p w14:paraId="312DD36D" w14:textId="6784885B" w:rsidR="0035012E" w:rsidRPr="004B520E" w:rsidRDefault="000D3F98" w:rsidP="008821E3">
      <w:pPr>
        <w:pStyle w:val="BodyText"/>
      </w:pPr>
      <w:r w:rsidRPr="004B520E">
        <w:t xml:space="preserve">Between 2014 and 2023, </w:t>
      </w:r>
      <w:r w:rsidR="009D4FEE" w:rsidRPr="004B520E">
        <w:t>701</w:t>
      </w:r>
      <w:r w:rsidRPr="004B520E">
        <w:t xml:space="preserve"> watering actions</w:t>
      </w:r>
      <w:r w:rsidR="00164CFA" w:rsidRPr="004B520E">
        <w:t xml:space="preserve"> –</w:t>
      </w:r>
      <w:r w:rsidRPr="004B520E">
        <w:t xml:space="preserve"> totalling </w:t>
      </w:r>
      <w:r w:rsidR="009D4FEE" w:rsidRPr="004B520E">
        <w:t>15,607</w:t>
      </w:r>
      <w:r w:rsidRPr="004B520E">
        <w:t xml:space="preserve"> GL of </w:t>
      </w:r>
      <w:r w:rsidR="00CB055B" w:rsidRPr="004B520E">
        <w:t>Commonwealth environmental water</w:t>
      </w:r>
      <w:r w:rsidRPr="004B520E">
        <w:t xml:space="preserve"> </w:t>
      </w:r>
      <w:r w:rsidR="00164CFA" w:rsidRPr="004B520E">
        <w:t>–</w:t>
      </w:r>
      <w:r w:rsidR="0017474B">
        <w:t xml:space="preserve"> </w:t>
      </w:r>
      <w:r w:rsidRPr="004B520E">
        <w:t xml:space="preserve">targeted expected outcomes for </w:t>
      </w:r>
      <w:r w:rsidR="008C589F" w:rsidRPr="004B520E">
        <w:t>fish</w:t>
      </w:r>
      <w:r w:rsidRPr="004B520E">
        <w:t xml:space="preserve">. </w:t>
      </w:r>
      <w:r w:rsidR="00CB055B" w:rsidRPr="004B520E">
        <w:t>Commonwealth environmental water</w:t>
      </w:r>
      <w:r w:rsidR="008821E3" w:rsidRPr="004B520E">
        <w:t xml:space="preserve"> provided a range of benefits to native fish populations and supported critical life-history processes, such as recruitment, body condition and population growth</w:t>
      </w:r>
      <w:r w:rsidR="0035012E" w:rsidRPr="004B520E">
        <w:t>.</w:t>
      </w:r>
    </w:p>
    <w:p w14:paraId="33001B90" w14:textId="10E08ADA" w:rsidR="006647F6" w:rsidRPr="006647F6" w:rsidRDefault="00E23B26" w:rsidP="00113FC9">
      <w:pPr>
        <w:pStyle w:val="Heading4"/>
      </w:pPr>
      <w:r w:rsidRPr="004B520E">
        <w:t xml:space="preserve">Observations since </w:t>
      </w:r>
      <w:r w:rsidR="00281D2F" w:rsidRPr="00E23B26">
        <w:rPr>
          <w:lang w:val="en-US"/>
        </w:rPr>
        <w:t>2</w:t>
      </w:r>
      <w:r w:rsidRPr="004B520E">
        <w:t>014</w:t>
      </w:r>
    </w:p>
    <w:p w14:paraId="1F4B7AD3" w14:textId="77777777" w:rsidR="009D4FEE" w:rsidRPr="004B520E" w:rsidRDefault="009D4FEE" w:rsidP="009D4FEE">
      <w:pPr>
        <w:pStyle w:val="ListBullet"/>
      </w:pPr>
      <w:r w:rsidRPr="004B520E">
        <w:t>15,607 GL of Commonwealth environmental water were delivered in 701 independent watering actions for outcomes targeting native fish since 2014.</w:t>
      </w:r>
    </w:p>
    <w:p w14:paraId="42C46874" w14:textId="13ECF917" w:rsidR="00E23B26" w:rsidRPr="004B520E" w:rsidRDefault="00E23B26" w:rsidP="0014657D">
      <w:pPr>
        <w:pStyle w:val="ListBullet"/>
        <w:rPr>
          <w:rFonts w:cs="Calibri"/>
        </w:rPr>
      </w:pPr>
      <w:r>
        <w:t xml:space="preserve">15 native species and 5 exotic species were detected during the </w:t>
      </w:r>
      <w:r w:rsidR="009D4FEE">
        <w:t>10</w:t>
      </w:r>
      <w:r>
        <w:t xml:space="preserve"> years of in</w:t>
      </w:r>
      <w:r w:rsidR="00061D76">
        <w:t xml:space="preserve">stream </w:t>
      </w:r>
      <w:r>
        <w:t xml:space="preserve">river sampling of adult fish communities in monitoring </w:t>
      </w:r>
      <w:r w:rsidR="001F784A">
        <w:t>a</w:t>
      </w:r>
      <w:r>
        <w:t xml:space="preserve">reas. This includes 6 key freshwater species as identified by the Strategy. The number of native species detected did not vary greatly among years. </w:t>
      </w:r>
      <w:r w:rsidRPr="0FDCD585">
        <w:rPr>
          <w:rFonts w:cs="Calibri"/>
        </w:rPr>
        <w:t>Golden perch, Murray cod and carp gudgeon (</w:t>
      </w:r>
      <w:r w:rsidRPr="0FDCD585">
        <w:rPr>
          <w:rStyle w:val="Italics"/>
        </w:rPr>
        <w:t>Hypseleotris</w:t>
      </w:r>
      <w:r w:rsidRPr="0FDCD585">
        <w:rPr>
          <w:rFonts w:cs="Calibri"/>
        </w:rPr>
        <w:t xml:space="preserve"> spp.) were detected in all years in all </w:t>
      </w:r>
      <w:r>
        <w:t>monitored areas</w:t>
      </w:r>
      <w:r w:rsidRPr="0FDCD585">
        <w:rPr>
          <w:rFonts w:cs="Calibri"/>
        </w:rPr>
        <w:t>,</w:t>
      </w:r>
      <w:r>
        <w:t xml:space="preserve"> </w:t>
      </w:r>
      <w:r w:rsidRPr="0FDCD585">
        <w:rPr>
          <w:rFonts w:cs="Calibri"/>
        </w:rPr>
        <w:t>wh</w:t>
      </w:r>
      <w:r w:rsidR="001F784A" w:rsidRPr="0FDCD585">
        <w:rPr>
          <w:rFonts w:cs="Calibri"/>
        </w:rPr>
        <w:t>ile</w:t>
      </w:r>
      <w:r w:rsidRPr="0FDCD585">
        <w:rPr>
          <w:rFonts w:cs="Calibri"/>
        </w:rPr>
        <w:t xml:space="preserve"> silver perch, flathead gudgeon (</w:t>
      </w:r>
      <w:r w:rsidRPr="0FDCD585">
        <w:rPr>
          <w:rStyle w:val="Italics"/>
        </w:rPr>
        <w:t>Philypnodon grandiceps</w:t>
      </w:r>
      <w:r w:rsidRPr="0FDCD585">
        <w:rPr>
          <w:rFonts w:cs="Calibri"/>
        </w:rPr>
        <w:t xml:space="preserve">) and </w:t>
      </w:r>
      <w:r w:rsidR="71AC278F" w:rsidRPr="0FDCD585">
        <w:rPr>
          <w:rFonts w:cs="Calibri"/>
        </w:rPr>
        <w:t xml:space="preserve">unspecked hardyhead </w:t>
      </w:r>
      <w:r w:rsidR="290FCBC2" w:rsidRPr="0FDCD585">
        <w:rPr>
          <w:rFonts w:cs="Calibri"/>
        </w:rPr>
        <w:t>(</w:t>
      </w:r>
      <w:r w:rsidR="71AC278F" w:rsidRPr="00D324EB">
        <w:rPr>
          <w:rFonts w:cs="Calibri"/>
          <w:i/>
          <w:iCs/>
        </w:rPr>
        <w:t>Craterocephalus stercusmuscarum fulvus</w:t>
      </w:r>
      <w:r w:rsidR="71AC278F" w:rsidRPr="0FDCD585">
        <w:rPr>
          <w:rFonts w:cs="Calibri"/>
        </w:rPr>
        <w:t xml:space="preserve">) </w:t>
      </w:r>
      <w:r w:rsidRPr="0FDCD585">
        <w:rPr>
          <w:rFonts w:cs="Calibri"/>
        </w:rPr>
        <w:t>had patchier spatial and temporal distributions.</w:t>
      </w:r>
    </w:p>
    <w:p w14:paraId="2AC64839" w14:textId="77777777" w:rsidR="009D4FEE" w:rsidRPr="004B520E" w:rsidRDefault="009D4FEE" w:rsidP="009D4FEE">
      <w:pPr>
        <w:pStyle w:val="ListBullet"/>
      </w:pPr>
      <w:r w:rsidRPr="004B520E">
        <w:t>Counterfactual modelling showed that Commonwealth environmental water contributed to increased fish spawning, recruitment, frequency of occurrence, population growth rates, body condition and improved community composition in some monitoring locations and for several species.</w:t>
      </w:r>
    </w:p>
    <w:p w14:paraId="13CD8522" w14:textId="6BA6BDE3" w:rsidR="009D4FEE" w:rsidRPr="004B520E" w:rsidRDefault="009D4FEE" w:rsidP="009D4FEE">
      <w:pPr>
        <w:pStyle w:val="ListBullet"/>
      </w:pPr>
      <w:r w:rsidRPr="004B520E">
        <w:t>Positive fish responses to Commonwealth environmental water delivery were primarily driven by reductions in the number of low</w:t>
      </w:r>
      <w:r w:rsidR="00130354">
        <w:t xml:space="preserve"> </w:t>
      </w:r>
      <w:r w:rsidRPr="004B520E">
        <w:t>flow days and, to a lesser extent, increased average daily flows and changes in flow variability.</w:t>
      </w:r>
    </w:p>
    <w:p w14:paraId="4614B984" w14:textId="14F930E5" w:rsidR="0035012E" w:rsidRPr="004B520E" w:rsidRDefault="009D4FEE" w:rsidP="009D4FEE">
      <w:pPr>
        <w:pStyle w:val="ListBullet"/>
      </w:pPr>
      <w:r w:rsidRPr="004B520E">
        <w:lastRenderedPageBreak/>
        <w:t>Positive fish responses to Commonwealth environmental water delivery were most pronounced in the Goulburn River and Lower Murray River and to a lesser extent in the Edward/Kolety–Wakool river systems, Murrumbidgee River System and Lachlan River System. In the Gwydir River System, there were very few positive fish responses to Commonwealth environmental water delivery.</w:t>
      </w:r>
    </w:p>
    <w:p w14:paraId="241DCA48" w14:textId="555ED1F0" w:rsidR="0035012E" w:rsidRPr="004B520E" w:rsidRDefault="000D3F98" w:rsidP="0021494A">
      <w:pPr>
        <w:pStyle w:val="Boxedtextblue"/>
      </w:pPr>
      <w:r w:rsidRPr="004B520E">
        <w:t>Basin Plan objective at paragraph 8.04(a): to protect and restore water-dependent ecosystems of the Murray–Darling Basin</w:t>
      </w:r>
      <w:r w:rsidR="00512BE6" w:rsidRPr="004B520E">
        <w:t xml:space="preserve">; and improvements in recruitment and populations of </w:t>
      </w:r>
      <w:r w:rsidR="00476573" w:rsidRPr="007166E5">
        <w:t>native fish</w:t>
      </w:r>
      <w:r w:rsidR="00F1525C">
        <w:t xml:space="preserve">. </w:t>
      </w:r>
      <w:r w:rsidR="00512BE6" w:rsidRPr="004B520E">
        <w:t>The Strategy lists 5 expected outcomes for fish to be achieved by 2024</w:t>
      </w:r>
      <w:r w:rsidR="00E23B26" w:rsidRPr="004B520E">
        <w:t xml:space="preserve">, of which </w:t>
      </w:r>
      <w:r w:rsidR="00CA5A3E" w:rsidRPr="004B520E">
        <w:t xml:space="preserve">2 </w:t>
      </w:r>
      <w:r w:rsidR="00E23B26" w:rsidRPr="004B520E">
        <w:t>are addressed in this evaluation</w:t>
      </w:r>
      <w:r w:rsidR="0035012E" w:rsidRPr="004B520E">
        <w:t>.</w:t>
      </w:r>
    </w:p>
    <w:p w14:paraId="1EC2BB0C" w14:textId="09F6E4FD" w:rsidR="00E23B26" w:rsidRPr="004B520E" w:rsidRDefault="00E23B26" w:rsidP="005E12E5">
      <w:pPr>
        <w:pStyle w:val="ListBullet"/>
        <w:numPr>
          <w:ilvl w:val="0"/>
          <w:numId w:val="13"/>
        </w:numPr>
      </w:pPr>
      <w:r w:rsidRPr="004B520E">
        <w:rPr>
          <w:b/>
        </w:rPr>
        <w:t>No loss of native species currently present within the Basin</w:t>
      </w:r>
    </w:p>
    <w:p w14:paraId="077D5D6F" w14:textId="345C9AFA" w:rsidR="000078DE" w:rsidRPr="004B520E" w:rsidRDefault="00E23B26" w:rsidP="000078DE">
      <w:pPr>
        <w:pStyle w:val="ListBullet"/>
      </w:pPr>
      <w:r w:rsidRPr="004B520E">
        <w:t>M</w:t>
      </w:r>
      <w:r w:rsidR="00BB562A" w:rsidRPr="004B520E">
        <w:t>ost native fish species</w:t>
      </w:r>
      <w:r w:rsidR="000078DE" w:rsidRPr="004B520E">
        <w:t xml:space="preserve"> </w:t>
      </w:r>
      <w:r w:rsidR="004F4960" w:rsidRPr="004B520E">
        <w:t>were</w:t>
      </w:r>
      <w:r w:rsidR="000078DE" w:rsidRPr="004B520E">
        <w:t xml:space="preserve"> </w:t>
      </w:r>
      <w:r w:rsidR="00BB562A" w:rsidRPr="004B520E">
        <w:t>detected consistently over the monitoring period (</w:t>
      </w:r>
      <w:r w:rsidR="00244943" w:rsidRPr="004B520E">
        <w:t>2014–24</w:t>
      </w:r>
      <w:r w:rsidR="00BB562A" w:rsidRPr="004B520E">
        <w:t>).</w:t>
      </w:r>
      <w:r w:rsidR="0064579C" w:rsidRPr="004B520E">
        <w:t xml:space="preserve"> </w:t>
      </w:r>
      <w:r w:rsidR="00317290" w:rsidRPr="004B520E">
        <w:t xml:space="preserve">Cumulatively, </w:t>
      </w:r>
      <w:r w:rsidR="0064579C" w:rsidRPr="004B520E">
        <w:t>15 native fish species</w:t>
      </w:r>
      <w:r w:rsidR="006B3B25" w:rsidRPr="004B520E">
        <w:t>, including 6 key freshwater species as identified by the Strategy,</w:t>
      </w:r>
      <w:r w:rsidR="0064579C" w:rsidRPr="004B520E">
        <w:t xml:space="preserve"> were detected during the monitoring program.</w:t>
      </w:r>
    </w:p>
    <w:p w14:paraId="569B0FBD" w14:textId="68B800D6" w:rsidR="00E23B26" w:rsidRPr="004B520E" w:rsidRDefault="00E23B26" w:rsidP="005E12E5">
      <w:pPr>
        <w:pStyle w:val="BodyText"/>
        <w:numPr>
          <w:ilvl w:val="0"/>
          <w:numId w:val="13"/>
        </w:numPr>
      </w:pPr>
      <w:r w:rsidRPr="004B520E">
        <w:rPr>
          <w:rStyle w:val="Bold"/>
        </w:rPr>
        <w:t>Improved population structure of key fish species through regular recruitment</w:t>
      </w:r>
    </w:p>
    <w:p w14:paraId="79E95EC0" w14:textId="0373B156" w:rsidR="00E72A48" w:rsidRDefault="00BB562A" w:rsidP="004A1446">
      <w:pPr>
        <w:pStyle w:val="ListBullet"/>
      </w:pPr>
      <w:r w:rsidRPr="004B520E">
        <w:t>Murray cod spawn</w:t>
      </w:r>
      <w:r w:rsidR="00D434B7">
        <w:t>ed</w:t>
      </w:r>
      <w:r w:rsidRPr="004B520E">
        <w:t xml:space="preserve"> and recruit</w:t>
      </w:r>
      <w:r w:rsidR="00D434B7">
        <w:t>ed</w:t>
      </w:r>
      <w:r w:rsidRPr="004B520E">
        <w:t xml:space="preserve"> to young-of-year in </w:t>
      </w:r>
      <w:r w:rsidR="43E13D99" w:rsidRPr="004B520E">
        <w:t>some</w:t>
      </w:r>
      <w:r w:rsidRPr="004B520E">
        <w:t xml:space="preserve"> years. The 2016–17 Murray River hypoxic event and associated major fish death events, or possible fish emigration out of the area, resulted in marked reductions in recruits and adults</w:t>
      </w:r>
      <w:r w:rsidR="0069276A" w:rsidRPr="004B520E">
        <w:t xml:space="preserve"> in several </w:t>
      </w:r>
      <w:r w:rsidR="00E13F8C" w:rsidRPr="004B520E">
        <w:t>monitoring locations</w:t>
      </w:r>
      <w:r w:rsidR="1EB1387F" w:rsidRPr="004B520E">
        <w:t xml:space="preserve"> in the southern </w:t>
      </w:r>
      <w:r w:rsidR="00145CC1">
        <w:t>B</w:t>
      </w:r>
      <w:r w:rsidR="1EB1387F" w:rsidRPr="004B520E">
        <w:t>asin</w:t>
      </w:r>
      <w:r w:rsidRPr="004B520E">
        <w:t xml:space="preserve">. </w:t>
      </w:r>
      <w:r w:rsidR="63601592">
        <w:t xml:space="preserve">Murray cod populations </w:t>
      </w:r>
      <w:r w:rsidR="76A88793">
        <w:t xml:space="preserve">were </w:t>
      </w:r>
      <w:r w:rsidR="63601592">
        <w:t>steadily recover</w:t>
      </w:r>
      <w:r w:rsidR="5B7580C3">
        <w:t>ing</w:t>
      </w:r>
      <w:r w:rsidR="63601592">
        <w:t xml:space="preserve"> from these fish death events however in more recent years (2022–23, 2023–24), Murray cod recruitment has been poor in most monitoring locations (except the Lower Murry River). </w:t>
      </w:r>
      <w:r w:rsidR="008121E9" w:rsidRPr="004B520E">
        <w:t>L</w:t>
      </w:r>
      <w:r w:rsidRPr="004B520E">
        <w:t>ocalised fish deaths were reported</w:t>
      </w:r>
      <w:r w:rsidR="0004684A" w:rsidRPr="004B520E">
        <w:t xml:space="preserve"> in some </w:t>
      </w:r>
      <w:r w:rsidR="007412A5" w:rsidRPr="004B520E">
        <w:t>monitoring locations</w:t>
      </w:r>
      <w:r w:rsidRPr="004B520E">
        <w:t xml:space="preserve">, </w:t>
      </w:r>
      <w:r w:rsidR="00AB62F1" w:rsidRPr="004B520E">
        <w:t>but</w:t>
      </w:r>
      <w:r w:rsidRPr="004B520E">
        <w:t xml:space="preserve"> there</w:t>
      </w:r>
      <w:r w:rsidR="00A82F56" w:rsidRPr="004B520E">
        <w:t xml:space="preserve"> </w:t>
      </w:r>
      <w:r w:rsidRPr="004B520E">
        <w:t>was no evidence of</w:t>
      </w:r>
      <w:r w:rsidR="0004684A" w:rsidRPr="004B520E">
        <w:t xml:space="preserve"> further</w:t>
      </w:r>
      <w:r w:rsidRPr="004B520E">
        <w:t xml:space="preserve"> large-scale fish deaths</w:t>
      </w:r>
      <w:r w:rsidR="0004684A" w:rsidRPr="004B520E">
        <w:t>.</w:t>
      </w:r>
      <w:r w:rsidR="0023026F" w:rsidRPr="004B520E">
        <w:t xml:space="preserve"> </w:t>
      </w:r>
      <w:r w:rsidR="00AE1014" w:rsidRPr="004B520E">
        <w:t>However, t</w:t>
      </w:r>
      <w:r w:rsidR="00901B1E" w:rsidRPr="004B520E">
        <w:t>here w</w:t>
      </w:r>
      <w:r w:rsidR="001B7E22" w:rsidRPr="004B520E">
        <w:t>ere</w:t>
      </w:r>
      <w:r w:rsidR="00901B1E" w:rsidRPr="004B520E">
        <w:t xml:space="preserve"> large-scale fish </w:t>
      </w:r>
      <w:r w:rsidR="00E1500D" w:rsidRPr="004B520E">
        <w:t xml:space="preserve">death events </w:t>
      </w:r>
      <w:r w:rsidR="4C3E6822" w:rsidRPr="004B520E">
        <w:t xml:space="preserve">in </w:t>
      </w:r>
      <w:r w:rsidR="4C3E6822">
        <w:t xml:space="preserve">2022–23 </w:t>
      </w:r>
      <w:r w:rsidR="00225B61" w:rsidRPr="004B520E">
        <w:t>recorded at other</w:t>
      </w:r>
      <w:r w:rsidR="001B7E22" w:rsidRPr="004B520E">
        <w:t xml:space="preserve"> locations </w:t>
      </w:r>
      <w:r w:rsidR="00147778" w:rsidRPr="004B520E">
        <w:t>i</w:t>
      </w:r>
      <w:r w:rsidR="001B7E22" w:rsidRPr="004B520E">
        <w:t xml:space="preserve">n the </w:t>
      </w:r>
      <w:r w:rsidR="003E27A5">
        <w:t>B</w:t>
      </w:r>
      <w:r w:rsidR="001B7E22" w:rsidRPr="004B520E">
        <w:t>asin.</w:t>
      </w:r>
      <w:r w:rsidR="00E85111" w:rsidRPr="004B520E">
        <w:rPr>
          <w:rStyle w:val="FootnoteReference"/>
        </w:rPr>
        <w:footnoteReference w:id="9"/>
      </w:r>
    </w:p>
    <w:p w14:paraId="6E4C8268" w14:textId="10E0B1D4" w:rsidR="00455CFF" w:rsidRPr="004B520E" w:rsidRDefault="007E54F3" w:rsidP="00455CFF">
      <w:pPr>
        <w:pStyle w:val="ListBullet"/>
      </w:pPr>
      <w:r>
        <w:t xml:space="preserve">From </w:t>
      </w:r>
      <w:r w:rsidR="00244943">
        <w:t>2014–24</w:t>
      </w:r>
      <w:r>
        <w:t>, golden perch spawn</w:t>
      </w:r>
      <w:r w:rsidR="00D434B7">
        <w:t>ed</w:t>
      </w:r>
      <w:r>
        <w:t xml:space="preserve"> in the Goulburn River, Lachlan River System, Lower Murray River and Murrumbidgee River System</w:t>
      </w:r>
      <w:r w:rsidR="002A53A8">
        <w:t>,</w:t>
      </w:r>
      <w:r w:rsidR="005C6650">
        <w:t xml:space="preserve"> although only low numbers of recruits were detected in most </w:t>
      </w:r>
      <w:r w:rsidR="00BB7463">
        <w:t>monitoring locations</w:t>
      </w:r>
      <w:r w:rsidR="000B7870">
        <w:t>.</w:t>
      </w:r>
      <w:r>
        <w:t xml:space="preserve"> </w:t>
      </w:r>
      <w:r w:rsidR="00244A6C">
        <w:t>However,</w:t>
      </w:r>
      <w:r w:rsidR="00F81729">
        <w:t xml:space="preserve"> </w:t>
      </w:r>
      <w:r w:rsidR="00DD1128">
        <w:t>low levels of recruitment</w:t>
      </w:r>
      <w:r w:rsidR="00B05A52">
        <w:t xml:space="preserve"> are often not detected until cohorts reach</w:t>
      </w:r>
      <w:r w:rsidR="000D5E04">
        <w:t xml:space="preserve"> larger sizes </w:t>
      </w:r>
      <w:r w:rsidR="00630AAA">
        <w:t>and</w:t>
      </w:r>
      <w:r w:rsidR="00606884">
        <w:t xml:space="preserve"> are</w:t>
      </w:r>
      <w:r w:rsidR="00630AAA">
        <w:t xml:space="preserve"> more readily sampled</w:t>
      </w:r>
      <w:r w:rsidR="000E1E17">
        <w:t xml:space="preserve">. </w:t>
      </w:r>
      <w:r w:rsidR="007E6C77">
        <w:t xml:space="preserve">More recently, </w:t>
      </w:r>
      <w:r w:rsidR="00960740">
        <w:t xml:space="preserve">there </w:t>
      </w:r>
      <w:r w:rsidR="00F72CFE">
        <w:t>was</w:t>
      </w:r>
      <w:r w:rsidR="00960740">
        <w:t xml:space="preserve"> </w:t>
      </w:r>
      <w:r w:rsidR="00D442C8">
        <w:t xml:space="preserve">successful </w:t>
      </w:r>
      <w:r w:rsidR="00960740">
        <w:t xml:space="preserve">recruitment </w:t>
      </w:r>
      <w:r w:rsidR="007F67B9">
        <w:t>in the Lower Murray</w:t>
      </w:r>
      <w:r w:rsidR="000B24A0">
        <w:t xml:space="preserve"> </w:t>
      </w:r>
      <w:r w:rsidR="00EE015F">
        <w:t xml:space="preserve">in </w:t>
      </w:r>
      <w:r w:rsidR="000B24A0">
        <w:t xml:space="preserve">the past </w:t>
      </w:r>
      <w:r w:rsidR="009D4FEE">
        <w:t>3</w:t>
      </w:r>
      <w:r w:rsidR="000B24A0">
        <w:t xml:space="preserve"> yea</w:t>
      </w:r>
      <w:r w:rsidR="0004788A">
        <w:t>rs</w:t>
      </w:r>
      <w:r w:rsidR="00FA50DF">
        <w:t xml:space="preserve"> but</w:t>
      </w:r>
      <w:r w:rsidR="006F0CEC">
        <w:t xml:space="preserve"> limited evidence </w:t>
      </w:r>
      <w:r w:rsidR="00606884">
        <w:t>at other monitoring locations</w:t>
      </w:r>
      <w:r w:rsidR="00BB562A">
        <w:t xml:space="preserve">. Population size structure in most </w:t>
      </w:r>
      <w:r w:rsidR="000E6338">
        <w:t xml:space="preserve">monitoring locations </w:t>
      </w:r>
      <w:r w:rsidR="00BB562A">
        <w:t>in most years indicates the population is dominated by adult fish</w:t>
      </w:r>
      <w:r w:rsidR="00FA50DF">
        <w:t xml:space="preserve"> –</w:t>
      </w:r>
      <w:r w:rsidR="00BB562A">
        <w:t xml:space="preserve"> few juveniles </w:t>
      </w:r>
      <w:r w:rsidR="00FA50DF">
        <w:t xml:space="preserve">were </w:t>
      </w:r>
      <w:r w:rsidR="00BB562A">
        <w:t>observed</w:t>
      </w:r>
      <w:r w:rsidR="00B20FEA">
        <w:t>.</w:t>
      </w:r>
      <w:r w:rsidR="00FA75FB">
        <w:t xml:space="preserve"> </w:t>
      </w:r>
      <w:r w:rsidR="00B20FEA">
        <w:t>This</w:t>
      </w:r>
      <w:r w:rsidR="00FA75FB">
        <w:t xml:space="preserve"> most likely reflects the spatially and temporally episodic nature of major recruitment events for the species (and the flows that drive them) and the spatial scale </w:t>
      </w:r>
      <w:r w:rsidR="00274373">
        <w:t>over</w:t>
      </w:r>
      <w:r w:rsidR="00FA75FB">
        <w:t xml:space="preserve"> which populations operate</w:t>
      </w:r>
      <w:r w:rsidR="0035012E">
        <w:t>.</w:t>
      </w:r>
      <w:r w:rsidR="4D55A1B5">
        <w:t xml:space="preserve"> </w:t>
      </w:r>
    </w:p>
    <w:p w14:paraId="08E4E4EA" w14:textId="325BE3D3" w:rsidR="00E72A48" w:rsidRDefault="00E23B26" w:rsidP="00113FC9">
      <w:pPr>
        <w:pStyle w:val="Heading4"/>
      </w:pPr>
      <w:r w:rsidRPr="004B520E">
        <w:t>O</w:t>
      </w:r>
      <w:r w:rsidR="008F1FF9" w:rsidRPr="004B520E">
        <w:t xml:space="preserve">utcomes </w:t>
      </w:r>
      <w:r w:rsidRPr="004B520E">
        <w:t xml:space="preserve">for native fish </w:t>
      </w:r>
      <w:r w:rsidR="008F1FF9" w:rsidRPr="004B520E">
        <w:t>since 2014</w:t>
      </w:r>
    </w:p>
    <w:p w14:paraId="015BFD86" w14:textId="5C609C03" w:rsidR="0035012E" w:rsidRPr="004B520E" w:rsidRDefault="00CB055B" w:rsidP="007107C6">
      <w:pPr>
        <w:pStyle w:val="BodyText"/>
        <w:rPr>
          <w:rFonts w:cs="Calibri"/>
        </w:rPr>
      </w:pPr>
      <w:r>
        <w:t>Commonwealth environmental water</w:t>
      </w:r>
      <w:r w:rsidR="006636FA">
        <w:t xml:space="preserve"> contributed to increased </w:t>
      </w:r>
      <w:r w:rsidR="006636FA" w:rsidRPr="43306F07">
        <w:rPr>
          <w:rFonts w:cs="Calibri"/>
        </w:rPr>
        <w:t xml:space="preserve">fish spawning, </w:t>
      </w:r>
      <w:r w:rsidR="006636FA">
        <w:t>recruitment</w:t>
      </w:r>
      <w:r w:rsidR="006636FA" w:rsidRPr="43306F07">
        <w:rPr>
          <w:rFonts w:cs="Calibri"/>
        </w:rPr>
        <w:t>, population growth, frequency of occurrence and body condition,</w:t>
      </w:r>
      <w:r w:rsidR="006636FA">
        <w:t xml:space="preserve"> </w:t>
      </w:r>
      <w:r w:rsidR="31CE54CF">
        <w:t>movement (for golden perch)</w:t>
      </w:r>
      <w:r w:rsidR="2B5945E7">
        <w:t xml:space="preserve"> </w:t>
      </w:r>
      <w:r w:rsidR="006636FA">
        <w:t xml:space="preserve">and improved community composition in some </w:t>
      </w:r>
      <w:r w:rsidR="007A0B45">
        <w:t xml:space="preserve">monitored areas </w:t>
      </w:r>
      <w:r w:rsidR="006636FA">
        <w:t>for several native species.</w:t>
      </w:r>
      <w:r w:rsidR="006636FA" w:rsidRPr="43306F07">
        <w:rPr>
          <w:rFonts w:cs="Calibri"/>
        </w:rPr>
        <w:t xml:space="preserve"> These fish responses were driven by reductions in the number of low</w:t>
      </w:r>
      <w:r w:rsidR="009A3CC3" w:rsidRPr="43306F07">
        <w:rPr>
          <w:rFonts w:cs="Calibri"/>
        </w:rPr>
        <w:t xml:space="preserve"> </w:t>
      </w:r>
      <w:r w:rsidR="006636FA" w:rsidRPr="43306F07">
        <w:rPr>
          <w:rFonts w:cs="Calibri"/>
        </w:rPr>
        <w:t>flow days and, to a lesser extent, increased average daily flows and changes in flow variability (both increases and decreases in flow variability</w:t>
      </w:r>
      <w:r w:rsidR="006F7668" w:rsidRPr="43306F07">
        <w:rPr>
          <w:rFonts w:cs="Calibri"/>
        </w:rPr>
        <w:t>,</w:t>
      </w:r>
      <w:r w:rsidR="006636FA" w:rsidRPr="43306F07">
        <w:rPr>
          <w:rFonts w:cs="Calibri"/>
        </w:rPr>
        <w:t xml:space="preserve"> depending on </w:t>
      </w:r>
      <w:r w:rsidR="006F7668" w:rsidRPr="43306F07">
        <w:rPr>
          <w:rFonts w:cs="Calibri"/>
        </w:rPr>
        <w:t>location</w:t>
      </w:r>
      <w:r w:rsidR="006636FA" w:rsidRPr="43306F07">
        <w:rPr>
          <w:rFonts w:cs="Calibri"/>
        </w:rPr>
        <w:t>)</w:t>
      </w:r>
      <w:r w:rsidR="0035012E" w:rsidRPr="43306F07">
        <w:rPr>
          <w:rFonts w:cs="Calibri"/>
        </w:rPr>
        <w:t>.</w:t>
      </w:r>
    </w:p>
    <w:p w14:paraId="4119B3B4" w14:textId="0866DCC1" w:rsidR="0035012E" w:rsidRPr="004B520E" w:rsidRDefault="006636FA" w:rsidP="00E23B26">
      <w:pPr>
        <w:pStyle w:val="ListBullet"/>
      </w:pPr>
      <w:r>
        <w:t xml:space="preserve">Spawning of golden perch (i.e. presence of larval fish and eggs) increased </w:t>
      </w:r>
      <w:r w:rsidR="00D83FA9">
        <w:t>because of</w:t>
      </w:r>
      <w:r>
        <w:t xml:space="preserve"> </w:t>
      </w:r>
      <w:r w:rsidR="00CB055B">
        <w:t>Commonwealth environmental water</w:t>
      </w:r>
      <w:r>
        <w:t xml:space="preserve"> delivery in some years in all </w:t>
      </w:r>
      <w:r w:rsidR="007A0B45">
        <w:t xml:space="preserve">areas </w:t>
      </w:r>
      <w:r>
        <w:t>monitored for this indicator</w:t>
      </w:r>
      <w:r w:rsidR="0035012E">
        <w:t>.</w:t>
      </w:r>
      <w:r w:rsidR="05487E97">
        <w:t xml:space="preserve"> </w:t>
      </w:r>
      <w:r w:rsidR="1B796D8B">
        <w:t xml:space="preserve">The probability of regional scale </w:t>
      </w:r>
      <w:r w:rsidR="00035D40">
        <w:t>g</w:t>
      </w:r>
      <w:r w:rsidR="1B796D8B">
        <w:t xml:space="preserve">olden </w:t>
      </w:r>
      <w:r w:rsidR="00035D40">
        <w:t>p</w:t>
      </w:r>
      <w:r w:rsidR="1B796D8B">
        <w:t xml:space="preserve">erch movement in the southern </w:t>
      </w:r>
      <w:r w:rsidR="00145CC1">
        <w:t>B</w:t>
      </w:r>
      <w:r w:rsidR="1B796D8B">
        <w:t xml:space="preserve">asin was also higher in years subject to environmental water delivery compared to years of regulated low discharge rates (as predicted using a basin scale movement model developed as a research activity). </w:t>
      </w:r>
    </w:p>
    <w:p w14:paraId="51134348" w14:textId="7B6D3699" w:rsidR="0035012E" w:rsidRPr="004B520E" w:rsidRDefault="006636FA" w:rsidP="00E23B26">
      <w:pPr>
        <w:pStyle w:val="ListBullet"/>
      </w:pPr>
      <w:r>
        <w:lastRenderedPageBreak/>
        <w:t xml:space="preserve">Recruitment of Australian smelt increased </w:t>
      </w:r>
      <w:r w:rsidR="00D83FA9">
        <w:t>because of</w:t>
      </w:r>
      <w:r>
        <w:t xml:space="preserve"> </w:t>
      </w:r>
      <w:r w:rsidR="00CB055B">
        <w:t>Commonwealth environmental water</w:t>
      </w:r>
      <w:r>
        <w:t xml:space="preserve"> (fewer low</w:t>
      </w:r>
      <w:r w:rsidR="003E27A5">
        <w:t xml:space="preserve"> </w:t>
      </w:r>
      <w:r>
        <w:t xml:space="preserve">flow days and changes in flow variability) in some years in several </w:t>
      </w:r>
      <w:r w:rsidR="6CAFCF8E">
        <w:t>monitoring locations</w:t>
      </w:r>
      <w:r w:rsidR="0035012E">
        <w:t>.</w:t>
      </w:r>
      <w:r w:rsidR="1780DAF5">
        <w:t xml:space="preserve"> Murray cod recruitment had variable responses to Commonwealth environmental water delivery in some years in the Edward/Kolety–Wakool river systems and Gwydir River System. In other monitoring locations, there was either negative responses in some years (Lachlan River System, Murrumbidgee River System) or no effects (Goulburn River, Lower Murray River). There were a few positive effects of Commonwealth environmental water on recruitment of carp gudgeon and Murray–Darling rainbowfish </w:t>
      </w:r>
      <w:r w:rsidR="100BF3FB">
        <w:t>in some monitoring locations</w:t>
      </w:r>
      <w:r w:rsidR="1780DAF5">
        <w:t>.</w:t>
      </w:r>
    </w:p>
    <w:p w14:paraId="6C4B682C" w14:textId="2A8EEACE" w:rsidR="006636FA" w:rsidRDefault="00CB055B" w:rsidP="439D3E70">
      <w:pPr>
        <w:pStyle w:val="ListBullet"/>
      </w:pPr>
      <w:r>
        <w:t>Commonwealth environmental water</w:t>
      </w:r>
      <w:r w:rsidR="006636FA">
        <w:t xml:space="preserve"> delivery (fewer low</w:t>
      </w:r>
      <w:r w:rsidR="00920C59">
        <w:t xml:space="preserve"> </w:t>
      </w:r>
      <w:r w:rsidR="006636FA">
        <w:t xml:space="preserve">flow days) contributed to </w:t>
      </w:r>
      <w:r w:rsidR="7E0086EE">
        <w:t xml:space="preserve">increased probability of </w:t>
      </w:r>
      <w:r w:rsidR="006636FA">
        <w:t xml:space="preserve">detection of Australian smelt at more sites in most years within </w:t>
      </w:r>
      <w:r w:rsidR="007A0B45">
        <w:t>monitored areas</w:t>
      </w:r>
      <w:r w:rsidR="006636FA">
        <w:t xml:space="preserve">. The </w:t>
      </w:r>
      <w:r w:rsidR="007A0B45">
        <w:t xml:space="preserve">growth rate for the </w:t>
      </w:r>
      <w:r w:rsidR="006636FA">
        <w:t xml:space="preserve">adult Murray cod population increased with the delivery of </w:t>
      </w:r>
      <w:r>
        <w:t>Commonwealth environmental water</w:t>
      </w:r>
      <w:r w:rsidR="006636FA">
        <w:t xml:space="preserve"> (fewer low</w:t>
      </w:r>
      <w:r w:rsidR="002B47E8">
        <w:t xml:space="preserve"> </w:t>
      </w:r>
      <w:r w:rsidR="006636FA">
        <w:t xml:space="preserve">flow days and changes in flow variability) in </w:t>
      </w:r>
      <w:r w:rsidR="7BD23EDE">
        <w:t>some years in</w:t>
      </w:r>
      <w:r w:rsidR="006636FA">
        <w:t xml:space="preserve"> </w:t>
      </w:r>
      <w:r w:rsidR="007A0B45">
        <w:t>monitored areas</w:t>
      </w:r>
      <w:r w:rsidR="006636FA">
        <w:t xml:space="preserve">. </w:t>
      </w:r>
      <w:r w:rsidR="007A0B45">
        <w:t>The p</w:t>
      </w:r>
      <w:r w:rsidR="006636FA">
        <w:t xml:space="preserve">opulation growth rate </w:t>
      </w:r>
      <w:r w:rsidR="007A0B45">
        <w:t xml:space="preserve">for golden perch </w:t>
      </w:r>
      <w:r w:rsidR="006636FA">
        <w:t xml:space="preserve">increased with </w:t>
      </w:r>
      <w:r w:rsidR="007A0B45">
        <w:t xml:space="preserve">delivery of </w:t>
      </w:r>
      <w:r>
        <w:t>Commonwealth environmental water</w:t>
      </w:r>
      <w:r w:rsidR="006636FA">
        <w:t xml:space="preserve"> i</w:t>
      </w:r>
      <w:r w:rsidR="0F11AAF2">
        <w:t>n most years in the Goulburn River, Lachlan River System, Lower Murray River and Murrumbidgee River System (</w:t>
      </w:r>
      <w:r w:rsidR="1BB807CD">
        <w:t>fewer</w:t>
      </w:r>
      <w:r w:rsidR="0F11AAF2">
        <w:t xml:space="preserve"> low flow days).</w:t>
      </w:r>
    </w:p>
    <w:p w14:paraId="70077CA8" w14:textId="1155405D" w:rsidR="006636FA" w:rsidRPr="004B520E" w:rsidRDefault="006636FA" w:rsidP="00E23B26">
      <w:pPr>
        <w:pStyle w:val="ListBullet"/>
      </w:pPr>
      <w:r>
        <w:t xml:space="preserve">Individual body condition for Murray cod </w:t>
      </w:r>
      <w:r w:rsidR="113E0EDF">
        <w:t xml:space="preserve">and golden perch </w:t>
      </w:r>
      <w:r>
        <w:t xml:space="preserve">increased </w:t>
      </w:r>
      <w:r w:rsidR="00E23B26">
        <w:t>due to</w:t>
      </w:r>
      <w:r>
        <w:t xml:space="preserve"> </w:t>
      </w:r>
      <w:r w:rsidR="00CB055B">
        <w:t>Commonwealth environmental water</w:t>
      </w:r>
      <w:r>
        <w:t xml:space="preserve"> (fewer low</w:t>
      </w:r>
      <w:r w:rsidR="002B47E8">
        <w:t xml:space="preserve"> </w:t>
      </w:r>
      <w:r>
        <w:t xml:space="preserve">flow days and increased average daily flows) in some years in </w:t>
      </w:r>
      <w:r w:rsidR="007A0B45">
        <w:t>monitored areas</w:t>
      </w:r>
      <w:r>
        <w:t xml:space="preserve">. Strong responses for Murray cod were </w:t>
      </w:r>
      <w:r w:rsidR="00E23B26">
        <w:t>found</w:t>
      </w:r>
      <w:r>
        <w:t xml:space="preserve"> in the G</w:t>
      </w:r>
      <w:r w:rsidR="6DB33F79">
        <w:t>oulburn</w:t>
      </w:r>
      <w:r w:rsidR="001930E8">
        <w:t xml:space="preserve"> River </w:t>
      </w:r>
      <w:r w:rsidR="77DFA75A">
        <w:t xml:space="preserve">and </w:t>
      </w:r>
      <w:r>
        <w:t>Lower Murray</w:t>
      </w:r>
      <w:r w:rsidR="001930E8">
        <w:t xml:space="preserve"> River</w:t>
      </w:r>
      <w:r>
        <w:t xml:space="preserve">. Bony herring body condition increased with delivery of </w:t>
      </w:r>
      <w:r w:rsidR="00CB055B">
        <w:t>Commonwealth environmental water</w:t>
      </w:r>
      <w:r>
        <w:t xml:space="preserve"> (changes in flow variability) </w:t>
      </w:r>
      <w:r w:rsidR="00E23B26">
        <w:t>in</w:t>
      </w:r>
      <w:r>
        <w:t xml:space="preserve"> some years in </w:t>
      </w:r>
      <w:r w:rsidR="7393A73F">
        <w:t>monitored areas</w:t>
      </w:r>
      <w:r w:rsidR="000A3225">
        <w:t>.</w:t>
      </w:r>
    </w:p>
    <w:p w14:paraId="0AFDA104" w14:textId="6D2F878A" w:rsidR="006636FA" w:rsidRPr="004B520E" w:rsidRDefault="006636FA" w:rsidP="00E23B26">
      <w:pPr>
        <w:pStyle w:val="ListBullet"/>
      </w:pPr>
      <w:r w:rsidRPr="004B520E">
        <w:t xml:space="preserve">The </w:t>
      </w:r>
      <w:r w:rsidR="4D7AB06C" w:rsidRPr="004B520E">
        <w:t xml:space="preserve">predicted </w:t>
      </w:r>
      <w:r w:rsidRPr="004B520E">
        <w:t xml:space="preserve">contribution of </w:t>
      </w:r>
      <w:r w:rsidR="00CB055B" w:rsidRPr="004B520E">
        <w:t>Commonwealth environmental water</w:t>
      </w:r>
      <w:r w:rsidRPr="004B520E">
        <w:t xml:space="preserve"> to Murray cod and Murray–Darling rainbowfish recruitment </w:t>
      </w:r>
      <w:r w:rsidR="2E0CCF80" w:rsidRPr="004B520E">
        <w:t xml:space="preserve">at unmonitored locations </w:t>
      </w:r>
      <w:r w:rsidRPr="004B520E">
        <w:t>was greatest in the southern Basin</w:t>
      </w:r>
      <w:r w:rsidR="005773F9" w:rsidRPr="004B520E">
        <w:t>, alt</w:t>
      </w:r>
      <w:r w:rsidR="007F660B" w:rsidRPr="004B520E">
        <w:t>ho</w:t>
      </w:r>
      <w:r w:rsidR="002A6FE2" w:rsidRPr="004B520E">
        <w:t xml:space="preserve">ugh </w:t>
      </w:r>
      <w:r w:rsidR="00181A65" w:rsidRPr="004B520E">
        <w:t>there is high</w:t>
      </w:r>
      <w:r w:rsidR="00C05B2B" w:rsidRPr="004B520E">
        <w:t>er</w:t>
      </w:r>
      <w:r w:rsidR="00181A65" w:rsidRPr="004B520E">
        <w:t xml:space="preserve"> </w:t>
      </w:r>
      <w:r w:rsidR="00C05B2B" w:rsidRPr="004B520E">
        <w:t>uncertainty</w:t>
      </w:r>
      <w:r w:rsidR="00181A65" w:rsidRPr="004B520E">
        <w:t xml:space="preserve"> in the </w:t>
      </w:r>
      <w:r w:rsidR="002A6FE2" w:rsidRPr="004B520E">
        <w:t>predict</w:t>
      </w:r>
      <w:r w:rsidR="0090107B" w:rsidRPr="004B520E">
        <w:t>ed</w:t>
      </w:r>
      <w:r w:rsidR="002A6FE2" w:rsidRPr="004B520E">
        <w:t xml:space="preserve"> </w:t>
      </w:r>
      <w:r w:rsidR="00181A65" w:rsidRPr="004B520E">
        <w:t xml:space="preserve">effects of </w:t>
      </w:r>
      <w:r w:rsidR="00CB055B" w:rsidRPr="004B520E">
        <w:t>Commonwealth environmental water</w:t>
      </w:r>
      <w:r w:rsidR="00181A65" w:rsidRPr="004B520E">
        <w:t xml:space="preserve"> </w:t>
      </w:r>
      <w:r w:rsidR="002A6FE2" w:rsidRPr="004B520E">
        <w:t xml:space="preserve">in the northern </w:t>
      </w:r>
      <w:r w:rsidR="006C6244">
        <w:t>B</w:t>
      </w:r>
      <w:r w:rsidR="002A6FE2" w:rsidRPr="004B520E">
        <w:t>asin</w:t>
      </w:r>
      <w:r w:rsidR="006C5C89" w:rsidRPr="004B520E">
        <w:t>,</w:t>
      </w:r>
      <w:r w:rsidR="002A6FE2" w:rsidRPr="004B520E">
        <w:t xml:space="preserve"> </w:t>
      </w:r>
      <w:r w:rsidR="00E96C15" w:rsidRPr="004B520E">
        <w:t>w</w:t>
      </w:r>
      <w:r w:rsidR="001C117F" w:rsidRPr="004B520E">
        <w:t xml:space="preserve">hich </w:t>
      </w:r>
      <w:r w:rsidR="006C5C89" w:rsidRPr="004B520E">
        <w:t xml:space="preserve">is </w:t>
      </w:r>
      <w:r w:rsidR="001C117F" w:rsidRPr="004B520E">
        <w:t>limited to a single monitoring location</w:t>
      </w:r>
      <w:r w:rsidR="00E96C15" w:rsidRPr="004B520E">
        <w:t xml:space="preserve"> </w:t>
      </w:r>
      <w:r w:rsidR="00735ACD" w:rsidRPr="004B520E">
        <w:t>(</w:t>
      </w:r>
      <w:r w:rsidR="00E96C15" w:rsidRPr="004B520E">
        <w:t xml:space="preserve">Gwydir </w:t>
      </w:r>
      <w:r w:rsidR="00F97C3C">
        <w:t>R</w:t>
      </w:r>
      <w:r w:rsidR="00AC2C03" w:rsidRPr="004B520E">
        <w:t xml:space="preserve">iver </w:t>
      </w:r>
      <w:r w:rsidR="00F97C3C">
        <w:t>S</w:t>
      </w:r>
      <w:r w:rsidR="00E96C15" w:rsidRPr="004B520E">
        <w:t>ystem</w:t>
      </w:r>
      <w:r w:rsidR="00735ACD" w:rsidRPr="004B520E">
        <w:t>).</w:t>
      </w:r>
      <w:r w:rsidR="00E96C15" w:rsidRPr="004B520E">
        <w:t xml:space="preserve"> </w:t>
      </w:r>
      <w:r w:rsidR="14495A0D" w:rsidRPr="004B520E">
        <w:t xml:space="preserve">Currently, predictions at unmonitored locations are with low confidence without local data in these unmonitored </w:t>
      </w:r>
      <w:r w:rsidR="72BF2607" w:rsidRPr="004B520E">
        <w:t xml:space="preserve">locations </w:t>
      </w:r>
      <w:r w:rsidR="14495A0D" w:rsidRPr="004B520E">
        <w:t>to test with model predictions</w:t>
      </w:r>
      <w:r w:rsidR="21D1A4AC" w:rsidRPr="004B520E">
        <w:t>.</w:t>
      </w:r>
    </w:p>
    <w:p w14:paraId="2D087420" w14:textId="08D1871D" w:rsidR="00455686" w:rsidRPr="004B520E" w:rsidRDefault="00455686" w:rsidP="00E23B26">
      <w:pPr>
        <w:pStyle w:val="Boxedheadingteal"/>
      </w:pPr>
      <w:bookmarkStart w:id="500" w:name="_Toc168579875"/>
      <w:bookmarkStart w:id="501" w:name="_Toc172283673"/>
      <w:bookmarkStart w:id="502" w:name="_Toc172290980"/>
      <w:bookmarkStart w:id="503" w:name="_Toc178668879"/>
      <w:r w:rsidRPr="004B520E">
        <w:t>HIGHLIGHT: Enhancing spawning, recruitment and movement of golden perch</w:t>
      </w:r>
      <w:bookmarkEnd w:id="500"/>
      <w:bookmarkEnd w:id="501"/>
      <w:bookmarkEnd w:id="502"/>
      <w:bookmarkEnd w:id="503"/>
    </w:p>
    <w:p w14:paraId="385BC32C" w14:textId="0FEC470A" w:rsidR="00455686" w:rsidRPr="004B520E" w:rsidRDefault="00D32F8A" w:rsidP="004D67BA">
      <w:pPr>
        <w:pStyle w:val="Boxedtext"/>
        <w:keepNext/>
        <w:spacing w:before="360"/>
        <w:rPr>
          <w:rStyle w:val="Bold"/>
        </w:rPr>
      </w:pPr>
      <w:r w:rsidRPr="004B520E">
        <w:rPr>
          <w:rStyle w:val="Bold"/>
        </w:rPr>
        <w:t>E</w:t>
      </w:r>
      <w:r w:rsidR="00455686" w:rsidRPr="004B520E">
        <w:rPr>
          <w:rStyle w:val="Bold"/>
        </w:rPr>
        <w:t>nvironmental water delivered benefits for golden perch across the Murray–Darling Basin</w:t>
      </w:r>
    </w:p>
    <w:p w14:paraId="04FD4908" w14:textId="2C5CC16A" w:rsidR="0035012E" w:rsidRPr="004B520E" w:rsidRDefault="00455686" w:rsidP="00455686">
      <w:pPr>
        <w:pStyle w:val="Boxedtext"/>
      </w:pPr>
      <w:r w:rsidRPr="004B520E">
        <w:t>Golden perch are found throughout the Murray–Darling Basin. They</w:t>
      </w:r>
      <w:r w:rsidR="00D90EF3" w:rsidRPr="004B520E">
        <w:t xml:space="preserve"> are</w:t>
      </w:r>
      <w:r w:rsidRPr="004B520E">
        <w:t xml:space="preserve"> a popular angling fish and are culturally important to First Nations people. Flow-MER research and evaluation showed that Commonwealth environmental water supported critical life-history processes of golden perch, including spawning, body condition and population growth</w:t>
      </w:r>
      <w:r w:rsidR="0035012E" w:rsidRPr="004B520E">
        <w:t>.</w:t>
      </w:r>
    </w:p>
    <w:p w14:paraId="76367213" w14:textId="77777777" w:rsidR="00E23B26" w:rsidRPr="004B520E" w:rsidRDefault="00E23B26" w:rsidP="00E23B26">
      <w:pPr>
        <w:pStyle w:val="Boxedtext"/>
      </w:pPr>
      <w:r w:rsidRPr="004B520E">
        <w:t>Data from tagged golden perch shows that the greater the flow, the more likely golden perch are to move throughout a river system. Understanding relationships between flows and fish movements, at varying spatial scales, informs the delivery of Commonwealth environmental water to best benefit fish populations.</w:t>
      </w:r>
    </w:p>
    <w:p w14:paraId="4D50D77E" w14:textId="6B3C93AB" w:rsidR="00455686" w:rsidRPr="004B520E" w:rsidRDefault="00455686" w:rsidP="00455686">
      <w:pPr>
        <w:pStyle w:val="Boxedtext"/>
      </w:pPr>
      <w:r w:rsidRPr="004B520E">
        <w:t xml:space="preserve">Between 2014 and </w:t>
      </w:r>
      <w:r w:rsidR="00FE0B58" w:rsidRPr="004B520E">
        <w:t>202</w:t>
      </w:r>
      <w:r w:rsidR="00FE0B58">
        <w:t>4</w:t>
      </w:r>
      <w:r w:rsidRPr="004B520E">
        <w:t>, spawning of golden perch increased with delivery of Commonwealth environmental water. Golden perch need hundreds of kilometres of connected flowing water for spawning migrations, and spawn</w:t>
      </w:r>
      <w:r w:rsidR="00E23B26" w:rsidRPr="004B520E">
        <w:t>ing</w:t>
      </w:r>
      <w:r w:rsidRPr="004B520E">
        <w:t xml:space="preserve"> often coincides with increased flow during spring and summer. </w:t>
      </w:r>
      <w:r w:rsidR="00E23B26" w:rsidRPr="004B520E">
        <w:t>E</w:t>
      </w:r>
      <w:r w:rsidRPr="004B520E">
        <w:t>nvironmental water help</w:t>
      </w:r>
      <w:r w:rsidR="006F73D8" w:rsidRPr="004B520E">
        <w:t>ed</w:t>
      </w:r>
      <w:r w:rsidRPr="004B520E">
        <w:t xml:space="preserve"> maintain their habitat by providing connected flow events across regions and at critical times.</w:t>
      </w:r>
    </w:p>
    <w:p w14:paraId="03E7647E" w14:textId="5DC47F30" w:rsidR="0035012E" w:rsidRPr="004B520E" w:rsidRDefault="00455686" w:rsidP="00455686">
      <w:pPr>
        <w:pStyle w:val="Boxedtext"/>
        <w:rPr>
          <w:szCs w:val="21"/>
        </w:rPr>
      </w:pPr>
      <w:r w:rsidRPr="004B520E">
        <w:lastRenderedPageBreak/>
        <w:t xml:space="preserve">Modelling showed that numbers of golden perch across the Basin went up when Commonwealth environmental water was delivered, strengthening populations against future environmental change. The Basin-wide model was developed by integrating knowledge of life-history processes (such as spawning and movement) with information on the connectivity and spatial scale of golden perch </w:t>
      </w:r>
      <w:r w:rsidRPr="004B520E">
        <w:rPr>
          <w:szCs w:val="21"/>
        </w:rPr>
        <w:t>populations</w:t>
      </w:r>
      <w:r w:rsidR="0035012E" w:rsidRPr="004B520E">
        <w:rPr>
          <w:szCs w:val="21"/>
        </w:rPr>
        <w:t>.</w:t>
      </w:r>
    </w:p>
    <w:p w14:paraId="569CE808" w14:textId="0DF9F019" w:rsidR="00455686" w:rsidRPr="004B520E" w:rsidRDefault="00455686" w:rsidP="00455686">
      <w:pPr>
        <w:pStyle w:val="Boxedtext"/>
      </w:pPr>
      <w:r w:rsidRPr="004B520E">
        <w:t xml:space="preserve">The model also showed that bigger river discharges, such as those boosted by Commonwealth environmental water (and seen in the very wet </w:t>
      </w:r>
      <w:r w:rsidR="00244943" w:rsidRPr="004B520E">
        <w:t>202</w:t>
      </w:r>
      <w:r w:rsidR="000904F2" w:rsidRPr="004B520E">
        <w:t>2</w:t>
      </w:r>
      <w:r w:rsidR="00244943" w:rsidRPr="004B520E">
        <w:t>–2</w:t>
      </w:r>
      <w:r w:rsidR="000904F2" w:rsidRPr="004B520E">
        <w:t>3</w:t>
      </w:r>
      <w:r w:rsidRPr="004B520E">
        <w:t xml:space="preserve"> water year), enhance fish spawning, recruitment and movement – ultimately supporting the populations and recovery of golden perch and other </w:t>
      </w:r>
      <w:r w:rsidR="000E1305" w:rsidRPr="00455686">
        <w:t>native fish</w:t>
      </w:r>
      <w:r w:rsidRPr="004B520E">
        <w:t>.</w:t>
      </w:r>
    </w:p>
    <w:p w14:paraId="41E70222" w14:textId="77777777" w:rsidR="00132D6D" w:rsidRPr="004B520E" w:rsidRDefault="00132D6D" w:rsidP="00113FC9">
      <w:pPr>
        <w:pStyle w:val="Heading3"/>
        <w:rPr>
          <w:rStyle w:val="Bold"/>
          <w:b/>
        </w:rPr>
      </w:pPr>
      <w:bookmarkStart w:id="504" w:name="_Toc168579876"/>
      <w:bookmarkStart w:id="505" w:name="_Toc172283674"/>
      <w:r w:rsidRPr="004B520E">
        <w:rPr>
          <w:rStyle w:val="Bold"/>
          <w:b/>
        </w:rPr>
        <w:t>Waterbirds</w:t>
      </w:r>
      <w:bookmarkEnd w:id="504"/>
      <w:bookmarkEnd w:id="505"/>
    </w:p>
    <w:p w14:paraId="1AD2AC7F" w14:textId="0D7A4E28" w:rsidR="001A2CA7" w:rsidRPr="004B520E" w:rsidRDefault="001A2CA7" w:rsidP="00244943">
      <w:pPr>
        <w:pStyle w:val="ChapterSignposting"/>
      </w:pPr>
      <w:r w:rsidRPr="004B520E">
        <w:t xml:space="preserve">This section presents findings from the Species Diversity evaluation for the </w:t>
      </w:r>
      <w:r w:rsidR="00193B29" w:rsidRPr="004B520E">
        <w:t>10</w:t>
      </w:r>
      <w:r w:rsidRPr="004B520E">
        <w:t xml:space="preserve"> years from </w:t>
      </w:r>
      <w:r w:rsidR="00244943" w:rsidRPr="004B520E">
        <w:t>2014–24</w:t>
      </w:r>
      <w:r w:rsidR="00BD6B56" w:rsidRPr="004B520E">
        <w:t>,</w:t>
      </w:r>
      <w:r w:rsidRPr="004B520E">
        <w:t xml:space="preserve"> presented in full in the </w:t>
      </w:r>
      <w:r w:rsidR="00BD6B56" w:rsidRPr="004B520E">
        <w:t xml:space="preserve">‘Basin-scale evaluation of </w:t>
      </w:r>
      <w:r w:rsidR="00244943" w:rsidRPr="004B520E">
        <w:t>2023–24</w:t>
      </w:r>
      <w:r w:rsidR="00BD6B56" w:rsidRPr="004B520E">
        <w:t xml:space="preserve"> Commonwealth environmental water: Species Diversity’</w:t>
      </w:r>
      <w:r w:rsidR="00BD6B56" w:rsidRPr="004B520E" w:rsidDel="00E96AC8">
        <w:t xml:space="preserve"> </w:t>
      </w:r>
      <w:r w:rsidR="00BD6B56" w:rsidRPr="004B520E">
        <w:t>r</w:t>
      </w:r>
      <w:r w:rsidR="00BD6B56" w:rsidRPr="004B520E">
        <w:rPr>
          <w:iCs/>
          <w:szCs w:val="20"/>
        </w:rPr>
        <w:t xml:space="preserve">eport </w:t>
      </w:r>
      <w:r w:rsidRPr="004B520E">
        <w:t>(</w:t>
      </w:r>
      <w:r w:rsidR="00DD645F" w:rsidRPr="004B520E">
        <w:t xml:space="preserve">accompanying this document and will be available </w:t>
      </w:r>
      <w:r w:rsidR="00666ADD">
        <w:t>from</w:t>
      </w:r>
      <w:r w:rsidR="00666ADD" w:rsidRPr="004B520E">
        <w:t xml:space="preserve"> </w:t>
      </w:r>
      <w:r w:rsidR="00666ADD">
        <w:t>DCCEEW’s</w:t>
      </w:r>
      <w:r w:rsidR="00666ADD" w:rsidRPr="004B520E">
        <w:t xml:space="preserve"> </w:t>
      </w:r>
      <w:hyperlink r:id="rId74" w:history="1">
        <w:r w:rsidR="00666ADD" w:rsidRPr="004B520E">
          <w:rPr>
            <w:rStyle w:val="Hyperlink"/>
            <w:rFonts w:cs="Calibri Light"/>
          </w:rPr>
          <w:t>Flow-MER Basin-scale Project publications</w:t>
        </w:r>
      </w:hyperlink>
      <w:r w:rsidR="00666ADD" w:rsidRPr="004B520E">
        <w:t xml:space="preserve"> </w:t>
      </w:r>
      <w:r w:rsidR="00666ADD">
        <w:t>web</w:t>
      </w:r>
      <w:r w:rsidR="00666ADD" w:rsidRPr="004B520E">
        <w:t>page)</w:t>
      </w:r>
      <w:r w:rsidR="00BC3B67" w:rsidRPr="004B520E">
        <w:t>.</w:t>
      </w:r>
    </w:p>
    <w:p w14:paraId="69A190A0" w14:textId="04CA1CC6" w:rsidR="00683076" w:rsidRPr="004B520E" w:rsidRDefault="001C42E0" w:rsidP="00683076">
      <w:pPr>
        <w:pStyle w:val="BodyText"/>
      </w:pPr>
      <w:r w:rsidRPr="004B520E">
        <w:t>W</w:t>
      </w:r>
      <w:r w:rsidR="00683076" w:rsidRPr="004B520E">
        <w:t xml:space="preserve">aterbirds </w:t>
      </w:r>
      <w:r w:rsidRPr="004B520E">
        <w:t xml:space="preserve">are </w:t>
      </w:r>
      <w:r w:rsidR="00683076" w:rsidRPr="004B520E">
        <w:t>a key priority for environmental watering</w:t>
      </w:r>
      <w:r w:rsidRPr="004B520E">
        <w:t xml:space="preserve"> </w:t>
      </w:r>
      <w:r w:rsidR="00683076" w:rsidRPr="004B520E">
        <w:t>in floodplain and wetland habitats.</w:t>
      </w:r>
      <w:r w:rsidR="002001B0" w:rsidRPr="004B520E">
        <w:t xml:space="preserve"> </w:t>
      </w:r>
      <w:r w:rsidR="00683076" w:rsidRPr="004B520E">
        <w:rPr>
          <w:rFonts w:asciiTheme="minorHAnsi" w:hAnsiTheme="minorHAnsi" w:cstheme="minorHAnsi"/>
        </w:rPr>
        <w:t xml:space="preserve">Critical waterbird habitats and multiple populations of listed waterbird species are </w:t>
      </w:r>
      <w:r w:rsidR="00683076" w:rsidRPr="004B520E">
        <w:t xml:space="preserve">associated with locations periodically inundated by environmental water. </w:t>
      </w:r>
      <w:r w:rsidR="00683076" w:rsidRPr="004B520E">
        <w:rPr>
          <w:rFonts w:asciiTheme="minorHAnsi" w:hAnsiTheme="minorHAnsi" w:cstheme="minorHAnsi"/>
        </w:rPr>
        <w:t>There is also potential for other</w:t>
      </w:r>
      <w:r w:rsidR="003F4D63">
        <w:rPr>
          <w:rFonts w:asciiTheme="minorHAnsi" w:hAnsiTheme="minorHAnsi" w:cstheme="minorHAnsi"/>
        </w:rPr>
        <w:t>,</w:t>
      </w:r>
      <w:r w:rsidR="00683076" w:rsidRPr="004B520E">
        <w:rPr>
          <w:rFonts w:asciiTheme="minorHAnsi" w:hAnsiTheme="minorHAnsi" w:cstheme="minorHAnsi"/>
        </w:rPr>
        <w:t xml:space="preserve"> </w:t>
      </w:r>
      <w:r w:rsidR="00683076" w:rsidRPr="004B520E">
        <w:t>complementary</w:t>
      </w:r>
      <w:r w:rsidR="00683076" w:rsidRPr="004B520E">
        <w:rPr>
          <w:rFonts w:asciiTheme="minorHAnsi" w:hAnsiTheme="minorHAnsi" w:cstheme="minorHAnsi"/>
        </w:rPr>
        <w:t xml:space="preserve"> adaptive</w:t>
      </w:r>
      <w:r w:rsidR="003F4D63">
        <w:rPr>
          <w:rFonts w:asciiTheme="minorHAnsi" w:hAnsiTheme="minorHAnsi" w:cstheme="minorHAnsi"/>
        </w:rPr>
        <w:t>-</w:t>
      </w:r>
      <w:r w:rsidR="00683076" w:rsidRPr="004B520E">
        <w:rPr>
          <w:rFonts w:asciiTheme="minorHAnsi" w:hAnsiTheme="minorHAnsi" w:cstheme="minorHAnsi"/>
        </w:rPr>
        <w:t xml:space="preserve">management actions </w:t>
      </w:r>
      <w:r w:rsidR="002A3B3C" w:rsidRPr="004B520E">
        <w:rPr>
          <w:rFonts w:asciiTheme="minorHAnsi" w:hAnsiTheme="minorHAnsi" w:cstheme="minorHAnsi"/>
        </w:rPr>
        <w:t>to support</w:t>
      </w:r>
      <w:r w:rsidR="00683076" w:rsidRPr="004B520E">
        <w:rPr>
          <w:rFonts w:asciiTheme="minorHAnsi" w:hAnsiTheme="minorHAnsi" w:cstheme="minorHAnsi"/>
        </w:rPr>
        <w:t xml:space="preserve"> the effectiveness of environmental water and</w:t>
      </w:r>
      <w:r w:rsidR="00752385" w:rsidRPr="004B520E">
        <w:rPr>
          <w:rFonts w:asciiTheme="minorHAnsi" w:hAnsiTheme="minorHAnsi" w:cstheme="minorHAnsi"/>
        </w:rPr>
        <w:t>,</w:t>
      </w:r>
      <w:r w:rsidR="00683076" w:rsidRPr="004B520E">
        <w:rPr>
          <w:rFonts w:asciiTheme="minorHAnsi" w:hAnsiTheme="minorHAnsi" w:cstheme="minorHAnsi"/>
        </w:rPr>
        <w:t xml:space="preserve"> ultimately</w:t>
      </w:r>
      <w:r w:rsidR="00752385" w:rsidRPr="004B520E">
        <w:rPr>
          <w:rFonts w:asciiTheme="minorHAnsi" w:hAnsiTheme="minorHAnsi" w:cstheme="minorHAnsi"/>
        </w:rPr>
        <w:t>,</w:t>
      </w:r>
      <w:r w:rsidR="00683076" w:rsidRPr="004B520E">
        <w:rPr>
          <w:rFonts w:asciiTheme="minorHAnsi" w:hAnsiTheme="minorHAnsi" w:cstheme="minorHAnsi"/>
        </w:rPr>
        <w:t xml:space="preserve"> waterbird recruitment. Environmental water, vegetation management and management of pressures and threats, such as predation, disease and toxins, all interact with habitat availability and quality to affect waterbird movements, condition, growth, survival and mortality, as well as breeding initiation and frequency.</w:t>
      </w:r>
    </w:p>
    <w:p w14:paraId="4D5DB024" w14:textId="3C4D2DDB" w:rsidR="006522DD" w:rsidRPr="00E23B26" w:rsidRDefault="006522DD" w:rsidP="00113FC9">
      <w:pPr>
        <w:pStyle w:val="Heading4"/>
        <w:rPr>
          <w:color w:val="auto"/>
        </w:rPr>
      </w:pPr>
      <w:r w:rsidRPr="00E23B26">
        <w:rPr>
          <w:lang w:val="en-US"/>
        </w:rPr>
        <w:t>Observations since 2014</w:t>
      </w:r>
    </w:p>
    <w:p w14:paraId="287BA565" w14:textId="6A486E60" w:rsidR="00A9074E" w:rsidRPr="004B520E" w:rsidRDefault="009A03C5" w:rsidP="00A9074E">
      <w:pPr>
        <w:pStyle w:val="ListBullet"/>
      </w:pPr>
      <w:r w:rsidRPr="004B520E">
        <w:t xml:space="preserve">9,299 </w:t>
      </w:r>
      <w:r w:rsidR="00A9074E" w:rsidRPr="004B520E">
        <w:t xml:space="preserve">GL of </w:t>
      </w:r>
      <w:r w:rsidR="00CB055B" w:rsidRPr="004B520E">
        <w:t>Commonwealth environmental water</w:t>
      </w:r>
      <w:r w:rsidR="00A9074E" w:rsidRPr="004B520E">
        <w:t xml:space="preserve"> </w:t>
      </w:r>
      <w:r w:rsidRPr="004B520E">
        <w:t>has been</w:t>
      </w:r>
      <w:r w:rsidR="00A9074E" w:rsidRPr="004B520E">
        <w:rPr>
          <w:color w:val="auto"/>
        </w:rPr>
        <w:t xml:space="preserve"> delivered for outcomes for waterbirds.</w:t>
      </w:r>
    </w:p>
    <w:p w14:paraId="5AA340F4" w14:textId="58BE973E" w:rsidR="00693666" w:rsidRPr="004B520E" w:rsidRDefault="00CB055B" w:rsidP="00693666">
      <w:pPr>
        <w:pStyle w:val="ListBullet"/>
      </w:pPr>
      <w:r w:rsidRPr="004B520E">
        <w:t>Commonwealth environmental water</w:t>
      </w:r>
      <w:r w:rsidR="00A9074E" w:rsidRPr="004B520E">
        <w:t xml:space="preserve"> has supported habitats of a wide range of waterbird species, including straw</w:t>
      </w:r>
      <w:r w:rsidR="00F6320B" w:rsidRPr="004B520E">
        <w:t>-</w:t>
      </w:r>
      <w:r w:rsidR="00A9074E" w:rsidRPr="004B520E">
        <w:t>necked</w:t>
      </w:r>
      <w:r w:rsidR="00F6320B" w:rsidRPr="004B520E">
        <w:t xml:space="preserve"> ibis</w:t>
      </w:r>
      <w:r w:rsidR="00A9074E" w:rsidRPr="004B520E">
        <w:t xml:space="preserve">, white </w:t>
      </w:r>
      <w:r w:rsidR="00F6320B" w:rsidRPr="004B520E">
        <w:t>ibis,</w:t>
      </w:r>
      <w:r w:rsidR="00A9074E" w:rsidRPr="004B520E">
        <w:t xml:space="preserve"> glossy </w:t>
      </w:r>
      <w:r w:rsidR="001838B1">
        <w:t>i</w:t>
      </w:r>
      <w:r w:rsidR="00A9074E" w:rsidRPr="004B520E">
        <w:t xml:space="preserve">bis, royal </w:t>
      </w:r>
      <w:r w:rsidR="00F6320B" w:rsidRPr="004B520E">
        <w:t>spoonbills,</w:t>
      </w:r>
      <w:r w:rsidR="00A9074E" w:rsidRPr="004B520E">
        <w:t xml:space="preserve"> yellow spoonbills, cormorants, darters, grebes and several species of duck.</w:t>
      </w:r>
    </w:p>
    <w:p w14:paraId="16C81B4A" w14:textId="7D3B720F" w:rsidR="00693666" w:rsidRPr="004B520E" w:rsidRDefault="00746974" w:rsidP="00693666">
      <w:pPr>
        <w:pStyle w:val="ListBullet"/>
      </w:pPr>
      <w:r>
        <w:t>97</w:t>
      </w:r>
      <w:r w:rsidR="00693666" w:rsidRPr="004B520E">
        <w:t xml:space="preserve"> waterbird and raptor species </w:t>
      </w:r>
      <w:r w:rsidR="00C61AB6" w:rsidRPr="004B520E">
        <w:t>were</w:t>
      </w:r>
      <w:r w:rsidR="00693666" w:rsidRPr="004B520E">
        <w:t xml:space="preserve"> recorded from </w:t>
      </w:r>
      <w:r w:rsidR="00D55CC8" w:rsidRPr="00D55CC8">
        <w:t xml:space="preserve">the </w:t>
      </w:r>
      <w:r w:rsidR="002F5BCE">
        <w:t>Long Term Intervention Monitoring</w:t>
      </w:r>
      <w:r w:rsidR="003D577B">
        <w:t xml:space="preserve"> Project</w:t>
      </w:r>
      <w:r w:rsidR="00D55CC8" w:rsidRPr="00D55CC8">
        <w:t xml:space="preserve"> and Flow-MER monitoring sites in the Junction of the Warrego and Darling </w:t>
      </w:r>
      <w:r w:rsidR="002F5BCE">
        <w:t>r</w:t>
      </w:r>
      <w:r w:rsidR="00D55CC8" w:rsidRPr="00D55CC8">
        <w:t>ivers, Gwydir</w:t>
      </w:r>
      <w:r w:rsidR="00D5638C">
        <w:t xml:space="preserve"> River System</w:t>
      </w:r>
      <w:r w:rsidR="00D55CC8" w:rsidRPr="00D55CC8">
        <w:t xml:space="preserve"> and Murrumbidgee </w:t>
      </w:r>
      <w:r w:rsidR="00D5638C">
        <w:t xml:space="preserve">River system </w:t>
      </w:r>
      <w:r w:rsidR="00693666" w:rsidRPr="004B520E">
        <w:t xml:space="preserve">from </w:t>
      </w:r>
      <w:r w:rsidR="00244943" w:rsidRPr="004B520E">
        <w:t>2014</w:t>
      </w:r>
      <w:r w:rsidR="00D5638C">
        <w:t xml:space="preserve"> to 20</w:t>
      </w:r>
      <w:r w:rsidR="00244943" w:rsidRPr="004B520E">
        <w:t>24</w:t>
      </w:r>
      <w:r w:rsidR="00693666" w:rsidRPr="004B520E">
        <w:t xml:space="preserve">. </w:t>
      </w:r>
    </w:p>
    <w:p w14:paraId="26DE6DBE" w14:textId="77707CCE" w:rsidR="00A9074E" w:rsidRPr="004B520E" w:rsidRDefault="00A9074E" w:rsidP="00A9074E">
      <w:pPr>
        <w:pStyle w:val="ListBullet"/>
      </w:pPr>
      <w:r w:rsidRPr="004B520E">
        <w:t xml:space="preserve">1,877 GL of </w:t>
      </w:r>
      <w:r w:rsidR="00CB055B" w:rsidRPr="004B520E">
        <w:t>Commonwealth environmental water</w:t>
      </w:r>
      <w:r w:rsidRPr="004B520E">
        <w:t xml:space="preserve"> w</w:t>
      </w:r>
      <w:r w:rsidR="00445877" w:rsidRPr="004B520E">
        <w:t>ere</w:t>
      </w:r>
      <w:r w:rsidRPr="004B520E">
        <w:t xml:space="preserve"> delivered to benefit listed threatened or migratory species, either alone or in combination with watering objectives.</w:t>
      </w:r>
    </w:p>
    <w:p w14:paraId="3E24C952" w14:textId="4FDA91BD" w:rsidR="00A9074E" w:rsidRPr="004B520E" w:rsidRDefault="00A9074E" w:rsidP="00A9074E">
      <w:pPr>
        <w:pStyle w:val="ListBullet"/>
      </w:pPr>
      <w:r w:rsidRPr="004B520E">
        <w:t xml:space="preserve">Since 2014, 59 listed threatened or migratory waterbird and raptor species were </w:t>
      </w:r>
      <w:r w:rsidR="00316573" w:rsidRPr="004B520E">
        <w:t>reported</w:t>
      </w:r>
      <w:r w:rsidRPr="004B520E">
        <w:t xml:space="preserve">. Of these, 57 were reported from habitats that received </w:t>
      </w:r>
      <w:r w:rsidR="00CB055B" w:rsidRPr="004B520E">
        <w:t>Commonwealth environmental water</w:t>
      </w:r>
      <w:r w:rsidRPr="004B520E">
        <w:t>.</w:t>
      </w:r>
    </w:p>
    <w:p w14:paraId="3BB03FB2" w14:textId="25602EFB" w:rsidR="00E23B26" w:rsidRPr="004B520E" w:rsidRDefault="00E23B26" w:rsidP="00E23B26">
      <w:pPr>
        <w:pStyle w:val="Boxedheadingteal"/>
      </w:pPr>
      <w:r w:rsidRPr="004B520E">
        <w:t>HIGHLIGHT: Supporting threatened species (waterbirds)</w:t>
      </w:r>
    </w:p>
    <w:p w14:paraId="13007481" w14:textId="299F495F" w:rsidR="00E23B26" w:rsidRPr="004B520E" w:rsidRDefault="00E23B26" w:rsidP="004D67BA">
      <w:pPr>
        <w:pStyle w:val="Boxedtext"/>
        <w:keepNext/>
        <w:spacing w:before="360"/>
        <w:rPr>
          <w:b/>
          <w:bCs/>
        </w:rPr>
      </w:pPr>
      <w:r w:rsidRPr="004B520E">
        <w:rPr>
          <w:b/>
          <w:bCs/>
        </w:rPr>
        <w:t>Australasian bittern</w:t>
      </w:r>
    </w:p>
    <w:p w14:paraId="13823974" w14:textId="536E6316" w:rsidR="00E23B26" w:rsidRPr="004B520E" w:rsidRDefault="00E23B26" w:rsidP="00E23B26">
      <w:pPr>
        <w:pStyle w:val="Boxedtext"/>
      </w:pPr>
      <w:r w:rsidRPr="004B520E">
        <w:t xml:space="preserve">The Australasian bittern is a </w:t>
      </w:r>
      <w:r w:rsidR="00D5638C">
        <w:t>threatened</w:t>
      </w:r>
      <w:r w:rsidR="00D5638C" w:rsidRPr="004B520E">
        <w:t xml:space="preserve"> </w:t>
      </w:r>
      <w:r w:rsidRPr="004B520E">
        <w:t xml:space="preserve">species with scattered distribution through eastern Australia. The Basin contains core habitat for this species. It is federally listed as Endangered under the EPBC Act and is also listed in Victoria, South Australia and New South Wales. It is a large, nocturnal wading bird that requires wetland and floodplain habitats with areas of tall emergent vegetation. </w:t>
      </w:r>
      <w:r w:rsidR="00E2153F">
        <w:t xml:space="preserve">Since </w:t>
      </w:r>
      <w:r w:rsidR="00E2153F" w:rsidRPr="009A68B2">
        <w:t>delivery</w:t>
      </w:r>
      <w:r w:rsidR="00E2153F">
        <w:t xml:space="preserve"> </w:t>
      </w:r>
      <w:r w:rsidR="00E2153F">
        <w:lastRenderedPageBreak/>
        <w:t>began</w:t>
      </w:r>
      <w:r w:rsidR="00E2153F" w:rsidRPr="009A68B2">
        <w:t xml:space="preserve"> in 2014</w:t>
      </w:r>
      <w:r w:rsidR="00E2153F">
        <w:t xml:space="preserve">, 110 known locations of </w:t>
      </w:r>
      <w:r w:rsidR="00E2153F" w:rsidRPr="003576C7">
        <w:t>Australasian bittern</w:t>
      </w:r>
      <w:r w:rsidR="00E2153F" w:rsidRPr="009A68B2">
        <w:t xml:space="preserve"> received </w:t>
      </w:r>
      <w:r w:rsidR="00E2153F">
        <w:t>Commonwealth environmental water</w:t>
      </w:r>
      <w:r w:rsidR="00E2153F" w:rsidRPr="009A68B2">
        <w:t xml:space="preserve"> at least once.</w:t>
      </w:r>
    </w:p>
    <w:p w14:paraId="05E2E0A6" w14:textId="7CD3B7E5" w:rsidR="00E23B26" w:rsidRPr="004B520E" w:rsidRDefault="00E23B26" w:rsidP="002822D6">
      <w:pPr>
        <w:pStyle w:val="Boxedtext"/>
        <w:keepNext/>
        <w:rPr>
          <w:b/>
          <w:bCs/>
        </w:rPr>
      </w:pPr>
      <w:r w:rsidRPr="004B520E">
        <w:rPr>
          <w:b/>
          <w:bCs/>
        </w:rPr>
        <w:t>Glossy ibis</w:t>
      </w:r>
    </w:p>
    <w:p w14:paraId="6BD0FB0C" w14:textId="3A905DF0" w:rsidR="00E23B26" w:rsidRPr="004B520E" w:rsidRDefault="009E5F96" w:rsidP="00E23B26">
      <w:pPr>
        <w:pStyle w:val="Boxedtext"/>
      </w:pPr>
      <w:r w:rsidRPr="004B520E">
        <w:t>The g</w:t>
      </w:r>
      <w:r w:rsidR="00E23B26" w:rsidRPr="004B520E">
        <w:t xml:space="preserve">lossy ibis </w:t>
      </w:r>
      <w:r w:rsidR="00317946">
        <w:t>(</w:t>
      </w:r>
      <w:r w:rsidR="00317946">
        <w:rPr>
          <w:i/>
          <w:iCs/>
        </w:rPr>
        <w:t>Plegadis falcinell</w:t>
      </w:r>
      <w:r w:rsidR="00D02280">
        <w:rPr>
          <w:i/>
          <w:iCs/>
        </w:rPr>
        <w:t>us</w:t>
      </w:r>
      <w:r w:rsidR="00317946">
        <w:t xml:space="preserve">) </w:t>
      </w:r>
      <w:r w:rsidR="00E23B26" w:rsidRPr="004B520E">
        <w:t xml:space="preserve">is a wading waterbird. It is a listed migratory species under the Bonn Convention and is listed in South Australia. It is highly nomadic and has a wide distribution across eastern and northern Australia. </w:t>
      </w:r>
      <w:r w:rsidR="008138CA">
        <w:t xml:space="preserve">Since </w:t>
      </w:r>
      <w:r w:rsidR="008138CA" w:rsidRPr="009A68B2">
        <w:t>delivery</w:t>
      </w:r>
      <w:r w:rsidR="008138CA">
        <w:t xml:space="preserve"> began</w:t>
      </w:r>
      <w:r w:rsidR="008138CA" w:rsidRPr="009A68B2">
        <w:t xml:space="preserve"> in 2014</w:t>
      </w:r>
      <w:r w:rsidR="008138CA">
        <w:t xml:space="preserve">, 183 known locations of </w:t>
      </w:r>
      <w:r w:rsidR="008138CA" w:rsidRPr="003576C7">
        <w:rPr>
          <w:iCs/>
        </w:rPr>
        <w:t>glossy ibis</w:t>
      </w:r>
      <w:r w:rsidR="008138CA" w:rsidRPr="00604C2B">
        <w:rPr>
          <w:i/>
        </w:rPr>
        <w:t xml:space="preserve"> </w:t>
      </w:r>
      <w:r w:rsidR="008138CA" w:rsidRPr="00C3139E">
        <w:t xml:space="preserve">received </w:t>
      </w:r>
      <w:r w:rsidR="008138CA">
        <w:t>Commonwealth environmental water</w:t>
      </w:r>
      <w:r w:rsidR="008138CA" w:rsidRPr="00C3139E">
        <w:t xml:space="preserve"> at least once</w:t>
      </w:r>
      <w:r w:rsidR="008138CA">
        <w:t>.</w:t>
      </w:r>
    </w:p>
    <w:p w14:paraId="4B3BE4C8" w14:textId="7D07ED78" w:rsidR="00E23B26" w:rsidRPr="004B520E" w:rsidRDefault="00E23B26" w:rsidP="002822D6">
      <w:pPr>
        <w:pStyle w:val="Boxedtext"/>
        <w:keepNext/>
        <w:rPr>
          <w:b/>
          <w:bCs/>
        </w:rPr>
      </w:pPr>
      <w:r w:rsidRPr="004B520E">
        <w:rPr>
          <w:b/>
          <w:bCs/>
        </w:rPr>
        <w:t>Australasian shoveler</w:t>
      </w:r>
    </w:p>
    <w:p w14:paraId="202B1FB0" w14:textId="4F708858" w:rsidR="00E23B26" w:rsidRPr="004B520E" w:rsidRDefault="00E23B26" w:rsidP="0066354F">
      <w:pPr>
        <w:pStyle w:val="Boxedtext"/>
      </w:pPr>
      <w:r w:rsidRPr="004B520E">
        <w:t xml:space="preserve">The Australasian shoveler </w:t>
      </w:r>
      <w:r w:rsidR="00D02280">
        <w:t>(</w:t>
      </w:r>
      <w:r w:rsidR="00D02280">
        <w:rPr>
          <w:i/>
          <w:iCs/>
        </w:rPr>
        <w:t>Spatula rhynchotis</w:t>
      </w:r>
      <w:r w:rsidR="00D02280">
        <w:t xml:space="preserve">) </w:t>
      </w:r>
      <w:r w:rsidRPr="004B520E">
        <w:t xml:space="preserve">is a species of dabbling duck and is listed in Victoria and South Australia. This species is highly mobile </w:t>
      </w:r>
      <w:r w:rsidR="00367079">
        <w:t>and has</w:t>
      </w:r>
      <w:r w:rsidR="00367079" w:rsidRPr="004B520E">
        <w:t xml:space="preserve"> </w:t>
      </w:r>
      <w:r w:rsidRPr="004B520E">
        <w:t xml:space="preserve">a wide distribution that extends throughout eastern and south-western Australia. Since delivery began in 2014, </w:t>
      </w:r>
      <w:r w:rsidR="0066354F">
        <w:t>233 known locations of Australasian shoveler</w:t>
      </w:r>
      <w:r w:rsidR="0066354F" w:rsidRPr="009A68B2">
        <w:t xml:space="preserve"> received </w:t>
      </w:r>
      <w:r w:rsidR="0066354F">
        <w:t>Commonwealth environmental water</w:t>
      </w:r>
      <w:r w:rsidR="0066354F" w:rsidRPr="009A68B2">
        <w:t xml:space="preserve"> at least once</w:t>
      </w:r>
      <w:r w:rsidR="0066354F" w:rsidRPr="003347B5">
        <w:t>.</w:t>
      </w:r>
    </w:p>
    <w:p w14:paraId="4A794DB0" w14:textId="77777777" w:rsidR="00CB280C" w:rsidRPr="004B520E" w:rsidRDefault="00CB280C" w:rsidP="00113FC9">
      <w:pPr>
        <w:pStyle w:val="Heading3"/>
        <w:rPr>
          <w:rStyle w:val="Italics"/>
          <w:i w:val="0"/>
        </w:rPr>
      </w:pPr>
      <w:bookmarkStart w:id="506" w:name="_Toc168579878"/>
      <w:bookmarkStart w:id="507" w:name="_Toc172283676"/>
      <w:r w:rsidRPr="004B520E">
        <w:t>Other fauna – turtles, snakes and f</w:t>
      </w:r>
      <w:r w:rsidRPr="004B520E">
        <w:rPr>
          <w:rStyle w:val="Italics"/>
          <w:i w:val="0"/>
        </w:rPr>
        <w:t>rogs</w:t>
      </w:r>
      <w:bookmarkEnd w:id="506"/>
      <w:bookmarkEnd w:id="507"/>
    </w:p>
    <w:p w14:paraId="7D2BFD11" w14:textId="4917CF73" w:rsidR="001A2CA7" w:rsidRPr="004B520E" w:rsidRDefault="001A2CA7" w:rsidP="00244943">
      <w:pPr>
        <w:pStyle w:val="ChapterSignposting"/>
      </w:pPr>
      <w:r w:rsidRPr="004B520E">
        <w:t xml:space="preserve">This section presents findings from the Species Diversity evaluation for the </w:t>
      </w:r>
      <w:r w:rsidR="009A03C5" w:rsidRPr="004B520E">
        <w:t>10</w:t>
      </w:r>
      <w:r w:rsidRPr="004B520E">
        <w:t xml:space="preserve"> years from </w:t>
      </w:r>
      <w:r w:rsidR="00244943" w:rsidRPr="004B520E">
        <w:t>2014–24</w:t>
      </w:r>
      <w:r w:rsidR="00CB773E" w:rsidRPr="004B520E">
        <w:t>,</w:t>
      </w:r>
      <w:r w:rsidRPr="004B520E">
        <w:t xml:space="preserve"> presented in full in the </w:t>
      </w:r>
      <w:r w:rsidR="00CB773E" w:rsidRPr="004B520E">
        <w:t xml:space="preserve">‘Basin-scale evaluation of </w:t>
      </w:r>
      <w:r w:rsidR="00244943" w:rsidRPr="004B520E">
        <w:t>2023–24</w:t>
      </w:r>
      <w:r w:rsidR="00CB773E" w:rsidRPr="004B520E">
        <w:t xml:space="preserve"> Commonwealth environmental water: Species Diversity’</w:t>
      </w:r>
      <w:r w:rsidR="00CB773E" w:rsidRPr="004B520E" w:rsidDel="00E96AC8">
        <w:t xml:space="preserve"> </w:t>
      </w:r>
      <w:r w:rsidR="00CB773E" w:rsidRPr="004B520E">
        <w:t>r</w:t>
      </w:r>
      <w:r w:rsidR="00CB773E" w:rsidRPr="004B520E">
        <w:rPr>
          <w:iCs/>
          <w:szCs w:val="20"/>
        </w:rPr>
        <w:t xml:space="preserve">eport </w:t>
      </w:r>
      <w:r w:rsidRPr="004B520E">
        <w:t>(</w:t>
      </w:r>
      <w:r w:rsidR="00DD645F" w:rsidRPr="004B520E">
        <w:t xml:space="preserve">accompanying this document and will be available </w:t>
      </w:r>
      <w:r w:rsidR="00666ADD">
        <w:t>from</w:t>
      </w:r>
      <w:r w:rsidR="00666ADD" w:rsidRPr="004B520E">
        <w:t xml:space="preserve"> </w:t>
      </w:r>
      <w:r w:rsidR="00666ADD">
        <w:t>DCCEEW’s</w:t>
      </w:r>
      <w:r w:rsidR="00666ADD" w:rsidRPr="004B520E">
        <w:t xml:space="preserve"> </w:t>
      </w:r>
      <w:hyperlink r:id="rId75" w:history="1">
        <w:r w:rsidR="00666ADD" w:rsidRPr="004B520E">
          <w:rPr>
            <w:rStyle w:val="Hyperlink"/>
            <w:rFonts w:cs="Calibri Light"/>
          </w:rPr>
          <w:t>Flow-MER Basin-scale Project publications</w:t>
        </w:r>
      </w:hyperlink>
      <w:r w:rsidR="00666ADD" w:rsidRPr="004B520E">
        <w:t xml:space="preserve"> </w:t>
      </w:r>
      <w:r w:rsidR="00666ADD">
        <w:t>web</w:t>
      </w:r>
      <w:r w:rsidR="00666ADD" w:rsidRPr="004B520E">
        <w:t>page)</w:t>
      </w:r>
      <w:r w:rsidR="00072F8F" w:rsidRPr="004B520E">
        <w:t>.</w:t>
      </w:r>
    </w:p>
    <w:p w14:paraId="502E8D8B" w14:textId="096BD54D" w:rsidR="00E72A48" w:rsidRDefault="009A03C5" w:rsidP="009A03C5">
      <w:pPr>
        <w:pStyle w:val="BodyText"/>
      </w:pPr>
      <w:r w:rsidRPr="004B520E">
        <w:t>Since 2014, 740 watering actions with objectives for species diversity outcomes deliver</w:t>
      </w:r>
      <w:r w:rsidR="00B923AD">
        <w:t>ed</w:t>
      </w:r>
      <w:r w:rsidRPr="004B520E">
        <w:t xml:space="preserve"> ~11,021 GL of Commonwealth environmental water</w:t>
      </w:r>
      <w:r w:rsidR="00B923AD">
        <w:t>.</w:t>
      </w:r>
      <w:r w:rsidRPr="004B520E">
        <w:t xml:space="preserve"> </w:t>
      </w:r>
      <w:r w:rsidR="009F7602">
        <w:t xml:space="preserve">4,308 </w:t>
      </w:r>
      <w:r w:rsidRPr="004B520E">
        <w:t>GL of Commonwealth environmental water were delivered to support other biota</w:t>
      </w:r>
      <w:r w:rsidR="005A633B">
        <w:t>,</w:t>
      </w:r>
      <w:r w:rsidRPr="004B520E">
        <w:t xml:space="preserve"> including mammals (platypus and rakali), woodland birds (regent parrot)</w:t>
      </w:r>
      <w:r w:rsidR="009F7602">
        <w:t xml:space="preserve"> </w:t>
      </w:r>
      <w:r w:rsidRPr="004B520E">
        <w:t>and reptiles (turtles and snakes)</w:t>
      </w:r>
      <w:r w:rsidR="003E22A6">
        <w:t>,</w:t>
      </w:r>
      <w:r w:rsidRPr="004B520E">
        <w:t xml:space="preserve"> and 1,991 GL of Commonwealth environmental water </w:t>
      </w:r>
      <w:r w:rsidR="003E22A6">
        <w:t>were</w:t>
      </w:r>
      <w:r w:rsidRPr="004B520E">
        <w:t xml:space="preserve"> delivered with specific objectives for frogs.</w:t>
      </w:r>
    </w:p>
    <w:p w14:paraId="4F9E8E2A" w14:textId="7B7B0B7A" w:rsidR="009A03C5" w:rsidRPr="004B520E" w:rsidRDefault="009A03C5" w:rsidP="009A03C5">
      <w:pPr>
        <w:pStyle w:val="BodyText"/>
      </w:pPr>
      <w:r w:rsidRPr="004B520E">
        <w:t>Watering objectives for frogs typically focus on general habitat maintenance (habitat)</w:t>
      </w:r>
      <w:r w:rsidR="00EF53F0">
        <w:t>. M</w:t>
      </w:r>
      <w:r w:rsidRPr="004B520E">
        <w:t xml:space="preserve">ore targeted objectives </w:t>
      </w:r>
      <w:r w:rsidR="001B3EAF">
        <w:t xml:space="preserve">exist </w:t>
      </w:r>
      <w:r w:rsidRPr="004B520E">
        <w:t>for frog breeding (breeding), maintaining critical refuge habitat for frogs (refuge), and providing opportunities for breeding and recruitment of the southern bell frog.</w:t>
      </w:r>
    </w:p>
    <w:p w14:paraId="524525DC" w14:textId="28CBE7DF" w:rsidR="009A03C5" w:rsidRPr="004B520E" w:rsidRDefault="009A03C5" w:rsidP="009A03C5">
      <w:pPr>
        <w:pStyle w:val="BodyText"/>
      </w:pPr>
      <w:r w:rsidRPr="004B520E">
        <w:t>Frogs generally have low mobility</w:t>
      </w:r>
      <w:r w:rsidR="00EF53F0">
        <w:t>,</w:t>
      </w:r>
      <w:r w:rsidRPr="004B520E">
        <w:t xml:space="preserve"> and occurrence at environmental watering sites is highly dependent on the longer-term water regime</w:t>
      </w:r>
      <w:r w:rsidR="00EF53F0">
        <w:t>,</w:t>
      </w:r>
      <w:r w:rsidRPr="004B520E">
        <w:t xml:space="preserve"> including the frequency of inundation and length of dry periods which influences survival over time. Each year</w:t>
      </w:r>
      <w:r w:rsidR="00EF53F0">
        <w:t>,</w:t>
      </w:r>
      <w:r w:rsidRPr="004B520E">
        <w:t xml:space="preserve"> specific characteristics of the flow regime</w:t>
      </w:r>
      <w:r w:rsidR="00EF53F0">
        <w:t>,</w:t>
      </w:r>
      <w:r w:rsidRPr="004B520E">
        <w:t xml:space="preserve"> such as the timing of inundation</w:t>
      </w:r>
      <w:r w:rsidR="00EF53F0">
        <w:t>,</w:t>
      </w:r>
      <w:r w:rsidRPr="004B520E">
        <w:t xml:space="preserve"> may influence breeding responses of resident populations.</w:t>
      </w:r>
    </w:p>
    <w:p w14:paraId="1E92BBAC" w14:textId="2C6EEE42" w:rsidR="00594EA6" w:rsidRPr="00594EA6" w:rsidRDefault="00E23B26" w:rsidP="00594EA6">
      <w:pPr>
        <w:pStyle w:val="Heading4"/>
      </w:pPr>
      <w:r w:rsidRPr="004B520E">
        <w:t>Observations since 2014</w:t>
      </w:r>
    </w:p>
    <w:p w14:paraId="4EE22908" w14:textId="44C16D83" w:rsidR="0081257E" w:rsidRPr="00013698" w:rsidRDefault="0081257E" w:rsidP="00013698">
      <w:pPr>
        <w:pStyle w:val="ListBullet"/>
      </w:pPr>
      <w:r w:rsidRPr="00013698">
        <w:t>20 species of frog have been reported from wetlands inundated with Commonwealth environmental water in the Murrumbidgee</w:t>
      </w:r>
      <w:r w:rsidR="002F40AB" w:rsidRPr="00013698">
        <w:t xml:space="preserve"> River System</w:t>
      </w:r>
      <w:r w:rsidRPr="00013698">
        <w:t>, Junction of Warrego and Darling</w:t>
      </w:r>
      <w:r w:rsidR="002F40AB" w:rsidRPr="00013698">
        <w:t xml:space="preserve"> rivers</w:t>
      </w:r>
      <w:r w:rsidRPr="00013698">
        <w:t>, Macquarie Marshes, Lachlan</w:t>
      </w:r>
      <w:r w:rsidR="002F40AB" w:rsidRPr="00013698">
        <w:t xml:space="preserve"> River System</w:t>
      </w:r>
      <w:r w:rsidRPr="00013698">
        <w:t xml:space="preserve"> and Gwydir </w:t>
      </w:r>
      <w:r w:rsidR="002F40AB" w:rsidRPr="00013698">
        <w:t>R</w:t>
      </w:r>
      <w:r w:rsidRPr="00013698">
        <w:t xml:space="preserve">iver </w:t>
      </w:r>
      <w:r w:rsidR="002F40AB" w:rsidRPr="00013698">
        <w:t>S</w:t>
      </w:r>
      <w:r w:rsidRPr="00013698">
        <w:t>ystem. Frog species richness</w:t>
      </w:r>
      <w:r w:rsidR="009D2ECF" w:rsidRPr="00013698">
        <w:t xml:space="preserve"> in the Murrumbidgee</w:t>
      </w:r>
      <w:r w:rsidRPr="00013698">
        <w:t xml:space="preserve"> has been stable across years.</w:t>
      </w:r>
    </w:p>
    <w:p w14:paraId="7A11504D" w14:textId="01A51536" w:rsidR="009A03C5" w:rsidRPr="00013698" w:rsidRDefault="009A03C5" w:rsidP="00013698">
      <w:pPr>
        <w:pStyle w:val="ListBullet"/>
      </w:pPr>
      <w:r w:rsidRPr="00013698">
        <w:t>Commonwealth environmental water was the primary source of inundation and played a significant role in shaping the hydrological regime at 11 of the 12 frog survey sites in the Murrumbidgee</w:t>
      </w:r>
      <w:r w:rsidR="009D2ECF" w:rsidRPr="00013698">
        <w:t>.</w:t>
      </w:r>
    </w:p>
    <w:p w14:paraId="574E4D78" w14:textId="4BF4669C" w:rsidR="0081257E" w:rsidRPr="00013698" w:rsidRDefault="0081257E" w:rsidP="00013698">
      <w:pPr>
        <w:pStyle w:val="ListBullet"/>
      </w:pPr>
      <w:r w:rsidRPr="00013698">
        <w:t>26 listed water-dependent fish, crayfish, mammals, frogs and reptiles were reported from habitats that received Commonwealth environmental water on at least one occasion over the 10-year period.</w:t>
      </w:r>
    </w:p>
    <w:p w14:paraId="451F0C27" w14:textId="4B931601" w:rsidR="00CB280C" w:rsidRPr="00013698" w:rsidRDefault="00CB055B" w:rsidP="00013698">
      <w:pPr>
        <w:pStyle w:val="ListBullet"/>
      </w:pPr>
      <w:r w:rsidRPr="00013698">
        <w:t>Commonwealth environmental water</w:t>
      </w:r>
      <w:r w:rsidR="00CB280C" w:rsidRPr="00013698">
        <w:t xml:space="preserve"> supported broad-shelled turtles (</w:t>
      </w:r>
      <w:r w:rsidR="00A84269" w:rsidRPr="00013698">
        <w:t xml:space="preserve">threatened </w:t>
      </w:r>
      <w:r w:rsidR="00CB280C" w:rsidRPr="00013698">
        <w:t>in South Australia) and created nursery habitats that supported hatchling Macquarie</w:t>
      </w:r>
      <w:r w:rsidR="00A84269" w:rsidRPr="00013698">
        <w:t xml:space="preserve"> turtles</w:t>
      </w:r>
      <w:r w:rsidR="00CB280C" w:rsidRPr="00013698">
        <w:t>, long</w:t>
      </w:r>
      <w:r w:rsidR="00A84269" w:rsidRPr="00013698">
        <w:t>-</w:t>
      </w:r>
      <w:r w:rsidR="00CB280C" w:rsidRPr="00013698">
        <w:t xml:space="preserve">necked </w:t>
      </w:r>
      <w:r w:rsidR="00A84269" w:rsidRPr="00013698">
        <w:t>turtles</w:t>
      </w:r>
      <w:r w:rsidR="00CB280C" w:rsidRPr="00013698">
        <w:t xml:space="preserve"> and broad</w:t>
      </w:r>
      <w:r w:rsidR="00A84269" w:rsidRPr="00013698">
        <w:t>-</w:t>
      </w:r>
      <w:r w:rsidR="00CB280C" w:rsidRPr="00013698">
        <w:t>shelled turtles.</w:t>
      </w:r>
    </w:p>
    <w:p w14:paraId="53222097" w14:textId="64BFEEEA" w:rsidR="00CB280C" w:rsidRPr="00013698" w:rsidRDefault="00CB055B" w:rsidP="00013698">
      <w:pPr>
        <w:pStyle w:val="ListBullet"/>
      </w:pPr>
      <w:r w:rsidRPr="00013698">
        <w:lastRenderedPageBreak/>
        <w:t>Commonwealth environmental water</w:t>
      </w:r>
      <w:r w:rsidR="00CB280C" w:rsidRPr="00013698">
        <w:t xml:space="preserve"> supported habitats and populations of threatened species, including one frog (southern bell frog), one turtle (broad-shelled turtle) and one snake (grey snake).</w:t>
      </w:r>
    </w:p>
    <w:p w14:paraId="4CCC1034" w14:textId="60462821" w:rsidR="0035012E" w:rsidRPr="00013698" w:rsidRDefault="00CB055B" w:rsidP="00013698">
      <w:pPr>
        <w:pStyle w:val="ListBullet"/>
      </w:pPr>
      <w:r w:rsidRPr="00013698">
        <w:t>Commonwealth environmental water</w:t>
      </w:r>
      <w:r w:rsidR="00CB280C" w:rsidRPr="00013698">
        <w:t xml:space="preserve"> had a significant influence on the presence of southern bell frogs (listed as </w:t>
      </w:r>
      <w:r w:rsidR="00E44BFE" w:rsidRPr="00013698">
        <w:t>V</w:t>
      </w:r>
      <w:r w:rsidR="00CB280C" w:rsidRPr="00013698">
        <w:t>ulnerable under the EPBC Act)</w:t>
      </w:r>
      <w:bookmarkStart w:id="508" w:name="_Toc168579879"/>
      <w:bookmarkStart w:id="509" w:name="_Toc172283677"/>
      <w:bookmarkStart w:id="510" w:name="_Toc172290982"/>
      <w:bookmarkStart w:id="511" w:name="_Toc178668881"/>
      <w:r w:rsidR="0035012E" w:rsidRPr="00013698">
        <w:t>.</w:t>
      </w:r>
    </w:p>
    <w:p w14:paraId="0678F85A" w14:textId="53CB0358" w:rsidR="00AA4F4D" w:rsidRPr="004B520E" w:rsidRDefault="00AA4F4D" w:rsidP="00113FC9">
      <w:pPr>
        <w:pStyle w:val="Heading2"/>
      </w:pPr>
      <w:bookmarkStart w:id="512" w:name="_Toc74060310"/>
      <w:bookmarkStart w:id="513" w:name="_Toc74060520"/>
      <w:bookmarkStart w:id="514" w:name="_Toc168579880"/>
      <w:bookmarkStart w:id="515" w:name="_Toc172283678"/>
      <w:bookmarkStart w:id="516" w:name="_Toc172290983"/>
      <w:bookmarkStart w:id="517" w:name="_Toc178668882"/>
      <w:bookmarkStart w:id="518" w:name="_Toc200743766"/>
      <w:bookmarkStart w:id="519" w:name="_Toc200743865"/>
      <w:bookmarkStart w:id="520" w:name="_Toc203682279"/>
      <w:bookmarkStart w:id="521" w:name="_Toc204606894"/>
      <w:bookmarkEnd w:id="508"/>
      <w:bookmarkEnd w:id="509"/>
      <w:bookmarkEnd w:id="510"/>
      <w:bookmarkEnd w:id="511"/>
      <w:bookmarkEnd w:id="512"/>
      <w:bookmarkEnd w:id="513"/>
      <w:r w:rsidRPr="004B520E">
        <w:t xml:space="preserve">Ecosystem </w:t>
      </w:r>
      <w:r w:rsidR="00DF5D16" w:rsidRPr="004B520E">
        <w:t>f</w:t>
      </w:r>
      <w:r w:rsidRPr="004B520E">
        <w:t xml:space="preserve">unction outcomes </w:t>
      </w:r>
      <w:r w:rsidR="00244943" w:rsidRPr="004B520E">
        <w:t>2014–24</w:t>
      </w:r>
      <w:bookmarkEnd w:id="514"/>
      <w:bookmarkEnd w:id="515"/>
      <w:bookmarkEnd w:id="516"/>
      <w:bookmarkEnd w:id="517"/>
      <w:bookmarkEnd w:id="518"/>
      <w:bookmarkEnd w:id="519"/>
      <w:bookmarkEnd w:id="520"/>
      <w:bookmarkEnd w:id="521"/>
    </w:p>
    <w:p w14:paraId="62CD4DF0" w14:textId="57A00572" w:rsidR="001A2CA7" w:rsidRPr="004B520E" w:rsidRDefault="001A2CA7" w:rsidP="00244943">
      <w:pPr>
        <w:pStyle w:val="ChapterSignposting"/>
      </w:pPr>
      <w:r w:rsidRPr="004B520E">
        <w:t xml:space="preserve">This section presents findings from the Foodwebs and Water Quality evaluation for the </w:t>
      </w:r>
      <w:r w:rsidR="009A03C5" w:rsidRPr="004B520E">
        <w:t xml:space="preserve">10 </w:t>
      </w:r>
      <w:r w:rsidRPr="004B520E">
        <w:t xml:space="preserve">years from </w:t>
      </w:r>
      <w:r w:rsidR="00244943" w:rsidRPr="004B520E">
        <w:t>2014–24</w:t>
      </w:r>
      <w:r w:rsidR="004A49AC" w:rsidRPr="004B520E">
        <w:t>,</w:t>
      </w:r>
      <w:r w:rsidRPr="004B520E">
        <w:t xml:space="preserve"> presented in full in the </w:t>
      </w:r>
      <w:r w:rsidR="004A49AC" w:rsidRPr="004B520E">
        <w:t xml:space="preserve">‘Basin-scale evaluation of </w:t>
      </w:r>
      <w:r w:rsidR="00244943" w:rsidRPr="004B520E">
        <w:t>2023–24</w:t>
      </w:r>
      <w:r w:rsidR="004A49AC" w:rsidRPr="004B520E">
        <w:t xml:space="preserve"> Commonwealth environmental water: Foodwebs and Water Quality’</w:t>
      </w:r>
      <w:r w:rsidR="004A49AC" w:rsidRPr="004B520E" w:rsidDel="00E96AC8">
        <w:t xml:space="preserve"> </w:t>
      </w:r>
      <w:r w:rsidR="004A49AC" w:rsidRPr="004B520E">
        <w:t>r</w:t>
      </w:r>
      <w:r w:rsidR="004A49AC" w:rsidRPr="004B520E">
        <w:rPr>
          <w:iCs/>
          <w:szCs w:val="20"/>
        </w:rPr>
        <w:t xml:space="preserve">eport </w:t>
      </w:r>
      <w:r w:rsidRPr="004B520E">
        <w:t>(</w:t>
      </w:r>
      <w:r w:rsidR="00DD645F" w:rsidRPr="004B520E">
        <w:t xml:space="preserve">accompanying this document and will be available </w:t>
      </w:r>
      <w:r w:rsidR="00D84035">
        <w:t>from</w:t>
      </w:r>
      <w:r w:rsidR="00D84035" w:rsidRPr="004B520E">
        <w:t xml:space="preserve"> </w:t>
      </w:r>
      <w:r w:rsidR="00D84035">
        <w:t>DCCEEW’s</w:t>
      </w:r>
      <w:r w:rsidR="00D84035" w:rsidRPr="004B520E">
        <w:t xml:space="preserve"> </w:t>
      </w:r>
      <w:hyperlink r:id="rId76" w:history="1">
        <w:r w:rsidR="00D84035" w:rsidRPr="004B520E">
          <w:rPr>
            <w:rStyle w:val="Hyperlink"/>
            <w:rFonts w:cs="Calibri Light"/>
          </w:rPr>
          <w:t>Flow-MER Basin-scale Project publications</w:t>
        </w:r>
      </w:hyperlink>
      <w:r w:rsidR="00D84035" w:rsidRPr="004B520E">
        <w:t xml:space="preserve"> </w:t>
      </w:r>
      <w:r w:rsidR="00D84035">
        <w:t>web</w:t>
      </w:r>
      <w:r w:rsidR="00D84035" w:rsidRPr="004B520E">
        <w:t>page)</w:t>
      </w:r>
      <w:r w:rsidR="00072F8F" w:rsidRPr="004B520E">
        <w:t>.</w:t>
      </w:r>
    </w:p>
    <w:p w14:paraId="20A0A3A0" w14:textId="6BA32A3B" w:rsidR="0035012E" w:rsidRPr="004B520E" w:rsidRDefault="00BC7B78" w:rsidP="00C5401D">
      <w:pPr>
        <w:pStyle w:val="Boxedtextorange"/>
      </w:pPr>
      <w:r w:rsidRPr="004B520E">
        <w:t>From 2014–2</w:t>
      </w:r>
      <w:r w:rsidR="009A03C5" w:rsidRPr="004B520E">
        <w:t>4</w:t>
      </w:r>
      <w:r w:rsidRPr="004B520E">
        <w:t xml:space="preserve">, </w:t>
      </w:r>
      <w:r w:rsidR="009A03C5" w:rsidRPr="004B520E">
        <w:t>511</w:t>
      </w:r>
      <w:r w:rsidR="007106FB" w:rsidRPr="004B520E">
        <w:t xml:space="preserve"> </w:t>
      </w:r>
      <w:r w:rsidRPr="004B520E">
        <w:t>water</w:t>
      </w:r>
      <w:r w:rsidR="00395C04" w:rsidRPr="004B520E">
        <w:t>ing</w:t>
      </w:r>
      <w:r w:rsidRPr="004B520E">
        <w:t xml:space="preserve"> actions</w:t>
      </w:r>
      <w:r w:rsidR="00E83DBD" w:rsidRPr="004B520E">
        <w:t xml:space="preserve"> </w:t>
      </w:r>
      <w:r w:rsidR="00164CFA" w:rsidRPr="004B520E">
        <w:t xml:space="preserve">– </w:t>
      </w:r>
      <w:r w:rsidR="00E83DBD" w:rsidRPr="004B520E">
        <w:t xml:space="preserve">totalling </w:t>
      </w:r>
      <w:r w:rsidR="009A03C5" w:rsidRPr="004B520E">
        <w:t>14,310</w:t>
      </w:r>
      <w:r w:rsidR="00773BFF" w:rsidRPr="004B520E">
        <w:t xml:space="preserve"> </w:t>
      </w:r>
      <w:r w:rsidR="000E28E7" w:rsidRPr="004B520E">
        <w:t>GL</w:t>
      </w:r>
      <w:r w:rsidR="00031DED">
        <w:t xml:space="preserve"> of Commonwealth environmental water</w:t>
      </w:r>
      <w:r w:rsidR="000E28E7" w:rsidRPr="004B520E">
        <w:t xml:space="preserve"> </w:t>
      </w:r>
      <w:r w:rsidR="00164CFA" w:rsidRPr="004B520E">
        <w:t xml:space="preserve">– </w:t>
      </w:r>
      <w:r w:rsidR="00E83DBD" w:rsidRPr="004B520E">
        <w:t xml:space="preserve">were delivered for </w:t>
      </w:r>
      <w:r w:rsidRPr="004B520E">
        <w:t>outcomes linked to water quality</w:t>
      </w:r>
      <w:r w:rsidR="000E28E7" w:rsidRPr="004B520E">
        <w:t xml:space="preserve">, </w:t>
      </w:r>
      <w:r w:rsidRPr="004B520E">
        <w:t>food webs</w:t>
      </w:r>
      <w:r w:rsidR="00E83DBD" w:rsidRPr="004B520E">
        <w:t xml:space="preserve">, </w:t>
      </w:r>
      <w:r w:rsidRPr="004B520E">
        <w:t>stream metabolism</w:t>
      </w:r>
      <w:r w:rsidR="00E83DBD" w:rsidRPr="004B520E">
        <w:t xml:space="preserve">, </w:t>
      </w:r>
      <w:r w:rsidRPr="004B520E">
        <w:t>productivity and river function</w:t>
      </w:r>
      <w:r w:rsidR="0035012E" w:rsidRPr="004B520E">
        <w:t>.</w:t>
      </w:r>
    </w:p>
    <w:p w14:paraId="22B59759" w14:textId="6D97FBD0" w:rsidR="00FA1510" w:rsidRDefault="005B595B" w:rsidP="00F01345">
      <w:pPr>
        <w:pStyle w:val="BodyText"/>
      </w:pPr>
      <w:r w:rsidRPr="004B520E">
        <w:t>C</w:t>
      </w:r>
      <w:r w:rsidR="00FF18A2" w:rsidRPr="004B520E">
        <w:t xml:space="preserve">hannel and floodplain morphology (both at </w:t>
      </w:r>
      <w:r w:rsidR="00EE5010">
        <w:t>a</w:t>
      </w:r>
      <w:r w:rsidR="00EE5010" w:rsidRPr="004B520E">
        <w:t xml:space="preserve"> </w:t>
      </w:r>
      <w:r w:rsidR="00FF18A2" w:rsidRPr="004B520E">
        <w:t xml:space="preserve">site and immediately upstream) </w:t>
      </w:r>
      <w:r w:rsidR="003E3FE6" w:rsidRPr="004B520E">
        <w:t>should</w:t>
      </w:r>
      <w:r w:rsidRPr="004B520E">
        <w:t xml:space="preserve"> </w:t>
      </w:r>
      <w:r w:rsidR="00FF18A2" w:rsidRPr="004B520E">
        <w:t>be a strong driver of context-dependent metabolic responses to flow. For example, in shallow river channels with low banks, a small increase in flow volume may lead to relatively large increases in inundated surface area. Such increases to wetted area are likely to increase metabolic throughput by creating proportionally larger surface</w:t>
      </w:r>
      <w:r w:rsidR="004D4367" w:rsidRPr="004B520E">
        <w:t>-</w:t>
      </w:r>
      <w:r w:rsidR="00FF18A2" w:rsidRPr="004B520E">
        <w:t>area</w:t>
      </w:r>
      <w:r w:rsidR="004D4367" w:rsidRPr="004B520E">
        <w:t>-</w:t>
      </w:r>
      <w:r w:rsidR="00FF18A2" w:rsidRPr="004B520E">
        <w:t>to</w:t>
      </w:r>
      <w:r w:rsidR="004D4367" w:rsidRPr="004B520E">
        <w:t>-</w:t>
      </w:r>
      <w:r w:rsidR="00FF18A2" w:rsidRPr="004B520E">
        <w:t xml:space="preserve">volume ratios, leading to </w:t>
      </w:r>
      <w:r w:rsidR="00DF1598" w:rsidRPr="004B520E">
        <w:t xml:space="preserve">a larger </w:t>
      </w:r>
      <w:r w:rsidR="00FF18A2" w:rsidRPr="004B520E">
        <w:t xml:space="preserve">photic zone and potential increases in rates of GPP (noting lag times for autotrophic communities to colonise). In such circumstances, there is also a greater likelihood of incorporating more terrestrial organic carbon from litter, also driving up rates of ER. In contrast, even moderate increases in flow volume that occur in river reaches that are deeply incised are likely to lead to only small increases in wetted surface area. Here, </w:t>
      </w:r>
      <w:r w:rsidR="00B44CA5" w:rsidRPr="004B520E">
        <w:t>m</w:t>
      </w:r>
      <w:r w:rsidR="00FF18A2" w:rsidRPr="004B520E">
        <w:t xml:space="preserve">etabolic throughput </w:t>
      </w:r>
      <w:r w:rsidR="00B44CA5" w:rsidRPr="004B520E">
        <w:t xml:space="preserve">would likely </w:t>
      </w:r>
      <w:r w:rsidR="00FF18A2" w:rsidRPr="004B520E">
        <w:t>decrease, since any increases in surface area are likely to be exceeded by dilution and disturbance influences.</w:t>
      </w:r>
    </w:p>
    <w:p w14:paraId="18A7DCD4" w14:textId="44F60D37" w:rsidR="004F0B43" w:rsidRDefault="004F0B43" w:rsidP="004F0B43">
      <w:pPr>
        <w:pStyle w:val="Heading4"/>
      </w:pPr>
      <w:r>
        <w:t>Observations for stream metabolism</w:t>
      </w:r>
      <w:r w:rsidRPr="004B520E">
        <w:t xml:space="preserve"> 20</w:t>
      </w:r>
      <w:r>
        <w:t>14–24</w:t>
      </w:r>
    </w:p>
    <w:p w14:paraId="3EADCF1A" w14:textId="2B2B6EBD" w:rsidR="00C71EC3" w:rsidRPr="004B520E" w:rsidRDefault="00C71EC3" w:rsidP="00C71EC3">
      <w:pPr>
        <w:pStyle w:val="ListBullet"/>
      </w:pPr>
      <w:r w:rsidRPr="004B520E">
        <w:t xml:space="preserve">Rates of GPP and ER across all Selected Areas in the </w:t>
      </w:r>
      <w:r w:rsidR="00244943" w:rsidRPr="004B520E">
        <w:t>2023–24</w:t>
      </w:r>
      <w:r w:rsidRPr="004B520E">
        <w:t xml:space="preserve"> water year were broadly similar and comparable with the previous </w:t>
      </w:r>
      <w:r w:rsidR="009A03C5" w:rsidRPr="004B520E">
        <w:t>9</w:t>
      </w:r>
      <w:r w:rsidR="00D24D54" w:rsidRPr="004B520E">
        <w:t>-</w:t>
      </w:r>
      <w:r w:rsidRPr="004B520E">
        <w:t xml:space="preserve">year record. Over the </w:t>
      </w:r>
      <w:r w:rsidR="009A03C5" w:rsidRPr="004B520E">
        <w:t>10</w:t>
      </w:r>
      <w:r w:rsidRPr="004B520E">
        <w:t xml:space="preserve"> years, riverine ecosystems of the Goulburn</w:t>
      </w:r>
      <w:r w:rsidR="00F0617D">
        <w:t xml:space="preserve"> River</w:t>
      </w:r>
      <w:r w:rsidRPr="004B520E">
        <w:t>, Edward/Kolety–Wakool</w:t>
      </w:r>
      <w:r w:rsidR="00F0617D">
        <w:t xml:space="preserve"> river systems</w:t>
      </w:r>
      <w:r w:rsidRPr="004B520E">
        <w:t>, Lachlan</w:t>
      </w:r>
      <w:r w:rsidR="00F0617D">
        <w:t xml:space="preserve"> River System</w:t>
      </w:r>
      <w:r w:rsidRPr="004B520E">
        <w:t>, Gwydir</w:t>
      </w:r>
      <w:r w:rsidR="00F0617D">
        <w:t xml:space="preserve"> River System</w:t>
      </w:r>
      <w:r w:rsidRPr="004B520E">
        <w:t xml:space="preserve"> and Junction of Warrego and Darling river</w:t>
      </w:r>
      <w:r w:rsidR="00CB02D5" w:rsidRPr="004B520E">
        <w:t>s</w:t>
      </w:r>
      <w:r w:rsidRPr="004B520E">
        <w:t xml:space="preserve"> </w:t>
      </w:r>
      <w:r w:rsidR="00371116">
        <w:t>were predominantly heterotrophic and consuming more carbon than they were producing</w:t>
      </w:r>
      <w:r w:rsidR="00371116" w:rsidRPr="00B5375C">
        <w:t>.</w:t>
      </w:r>
    </w:p>
    <w:p w14:paraId="2CEEEA7E" w14:textId="709B5679" w:rsidR="00C71EC3" w:rsidRPr="004B520E" w:rsidRDefault="00C71EC3" w:rsidP="00C71EC3">
      <w:pPr>
        <w:pStyle w:val="ListBullet"/>
      </w:pPr>
      <w:r w:rsidRPr="004B520E">
        <w:t xml:space="preserve">The Murrumbidgee </w:t>
      </w:r>
      <w:r w:rsidR="006D0FA5" w:rsidRPr="004B520E">
        <w:t>R</w:t>
      </w:r>
      <w:r w:rsidRPr="004B520E">
        <w:t xml:space="preserve">iver </w:t>
      </w:r>
      <w:r w:rsidR="006D0FA5" w:rsidRPr="004B520E">
        <w:t>S</w:t>
      </w:r>
      <w:r w:rsidRPr="004B520E">
        <w:t xml:space="preserve">ystem regularly alternated between heterotrophy and autotrophy over the </w:t>
      </w:r>
      <w:r w:rsidR="009A03C5" w:rsidRPr="004B520E">
        <w:t>10</w:t>
      </w:r>
      <w:r w:rsidR="00BE752C" w:rsidRPr="004B520E">
        <w:t> </w:t>
      </w:r>
      <w:r w:rsidRPr="004B520E">
        <w:t>years, depending on conditions (such as season).</w:t>
      </w:r>
    </w:p>
    <w:p w14:paraId="64A6B9A4" w14:textId="612AACEB" w:rsidR="00C71EC3" w:rsidRPr="004B520E" w:rsidRDefault="00C71EC3" w:rsidP="00C71EC3">
      <w:pPr>
        <w:pStyle w:val="ListBullet"/>
      </w:pPr>
      <w:r w:rsidRPr="004B520E">
        <w:t xml:space="preserve">The Lower Murray River was mostly a net producer of carbon (autotrophic) up to 2021–22, driven by phytoplankton and relatively low turbidity in the slow-flowing channels. However, high flows in 2022 shifted the Lower Murray River into heterotrophy, reflecting a return to a flowing system more closely resembling metabolic patterns at other </w:t>
      </w:r>
      <w:r w:rsidR="003F6F1A">
        <w:t xml:space="preserve">Selected </w:t>
      </w:r>
      <w:r w:rsidRPr="004B520E">
        <w:t>Areas.</w:t>
      </w:r>
      <w:r w:rsidR="009A03C5" w:rsidRPr="004B520E">
        <w:t xml:space="preserve"> </w:t>
      </w:r>
      <w:r w:rsidR="003F6F1A">
        <w:t>In</w:t>
      </w:r>
      <w:r w:rsidR="009A03C5" w:rsidRPr="004B520E">
        <w:t xml:space="preserve"> 2023–24, the Lower Murray River returned to autotrophy, reflecting reduced flows from the previous year.</w:t>
      </w:r>
    </w:p>
    <w:p w14:paraId="68A67B7B" w14:textId="3D3896E0" w:rsidR="00C71EC3" w:rsidRPr="004B520E" w:rsidRDefault="00C71EC3" w:rsidP="00C71EC3">
      <w:pPr>
        <w:pStyle w:val="ListBullet"/>
      </w:pPr>
      <w:r w:rsidRPr="004B520E">
        <w:t xml:space="preserve">Independent of </w:t>
      </w:r>
      <w:r w:rsidR="00CB055B" w:rsidRPr="004B520E">
        <w:t>Commonwealth environmental water</w:t>
      </w:r>
      <w:r w:rsidR="00A07945">
        <w:t>ing</w:t>
      </w:r>
      <w:r w:rsidRPr="004B520E">
        <w:t xml:space="preserve"> actions, rates of GPP are most strongly influenced by seasonal changes (e.g. light</w:t>
      </w:r>
      <w:r w:rsidR="00A07945">
        <w:t>,</w:t>
      </w:r>
      <w:r w:rsidRPr="004B520E">
        <w:t xml:space="preserve"> temperature) and site-specific drivers, such as bioavailable nutrient concentrations and reduced light availability due to turbidity.</w:t>
      </w:r>
    </w:p>
    <w:p w14:paraId="0AFE684A" w14:textId="244A62BA" w:rsidR="00852729" w:rsidRPr="004B520E" w:rsidRDefault="00852729" w:rsidP="00113FC9">
      <w:pPr>
        <w:pStyle w:val="Heading2"/>
      </w:pPr>
      <w:bookmarkStart w:id="522" w:name="_Toc172283437"/>
      <w:bookmarkStart w:id="523" w:name="_Toc172283558"/>
      <w:bookmarkStart w:id="524" w:name="_Toc172283679"/>
      <w:bookmarkStart w:id="525" w:name="_Toc168579881"/>
      <w:bookmarkStart w:id="526" w:name="_Toc172283680"/>
      <w:bookmarkStart w:id="527" w:name="_Toc172290984"/>
      <w:bookmarkStart w:id="528" w:name="_Toc178668883"/>
      <w:bookmarkStart w:id="529" w:name="_Toc200743767"/>
      <w:bookmarkStart w:id="530" w:name="_Toc200743866"/>
      <w:bookmarkStart w:id="531" w:name="_Toc203682280"/>
      <w:bookmarkStart w:id="532" w:name="_Toc204606895"/>
      <w:bookmarkEnd w:id="522"/>
      <w:bookmarkEnd w:id="523"/>
      <w:bookmarkEnd w:id="524"/>
      <w:r w:rsidRPr="004B520E">
        <w:lastRenderedPageBreak/>
        <w:t xml:space="preserve">Water quality outcomes </w:t>
      </w:r>
      <w:r w:rsidR="00244943" w:rsidRPr="004B520E">
        <w:t>2014–24</w:t>
      </w:r>
      <w:bookmarkEnd w:id="525"/>
      <w:bookmarkEnd w:id="526"/>
      <w:bookmarkEnd w:id="527"/>
      <w:bookmarkEnd w:id="528"/>
      <w:bookmarkEnd w:id="529"/>
      <w:bookmarkEnd w:id="530"/>
      <w:bookmarkEnd w:id="531"/>
      <w:bookmarkEnd w:id="532"/>
    </w:p>
    <w:p w14:paraId="14987DD1" w14:textId="121B8B69" w:rsidR="001A2CA7" w:rsidRPr="004B520E" w:rsidRDefault="001A2CA7" w:rsidP="000063A3">
      <w:pPr>
        <w:pStyle w:val="ChapterSignposting"/>
        <w:keepNext/>
      </w:pPr>
      <w:r w:rsidRPr="004B520E">
        <w:t xml:space="preserve">This section presents findings from the Foodwebs and Water Quality evaluation for the </w:t>
      </w:r>
      <w:r w:rsidR="009A03C5" w:rsidRPr="004B520E">
        <w:t>10</w:t>
      </w:r>
      <w:r w:rsidRPr="004B520E">
        <w:t xml:space="preserve"> years from </w:t>
      </w:r>
      <w:r w:rsidR="00244943" w:rsidRPr="004B520E">
        <w:t>2014–24</w:t>
      </w:r>
      <w:r w:rsidR="006D16A1" w:rsidRPr="004B520E">
        <w:t>,</w:t>
      </w:r>
      <w:r w:rsidRPr="004B520E">
        <w:t xml:space="preserve"> presented in full in the </w:t>
      </w:r>
      <w:r w:rsidR="003B3BEC" w:rsidRPr="004B520E">
        <w:t xml:space="preserve">‘Basin-scale evaluation of </w:t>
      </w:r>
      <w:r w:rsidR="00244943" w:rsidRPr="004B520E">
        <w:t>2023–24</w:t>
      </w:r>
      <w:r w:rsidR="003B3BEC" w:rsidRPr="004B520E">
        <w:t xml:space="preserve"> Commonwealth environmental water: Foodwebs and Water Quality’</w:t>
      </w:r>
      <w:r w:rsidR="003B3BEC" w:rsidRPr="004B520E" w:rsidDel="00E96AC8">
        <w:t xml:space="preserve"> </w:t>
      </w:r>
      <w:r w:rsidR="003B3BEC" w:rsidRPr="004B520E">
        <w:t>r</w:t>
      </w:r>
      <w:r w:rsidR="003B3BEC" w:rsidRPr="004B520E">
        <w:rPr>
          <w:iCs/>
          <w:szCs w:val="20"/>
        </w:rPr>
        <w:t xml:space="preserve">eport </w:t>
      </w:r>
      <w:r w:rsidRPr="004B520E">
        <w:t>(</w:t>
      </w:r>
      <w:r w:rsidR="00DD645F" w:rsidRPr="004B520E">
        <w:t xml:space="preserve">accompanying this document and will be available </w:t>
      </w:r>
      <w:r w:rsidR="00452989">
        <w:t>from</w:t>
      </w:r>
      <w:r w:rsidR="00452989" w:rsidRPr="004B520E">
        <w:t xml:space="preserve"> </w:t>
      </w:r>
      <w:r w:rsidR="00452989">
        <w:t>DCCEEW’s</w:t>
      </w:r>
      <w:r w:rsidR="00452989" w:rsidRPr="004B520E">
        <w:t xml:space="preserve"> </w:t>
      </w:r>
      <w:hyperlink r:id="rId77" w:history="1">
        <w:r w:rsidR="00452989" w:rsidRPr="004B520E">
          <w:rPr>
            <w:rStyle w:val="Hyperlink"/>
            <w:rFonts w:cs="Calibri Light"/>
          </w:rPr>
          <w:t>Flow-MER Basin-scale Project publications</w:t>
        </w:r>
      </w:hyperlink>
      <w:r w:rsidR="00452989" w:rsidRPr="004B520E">
        <w:t xml:space="preserve"> </w:t>
      </w:r>
      <w:r w:rsidR="00452989">
        <w:t>web</w:t>
      </w:r>
      <w:r w:rsidR="00452989" w:rsidRPr="004B520E">
        <w:t>page)</w:t>
      </w:r>
      <w:r w:rsidR="004959B9" w:rsidRPr="004B520E">
        <w:t>.</w:t>
      </w:r>
    </w:p>
    <w:p w14:paraId="4DB1EE91" w14:textId="3FAA571E" w:rsidR="0035012E" w:rsidRDefault="00BC7B78" w:rsidP="000063A3">
      <w:pPr>
        <w:pStyle w:val="BodyText"/>
        <w:keepLines/>
      </w:pPr>
      <w:r w:rsidRPr="004B520E">
        <w:t xml:space="preserve">The </w:t>
      </w:r>
      <w:r w:rsidR="00D20537" w:rsidRPr="004B520E">
        <w:t>Basin Plan</w:t>
      </w:r>
      <w:r w:rsidRPr="004B520E">
        <w:t xml:space="preserve"> target for </w:t>
      </w:r>
      <w:r w:rsidR="00DF5D16" w:rsidRPr="004B520E">
        <w:t>dissolved oxygen</w:t>
      </w:r>
      <w:r w:rsidRPr="004B520E">
        <w:t xml:space="preserve"> is to maintain a value of at least 50% saturation, which equates to a </w:t>
      </w:r>
      <w:r w:rsidR="00DF5D16" w:rsidRPr="004B520E">
        <w:t>dissolved oxygen</w:t>
      </w:r>
      <w:r w:rsidRPr="004B520E">
        <w:t xml:space="preserve"> concentration of approximately 4</w:t>
      </w:r>
      <w:r w:rsidR="00903274" w:rsidRPr="004B520E">
        <w:t>–</w:t>
      </w:r>
      <w:r w:rsidR="00EF18BE" w:rsidRPr="004B520E">
        <w:t>5</w:t>
      </w:r>
      <w:r w:rsidRPr="004B520E">
        <w:t xml:space="preserve"> mg/L. </w:t>
      </w:r>
      <w:r w:rsidR="00C4202A" w:rsidRPr="004B520E">
        <w:t xml:space="preserve">When the addition of </w:t>
      </w:r>
      <w:r w:rsidR="00CB055B" w:rsidRPr="004B520E">
        <w:t>Commonwealth environmental water</w:t>
      </w:r>
      <w:r w:rsidR="0069654C" w:rsidRPr="004B520E">
        <w:t xml:space="preserve"> </w:t>
      </w:r>
      <w:r w:rsidR="00C4202A" w:rsidRPr="004B520E">
        <w:t xml:space="preserve">increases mean water velocities above ~0.18 m/s in the Lower Murray River, it can help </w:t>
      </w:r>
      <w:r w:rsidR="00D81625" w:rsidRPr="004B520E">
        <w:t xml:space="preserve">increase </w:t>
      </w:r>
      <w:r w:rsidR="00C4202A" w:rsidRPr="004B520E">
        <w:t xml:space="preserve">dissolved oxygen concentrations. </w:t>
      </w:r>
      <w:r w:rsidR="00DB65DD" w:rsidRPr="004B520E">
        <w:t xml:space="preserve">Under these circumstances, </w:t>
      </w:r>
      <w:r w:rsidR="00CB055B" w:rsidRPr="004B520E">
        <w:t>Commonwealth environmental water</w:t>
      </w:r>
      <w:r w:rsidR="00852729" w:rsidRPr="004B520E">
        <w:t xml:space="preserve"> decrease</w:t>
      </w:r>
      <w:r w:rsidR="00C4202A" w:rsidRPr="004B520E">
        <w:t>s</w:t>
      </w:r>
      <w:r w:rsidR="00852729" w:rsidRPr="004B520E">
        <w:t xml:space="preserve"> the likelihood of low </w:t>
      </w:r>
      <w:r w:rsidR="00DF5D16" w:rsidRPr="004B520E">
        <w:t>dissolved oxygen</w:t>
      </w:r>
      <w:r w:rsidR="00852729" w:rsidRPr="004B520E">
        <w:t xml:space="preserve"> by increasing water mixing and oxygen exchange at the surface.</w:t>
      </w:r>
      <w:r w:rsidR="00DB65DD" w:rsidRPr="004B520E">
        <w:t xml:space="preserve"> </w:t>
      </w:r>
      <w:r w:rsidR="00CB055B" w:rsidRPr="004B520E">
        <w:t>Commonwealth environmental water</w:t>
      </w:r>
      <w:r w:rsidR="00115140" w:rsidRPr="004B520E">
        <w:t xml:space="preserve"> is most important for decreasing the likelihood of low dissolved oxygen during years with low base flows</w:t>
      </w:r>
      <w:r w:rsidR="0035012E" w:rsidRPr="004B520E">
        <w:t>.</w:t>
      </w:r>
    </w:p>
    <w:p w14:paraId="79A260C5" w14:textId="52EC375F" w:rsidR="004F0B43" w:rsidRDefault="004F0B43" w:rsidP="004F0B43">
      <w:pPr>
        <w:pStyle w:val="Heading4"/>
      </w:pPr>
      <w:r>
        <w:t xml:space="preserve">Observations for water quality </w:t>
      </w:r>
      <w:r w:rsidRPr="004B520E">
        <w:t>20</w:t>
      </w:r>
      <w:r>
        <w:t>14–24</w:t>
      </w:r>
    </w:p>
    <w:p w14:paraId="1461AE9B" w14:textId="733004F0" w:rsidR="00630E70" w:rsidRPr="004B520E" w:rsidRDefault="00630E70" w:rsidP="00790F33">
      <w:pPr>
        <w:pStyle w:val="BodyText"/>
      </w:pPr>
      <w:r w:rsidRPr="004B520E">
        <w:t xml:space="preserve">In </w:t>
      </w:r>
      <w:r w:rsidR="00244943" w:rsidRPr="004B520E">
        <w:t>2014–24</w:t>
      </w:r>
      <w:r w:rsidRPr="004B520E">
        <w:t xml:space="preserve">, </w:t>
      </w:r>
      <w:r w:rsidR="00CB055B" w:rsidRPr="004B520E">
        <w:t>Commonwealth environmental water</w:t>
      </w:r>
      <w:r w:rsidRPr="004B520E">
        <w:t xml:space="preserve"> decreased the likelihood of low </w:t>
      </w:r>
      <w:r w:rsidR="00211202" w:rsidRPr="004B520E">
        <w:t>dissolved oxygen</w:t>
      </w:r>
      <w:r w:rsidRPr="004B520E">
        <w:t xml:space="preserve"> in the Lower Murray River by </w:t>
      </w:r>
      <w:r w:rsidR="00610470" w:rsidRPr="004B520E">
        <w:t xml:space="preserve">contributing to </w:t>
      </w:r>
      <w:r w:rsidRPr="004B520E">
        <w:t xml:space="preserve">maintaining flow velocities above </w:t>
      </w:r>
      <w:r w:rsidR="0029581F" w:rsidRPr="004B520E">
        <w:t xml:space="preserve">the </w:t>
      </w:r>
      <w:r w:rsidRPr="004B520E">
        <w:t>0.18 m/s</w:t>
      </w:r>
      <w:r w:rsidR="0029581F" w:rsidRPr="004B520E">
        <w:t xml:space="preserve"> threshold</w:t>
      </w:r>
      <w:r w:rsidRPr="004B520E">
        <w:t xml:space="preserve">. In </w:t>
      </w:r>
      <w:r w:rsidR="00244943" w:rsidRPr="004B520E">
        <w:t>2023–24</w:t>
      </w:r>
      <w:r w:rsidRPr="004B520E">
        <w:t>, natural flows were above 0.4 m/s</w:t>
      </w:r>
      <w:r w:rsidR="0029581F" w:rsidRPr="004B520E">
        <w:t>,</w:t>
      </w:r>
      <w:r w:rsidRPr="004B520E">
        <w:t xml:space="preserve"> and oxygen exchange was naturally higher</w:t>
      </w:r>
      <w:r w:rsidR="00495E02" w:rsidRPr="004B520E">
        <w:t>.</w:t>
      </w:r>
      <w:r w:rsidRPr="004B520E">
        <w:t xml:space="preserve"> </w:t>
      </w:r>
      <w:r w:rsidR="00495E02" w:rsidRPr="004B520E">
        <w:t>E</w:t>
      </w:r>
      <w:r w:rsidRPr="004B520E">
        <w:t>nvironmental water did not contribute to gas exchange under these conditions.</w:t>
      </w:r>
    </w:p>
    <w:p w14:paraId="3E1A086B" w14:textId="0E148CDC" w:rsidR="0035012E" w:rsidRPr="004B520E" w:rsidRDefault="00BC7B78" w:rsidP="00A06FEB">
      <w:pPr>
        <w:pStyle w:val="BodyText"/>
      </w:pPr>
      <w:r w:rsidRPr="004B520E">
        <w:t>The Basin Plan salt</w:t>
      </w:r>
      <w:r w:rsidR="00D86097" w:rsidRPr="004B520E">
        <w:t>-</w:t>
      </w:r>
      <w:r w:rsidRPr="004B520E">
        <w:t>export objective (</w:t>
      </w:r>
      <w:r w:rsidR="00960165" w:rsidRPr="004B520E">
        <w:t xml:space="preserve">section </w:t>
      </w:r>
      <w:r w:rsidRPr="004B520E">
        <w:t>9.09) aims to ensure adequate removal of salt from the Murray River system into the Southern Ocean</w:t>
      </w:r>
      <w:r w:rsidR="00D7144B" w:rsidRPr="004B520E">
        <w:t>.</w:t>
      </w:r>
      <w:r w:rsidRPr="004B520E">
        <w:t xml:space="preserve"> </w:t>
      </w:r>
      <w:r w:rsidR="00D7144B" w:rsidRPr="004B520E">
        <w:t xml:space="preserve">It </w:t>
      </w:r>
      <w:r w:rsidRPr="004B520E">
        <w:t>has been set at 2 million tonnes per year</w:t>
      </w:r>
      <w:r w:rsidR="0035012E" w:rsidRPr="004B520E">
        <w:t>.</w:t>
      </w:r>
    </w:p>
    <w:p w14:paraId="696E09A2" w14:textId="402A6621" w:rsidR="00C4202A" w:rsidRPr="004B520E" w:rsidRDefault="000D7CD7" w:rsidP="00A06FEB">
      <w:pPr>
        <w:pStyle w:val="BodyText"/>
      </w:pPr>
      <w:r w:rsidRPr="004B520E">
        <w:t>In low</w:t>
      </w:r>
      <w:r w:rsidR="00316C89">
        <w:t xml:space="preserve"> </w:t>
      </w:r>
      <w:r w:rsidRPr="004B520E">
        <w:t xml:space="preserve">flow years, </w:t>
      </w:r>
      <w:r w:rsidR="00CB055B" w:rsidRPr="004B520E">
        <w:t>Commonwealth environmental water</w:t>
      </w:r>
      <w:r w:rsidRPr="004B520E">
        <w:t xml:space="preserve"> has become increasingly important for sustaining salt export from the Basin and limiting salt import to the Coorong.</w:t>
      </w:r>
      <w:r w:rsidR="00115140" w:rsidRPr="004B520E">
        <w:t xml:space="preserve"> </w:t>
      </w:r>
      <w:r w:rsidR="00C4202A" w:rsidRPr="004B520E">
        <w:t>Since 2014–15</w:t>
      </w:r>
      <w:r w:rsidR="0011015D" w:rsidRPr="004B520E">
        <w:t>,</w:t>
      </w:r>
      <w:r w:rsidR="00C4202A" w:rsidRPr="004B520E">
        <w:t xml:space="preserve"> </w:t>
      </w:r>
      <w:r w:rsidR="00CB055B" w:rsidRPr="004B520E">
        <w:t>Commonwealth environmental water</w:t>
      </w:r>
      <w:r w:rsidR="00C4202A" w:rsidRPr="004B520E">
        <w:t xml:space="preserve"> has been responsible for an additional </w:t>
      </w:r>
      <w:r w:rsidR="00DF1598" w:rsidRPr="004B520E">
        <w:t>4</w:t>
      </w:r>
      <w:r w:rsidR="00321CE7">
        <w:t>.4</w:t>
      </w:r>
      <w:r w:rsidR="00C4202A" w:rsidRPr="004B520E">
        <w:t xml:space="preserve"> million tonnes of salt exported through the barrages (</w:t>
      </w:r>
      <w:r w:rsidR="006743EF" w:rsidRPr="0099033C">
        <w:fldChar w:fldCharType="begin"/>
      </w:r>
      <w:r w:rsidR="006743EF" w:rsidRPr="0099033C">
        <w:instrText xml:space="preserve"> REF _Ref172303228 \h </w:instrText>
      </w:r>
      <w:r w:rsidR="0099033C">
        <w:instrText xml:space="preserve"> \* MERGEFORMAT </w:instrText>
      </w:r>
      <w:r w:rsidR="006743EF" w:rsidRPr="0099033C">
        <w:fldChar w:fldCharType="separate"/>
      </w:r>
      <w:r w:rsidR="00C43C1D" w:rsidRPr="005821CB">
        <w:t>Figure </w:t>
      </w:r>
      <w:r w:rsidR="00C43C1D">
        <w:t>4</w:t>
      </w:r>
      <w:r w:rsidR="00C43C1D" w:rsidRPr="005821CB">
        <w:t>.</w:t>
      </w:r>
      <w:r w:rsidR="00C43C1D">
        <w:t>4</w:t>
      </w:r>
      <w:r w:rsidR="006743EF" w:rsidRPr="0099033C">
        <w:fldChar w:fldCharType="end"/>
      </w:r>
      <w:r w:rsidR="00C4202A" w:rsidRPr="004B520E">
        <w:t xml:space="preserve">). While </w:t>
      </w:r>
      <w:r w:rsidR="00CB055B" w:rsidRPr="004B520E">
        <w:t>Commonwealth environmental water</w:t>
      </w:r>
      <w:r w:rsidR="0069654C" w:rsidRPr="004B520E">
        <w:t xml:space="preserve"> </w:t>
      </w:r>
      <w:r w:rsidR="00C4202A" w:rsidRPr="004B520E">
        <w:t>has played a key role in salt export from the Basin, salt export remains below the Basin Plan target</w:t>
      </w:r>
      <w:r w:rsidR="00A21F67">
        <w:t xml:space="preserve"> –</w:t>
      </w:r>
      <w:r w:rsidR="00CF03A1" w:rsidRPr="004B520E">
        <w:t xml:space="preserve"> t</w:t>
      </w:r>
      <w:r w:rsidR="00C4202A" w:rsidRPr="004B520E">
        <w:t xml:space="preserve">he greatest export </w:t>
      </w:r>
      <w:r w:rsidR="00CF03A1" w:rsidRPr="004B520E">
        <w:t xml:space="preserve">of 1.07 million tonnes </w:t>
      </w:r>
      <w:r w:rsidR="00C4202A" w:rsidRPr="004B520E">
        <w:t>occurr</w:t>
      </w:r>
      <w:r w:rsidR="00A21F67">
        <w:t>ed</w:t>
      </w:r>
      <w:r w:rsidR="00C4202A" w:rsidRPr="004B520E">
        <w:t xml:space="preserve"> i</w:t>
      </w:r>
      <w:r w:rsidR="00BC7B78" w:rsidRPr="004B520E">
        <w:t>n 20</w:t>
      </w:r>
      <w:r w:rsidR="00C4202A" w:rsidRPr="004B520E">
        <w:t>20–21.</w:t>
      </w:r>
      <w:r w:rsidR="00115140" w:rsidRPr="004B520E">
        <w:t xml:space="preserve"> </w:t>
      </w:r>
      <w:r w:rsidR="00CB055B" w:rsidRPr="004B520E">
        <w:t>Commonwealth environmental water</w:t>
      </w:r>
      <w:r w:rsidR="0069654C" w:rsidRPr="004B520E">
        <w:t xml:space="preserve"> </w:t>
      </w:r>
      <w:r w:rsidR="00C4202A" w:rsidRPr="004B520E">
        <w:t xml:space="preserve">contributed to maintenance of river salinity </w:t>
      </w:r>
      <w:r w:rsidR="000835C3" w:rsidRPr="004B520E">
        <w:t xml:space="preserve">(electrical conductivity) </w:t>
      </w:r>
      <w:r w:rsidR="00C4202A" w:rsidRPr="004B520E">
        <w:t>below 800 </w:t>
      </w:r>
      <w:r w:rsidR="000835C3" w:rsidRPr="004B520E">
        <w:t xml:space="preserve">µS/cm </w:t>
      </w:r>
      <w:r w:rsidR="00C4202A" w:rsidRPr="004B520E">
        <w:t xml:space="preserve">at Morgan over the </w:t>
      </w:r>
      <w:r w:rsidR="00244943" w:rsidRPr="004B520E">
        <w:t>2014–24</w:t>
      </w:r>
      <w:r w:rsidR="00C4202A" w:rsidRPr="004B520E">
        <w:t xml:space="preserve"> period. Salinity was maintained within the range required for potable water in the Murray River in </w:t>
      </w:r>
      <w:r w:rsidR="00244943" w:rsidRPr="004B520E">
        <w:t>2014–24</w:t>
      </w:r>
      <w:r w:rsidR="00C4202A" w:rsidRPr="004B520E">
        <w:t xml:space="preserve">, </w:t>
      </w:r>
      <w:r w:rsidR="00A21F67">
        <w:t>and</w:t>
      </w:r>
      <w:r w:rsidR="00A21F67" w:rsidRPr="004B520E">
        <w:t xml:space="preserve"> </w:t>
      </w:r>
      <w:r w:rsidR="00C4202A" w:rsidRPr="004B520E">
        <w:t>water</w:t>
      </w:r>
      <w:r w:rsidR="00A21F67">
        <w:t xml:space="preserve"> was</w:t>
      </w:r>
      <w:r w:rsidR="00C4202A" w:rsidRPr="004B520E">
        <w:t xml:space="preserve"> about 10% fresher due to environmental flows.</w:t>
      </w:r>
    </w:p>
    <w:p w14:paraId="24F8F19A" w14:textId="2E8DFDBB" w:rsidR="00E72A48" w:rsidRDefault="00E23B26" w:rsidP="00E23B26">
      <w:pPr>
        <w:pStyle w:val="Boxedheadingblue"/>
      </w:pPr>
      <w:bookmarkStart w:id="533" w:name="_Toc168579882"/>
      <w:bookmarkStart w:id="534" w:name="_Toc172283681"/>
      <w:bookmarkStart w:id="535" w:name="_Toc172290985"/>
      <w:bookmarkStart w:id="536" w:name="_Toc178668884"/>
      <w:r w:rsidRPr="004B520E">
        <w:t>Basin plan objectives for water quality</w:t>
      </w:r>
      <w:bookmarkStart w:id="537" w:name="_Hlk103606700"/>
      <w:bookmarkEnd w:id="533"/>
      <w:bookmarkEnd w:id="534"/>
      <w:bookmarkEnd w:id="535"/>
      <w:bookmarkEnd w:id="536"/>
    </w:p>
    <w:p w14:paraId="1A8C9373" w14:textId="604C020D" w:rsidR="00837236" w:rsidRPr="004B520E" w:rsidRDefault="00E23B26" w:rsidP="00E23B26">
      <w:pPr>
        <w:pStyle w:val="ListBullet"/>
        <w:ind w:left="284" w:hanging="142"/>
      </w:pPr>
      <w:r w:rsidRPr="004B520E">
        <w:rPr>
          <w:rStyle w:val="Bold"/>
        </w:rPr>
        <w:t>Section 9.08.</w:t>
      </w:r>
      <w:r w:rsidRPr="004B520E">
        <w:t xml:space="preserve"> </w:t>
      </w:r>
      <w:bookmarkEnd w:id="537"/>
      <w:r w:rsidRPr="004B520E">
        <w:t xml:space="preserve">There is strong evidence that Commonwealth environmental water played an important role in maintaining water quality during </w:t>
      </w:r>
      <w:r w:rsidR="00244943" w:rsidRPr="004B520E">
        <w:t>2014–24</w:t>
      </w:r>
      <w:r w:rsidRPr="004B520E">
        <w:t>. For example, Commonwealth and other environmental water was used in 2016 to ameliorate anoxic conditions and improve water quality</w:t>
      </w:r>
      <w:r w:rsidR="00837236" w:rsidRPr="004B520E">
        <w:t>.</w:t>
      </w:r>
    </w:p>
    <w:p w14:paraId="7F0D15C6" w14:textId="6549F235" w:rsidR="00E23B26" w:rsidRPr="004B520E" w:rsidRDefault="00E23B26" w:rsidP="00E23B26">
      <w:pPr>
        <w:pStyle w:val="ListBullet"/>
        <w:ind w:left="284" w:hanging="142"/>
      </w:pPr>
      <w:r w:rsidRPr="004B520E">
        <w:rPr>
          <w:rStyle w:val="Bold"/>
        </w:rPr>
        <w:t>Section 9.09</w:t>
      </w:r>
      <w:r w:rsidRPr="004B520E">
        <w:t xml:space="preserve">. Since 2014, Commonwealth environmental water exported over 4 million tonnes of salt through the barrages (~22% of the Basin Plan target) and reduced salt import by </w:t>
      </w:r>
      <w:r w:rsidR="009A03C5" w:rsidRPr="004B520E">
        <w:t xml:space="preserve">over </w:t>
      </w:r>
      <w:r w:rsidRPr="004B520E">
        <w:t>2</w:t>
      </w:r>
      <w:r w:rsidR="009A03C5" w:rsidRPr="004B520E">
        <w:t>8</w:t>
      </w:r>
      <w:r w:rsidRPr="004B520E">
        <w:t xml:space="preserve"> million tonnes.</w:t>
      </w:r>
    </w:p>
    <w:p w14:paraId="1E016CF5" w14:textId="3650962F" w:rsidR="00837236" w:rsidRPr="004B520E" w:rsidRDefault="00E23B26" w:rsidP="00E23B26">
      <w:pPr>
        <w:pStyle w:val="ListBullet"/>
        <w:ind w:left="284" w:hanging="142"/>
      </w:pPr>
      <w:r w:rsidRPr="004B520E">
        <w:rPr>
          <w:rStyle w:val="Bold"/>
        </w:rPr>
        <w:t>Paragraph 9.14(5)(a).</w:t>
      </w:r>
      <w:r w:rsidRPr="004B520E">
        <w:t xml:space="preserve"> Where Commonwealth environmental water increased mean water velocities above ~0.18 m/s in the Lower Murray River, it contributed to lower dissolved oxygen concentrations</w:t>
      </w:r>
      <w:r w:rsidR="00837236" w:rsidRPr="004B520E">
        <w:t>.</w:t>
      </w:r>
    </w:p>
    <w:p w14:paraId="622916F5" w14:textId="5B229AC4" w:rsidR="00E23B26" w:rsidRPr="004B520E" w:rsidRDefault="00E23B26" w:rsidP="00E23B26">
      <w:pPr>
        <w:pStyle w:val="ListBullet"/>
        <w:ind w:left="284" w:hanging="142"/>
      </w:pPr>
      <w:r w:rsidRPr="004B520E">
        <w:rPr>
          <w:rStyle w:val="Bold"/>
        </w:rPr>
        <w:t>Paragraph 9.14(5)(c)</w:t>
      </w:r>
      <w:r w:rsidRPr="004B520E">
        <w:t xml:space="preserve">. During </w:t>
      </w:r>
      <w:r w:rsidR="00244943" w:rsidRPr="004B520E">
        <w:t>2014–24</w:t>
      </w:r>
      <w:r w:rsidRPr="004B520E">
        <w:t>, Commonwealth environmental water contributed to maintaining river salinity below the 800 µS/cm target at Morgan and maintaining salinity within the range for potable water in the Murray River, averaging around 10% fresher due to environmental flows.</w:t>
      </w:r>
    </w:p>
    <w:p w14:paraId="6155F1E1" w14:textId="4D99CBDE" w:rsidR="0059775D" w:rsidRPr="005821CB" w:rsidRDefault="0028685E" w:rsidP="000B73AA">
      <w:pPr>
        <w:pStyle w:val="CaptionWithNote"/>
      </w:pPr>
      <w:bookmarkStart w:id="538" w:name="_Ref172303228"/>
      <w:bookmarkStart w:id="539" w:name="_Toc206528496"/>
      <w:r w:rsidRPr="005821CB">
        <w:lastRenderedPageBreak/>
        <w:t>Figure</w:t>
      </w:r>
      <w:r w:rsidR="0029581F" w:rsidRPr="005821CB">
        <w:t> </w:t>
      </w:r>
      <w:bookmarkStart w:id="540" w:name="_Toc105688391"/>
      <w:r w:rsidR="00C4202A" w:rsidRPr="005821CB">
        <w:fldChar w:fldCharType="begin"/>
      </w:r>
      <w:r w:rsidR="00C4202A" w:rsidRPr="005821CB">
        <w:instrText>STYLEREF 1 \s</w:instrText>
      </w:r>
      <w:r w:rsidR="00C4202A" w:rsidRPr="005821CB">
        <w:fldChar w:fldCharType="separate"/>
      </w:r>
      <w:r w:rsidR="00C43C1D">
        <w:rPr>
          <w:noProof/>
        </w:rPr>
        <w:t>4</w:t>
      </w:r>
      <w:r w:rsidR="00C4202A" w:rsidRPr="005821CB">
        <w:fldChar w:fldCharType="end"/>
      </w:r>
      <w:r w:rsidR="000E33F7" w:rsidRPr="005821CB">
        <w:t>.</w:t>
      </w:r>
      <w:r>
        <w:fldChar w:fldCharType="begin"/>
      </w:r>
      <w:r>
        <w:instrText>SEQ Figure \* ARABIC \s 1</w:instrText>
      </w:r>
      <w:r>
        <w:fldChar w:fldCharType="separate"/>
      </w:r>
      <w:r w:rsidR="00C43C1D">
        <w:rPr>
          <w:noProof/>
        </w:rPr>
        <w:t>4</w:t>
      </w:r>
      <w:r>
        <w:fldChar w:fldCharType="end"/>
      </w:r>
      <w:bookmarkEnd w:id="538"/>
      <w:r w:rsidRPr="005821CB">
        <w:t xml:space="preserve"> </w:t>
      </w:r>
      <w:bookmarkStart w:id="541" w:name="_Toc172291861"/>
      <w:r w:rsidR="00DB7EFC" w:rsidRPr="005821CB">
        <w:t>M</w:t>
      </w:r>
      <w:r w:rsidR="00C4202A" w:rsidRPr="005821CB">
        <w:t xml:space="preserve">odelled additional salt export </w:t>
      </w:r>
      <w:r w:rsidR="009F1CCC" w:rsidRPr="005821CB">
        <w:t xml:space="preserve">and reduced salt import </w:t>
      </w:r>
      <w:r w:rsidR="00C4202A" w:rsidRPr="005821CB">
        <w:t>due to Commonwealth environmental water</w:t>
      </w:r>
      <w:r w:rsidR="00DB7EFC" w:rsidRPr="005821CB">
        <w:t xml:space="preserve">, </w:t>
      </w:r>
      <w:r w:rsidR="00244943" w:rsidRPr="005821CB">
        <w:t>2014–24</w:t>
      </w:r>
      <w:bookmarkEnd w:id="539"/>
    </w:p>
    <w:p w14:paraId="4C7FC1E9" w14:textId="4EF30481" w:rsidR="00C4202A" w:rsidRPr="004B520E" w:rsidRDefault="009F1CCC" w:rsidP="000B73AA">
      <w:pPr>
        <w:pStyle w:val="CaptionNote"/>
      </w:pPr>
      <w:r w:rsidRPr="005821CB">
        <w:t xml:space="preserve">Measures </w:t>
      </w:r>
      <w:r w:rsidR="00C44D05" w:rsidRPr="005821CB">
        <w:t xml:space="preserve">are in thousands of tonnes and </w:t>
      </w:r>
      <w:r w:rsidR="0099033C" w:rsidRPr="005821CB">
        <w:t>represent</w:t>
      </w:r>
      <w:r w:rsidR="008E28EB" w:rsidRPr="005821CB">
        <w:t xml:space="preserve"> the</w:t>
      </w:r>
      <w:r w:rsidRPr="005821CB">
        <w:t xml:space="preserve"> salt export t</w:t>
      </w:r>
      <w:r w:rsidR="00853EAE" w:rsidRPr="005821CB">
        <w:t>h</w:t>
      </w:r>
      <w:r w:rsidR="00C4202A" w:rsidRPr="005821CB">
        <w:t xml:space="preserve">rough the barrages to the Coorong estuary and reduction in import of salt through the Murray Mouth into the Coorong from the Southern Ocean </w:t>
      </w:r>
      <w:r w:rsidR="008E28EB" w:rsidRPr="005821CB">
        <w:t xml:space="preserve">that is </w:t>
      </w:r>
      <w:r w:rsidR="00C4202A" w:rsidRPr="005821CB">
        <w:t xml:space="preserve">attributable to </w:t>
      </w:r>
      <w:bookmarkEnd w:id="540"/>
      <w:r w:rsidR="00CB055B" w:rsidRPr="005821CB">
        <w:t>Commonwealth environmental water</w:t>
      </w:r>
      <w:r w:rsidR="00C44D05" w:rsidRPr="005821CB">
        <w:t xml:space="preserve"> (CEW)</w:t>
      </w:r>
      <w:r w:rsidR="00F81CF2" w:rsidRPr="005821CB">
        <w:t>.</w:t>
      </w:r>
      <w:r w:rsidR="00CB055B" w:rsidRPr="005821CB">
        <w:t xml:space="preserve"> Source: Ye et al. 202</w:t>
      </w:r>
      <w:r w:rsidR="000373AC">
        <w:t>5</w:t>
      </w:r>
      <w:r w:rsidR="00F81CF2" w:rsidRPr="005821CB">
        <w:t>.</w:t>
      </w:r>
      <w:bookmarkEnd w:id="541"/>
    </w:p>
    <w:p w14:paraId="1BC62C40" w14:textId="77777777" w:rsidR="00255C5B" w:rsidRPr="004B520E" w:rsidRDefault="00255C5B" w:rsidP="000B73AA">
      <w:pPr>
        <w:pStyle w:val="Figure"/>
      </w:pPr>
      <w:bookmarkStart w:id="542" w:name="_Toc168579883"/>
      <w:bookmarkStart w:id="543" w:name="_Toc172283682"/>
      <w:bookmarkStart w:id="544" w:name="_Toc172290986"/>
      <w:bookmarkStart w:id="545" w:name="_Toc178668885"/>
      <w:r w:rsidRPr="004B520E">
        <w:rPr>
          <w:noProof/>
        </w:rPr>
        <w:drawing>
          <wp:inline distT="0" distB="0" distL="0" distR="0" wp14:anchorId="47BE85B6" wp14:editId="43AAED58">
            <wp:extent cx="3958094" cy="3134877"/>
            <wp:effectExtent l="0" t="0" r="4445" b="8890"/>
            <wp:docPr id="1760131125" name="Picture 18"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31125" name="Picture 18" descr="Due to the complexity of this graph / chart / figure and the niche scientific target audience, no alternative description has been provided. Please email the CEWH Environmental Water Science Section at CEWHscience@dcceew.gov.au for an alternative description."/>
                    <pic:cNvPicPr>
                      <a:picLocks noChangeAspect="1" noChangeArrowheads="1"/>
                    </pic:cNvPicPr>
                  </pic:nvPicPr>
                  <pic:blipFill>
                    <a:blip r:embed="rId78"/>
                    <a:stretch>
                      <a:fillRect/>
                    </a:stretch>
                  </pic:blipFill>
                  <pic:spPr bwMode="auto">
                    <a:xfrm>
                      <a:off x="0" y="0"/>
                      <a:ext cx="3958094" cy="3134877"/>
                    </a:xfrm>
                    <a:prstGeom prst="rect">
                      <a:avLst/>
                    </a:prstGeom>
                    <a:noFill/>
                    <a:ln>
                      <a:noFill/>
                    </a:ln>
                  </pic:spPr>
                </pic:pic>
              </a:graphicData>
            </a:graphic>
          </wp:inline>
        </w:drawing>
      </w:r>
    </w:p>
    <w:p w14:paraId="6F6FD93E" w14:textId="6E35C530" w:rsidR="00853466" w:rsidRPr="004B520E" w:rsidRDefault="00853466" w:rsidP="00113FC9">
      <w:pPr>
        <w:pStyle w:val="Heading2"/>
      </w:pPr>
      <w:bookmarkStart w:id="546" w:name="_Toc200743768"/>
      <w:bookmarkStart w:id="547" w:name="_Toc200743867"/>
      <w:bookmarkStart w:id="548" w:name="_Toc203682281"/>
      <w:bookmarkStart w:id="549" w:name="_Toc204606896"/>
      <w:r w:rsidRPr="004B520E">
        <w:t xml:space="preserve">Resilience outcomes </w:t>
      </w:r>
      <w:r w:rsidR="00244943" w:rsidRPr="004B520E">
        <w:t>2014–24</w:t>
      </w:r>
      <w:bookmarkEnd w:id="542"/>
      <w:bookmarkEnd w:id="543"/>
      <w:bookmarkEnd w:id="544"/>
      <w:bookmarkEnd w:id="545"/>
      <w:bookmarkEnd w:id="546"/>
      <w:bookmarkEnd w:id="547"/>
      <w:bookmarkEnd w:id="548"/>
      <w:bookmarkEnd w:id="549"/>
    </w:p>
    <w:p w14:paraId="282DDA7C" w14:textId="6ECBB3E4" w:rsidR="00D05A46" w:rsidRPr="004B520E" w:rsidRDefault="00D05A46" w:rsidP="00532CD8">
      <w:pPr>
        <w:pStyle w:val="Boxedheadingblue"/>
        <w:rPr>
          <w:rStyle w:val="Italics"/>
          <w:i w:val="0"/>
        </w:rPr>
      </w:pPr>
      <w:bookmarkStart w:id="550" w:name="_Toc178668886"/>
      <w:r w:rsidRPr="004B520E">
        <w:t>What does the evaluation show in relation to re</w:t>
      </w:r>
      <w:r w:rsidR="6901E551" w:rsidRPr="004B520E">
        <w:t>silien</w:t>
      </w:r>
      <w:r w:rsidRPr="004B520E">
        <w:t>ce to climate change and other risks and threats?</w:t>
      </w:r>
      <w:bookmarkEnd w:id="550"/>
    </w:p>
    <w:p w14:paraId="6F57B799" w14:textId="1C9A232C" w:rsidR="00853466" w:rsidRPr="004B520E" w:rsidRDefault="7543AF99" w:rsidP="009724CC">
      <w:pPr>
        <w:pStyle w:val="ListBullet"/>
      </w:pPr>
      <w:r w:rsidRPr="004B520E">
        <w:t>Maintaining refugia is a key component of managing for resilience at landscape levels</w:t>
      </w:r>
      <w:r w:rsidR="00C714E8" w:rsidRPr="004B520E">
        <w:t>.</w:t>
      </w:r>
    </w:p>
    <w:p w14:paraId="7ED901AE" w14:textId="41D64432" w:rsidR="00853466" w:rsidRPr="004B520E" w:rsidRDefault="2815932D" w:rsidP="00D358F7">
      <w:pPr>
        <w:pStyle w:val="ListBullet2"/>
      </w:pPr>
      <w:r w:rsidRPr="004B520E">
        <w:t xml:space="preserve">An objective of the Basin Plan is to protect refugia </w:t>
      </w:r>
      <w:r w:rsidR="005E1F68" w:rsidRPr="004B520E">
        <w:t>to</w:t>
      </w:r>
      <w:r w:rsidRPr="004B520E">
        <w:t xml:space="preserve"> support the long-term survival and resilience of water-dependent populations of native flora and fauna, including during drought</w:t>
      </w:r>
      <w:r w:rsidR="002E7036" w:rsidRPr="004B520E">
        <w:t>,</w:t>
      </w:r>
      <w:r w:rsidRPr="004B520E">
        <w:t xml:space="preserve"> to allow for subsequent re-colonisation beyond the refugia</w:t>
      </w:r>
      <w:r w:rsidR="00BE76D3" w:rsidRPr="004B520E">
        <w:t>.</w:t>
      </w:r>
    </w:p>
    <w:p w14:paraId="1E063DED" w14:textId="62517084" w:rsidR="00853466" w:rsidRPr="004B520E" w:rsidRDefault="303C0D20" w:rsidP="00D358F7">
      <w:pPr>
        <w:pStyle w:val="ListBullet2"/>
      </w:pPr>
      <w:r w:rsidRPr="004B520E">
        <w:t>R</w:t>
      </w:r>
      <w:r w:rsidR="35C022D4" w:rsidRPr="004B520E">
        <w:t xml:space="preserve">efuge </w:t>
      </w:r>
      <w:r w:rsidR="008F5E01" w:rsidRPr="004B520E">
        <w:t xml:space="preserve">connecting or maintenance flows </w:t>
      </w:r>
      <w:r w:rsidR="35C022D4" w:rsidRPr="004B520E">
        <w:t>are delivered in</w:t>
      </w:r>
      <w:r w:rsidR="00061D76">
        <w:t>stream</w:t>
      </w:r>
      <w:r w:rsidR="00061D76" w:rsidRPr="004B520E">
        <w:t xml:space="preserve"> </w:t>
      </w:r>
      <w:r w:rsidR="35C022D4" w:rsidRPr="004B520E">
        <w:t>as freshes and base</w:t>
      </w:r>
      <w:r w:rsidR="00D77BAB" w:rsidRPr="004B520E">
        <w:t xml:space="preserve"> </w:t>
      </w:r>
      <w:r w:rsidR="35C022D4" w:rsidRPr="004B520E">
        <w:t>flows or to critical wetland habitats as overbank flows (including targeted delivery of water via pumping and regulator diversions). The mainten</w:t>
      </w:r>
      <w:r w:rsidR="1E1C87A2" w:rsidRPr="004B520E">
        <w:t>an</w:t>
      </w:r>
      <w:r w:rsidR="35C022D4" w:rsidRPr="004B520E">
        <w:t>ce of refug</w:t>
      </w:r>
      <w:r w:rsidR="00810786" w:rsidRPr="004B520E">
        <w:t>ial</w:t>
      </w:r>
      <w:r w:rsidR="35C022D4" w:rsidRPr="004B520E">
        <w:t xml:space="preserve"> habitat for the southern bell frog and associated wetland species is a key objective for </w:t>
      </w:r>
      <w:r w:rsidR="00605206" w:rsidRPr="004B520E">
        <w:t>Commonwealth environmental water</w:t>
      </w:r>
      <w:r w:rsidR="0069654C" w:rsidRPr="004B520E">
        <w:t xml:space="preserve"> </w:t>
      </w:r>
      <w:r w:rsidR="35C022D4" w:rsidRPr="004B520E">
        <w:t>in the Murrumbidgee</w:t>
      </w:r>
      <w:r w:rsidR="009D16F4" w:rsidRPr="004B520E">
        <w:t xml:space="preserve"> River System</w:t>
      </w:r>
      <w:r w:rsidR="35C022D4" w:rsidRPr="004B520E">
        <w:t xml:space="preserve">, particularly during dry years. These actions support the survival of frogs, native fish and turtles and provide foraging opportunities for waterbirds during dry </w:t>
      </w:r>
      <w:r w:rsidR="002B3B5C" w:rsidRPr="004B520E">
        <w:t>periods.</w:t>
      </w:r>
    </w:p>
    <w:p w14:paraId="64FC532B" w14:textId="370B8C33" w:rsidR="00853466" w:rsidRPr="004B520E" w:rsidRDefault="13B1006C" w:rsidP="009724CC">
      <w:pPr>
        <w:pStyle w:val="ListBullet"/>
      </w:pPr>
      <w:r w:rsidRPr="004B520E">
        <w:t xml:space="preserve">Providing water to support breeding events in </w:t>
      </w:r>
      <w:r w:rsidR="3D6D20BA" w:rsidRPr="004B520E">
        <w:t>wetter years</w:t>
      </w:r>
      <w:r w:rsidRPr="004B520E">
        <w:t xml:space="preserve"> is</w:t>
      </w:r>
      <w:r w:rsidR="00B05A1F" w:rsidRPr="004B520E">
        <w:t xml:space="preserve"> critical</w:t>
      </w:r>
      <w:r w:rsidRPr="004B520E">
        <w:t xml:space="preserve"> </w:t>
      </w:r>
      <w:r w:rsidR="00D145B1" w:rsidRPr="004B520E">
        <w:t xml:space="preserve">in enhancing population size and increasing likelihood of </w:t>
      </w:r>
      <w:r w:rsidR="006A6972" w:rsidRPr="004B520E">
        <w:t>persistence</w:t>
      </w:r>
      <w:r w:rsidRPr="004B520E">
        <w:t xml:space="preserve"> </w:t>
      </w:r>
      <w:r w:rsidR="48461ED0" w:rsidRPr="004B520E">
        <w:t>over dry periods</w:t>
      </w:r>
      <w:r w:rsidR="00C714E8" w:rsidRPr="004B520E">
        <w:t>.</w:t>
      </w:r>
    </w:p>
    <w:p w14:paraId="07C1BF40" w14:textId="1BEEE07B" w:rsidR="0035012E" w:rsidRPr="004B520E" w:rsidRDefault="48461ED0" w:rsidP="00D358F7">
      <w:pPr>
        <w:pStyle w:val="ListBullet2"/>
      </w:pPr>
      <w:r w:rsidRPr="004B520E">
        <w:t xml:space="preserve">Watering events were used across the </w:t>
      </w:r>
      <w:r w:rsidR="00D33CDF" w:rsidRPr="004B520E">
        <w:t xml:space="preserve">Basin </w:t>
      </w:r>
      <w:r w:rsidRPr="004B520E">
        <w:t xml:space="preserve">to support frog, fish and waterbird breeding events to </w:t>
      </w:r>
      <w:r w:rsidR="6AE0D22D" w:rsidRPr="004B520E">
        <w:t>enhance</w:t>
      </w:r>
      <w:r w:rsidRPr="004B520E">
        <w:t xml:space="preserve"> population numbers and </w:t>
      </w:r>
      <w:r w:rsidR="2262C77C" w:rsidRPr="004B520E">
        <w:t>increase</w:t>
      </w:r>
      <w:r w:rsidRPr="004B520E">
        <w:t xml:space="preserve"> resilienc</w:t>
      </w:r>
      <w:r w:rsidR="249DE0DA" w:rsidRPr="004B520E">
        <w:t>e to prolonged dry periods</w:t>
      </w:r>
      <w:r w:rsidR="0035012E" w:rsidRPr="004B520E">
        <w:t>.</w:t>
      </w:r>
    </w:p>
    <w:p w14:paraId="2D99D192" w14:textId="510E6215" w:rsidR="00853466" w:rsidRPr="004B520E" w:rsidRDefault="48461ED0" w:rsidP="000063A3">
      <w:pPr>
        <w:pStyle w:val="ListBullet"/>
        <w:keepNext/>
      </w:pPr>
      <w:r w:rsidRPr="004B520E">
        <w:lastRenderedPageBreak/>
        <w:t>Providing water is critical to providing plant commun</w:t>
      </w:r>
      <w:r w:rsidR="6D12D5A8" w:rsidRPr="004B520E">
        <w:t>i</w:t>
      </w:r>
      <w:r w:rsidRPr="004B520E">
        <w:t>ties with sufficient resilience to persist over dry periods</w:t>
      </w:r>
      <w:r w:rsidR="00C714E8" w:rsidRPr="004B520E">
        <w:t>.</w:t>
      </w:r>
    </w:p>
    <w:p w14:paraId="6FD3855F" w14:textId="2FD5AC80" w:rsidR="0069654C" w:rsidRPr="004B520E" w:rsidRDefault="0069654C" w:rsidP="00D358F7">
      <w:pPr>
        <w:pStyle w:val="ListBullet2"/>
      </w:pPr>
      <w:r w:rsidRPr="004B520E">
        <w:t xml:space="preserve">There </w:t>
      </w:r>
      <w:r w:rsidR="00C61AB6" w:rsidRPr="004B520E">
        <w:t>were</w:t>
      </w:r>
      <w:r w:rsidRPr="004B520E">
        <w:t xml:space="preserve"> regular actions in the Gwydir </w:t>
      </w:r>
      <w:r w:rsidR="005A1F3D" w:rsidRPr="004B520E">
        <w:t xml:space="preserve">Wetlands </w:t>
      </w:r>
      <w:r w:rsidRPr="004B520E">
        <w:t>and Macquarie Marshes that inundate</w:t>
      </w:r>
      <w:r w:rsidR="002227AD" w:rsidRPr="004B520E">
        <w:t>d</w:t>
      </w:r>
      <w:r w:rsidRPr="004B520E">
        <w:t xml:space="preserve"> permanent and temporary tall emergent marsh, freshwater meadow, permanent wetlands, permanent forb marsh and permanent grass marshes.</w:t>
      </w:r>
    </w:p>
    <w:p w14:paraId="0207EB06" w14:textId="3F038BC4" w:rsidR="00853466" w:rsidRPr="004B520E" w:rsidRDefault="15048AC8" w:rsidP="00D358F7">
      <w:pPr>
        <w:pStyle w:val="ListBullet2"/>
      </w:pPr>
      <w:r>
        <w:t>Watering target</w:t>
      </w:r>
      <w:r w:rsidR="002227AD">
        <w:t>ed</w:t>
      </w:r>
      <w:r>
        <w:t xml:space="preserve"> vulnerable species including </w:t>
      </w:r>
      <w:r w:rsidR="0041405B">
        <w:t>l</w:t>
      </w:r>
      <w:r>
        <w:t xml:space="preserve">ignum (during water delivery to Narran </w:t>
      </w:r>
      <w:r w:rsidR="00A6157E">
        <w:t>Lakes</w:t>
      </w:r>
      <w:r>
        <w:t xml:space="preserve">) and </w:t>
      </w:r>
      <w:r w:rsidR="0041405B">
        <w:t>r</w:t>
      </w:r>
      <w:r>
        <w:t xml:space="preserve">iver </w:t>
      </w:r>
      <w:r w:rsidR="0041405B">
        <w:t>c</w:t>
      </w:r>
      <w:r>
        <w:t>ooba (</w:t>
      </w:r>
      <w:r w:rsidR="007C7B8E" w:rsidRPr="49141223">
        <w:rPr>
          <w:i/>
          <w:iCs/>
        </w:rPr>
        <w:t>Acacia stenophylla</w:t>
      </w:r>
      <w:r w:rsidR="007C7B8E">
        <w:t xml:space="preserve">; </w:t>
      </w:r>
      <w:r>
        <w:t>associated with floodplain watering of the Gwydir Wetlands)</w:t>
      </w:r>
      <w:r w:rsidR="001871DF">
        <w:t>.</w:t>
      </w:r>
    </w:p>
    <w:p w14:paraId="1B148DB2" w14:textId="7C9FA74E" w:rsidR="551F8E9B" w:rsidRDefault="551F8E9B" w:rsidP="49141223">
      <w:pPr>
        <w:pStyle w:val="ListBullet2"/>
      </w:pPr>
      <w:r>
        <w:t>Monitoring data illustrate the importance of reducing the average duration of the dry phase for supporting a greater cover of vegetation, particularly the cover of submerged and amphibious species in floodplain and wetland</w:t>
      </w:r>
      <w:r w:rsidR="15FB39C8">
        <w:t xml:space="preserve"> environments</w:t>
      </w:r>
      <w:r>
        <w:t>.</w:t>
      </w:r>
    </w:p>
    <w:p w14:paraId="73CD0320" w14:textId="593CB452" w:rsidR="00853466" w:rsidRPr="004B520E" w:rsidRDefault="5E13A565" w:rsidP="009724CC">
      <w:pPr>
        <w:pStyle w:val="ListBullet"/>
      </w:pPr>
      <w:r w:rsidRPr="004B520E">
        <w:t xml:space="preserve">Providing water to support breeding events in wetter years is critical </w:t>
      </w:r>
      <w:r w:rsidR="004535D3" w:rsidRPr="004B520E">
        <w:t>for</w:t>
      </w:r>
      <w:r w:rsidRPr="004B520E">
        <w:t xml:space="preserve"> species</w:t>
      </w:r>
      <w:r w:rsidR="004535D3" w:rsidRPr="004B520E">
        <w:t>’</w:t>
      </w:r>
      <w:r w:rsidRPr="004B520E">
        <w:t xml:space="preserve"> resilience to stressors such as invasive species</w:t>
      </w:r>
      <w:r w:rsidR="00C714E8" w:rsidRPr="004B520E">
        <w:t>.</w:t>
      </w:r>
    </w:p>
    <w:p w14:paraId="2ED2AD94" w14:textId="1F461EB0" w:rsidR="0035012E" w:rsidRPr="004B520E" w:rsidRDefault="5E13A565" w:rsidP="00D358F7">
      <w:pPr>
        <w:pStyle w:val="ListBullet2"/>
      </w:pPr>
      <w:r w:rsidRPr="004B520E">
        <w:t xml:space="preserve">Watering events were used across the </w:t>
      </w:r>
      <w:r w:rsidR="00D33CDF" w:rsidRPr="004B520E">
        <w:t xml:space="preserve">Basin </w:t>
      </w:r>
      <w:r w:rsidRPr="004B520E">
        <w:t>to support frog, fish and waterbird breeding events to support population numbers and enhance resilience to the effects of invasive species</w:t>
      </w:r>
      <w:r w:rsidR="00215604">
        <w:t>,</w:t>
      </w:r>
      <w:r w:rsidRPr="004B520E">
        <w:t xml:space="preserve"> such as redfin perch</w:t>
      </w:r>
      <w:r w:rsidR="0005602C">
        <w:t xml:space="preserve"> (</w:t>
      </w:r>
      <w:r w:rsidR="0005602C">
        <w:rPr>
          <w:i/>
          <w:iCs/>
        </w:rPr>
        <w:t>Perca fluviatilis</w:t>
      </w:r>
      <w:r w:rsidR="0005602C">
        <w:t>)</w:t>
      </w:r>
      <w:r w:rsidRPr="004B520E">
        <w:t xml:space="preserve">, </w:t>
      </w:r>
      <w:r w:rsidR="00020559" w:rsidRPr="004B520E">
        <w:t xml:space="preserve">common </w:t>
      </w:r>
      <w:r w:rsidR="49AF12A4" w:rsidRPr="004B520E">
        <w:t>carp and fox</w:t>
      </w:r>
      <w:r w:rsidR="00D23D72">
        <w:t xml:space="preserve"> (</w:t>
      </w:r>
      <w:r w:rsidR="00D23D72">
        <w:rPr>
          <w:i/>
          <w:iCs/>
        </w:rPr>
        <w:t>Vulpes vulpes</w:t>
      </w:r>
      <w:r w:rsidR="00D23D72">
        <w:t>)</w:t>
      </w:r>
      <w:r w:rsidR="0035012E" w:rsidRPr="004B520E">
        <w:t>.</w:t>
      </w:r>
    </w:p>
    <w:p w14:paraId="257535D5" w14:textId="08DE8E73" w:rsidR="00BB7904" w:rsidRPr="004B520E" w:rsidRDefault="00BB7904" w:rsidP="009724CC">
      <w:pPr>
        <w:pStyle w:val="ListBullet"/>
      </w:pPr>
      <w:r w:rsidRPr="004B520E">
        <w:t>Providing water to support the condition of native vegetation increases native species’ resilience to long dry periods</w:t>
      </w:r>
      <w:r w:rsidR="00C714E8" w:rsidRPr="004B520E">
        <w:t>.</w:t>
      </w:r>
    </w:p>
    <w:p w14:paraId="4424F688" w14:textId="6013FB23" w:rsidR="00BB7904" w:rsidRPr="004B520E" w:rsidRDefault="00BB7904" w:rsidP="00D358F7">
      <w:pPr>
        <w:pStyle w:val="ListBullet2"/>
      </w:pPr>
      <w:r w:rsidRPr="004B520E">
        <w:t>Watering events were used across the Basin to support the condition of vegetation communities that require regular inundation, enhancing their ability to cope with unfavourable conditions.</w:t>
      </w:r>
    </w:p>
    <w:p w14:paraId="10D28823" w14:textId="71C64152" w:rsidR="5A08A78A" w:rsidRPr="004B520E" w:rsidRDefault="00334424" w:rsidP="009724CC">
      <w:pPr>
        <w:pStyle w:val="ListBullet"/>
      </w:pPr>
      <w:r w:rsidRPr="004B520E">
        <w:t>P</w:t>
      </w:r>
      <w:r w:rsidR="5A08A78A" w:rsidRPr="004B520E">
        <w:t>rotect</w:t>
      </w:r>
      <w:r w:rsidRPr="004B520E">
        <w:t>ing</w:t>
      </w:r>
      <w:r w:rsidR="5A08A78A" w:rsidRPr="004B520E">
        <w:t xml:space="preserve"> species from the effects of major disturbances such as </w:t>
      </w:r>
      <w:r w:rsidR="009F187C" w:rsidRPr="004B520E">
        <w:t xml:space="preserve">hypoxic </w:t>
      </w:r>
      <w:r w:rsidR="00D21A9A" w:rsidRPr="004B520E">
        <w:t>events</w:t>
      </w:r>
      <w:r w:rsidR="00C714E8" w:rsidRPr="004B520E">
        <w:t>.</w:t>
      </w:r>
    </w:p>
    <w:p w14:paraId="04011BB9" w14:textId="5DC4E20B" w:rsidR="5A08A78A" w:rsidRPr="004B520E" w:rsidRDefault="5A08A78A" w:rsidP="00D358F7">
      <w:pPr>
        <w:pStyle w:val="ListBullet2"/>
      </w:pPr>
      <w:r w:rsidRPr="004B520E">
        <w:t>Watering events were used</w:t>
      </w:r>
      <w:r w:rsidR="41FAE460" w:rsidRPr="004B520E">
        <w:t xml:space="preserve"> to reduce the impacts of hypoxic </w:t>
      </w:r>
      <w:r w:rsidR="00B60D98">
        <w:t>conditions</w:t>
      </w:r>
      <w:r w:rsidR="00B60D98" w:rsidRPr="004B520E">
        <w:t xml:space="preserve"> </w:t>
      </w:r>
      <w:r w:rsidR="41FAE460" w:rsidRPr="004B520E">
        <w:t>and increase the ability of fish species to recover in the Edward</w:t>
      </w:r>
      <w:r w:rsidR="00D77D2F" w:rsidRPr="004B520E">
        <w:t>/</w:t>
      </w:r>
      <w:r w:rsidR="41FAE460" w:rsidRPr="004B520E">
        <w:t>Ko</w:t>
      </w:r>
      <w:r w:rsidR="3AA8838E" w:rsidRPr="004B520E">
        <w:t>lety</w:t>
      </w:r>
      <w:r w:rsidR="00FF76FD" w:rsidRPr="004B520E">
        <w:rPr>
          <w:rStyle w:val="BodyTextChar"/>
        </w:rPr>
        <w:t>–</w:t>
      </w:r>
      <w:r w:rsidR="3AA8838E" w:rsidRPr="004B520E">
        <w:t xml:space="preserve">Wakool </w:t>
      </w:r>
      <w:r w:rsidR="009A5F7F" w:rsidRPr="004B520E">
        <w:t xml:space="preserve">river </w:t>
      </w:r>
      <w:r w:rsidR="3AA8838E" w:rsidRPr="004B520E">
        <w:t>system</w:t>
      </w:r>
      <w:r w:rsidR="00D77D2F" w:rsidRPr="004B520E">
        <w:t>s</w:t>
      </w:r>
      <w:r w:rsidR="3AA8838E" w:rsidRPr="004B520E">
        <w:t xml:space="preserve"> in</w:t>
      </w:r>
      <w:r w:rsidR="41FAE460" w:rsidRPr="004B520E">
        <w:t xml:space="preserve"> </w:t>
      </w:r>
      <w:r w:rsidR="17991A85" w:rsidRPr="004B520E">
        <w:t>2</w:t>
      </w:r>
      <w:r w:rsidR="41FAE460" w:rsidRPr="004B520E">
        <w:t>016</w:t>
      </w:r>
      <w:r w:rsidR="00D77D2F" w:rsidRPr="004B520E">
        <w:t>–</w:t>
      </w:r>
      <w:r w:rsidR="41FAE460" w:rsidRPr="004B520E">
        <w:t>18.</w:t>
      </w:r>
    </w:p>
    <w:p w14:paraId="1A5E71C3" w14:textId="25E606B0" w:rsidR="00AF3C11" w:rsidRPr="004B520E" w:rsidRDefault="001E1FB7" w:rsidP="00113FC9">
      <w:pPr>
        <w:pStyle w:val="Heading1"/>
      </w:pPr>
      <w:bookmarkStart w:id="551" w:name="_Toc137219814"/>
      <w:bookmarkStart w:id="552" w:name="_Toc168579886"/>
      <w:bookmarkStart w:id="553" w:name="_Toc172283685"/>
      <w:bookmarkStart w:id="554" w:name="_Toc172290989"/>
      <w:bookmarkStart w:id="555" w:name="_Toc178668888"/>
      <w:bookmarkStart w:id="556" w:name="_Toc200743769"/>
      <w:bookmarkStart w:id="557" w:name="_Toc200743868"/>
      <w:bookmarkStart w:id="558" w:name="_Toc203682282"/>
      <w:bookmarkStart w:id="559" w:name="_Toc204606897"/>
      <w:bookmarkStart w:id="560" w:name="_Toc106204477"/>
      <w:r w:rsidRPr="004B520E">
        <w:lastRenderedPageBreak/>
        <w:t>Informing a</w:t>
      </w:r>
      <w:r w:rsidR="00AF3C11" w:rsidRPr="004B520E">
        <w:t>daptive management</w:t>
      </w:r>
      <w:bookmarkEnd w:id="551"/>
      <w:bookmarkEnd w:id="552"/>
      <w:bookmarkEnd w:id="553"/>
      <w:bookmarkEnd w:id="554"/>
      <w:bookmarkEnd w:id="555"/>
      <w:bookmarkEnd w:id="556"/>
      <w:bookmarkEnd w:id="557"/>
      <w:bookmarkEnd w:id="558"/>
      <w:bookmarkEnd w:id="559"/>
    </w:p>
    <w:bookmarkEnd w:id="560"/>
    <w:p w14:paraId="286E6071" w14:textId="7DD3A32A" w:rsidR="0035012E" w:rsidRPr="004B520E" w:rsidRDefault="00DA0906" w:rsidP="00255C5B">
      <w:pPr>
        <w:pStyle w:val="BodyText"/>
      </w:pPr>
      <w:r w:rsidRPr="004B520E">
        <w:t xml:space="preserve">At the Basin scale, </w:t>
      </w:r>
      <w:r w:rsidR="00397299" w:rsidRPr="004B520E">
        <w:t xml:space="preserve">Commonwealth environmental water </w:t>
      </w:r>
      <w:r w:rsidRPr="004B520E">
        <w:t>is contributing to the achievement of Basin Plan objectives for biodiversity (including threatened species and communities), ecosystem function and water quality. Managing and improving existing ecological condition improves ecological resilience to future change and risk, including climate change</w:t>
      </w:r>
      <w:r w:rsidR="0035012E" w:rsidRPr="004B520E">
        <w:t>.</w:t>
      </w:r>
    </w:p>
    <w:p w14:paraId="112142EF" w14:textId="79964634" w:rsidR="003B29FF" w:rsidRPr="004B520E" w:rsidRDefault="00DA0906" w:rsidP="00255C5B">
      <w:pPr>
        <w:pStyle w:val="BodyText"/>
      </w:pPr>
      <w:r w:rsidRPr="004B520E">
        <w:t xml:space="preserve">Our assessment is based on current data, knowledge and tools for evaluating the contribution of </w:t>
      </w:r>
      <w:r w:rsidR="00397299" w:rsidRPr="004B520E">
        <w:t>Commonwealth environmental water</w:t>
      </w:r>
      <w:r w:rsidRPr="004B520E">
        <w:t xml:space="preserve"> and acknowledges existing limitations in the attribution of outcomes based on temporal and spatial variability in response.</w:t>
      </w:r>
      <w:r w:rsidR="001E112B" w:rsidRPr="004B520E">
        <w:t xml:space="preserve"> </w:t>
      </w:r>
      <w:r w:rsidR="003B29FF" w:rsidRPr="004B520E">
        <w:t xml:space="preserve">In </w:t>
      </w:r>
      <w:r w:rsidR="00244943" w:rsidRPr="004B520E">
        <w:t>2023–24</w:t>
      </w:r>
      <w:r w:rsidR="003B29FF" w:rsidRPr="004B520E">
        <w:t xml:space="preserve">, delineation of the managed floodplain was expanded using </w:t>
      </w:r>
      <w:r w:rsidR="0002191D" w:rsidRPr="004B520E">
        <w:t>10</w:t>
      </w:r>
      <w:r w:rsidR="003B29FF" w:rsidRPr="004B520E">
        <w:t xml:space="preserve"> years of evidence from </w:t>
      </w:r>
      <w:r w:rsidR="0078525C" w:rsidRPr="004B520E">
        <w:rPr>
          <w:color w:val="auto"/>
        </w:rPr>
        <w:t xml:space="preserve">the Long Term Intervention Monitoring </w:t>
      </w:r>
      <w:r w:rsidR="003D577B">
        <w:rPr>
          <w:color w:val="auto"/>
        </w:rPr>
        <w:t>P</w:t>
      </w:r>
      <w:r w:rsidR="0078525C" w:rsidRPr="004B520E">
        <w:rPr>
          <w:color w:val="auto"/>
        </w:rPr>
        <w:t xml:space="preserve">roject </w:t>
      </w:r>
      <w:r w:rsidR="003B29FF" w:rsidRPr="004B520E">
        <w:rPr>
          <w:color w:val="auto"/>
        </w:rPr>
        <w:t>(2014–19)</w:t>
      </w:r>
      <w:r w:rsidR="003B29FF" w:rsidRPr="004B520E">
        <w:t xml:space="preserve"> and Flow-MER inundation mapping</w:t>
      </w:r>
      <w:r w:rsidR="005C6F63" w:rsidRPr="004B520E">
        <w:t>. This has</w:t>
      </w:r>
      <w:r w:rsidR="003B29FF" w:rsidRPr="004B520E">
        <w:t xml:space="preserve"> add</w:t>
      </w:r>
      <w:r w:rsidR="005C6F63" w:rsidRPr="004B520E">
        <w:t>ed</w:t>
      </w:r>
      <w:r w:rsidR="003B29FF" w:rsidRPr="004B520E">
        <w:t xml:space="preserve"> 359,091 ha to </w:t>
      </w:r>
      <w:r w:rsidR="005C6F63" w:rsidRPr="004B520E">
        <w:t>the</w:t>
      </w:r>
      <w:r w:rsidR="003B29FF" w:rsidRPr="004B520E">
        <w:t xml:space="preserve"> </w:t>
      </w:r>
      <w:r w:rsidR="002D31CA" w:rsidRPr="004B520E">
        <w:t xml:space="preserve">known area </w:t>
      </w:r>
      <w:r w:rsidR="003B29FF" w:rsidRPr="004B520E">
        <w:t>of aquatic ecosystems that can be managed with environmental water in the Basin.</w:t>
      </w:r>
    </w:p>
    <w:p w14:paraId="22C0BC25" w14:textId="3478ED00" w:rsidR="00DA0906" w:rsidRPr="004B520E" w:rsidRDefault="00DA0906" w:rsidP="00947E11">
      <w:pPr>
        <w:pStyle w:val="BodyText"/>
      </w:pPr>
      <w:bookmarkStart w:id="561" w:name="_Toc168499862"/>
      <w:bookmarkStart w:id="562" w:name="_Toc168500015"/>
      <w:bookmarkStart w:id="563" w:name="_Toc168500160"/>
      <w:bookmarkEnd w:id="561"/>
      <w:bookmarkEnd w:id="562"/>
      <w:bookmarkEnd w:id="563"/>
      <w:r w:rsidRPr="004B520E">
        <w:t xml:space="preserve">At the Basin scale, the </w:t>
      </w:r>
      <w:r w:rsidR="00244943" w:rsidRPr="004B520E">
        <w:t>10-year</w:t>
      </w:r>
      <w:r w:rsidRPr="004B520E">
        <w:t xml:space="preserve"> evaluation of watering frequencies suggests the </w:t>
      </w:r>
      <w:r w:rsidR="00CB055B" w:rsidRPr="004B520E">
        <w:t>C</w:t>
      </w:r>
      <w:r w:rsidR="00E05A11" w:rsidRPr="004B520E">
        <w:t>EWH</w:t>
      </w:r>
      <w:r w:rsidR="00132D6D" w:rsidRPr="004B520E">
        <w:t>’s</w:t>
      </w:r>
      <w:r w:rsidRPr="004B520E">
        <w:t xml:space="preserve"> current water allocation and delivery is qualitatively fit for purpose. </w:t>
      </w:r>
      <w:r w:rsidR="009A03C5" w:rsidRPr="004B520E">
        <w:t>10</w:t>
      </w:r>
      <w:r w:rsidRPr="004B520E">
        <w:t xml:space="preserve"> years of continued evaluation of Basin biodiversity </w:t>
      </w:r>
      <w:r w:rsidR="00A40208" w:rsidRPr="004B520E">
        <w:t>has</w:t>
      </w:r>
      <w:r w:rsidRPr="004B520E">
        <w:t xml:space="preserve"> improv</w:t>
      </w:r>
      <w:r w:rsidR="00A40208" w:rsidRPr="004B520E">
        <w:t>ed</w:t>
      </w:r>
      <w:r w:rsidRPr="004B520E">
        <w:t xml:space="preserve"> understanding of:</w:t>
      </w:r>
    </w:p>
    <w:p w14:paraId="56FEADD5" w14:textId="6B511FD2" w:rsidR="00DA0906" w:rsidRPr="004B520E" w:rsidRDefault="00DA0906" w:rsidP="00947E11">
      <w:pPr>
        <w:pStyle w:val="ListBullet"/>
      </w:pPr>
      <w:r w:rsidRPr="004B520E">
        <w:t>the spatial patterning of watering actions in the landscape</w:t>
      </w:r>
    </w:p>
    <w:p w14:paraId="035FBA48" w14:textId="77777777" w:rsidR="00DA0906" w:rsidRPr="004B520E" w:rsidRDefault="00DA0906" w:rsidP="00947E11">
      <w:pPr>
        <w:pStyle w:val="ListBullet"/>
      </w:pPr>
      <w:r w:rsidRPr="004B520E">
        <w:t>the distribution of water-dependent ecosystems in the Basin</w:t>
      </w:r>
    </w:p>
    <w:p w14:paraId="0A7A1B8D" w14:textId="4331509E" w:rsidR="00DA0906" w:rsidRPr="004B520E" w:rsidRDefault="00DA0906" w:rsidP="00947E11">
      <w:pPr>
        <w:pStyle w:val="ListBullet"/>
      </w:pPr>
      <w:r w:rsidRPr="004B520E">
        <w:t xml:space="preserve">the distribution of </w:t>
      </w:r>
      <w:r w:rsidR="00397299" w:rsidRPr="004B520E">
        <w:t xml:space="preserve">Commonwealth environmental water </w:t>
      </w:r>
      <w:r w:rsidRPr="004B520E">
        <w:t xml:space="preserve">to the different ecosystem types (e.g. with a greater proportion supporting temporary </w:t>
      </w:r>
      <w:r w:rsidR="00A250AE" w:rsidRPr="004B520E">
        <w:t>r</w:t>
      </w:r>
      <w:r w:rsidRPr="004B520E">
        <w:t xml:space="preserve">iver </w:t>
      </w:r>
      <w:r w:rsidR="00A250AE" w:rsidRPr="004B520E">
        <w:t>r</w:t>
      </w:r>
      <w:r w:rsidRPr="004B520E">
        <w:t xml:space="preserve">ed </w:t>
      </w:r>
      <w:r w:rsidR="00A250AE" w:rsidRPr="004B520E">
        <w:t>g</w:t>
      </w:r>
      <w:r w:rsidRPr="004B520E">
        <w:t>um swamps and marsh ecosystems)</w:t>
      </w:r>
    </w:p>
    <w:p w14:paraId="097F96F7" w14:textId="285B0C8C" w:rsidR="00DA0906" w:rsidRPr="004B520E" w:rsidRDefault="00DA0906" w:rsidP="00947E11">
      <w:pPr>
        <w:pStyle w:val="ListBullet"/>
      </w:pPr>
      <w:r w:rsidRPr="004B520E">
        <w:t>watering frequencies at</w:t>
      </w:r>
      <w:r w:rsidR="000C2D97" w:rsidRPr="004B520E">
        <w:t xml:space="preserve"> the scales of</w:t>
      </w:r>
      <w:r w:rsidRPr="004B520E">
        <w:t xml:space="preserve"> ecosystem</w:t>
      </w:r>
      <w:r w:rsidR="000C2D97" w:rsidRPr="004B520E">
        <w:t>s</w:t>
      </w:r>
      <w:r w:rsidRPr="004B520E">
        <w:t>, wetland complex</w:t>
      </w:r>
      <w:r w:rsidR="000C2D97" w:rsidRPr="004B520E">
        <w:t>es</w:t>
      </w:r>
      <w:r w:rsidRPr="004B520E">
        <w:t xml:space="preserve"> and valleys.</w:t>
      </w:r>
    </w:p>
    <w:p w14:paraId="0704511B" w14:textId="15102697" w:rsidR="008D0B97" w:rsidRPr="004B520E" w:rsidRDefault="008D0B97" w:rsidP="008D0B97">
      <w:pPr>
        <w:pStyle w:val="BodyText"/>
      </w:pPr>
      <w:r w:rsidRPr="004B520E">
        <w:t>Environmental water is very important for decreasing the likelihood of low dissolved oxygen by increasing water mixing and oxygen exchange at the surface, particularly in the Lower Murray</w:t>
      </w:r>
      <w:r w:rsidR="00C163B0">
        <w:t>,</w:t>
      </w:r>
      <w:r w:rsidRPr="004B520E">
        <w:t xml:space="preserve"> where the river is dominated by slow-flowing locks and weirs. Commonwealth environmental water can contribute to maintaining dissolved oxygen levels above desired thresholds during hypoxic events, when flows can dilute anoxic water and increase oxygen exchange at the surface. Commonwealth environmental water can also maintain base flows to support aquatic ecosystems during low</w:t>
      </w:r>
      <w:r w:rsidR="00167A05">
        <w:t xml:space="preserve"> </w:t>
      </w:r>
      <w:r w:rsidRPr="004B520E">
        <w:t>flow periods.</w:t>
      </w:r>
    </w:p>
    <w:p w14:paraId="4BA825FD" w14:textId="77777777" w:rsidR="008D0B97" w:rsidRPr="004B520E" w:rsidRDefault="008D0B97" w:rsidP="008D0B97">
      <w:pPr>
        <w:pStyle w:val="BodyText"/>
        <w:rPr>
          <w:rFonts w:eastAsia="Times New Roman" w:cs="Calibri"/>
        </w:rPr>
      </w:pPr>
      <w:r w:rsidRPr="004B520E">
        <w:t>Commonwealth environmental water is critical for maintaining salinity regimes within a desired range. Commonwealth environmental water has been used to successfully:</w:t>
      </w:r>
    </w:p>
    <w:p w14:paraId="0CC6490F" w14:textId="77777777" w:rsidR="008D0B97" w:rsidRPr="004B520E" w:rsidRDefault="008D0B97" w:rsidP="00255C5B">
      <w:pPr>
        <w:pStyle w:val="ListBullet"/>
      </w:pPr>
      <w:r w:rsidRPr="004B520E">
        <w:t>maintain river salinity (electrical conductivity) below 800 µS/cm at Morgan (a river management target of the Murray–Darling Basin Authority and SA Water)</w:t>
      </w:r>
    </w:p>
    <w:p w14:paraId="2DED7860" w14:textId="27A51F56" w:rsidR="008D0B97" w:rsidRPr="004B520E" w:rsidRDefault="008D0B97" w:rsidP="00255C5B">
      <w:pPr>
        <w:pStyle w:val="ListBullet"/>
      </w:pPr>
      <w:r w:rsidRPr="004B520E">
        <w:t>maintain salt export from the Coorong in low</w:t>
      </w:r>
      <w:r w:rsidR="00167A05">
        <w:t xml:space="preserve"> </w:t>
      </w:r>
      <w:r w:rsidRPr="004B520E">
        <w:t>flow years</w:t>
      </w:r>
    </w:p>
    <w:p w14:paraId="0A2FCFFF" w14:textId="6C2301AB" w:rsidR="008D0B97" w:rsidRPr="004B520E" w:rsidRDefault="008D0B97" w:rsidP="00255C5B">
      <w:pPr>
        <w:pStyle w:val="ListBullet"/>
      </w:pPr>
      <w:r w:rsidRPr="004B520E">
        <w:t>contribute to the Basin Plan’s target of exporting 2 million tonnes of salt from the Murray River System into the Southern Ocean each water accounting period</w:t>
      </w:r>
      <w:r w:rsidR="00167A05">
        <w:t>;</w:t>
      </w:r>
      <w:r w:rsidR="003516EB">
        <w:t xml:space="preserve"> </w:t>
      </w:r>
      <w:r w:rsidR="003516EB" w:rsidRPr="003516EB">
        <w:t>however, salt export remains below the Basin Plan target</w:t>
      </w:r>
      <w:r w:rsidRPr="004B520E">
        <w:t>.</w:t>
      </w:r>
    </w:p>
    <w:p w14:paraId="7ECF31AE" w14:textId="7C31F89B" w:rsidR="00DA0906" w:rsidRPr="002B3FE7" w:rsidRDefault="002D31CA" w:rsidP="00DA0906">
      <w:pPr>
        <w:pStyle w:val="Boxedheadingblue"/>
      </w:pPr>
      <w:bookmarkStart w:id="564" w:name="_Toc168579899"/>
      <w:bookmarkStart w:id="565" w:name="_Toc172283693"/>
      <w:bookmarkStart w:id="566" w:name="_Toc172290993"/>
      <w:bookmarkStart w:id="567" w:name="_Toc178668892"/>
      <w:r w:rsidRPr="002B3FE7">
        <w:lastRenderedPageBreak/>
        <w:t>Recommendations for v</w:t>
      </w:r>
      <w:r w:rsidR="00DA0906" w:rsidRPr="002B3FE7">
        <w:t>egetation</w:t>
      </w:r>
      <w:bookmarkEnd w:id="564"/>
      <w:bookmarkEnd w:id="565"/>
      <w:bookmarkEnd w:id="566"/>
      <w:bookmarkEnd w:id="567"/>
    </w:p>
    <w:p w14:paraId="6FC0BA62" w14:textId="47FD2DDA" w:rsidR="00E724B4" w:rsidRPr="004B520E" w:rsidRDefault="00E724B4" w:rsidP="00255C5B">
      <w:pPr>
        <w:pStyle w:val="Boxedlistbullet"/>
        <w:keepNext/>
      </w:pPr>
      <w:r>
        <w:t>Continue to deliver environmental water to maintain inundation regimes at floodplain</w:t>
      </w:r>
      <w:r w:rsidR="006026F1">
        <w:t>–</w:t>
      </w:r>
      <w:r>
        <w:t>wetland locations that are central to supporting vegetation species and community diversity at the Basin scale.</w:t>
      </w:r>
    </w:p>
    <w:p w14:paraId="4FBB27BA" w14:textId="7B58EA58" w:rsidR="00E724B4" w:rsidRPr="004B520E" w:rsidRDefault="0EC4FEB5" w:rsidP="00255C5B">
      <w:pPr>
        <w:pStyle w:val="Boxedlistbullet"/>
      </w:pPr>
      <w:r w:rsidRPr="49141223">
        <w:rPr>
          <w:rFonts w:cs="Calibri"/>
          <w:color w:val="000000" w:themeColor="text2"/>
          <w:szCs w:val="22"/>
        </w:rPr>
        <w:t>Where appropriate, consider using environmental water to reduce the average dry phase experienced by floodplain–wetland locations to support a greater cover of vegetation, including submerged and amphibious vegetation.</w:t>
      </w:r>
      <w:r w:rsidR="00B448AC">
        <w:rPr>
          <w:rFonts w:cs="Calibri"/>
          <w:color w:val="000000" w:themeColor="text2"/>
          <w:szCs w:val="22"/>
        </w:rPr>
        <w:t xml:space="preserve"> </w:t>
      </w:r>
      <w:r w:rsidR="00E724B4" w:rsidRPr="004B520E">
        <w:t xml:space="preserve">Consider opportunities to </w:t>
      </w:r>
      <w:r w:rsidR="00BA4BA0" w:rsidRPr="004B520E">
        <w:t xml:space="preserve">use environmental water to </w:t>
      </w:r>
      <w:r w:rsidR="00E724B4" w:rsidRPr="004B520E">
        <w:t>further support plant species known to be used by Aboriginal people and engage Aboriginal communities across the Basin to identify culturally important plant species that can be supported with environmental water.</w:t>
      </w:r>
    </w:p>
    <w:p w14:paraId="1F21CC00" w14:textId="6854AF59" w:rsidR="00F344BE" w:rsidRPr="002B3FE7" w:rsidRDefault="002D31CA" w:rsidP="002B3FE7">
      <w:pPr>
        <w:pStyle w:val="Boxedheadingblue"/>
      </w:pPr>
      <w:bookmarkStart w:id="568" w:name="_Toc168579900"/>
      <w:bookmarkStart w:id="569" w:name="_Toc172283694"/>
      <w:bookmarkStart w:id="570" w:name="_Toc172290994"/>
      <w:bookmarkStart w:id="571" w:name="_Toc178668893"/>
      <w:r>
        <w:t>Recommendations for f</w:t>
      </w:r>
      <w:r w:rsidR="00DA0906">
        <w:t>ish</w:t>
      </w:r>
      <w:bookmarkEnd w:id="568"/>
      <w:bookmarkEnd w:id="569"/>
      <w:bookmarkEnd w:id="570"/>
      <w:bookmarkEnd w:id="571"/>
    </w:p>
    <w:p w14:paraId="15FE1EC0" w14:textId="3DFDCCDD" w:rsidR="00E72A48" w:rsidRDefault="56569BFC" w:rsidP="00255C5B">
      <w:pPr>
        <w:pStyle w:val="Boxedlistbullet"/>
      </w:pPr>
      <w:r>
        <w:t>Commonwealth environmental water should continue to be managed to mitigate the number of low flow days and increase average daily flows to support fish populations. This is important during transitions out of La Ni</w:t>
      </w:r>
      <w:r w:rsidRPr="439D3E70">
        <w:rPr>
          <w:rFonts w:cs="Calibri"/>
        </w:rPr>
        <w:t>ñ</w:t>
      </w:r>
      <w:r>
        <w:t xml:space="preserve">a climate patterns </w:t>
      </w:r>
      <w:r w:rsidRPr="439D3E70">
        <w:rPr>
          <w:rFonts w:cs="Calibri"/>
          <w:color w:val="000000" w:themeColor="text2"/>
          <w:szCs w:val="22"/>
        </w:rPr>
        <w:t>and into normal or, at the extreme end, El Niño climate periods.</w:t>
      </w:r>
    </w:p>
    <w:p w14:paraId="221FE7E3" w14:textId="44D3CE33" w:rsidR="00E72A48" w:rsidRDefault="00745FD4" w:rsidP="00255C5B">
      <w:pPr>
        <w:pStyle w:val="Boxedlistbullet"/>
      </w:pPr>
      <w:r>
        <w:t>In wet and flood years, there is an opportunity to use Commonwealth environmental water delivery to build on these natural events to support</w:t>
      </w:r>
      <w:r w:rsidR="00C00568">
        <w:t xml:space="preserve"> the recovery of</w:t>
      </w:r>
      <w:r>
        <w:t xml:space="preserve"> fish population</w:t>
      </w:r>
      <w:r w:rsidR="00C00568">
        <w:t>s</w:t>
      </w:r>
      <w:r>
        <w:t xml:space="preserve"> (e.g. dilution flows to reduce hypoxic events and fish deaths</w:t>
      </w:r>
      <w:r w:rsidR="00C00568">
        <w:t>,</w:t>
      </w:r>
      <w:r>
        <w:t xml:space="preserve"> flows to help disperse migratory species) or maximise benefits from the post-flood period (e.g. filling gaps in the hydrograph to optimise spawning and recruitment in the season following floods).</w:t>
      </w:r>
    </w:p>
    <w:p w14:paraId="009168C5" w14:textId="76E70A8C" w:rsidR="00DA0906" w:rsidRPr="002B3FE7" w:rsidRDefault="002D31CA" w:rsidP="00DA0906">
      <w:pPr>
        <w:pStyle w:val="Boxedheadingblue"/>
      </w:pPr>
      <w:bookmarkStart w:id="572" w:name="_Toc168579901"/>
      <w:bookmarkStart w:id="573" w:name="_Toc172283695"/>
      <w:bookmarkStart w:id="574" w:name="_Toc172290995"/>
      <w:bookmarkStart w:id="575" w:name="_Toc178668894"/>
      <w:r w:rsidRPr="002B3FE7">
        <w:t xml:space="preserve">Recommendations for waterbirds </w:t>
      </w:r>
      <w:r w:rsidR="00DA0906" w:rsidRPr="002B3FE7">
        <w:t>and other fauna</w:t>
      </w:r>
      <w:bookmarkEnd w:id="572"/>
      <w:bookmarkEnd w:id="573"/>
      <w:bookmarkEnd w:id="574"/>
      <w:bookmarkEnd w:id="575"/>
    </w:p>
    <w:p w14:paraId="656CECBC" w14:textId="22681EE2" w:rsidR="00DA0906" w:rsidRPr="004B520E" w:rsidRDefault="00DA0906" w:rsidP="00255C5B">
      <w:pPr>
        <w:pStyle w:val="Boxedlistbullet"/>
      </w:pPr>
      <w:r w:rsidRPr="004B520E">
        <w:t xml:space="preserve">Explicit identification </w:t>
      </w:r>
      <w:r w:rsidR="009F576C" w:rsidRPr="004B520E">
        <w:t xml:space="preserve">is needed within each valley </w:t>
      </w:r>
      <w:r w:rsidRPr="004B520E">
        <w:t>of the occurrence and water needs of listed threatened and migratory species that occur within the managed floodplain. A more detailed assessment of the distribution of key species and current water management practices in each valley is critical to identify ‘blind spots’ where the water requirements of these species are not being met.</w:t>
      </w:r>
    </w:p>
    <w:p w14:paraId="1EC2D7B8" w14:textId="0B70CB8D" w:rsidR="00DA0906" w:rsidRPr="004B520E" w:rsidRDefault="00DA0906" w:rsidP="00DA0906">
      <w:pPr>
        <w:pStyle w:val="Boxedlistbullet"/>
      </w:pPr>
      <w:r w:rsidRPr="004B520E">
        <w:t xml:space="preserve">Increased surveillance </w:t>
      </w:r>
      <w:r w:rsidR="00CB375C" w:rsidRPr="004B520E">
        <w:t xml:space="preserve">is needed </w:t>
      </w:r>
      <w:r w:rsidRPr="004B520E">
        <w:t xml:space="preserve">of conservation-significant species that are known to occur in habitats frequently targeted with </w:t>
      </w:r>
      <w:r w:rsidR="00605206" w:rsidRPr="004B520E">
        <w:t>Commonwealth environmental water</w:t>
      </w:r>
      <w:r w:rsidRPr="004B520E">
        <w:t xml:space="preserve"> delivery, including platypus, </w:t>
      </w:r>
      <w:r w:rsidR="002D31CA" w:rsidRPr="004B520E">
        <w:t xml:space="preserve">large-footed </w:t>
      </w:r>
      <w:r w:rsidRPr="004B520E">
        <w:t xml:space="preserve">myotis (also referred to as </w:t>
      </w:r>
      <w:r w:rsidR="002D31CA" w:rsidRPr="004B520E">
        <w:t>southern</w:t>
      </w:r>
      <w:r w:rsidRPr="004B520E">
        <w:t xml:space="preserve"> myotis) and grey snake.</w:t>
      </w:r>
    </w:p>
    <w:p w14:paraId="3EDD69F5" w14:textId="0B4B358D" w:rsidR="00F344BE" w:rsidRPr="004B520E" w:rsidRDefault="00DA0906" w:rsidP="00B05195">
      <w:pPr>
        <w:pStyle w:val="Boxedlistbullet"/>
      </w:pPr>
      <w:r w:rsidRPr="004B520E">
        <w:t>While many waterbirds are highly mobile, improvements in waterbird health and survival, particularly in the first year of life, can be made by ensuring forag</w:t>
      </w:r>
      <w:r w:rsidR="36FAB059" w:rsidRPr="004B520E">
        <w:t>ing</w:t>
      </w:r>
      <w:r w:rsidRPr="004B520E">
        <w:t xml:space="preserve"> habitats are maintained year-round within key valleys. In addition, there is a need for better coordination between valleys to set and meet targets for waterbird habitats at the Basin scale, particularly in dry years when refuge habitats are critical.</w:t>
      </w:r>
    </w:p>
    <w:p w14:paraId="2408060B" w14:textId="0F722268" w:rsidR="00A74F0F" w:rsidRPr="004B520E" w:rsidRDefault="00A74F0F" w:rsidP="005821CB">
      <w:pPr>
        <w:pStyle w:val="BodyText"/>
      </w:pPr>
      <w:bookmarkStart w:id="576" w:name="_Toc172283455"/>
      <w:bookmarkStart w:id="577" w:name="_Toc172283576"/>
      <w:bookmarkStart w:id="578" w:name="_Toc172283697"/>
      <w:bookmarkStart w:id="579" w:name="_Toc172283456"/>
      <w:bookmarkStart w:id="580" w:name="_Toc172283577"/>
      <w:bookmarkStart w:id="581" w:name="_Toc172283698"/>
      <w:bookmarkStart w:id="582" w:name="_Toc172283457"/>
      <w:bookmarkStart w:id="583" w:name="_Toc172283578"/>
      <w:bookmarkStart w:id="584" w:name="_Toc172283699"/>
      <w:bookmarkStart w:id="585" w:name="_Toc172283458"/>
      <w:bookmarkStart w:id="586" w:name="_Toc172283579"/>
      <w:bookmarkStart w:id="587" w:name="_Toc172283700"/>
      <w:bookmarkStart w:id="588" w:name="_Toc172283459"/>
      <w:bookmarkStart w:id="589" w:name="_Toc172283580"/>
      <w:bookmarkStart w:id="590" w:name="_Toc172283701"/>
      <w:bookmarkStart w:id="591" w:name="_Toc172283460"/>
      <w:bookmarkStart w:id="592" w:name="_Toc172283581"/>
      <w:bookmarkStart w:id="593" w:name="_Toc172283702"/>
      <w:bookmarkStart w:id="594" w:name="_Toc172283461"/>
      <w:bookmarkStart w:id="595" w:name="_Toc172283582"/>
      <w:bookmarkStart w:id="596" w:name="_Toc172283703"/>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p>
    <w:p w14:paraId="467BBFDD" w14:textId="77777777" w:rsidR="00A74F0F" w:rsidRPr="004B520E" w:rsidRDefault="00A74F0F" w:rsidP="002B04AC">
      <w:pPr>
        <w:pStyle w:val="BodyText"/>
        <w:sectPr w:rsidR="00A74F0F" w:rsidRPr="004B520E" w:rsidSect="0062032F">
          <w:pgSz w:w="11906" w:h="16838" w:code="9"/>
          <w:pgMar w:top="1134" w:right="1134" w:bottom="1134" w:left="1134" w:header="510" w:footer="510" w:gutter="0"/>
          <w:cols w:space="284"/>
          <w:docGrid w:linePitch="360"/>
        </w:sectPr>
      </w:pPr>
    </w:p>
    <w:p w14:paraId="7CC12C1C" w14:textId="7CDA5C4B" w:rsidR="001C5A5D" w:rsidRPr="004B520E" w:rsidRDefault="00092ADA" w:rsidP="00DA0906">
      <w:pPr>
        <w:pStyle w:val="Heading9"/>
      </w:pPr>
      <w:bookmarkStart w:id="597" w:name="_Toc172283709"/>
      <w:bookmarkStart w:id="598" w:name="_Toc172290997"/>
      <w:bookmarkStart w:id="599" w:name="_Toc203682283"/>
      <w:bookmarkStart w:id="600" w:name="_Toc204606898"/>
      <w:bookmarkStart w:id="601" w:name="_Toc106204481"/>
      <w:bookmarkStart w:id="602" w:name="_Ref168399159"/>
      <w:bookmarkStart w:id="603" w:name="_Toc168579908"/>
      <w:bookmarkEnd w:id="597"/>
      <w:r w:rsidRPr="004B520E">
        <w:lastRenderedPageBreak/>
        <w:t>Commonwealth enviro</w:t>
      </w:r>
      <w:r w:rsidR="000D70C4" w:rsidRPr="004B520E">
        <w:t>n</w:t>
      </w:r>
      <w:r w:rsidRPr="004B520E">
        <w:t>mental watering actions</w:t>
      </w:r>
      <w:bookmarkEnd w:id="598"/>
      <w:bookmarkEnd w:id="599"/>
      <w:bookmarkEnd w:id="600"/>
    </w:p>
    <w:p w14:paraId="575E344C" w14:textId="0CD3D4AE" w:rsidR="001C5A5D" w:rsidRPr="004B520E" w:rsidRDefault="00467315" w:rsidP="000D70C4">
      <w:pPr>
        <w:pStyle w:val="CaptionWithNote"/>
      </w:pPr>
      <w:bookmarkStart w:id="604" w:name="_Ref172300891"/>
      <w:bookmarkStart w:id="605" w:name="_Ref172080286"/>
      <w:bookmarkStart w:id="606" w:name="_Ref172289036"/>
      <w:bookmarkStart w:id="607" w:name="_Toc172291950"/>
      <w:bookmarkStart w:id="608" w:name="_Toc204609872"/>
      <w:r w:rsidRPr="004B520E">
        <w:t>Table</w:t>
      </w:r>
      <w:r w:rsidR="00ED3CFB" w:rsidRPr="004B520E">
        <w:t> </w:t>
      </w:r>
      <w:r>
        <w:fldChar w:fldCharType="begin"/>
      </w:r>
      <w:r>
        <w:instrText>STYLEREF 9 \s</w:instrText>
      </w:r>
      <w:r>
        <w:fldChar w:fldCharType="separate"/>
      </w:r>
      <w:r w:rsidR="00C43C1D">
        <w:rPr>
          <w:noProof/>
        </w:rPr>
        <w:t>A</w:t>
      </w:r>
      <w:r>
        <w:fldChar w:fldCharType="end"/>
      </w:r>
      <w:r w:rsidR="005E17E7">
        <w:t>.</w:t>
      </w:r>
      <w:r>
        <w:fldChar w:fldCharType="begin"/>
      </w:r>
      <w:r>
        <w:instrText>SEQ ApxTable \* ARABIC \s 9</w:instrText>
      </w:r>
      <w:r>
        <w:fldChar w:fldCharType="separate"/>
      </w:r>
      <w:r w:rsidR="00C43C1D">
        <w:rPr>
          <w:noProof/>
        </w:rPr>
        <w:t>1</w:t>
      </w:r>
      <w:r>
        <w:fldChar w:fldCharType="end"/>
      </w:r>
      <w:bookmarkEnd w:id="604"/>
      <w:bookmarkEnd w:id="605"/>
      <w:bookmarkEnd w:id="606"/>
      <w:r w:rsidR="001C5A5D" w:rsidRPr="004B520E">
        <w:t xml:space="preserve"> Commonwealth environmental watering actions </w:t>
      </w:r>
      <w:r w:rsidR="007A3B8F">
        <w:t xml:space="preserve">in the northern Basin </w:t>
      </w:r>
      <w:r w:rsidR="001C5A5D" w:rsidRPr="004B520E">
        <w:t xml:space="preserve">by valley and hydrological flow component, </w:t>
      </w:r>
      <w:r w:rsidR="00244943" w:rsidRPr="004B520E">
        <w:t>2023–24</w:t>
      </w:r>
      <w:bookmarkEnd w:id="607"/>
      <w:bookmarkEnd w:id="608"/>
    </w:p>
    <w:p w14:paraId="0ED6FD37" w14:textId="2645FCDD" w:rsidR="001C5A5D" w:rsidRPr="004B520E" w:rsidRDefault="001C5A5D" w:rsidP="007326AB">
      <w:pPr>
        <w:pStyle w:val="CaptionNote"/>
      </w:pPr>
      <w:r w:rsidRPr="004B520E">
        <w:t>The flow</w:t>
      </w:r>
      <w:r w:rsidR="00B85861">
        <w:t>-</w:t>
      </w:r>
      <w:r w:rsidRPr="004B520E">
        <w:t>component terms (base flow, fresh, bankfull, overbank, wetland) are those used by the C</w:t>
      </w:r>
      <w:r w:rsidR="005C2FDA" w:rsidRPr="004B520E">
        <w:t xml:space="preserve">ommonwealth </w:t>
      </w:r>
      <w:r w:rsidRPr="004B520E">
        <w:t>E</w:t>
      </w:r>
      <w:r w:rsidR="005C2FDA" w:rsidRPr="004B520E">
        <w:t xml:space="preserve">nvironmental </w:t>
      </w:r>
      <w:r w:rsidRPr="004B520E">
        <w:t>W</w:t>
      </w:r>
      <w:r w:rsidR="005C2FDA" w:rsidRPr="004B520E">
        <w:t xml:space="preserve">ater </w:t>
      </w:r>
      <w:r w:rsidRPr="004B520E">
        <w:t>H</w:t>
      </w:r>
      <w:r w:rsidR="005C2FDA" w:rsidRPr="004B520E">
        <w:t>older</w:t>
      </w:r>
      <w:r w:rsidRPr="004B520E">
        <w:t xml:space="preserve"> when describing the watering actions.</w:t>
      </w:r>
      <w:r w:rsidR="00B85861">
        <w:t xml:space="preserve"> </w:t>
      </w:r>
      <w:r w:rsidRPr="004B520E">
        <w:t>Cell values are number of actions</w:t>
      </w:r>
      <w:r w:rsidR="00B85861">
        <w:t>,</w:t>
      </w:r>
      <w:r w:rsidRPr="004B520E">
        <w:t xml:space="preserve"> and values in parentheses are volumes in megalitres. Dash (</w:t>
      </w:r>
      <w:r w:rsidRPr="004B520E">
        <w:rPr>
          <w:rFonts w:eastAsia="Times New Roman" w:cs="Calibri"/>
          <w:sz w:val="16"/>
        </w:rPr>
        <w:t>–</w:t>
      </w:r>
      <w:r w:rsidRPr="004B520E">
        <w:t>) indicates that the watering action did not include that flow component</w:t>
      </w:r>
      <w:r w:rsidR="0005047E" w:rsidRPr="004B520E">
        <w:t>.</w:t>
      </w:r>
    </w:p>
    <w:tbl>
      <w:tblPr>
        <w:tblStyle w:val="TableFlow-Mer0"/>
        <w:tblW w:w="5000" w:type="pct"/>
        <w:tblInd w:w="0" w:type="dxa"/>
        <w:tblLayout w:type="fixed"/>
        <w:tblCellMar>
          <w:left w:w="57" w:type="dxa"/>
          <w:right w:w="57" w:type="dxa"/>
        </w:tblCellMar>
        <w:tblLook w:val="0460" w:firstRow="1" w:lastRow="1" w:firstColumn="0" w:lastColumn="0" w:noHBand="0" w:noVBand="1"/>
      </w:tblPr>
      <w:tblGrid>
        <w:gridCol w:w="1301"/>
        <w:gridCol w:w="1207"/>
        <w:gridCol w:w="1207"/>
        <w:gridCol w:w="1207"/>
        <w:gridCol w:w="1206"/>
        <w:gridCol w:w="1206"/>
        <w:gridCol w:w="1206"/>
        <w:gridCol w:w="1206"/>
        <w:gridCol w:w="1206"/>
        <w:gridCol w:w="1206"/>
        <w:gridCol w:w="1206"/>
        <w:gridCol w:w="1206"/>
      </w:tblGrid>
      <w:tr w:rsidR="005C33AC" w:rsidRPr="004B520E" w14:paraId="1225BE52" w14:textId="77777777" w:rsidTr="00C328D1">
        <w:trPr>
          <w:cnfStyle w:val="100000000000" w:firstRow="1" w:lastRow="0" w:firstColumn="0" w:lastColumn="0" w:oddVBand="0" w:evenVBand="0" w:oddHBand="0" w:evenHBand="0" w:firstRowFirstColumn="0" w:firstRowLastColumn="0" w:lastRowFirstColumn="0" w:lastRowLastColumn="0"/>
          <w:trHeight w:val="698"/>
          <w:tblHeader/>
        </w:trPr>
        <w:tc>
          <w:tcPr>
            <w:tcW w:w="446" w:type="pct"/>
            <w:tcBorders>
              <w:bottom w:val="nil"/>
              <w:right w:val="single" w:sz="4" w:space="0" w:color="auto"/>
            </w:tcBorders>
            <w:hideMark/>
          </w:tcPr>
          <w:p w14:paraId="5B654ACF" w14:textId="77777777" w:rsidR="008D0B97" w:rsidRPr="004B520E" w:rsidRDefault="008D0B97" w:rsidP="004D185A">
            <w:pPr>
              <w:pStyle w:val="ColumnHeading"/>
              <w:rPr>
                <w:b w:val="0"/>
                <w:bCs w:val="0"/>
              </w:rPr>
            </w:pPr>
            <w:bookmarkStart w:id="609" w:name="_Toc167805516"/>
            <w:bookmarkStart w:id="610" w:name="_Toc168423615"/>
            <w:bookmarkEnd w:id="609"/>
            <w:bookmarkEnd w:id="610"/>
            <w:r w:rsidRPr="004B520E">
              <w:t>Valley</w:t>
            </w:r>
          </w:p>
        </w:tc>
        <w:tc>
          <w:tcPr>
            <w:tcW w:w="414" w:type="pct"/>
            <w:tcBorders>
              <w:left w:val="single" w:sz="4" w:space="0" w:color="auto"/>
              <w:bottom w:val="nil"/>
              <w:right w:val="single" w:sz="8" w:space="0" w:color="A6A6A6" w:themeColor="background2" w:themeShade="A6"/>
            </w:tcBorders>
            <w:hideMark/>
          </w:tcPr>
          <w:p w14:paraId="57F3D9FD" w14:textId="77777777" w:rsidR="008D0B97" w:rsidRPr="004B520E" w:rsidRDefault="008D0B97" w:rsidP="004D185A">
            <w:pPr>
              <w:pStyle w:val="ColumnHeading"/>
              <w:rPr>
                <w:b w:val="0"/>
                <w:bCs w:val="0"/>
              </w:rPr>
            </w:pPr>
            <w:r w:rsidRPr="004B520E">
              <w:t>Base flow</w:t>
            </w:r>
          </w:p>
        </w:tc>
        <w:tc>
          <w:tcPr>
            <w:tcW w:w="414" w:type="pct"/>
            <w:tcBorders>
              <w:left w:val="single" w:sz="8" w:space="0" w:color="A6A6A6" w:themeColor="background2" w:themeShade="A6"/>
              <w:bottom w:val="nil"/>
              <w:right w:val="single" w:sz="8" w:space="0" w:color="A6A6A6" w:themeColor="background2" w:themeShade="A6"/>
            </w:tcBorders>
            <w:hideMark/>
          </w:tcPr>
          <w:p w14:paraId="40FEA33D" w14:textId="77777777" w:rsidR="008D0B97" w:rsidRPr="004B520E" w:rsidRDefault="008D0B97" w:rsidP="004D185A">
            <w:pPr>
              <w:pStyle w:val="ColumnHeading"/>
              <w:rPr>
                <w:b w:val="0"/>
                <w:bCs w:val="0"/>
              </w:rPr>
            </w:pPr>
            <w:r w:rsidRPr="004B520E">
              <w:t>Base flow, fresh</w:t>
            </w:r>
          </w:p>
        </w:tc>
        <w:tc>
          <w:tcPr>
            <w:tcW w:w="414" w:type="pct"/>
            <w:tcBorders>
              <w:left w:val="single" w:sz="8" w:space="0" w:color="A6A6A6" w:themeColor="background2" w:themeShade="A6"/>
              <w:bottom w:val="nil"/>
              <w:right w:val="single" w:sz="8" w:space="0" w:color="A6A6A6" w:themeColor="background2" w:themeShade="A6"/>
            </w:tcBorders>
            <w:hideMark/>
          </w:tcPr>
          <w:p w14:paraId="03C93D52" w14:textId="77777777" w:rsidR="008D0B97" w:rsidRPr="004B520E" w:rsidRDefault="008D0B97" w:rsidP="004D185A">
            <w:pPr>
              <w:pStyle w:val="ColumnHeading"/>
              <w:rPr>
                <w:b w:val="0"/>
                <w:bCs w:val="0"/>
              </w:rPr>
            </w:pPr>
            <w:r w:rsidRPr="004B520E">
              <w:t>Base flow, fresh, bankfull</w:t>
            </w:r>
          </w:p>
        </w:tc>
        <w:tc>
          <w:tcPr>
            <w:tcW w:w="414" w:type="pct"/>
            <w:tcBorders>
              <w:left w:val="single" w:sz="8" w:space="0" w:color="A6A6A6" w:themeColor="background2" w:themeShade="A6"/>
              <w:bottom w:val="nil"/>
              <w:right w:val="single" w:sz="8" w:space="0" w:color="A6A6A6" w:themeColor="background2" w:themeShade="A6"/>
            </w:tcBorders>
            <w:hideMark/>
          </w:tcPr>
          <w:p w14:paraId="5A422451" w14:textId="77777777" w:rsidR="008D0B97" w:rsidRPr="004B520E" w:rsidRDefault="008D0B97" w:rsidP="004D185A">
            <w:pPr>
              <w:pStyle w:val="ColumnHeading"/>
              <w:rPr>
                <w:b w:val="0"/>
                <w:bCs w:val="0"/>
              </w:rPr>
            </w:pPr>
            <w:r w:rsidRPr="004B520E">
              <w:t>Fresh</w:t>
            </w:r>
          </w:p>
        </w:tc>
        <w:tc>
          <w:tcPr>
            <w:tcW w:w="414" w:type="pct"/>
            <w:tcBorders>
              <w:left w:val="single" w:sz="8" w:space="0" w:color="A6A6A6" w:themeColor="background2" w:themeShade="A6"/>
              <w:bottom w:val="nil"/>
              <w:right w:val="single" w:sz="8" w:space="0" w:color="A6A6A6" w:themeColor="background2" w:themeShade="A6"/>
            </w:tcBorders>
            <w:hideMark/>
          </w:tcPr>
          <w:p w14:paraId="367813BD" w14:textId="77777777" w:rsidR="008D0B97" w:rsidRPr="004B520E" w:rsidRDefault="008D0B97" w:rsidP="004D185A">
            <w:pPr>
              <w:pStyle w:val="ColumnHeading"/>
              <w:rPr>
                <w:b w:val="0"/>
                <w:bCs w:val="0"/>
              </w:rPr>
            </w:pPr>
            <w:r w:rsidRPr="004B520E">
              <w:t>Fresh, base flow</w:t>
            </w:r>
          </w:p>
        </w:tc>
        <w:tc>
          <w:tcPr>
            <w:tcW w:w="414" w:type="pct"/>
            <w:tcBorders>
              <w:left w:val="single" w:sz="8" w:space="0" w:color="A6A6A6" w:themeColor="background2" w:themeShade="A6"/>
              <w:bottom w:val="nil"/>
              <w:right w:val="single" w:sz="8" w:space="0" w:color="A6A6A6" w:themeColor="background2" w:themeShade="A6"/>
            </w:tcBorders>
            <w:hideMark/>
          </w:tcPr>
          <w:p w14:paraId="379A0B1C" w14:textId="77777777" w:rsidR="008D0B97" w:rsidRPr="004B520E" w:rsidRDefault="008D0B97" w:rsidP="004D185A">
            <w:pPr>
              <w:pStyle w:val="ColumnHeading"/>
              <w:rPr>
                <w:b w:val="0"/>
                <w:bCs w:val="0"/>
              </w:rPr>
            </w:pPr>
            <w:r w:rsidRPr="004B520E">
              <w:t>Fresh, overbank</w:t>
            </w:r>
          </w:p>
        </w:tc>
        <w:tc>
          <w:tcPr>
            <w:tcW w:w="414" w:type="pct"/>
            <w:tcBorders>
              <w:left w:val="single" w:sz="8" w:space="0" w:color="A6A6A6" w:themeColor="background2" w:themeShade="A6"/>
              <w:bottom w:val="nil"/>
              <w:right w:val="single" w:sz="8" w:space="0" w:color="A6A6A6" w:themeColor="background2" w:themeShade="A6"/>
            </w:tcBorders>
            <w:hideMark/>
          </w:tcPr>
          <w:p w14:paraId="2BA8F5A8" w14:textId="77777777" w:rsidR="008D0B97" w:rsidRPr="004B520E" w:rsidRDefault="008D0B97" w:rsidP="004D185A">
            <w:pPr>
              <w:pStyle w:val="ColumnHeading"/>
              <w:rPr>
                <w:b w:val="0"/>
                <w:bCs w:val="0"/>
              </w:rPr>
            </w:pPr>
            <w:r w:rsidRPr="004B520E">
              <w:t>Fresh, wetland</w:t>
            </w:r>
          </w:p>
        </w:tc>
        <w:tc>
          <w:tcPr>
            <w:tcW w:w="414" w:type="pct"/>
            <w:tcBorders>
              <w:left w:val="single" w:sz="8" w:space="0" w:color="A6A6A6" w:themeColor="background2" w:themeShade="A6"/>
              <w:bottom w:val="nil"/>
              <w:right w:val="single" w:sz="8" w:space="0" w:color="A6A6A6" w:themeColor="background2" w:themeShade="A6"/>
            </w:tcBorders>
            <w:hideMark/>
          </w:tcPr>
          <w:p w14:paraId="0BE508A0" w14:textId="77777777" w:rsidR="008D0B97" w:rsidRPr="004B520E" w:rsidRDefault="008D0B97" w:rsidP="004D185A">
            <w:pPr>
              <w:pStyle w:val="ColumnHeading"/>
              <w:rPr>
                <w:b w:val="0"/>
                <w:bCs w:val="0"/>
              </w:rPr>
            </w:pPr>
            <w:r w:rsidRPr="004B520E">
              <w:t>Overbank</w:t>
            </w:r>
          </w:p>
        </w:tc>
        <w:tc>
          <w:tcPr>
            <w:tcW w:w="414" w:type="pct"/>
            <w:tcBorders>
              <w:left w:val="single" w:sz="8" w:space="0" w:color="A6A6A6" w:themeColor="background2" w:themeShade="A6"/>
              <w:bottom w:val="nil"/>
              <w:right w:val="single" w:sz="8" w:space="0" w:color="A6A6A6" w:themeColor="background2" w:themeShade="A6"/>
            </w:tcBorders>
            <w:hideMark/>
          </w:tcPr>
          <w:p w14:paraId="6C888663" w14:textId="77777777" w:rsidR="008D0B97" w:rsidRPr="004B520E" w:rsidRDefault="008D0B97" w:rsidP="004D185A">
            <w:pPr>
              <w:pStyle w:val="ColumnHeading"/>
              <w:rPr>
                <w:b w:val="0"/>
                <w:bCs w:val="0"/>
              </w:rPr>
            </w:pPr>
            <w:r w:rsidRPr="004B520E">
              <w:t>Wetland, fresh</w:t>
            </w:r>
          </w:p>
        </w:tc>
        <w:tc>
          <w:tcPr>
            <w:tcW w:w="414" w:type="pct"/>
            <w:tcBorders>
              <w:left w:val="single" w:sz="8" w:space="0" w:color="A6A6A6" w:themeColor="background2" w:themeShade="A6"/>
              <w:bottom w:val="nil"/>
              <w:right w:val="single" w:sz="8" w:space="0" w:color="A6A6A6" w:themeColor="background2" w:themeShade="A6"/>
            </w:tcBorders>
            <w:hideMark/>
          </w:tcPr>
          <w:p w14:paraId="4C9880DF" w14:textId="77777777" w:rsidR="008D0B97" w:rsidRPr="004B520E" w:rsidRDefault="008D0B97" w:rsidP="004D185A">
            <w:pPr>
              <w:pStyle w:val="ColumnHeading"/>
              <w:rPr>
                <w:b w:val="0"/>
                <w:bCs w:val="0"/>
              </w:rPr>
            </w:pPr>
            <w:r w:rsidRPr="004B520E">
              <w:t>Wetland</w:t>
            </w:r>
          </w:p>
        </w:tc>
        <w:tc>
          <w:tcPr>
            <w:tcW w:w="414" w:type="pct"/>
            <w:tcBorders>
              <w:left w:val="single" w:sz="8" w:space="0" w:color="A6A6A6" w:themeColor="background2" w:themeShade="A6"/>
              <w:bottom w:val="nil"/>
            </w:tcBorders>
            <w:hideMark/>
          </w:tcPr>
          <w:p w14:paraId="1194BD10" w14:textId="77777777" w:rsidR="008D0B97" w:rsidRPr="004B520E" w:rsidRDefault="008D0B97" w:rsidP="004D185A">
            <w:pPr>
              <w:pStyle w:val="ColumnHeading"/>
              <w:rPr>
                <w:b w:val="0"/>
                <w:bCs w:val="0"/>
              </w:rPr>
            </w:pPr>
            <w:r w:rsidRPr="004B520E">
              <w:t>Total actions (volume, ML)</w:t>
            </w:r>
          </w:p>
        </w:tc>
      </w:tr>
      <w:tr w:rsidR="005C33AC" w:rsidRPr="004B520E" w14:paraId="7EAECA55" w14:textId="77777777" w:rsidTr="00C328D1">
        <w:trPr>
          <w:cnfStyle w:val="000000100000" w:firstRow="0" w:lastRow="0" w:firstColumn="0" w:lastColumn="0" w:oddVBand="0" w:evenVBand="0" w:oddHBand="1" w:evenHBand="0" w:firstRowFirstColumn="0" w:firstRowLastColumn="0" w:lastRowFirstColumn="0" w:lastRowLastColumn="0"/>
          <w:trHeight w:val="285"/>
        </w:trPr>
        <w:tc>
          <w:tcPr>
            <w:tcW w:w="446" w:type="pct"/>
            <w:tcBorders>
              <w:top w:val="nil"/>
              <w:right w:val="single" w:sz="4" w:space="0" w:color="auto"/>
            </w:tcBorders>
            <w:noWrap/>
            <w:hideMark/>
          </w:tcPr>
          <w:p w14:paraId="1CE53C4D" w14:textId="77777777" w:rsidR="008D0B97" w:rsidRPr="004B520E" w:rsidRDefault="008D0B97" w:rsidP="0038241E">
            <w:pPr>
              <w:pStyle w:val="TableText"/>
            </w:pPr>
            <w:r w:rsidRPr="004B520E">
              <w:t>Barwon Darling</w:t>
            </w:r>
          </w:p>
        </w:tc>
        <w:tc>
          <w:tcPr>
            <w:tcW w:w="414" w:type="pct"/>
            <w:tcBorders>
              <w:top w:val="nil"/>
              <w:left w:val="single" w:sz="4" w:space="0" w:color="auto"/>
              <w:right w:val="single" w:sz="8" w:space="0" w:color="A6A6A6" w:themeColor="background2" w:themeShade="A6"/>
            </w:tcBorders>
            <w:noWrap/>
            <w:hideMark/>
          </w:tcPr>
          <w:p w14:paraId="21471C8F"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noWrap/>
            <w:hideMark/>
          </w:tcPr>
          <w:p w14:paraId="401F5179" w14:textId="77777777" w:rsidR="008D0B97" w:rsidRPr="004B520E" w:rsidRDefault="008D0B97" w:rsidP="000B73AA">
            <w:pPr>
              <w:pStyle w:val="TableTextRight0"/>
              <w:ind w:right="0"/>
            </w:pPr>
            <w:r w:rsidRPr="004B520E">
              <w:t>4 (63,385)</w:t>
            </w:r>
          </w:p>
        </w:tc>
        <w:tc>
          <w:tcPr>
            <w:tcW w:w="414" w:type="pct"/>
            <w:tcBorders>
              <w:top w:val="nil"/>
              <w:left w:val="single" w:sz="8" w:space="0" w:color="A6A6A6" w:themeColor="background2" w:themeShade="A6"/>
              <w:right w:val="single" w:sz="8" w:space="0" w:color="A6A6A6" w:themeColor="background2" w:themeShade="A6"/>
            </w:tcBorders>
            <w:noWrap/>
            <w:hideMark/>
          </w:tcPr>
          <w:p w14:paraId="0C85594A"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noWrap/>
            <w:hideMark/>
          </w:tcPr>
          <w:p w14:paraId="72BF268D"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noWrap/>
            <w:hideMark/>
          </w:tcPr>
          <w:p w14:paraId="2A36D1AE"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noWrap/>
            <w:hideMark/>
          </w:tcPr>
          <w:p w14:paraId="1416CDC4"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noWrap/>
            <w:hideMark/>
          </w:tcPr>
          <w:p w14:paraId="49E08B9B"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noWrap/>
            <w:hideMark/>
          </w:tcPr>
          <w:p w14:paraId="46588403"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noWrap/>
            <w:hideMark/>
          </w:tcPr>
          <w:p w14:paraId="4CCD449A"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right w:val="single" w:sz="8" w:space="0" w:color="A6A6A6" w:themeColor="background2" w:themeShade="A6"/>
            </w:tcBorders>
            <w:hideMark/>
          </w:tcPr>
          <w:p w14:paraId="79CD95CB" w14:textId="77777777" w:rsidR="008D0B97" w:rsidRPr="004B520E" w:rsidRDefault="008D0B97" w:rsidP="000B73AA">
            <w:pPr>
              <w:pStyle w:val="TableTextRight0"/>
              <w:ind w:right="0"/>
            </w:pPr>
            <w:r w:rsidRPr="004B520E">
              <w:t>–</w:t>
            </w:r>
          </w:p>
        </w:tc>
        <w:tc>
          <w:tcPr>
            <w:tcW w:w="414" w:type="pct"/>
            <w:tcBorders>
              <w:top w:val="nil"/>
              <w:left w:val="single" w:sz="8" w:space="0" w:color="A6A6A6" w:themeColor="background2" w:themeShade="A6"/>
            </w:tcBorders>
            <w:noWrap/>
            <w:hideMark/>
          </w:tcPr>
          <w:p w14:paraId="5EF88262" w14:textId="77777777" w:rsidR="008D0B97" w:rsidRPr="004B520E" w:rsidRDefault="008D0B97" w:rsidP="000B73AA">
            <w:pPr>
              <w:pStyle w:val="TableTextRight0"/>
              <w:ind w:right="0"/>
            </w:pPr>
            <w:r w:rsidRPr="004B520E">
              <w:t>4 (63,385)</w:t>
            </w:r>
          </w:p>
        </w:tc>
      </w:tr>
      <w:tr w:rsidR="00991655" w:rsidRPr="004B520E" w14:paraId="75BBFF93" w14:textId="77777777" w:rsidTr="00C328D1">
        <w:trPr>
          <w:trHeight w:val="285"/>
        </w:trPr>
        <w:tc>
          <w:tcPr>
            <w:tcW w:w="446" w:type="pct"/>
            <w:tcBorders>
              <w:right w:val="single" w:sz="4" w:space="0" w:color="auto"/>
            </w:tcBorders>
            <w:noWrap/>
            <w:hideMark/>
          </w:tcPr>
          <w:p w14:paraId="12950BD4" w14:textId="77777777" w:rsidR="008D0B97" w:rsidRPr="004B520E" w:rsidRDefault="008D0B97" w:rsidP="0038241E">
            <w:pPr>
              <w:pStyle w:val="TableText"/>
            </w:pPr>
            <w:r w:rsidRPr="004B520E">
              <w:t>Border Rivers</w:t>
            </w:r>
          </w:p>
        </w:tc>
        <w:tc>
          <w:tcPr>
            <w:tcW w:w="414" w:type="pct"/>
            <w:tcBorders>
              <w:left w:val="single" w:sz="4" w:space="0" w:color="auto"/>
              <w:right w:val="single" w:sz="8" w:space="0" w:color="A6A6A6" w:themeColor="background2" w:themeShade="A6"/>
            </w:tcBorders>
            <w:noWrap/>
            <w:hideMark/>
          </w:tcPr>
          <w:p w14:paraId="7AF37BAF"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69DCE733" w14:textId="77777777" w:rsidR="008D0B97" w:rsidRPr="004B520E" w:rsidRDefault="008D0B97" w:rsidP="000B73AA">
            <w:pPr>
              <w:pStyle w:val="TableTextRight0"/>
              <w:ind w:right="0"/>
            </w:pPr>
            <w:r w:rsidRPr="004B520E">
              <w:t>3 (1,437)</w:t>
            </w:r>
          </w:p>
        </w:tc>
        <w:tc>
          <w:tcPr>
            <w:tcW w:w="414" w:type="pct"/>
            <w:tcBorders>
              <w:left w:val="single" w:sz="8" w:space="0" w:color="A6A6A6" w:themeColor="background2" w:themeShade="A6"/>
              <w:right w:val="single" w:sz="8" w:space="0" w:color="A6A6A6" w:themeColor="background2" w:themeShade="A6"/>
            </w:tcBorders>
            <w:noWrap/>
            <w:hideMark/>
          </w:tcPr>
          <w:p w14:paraId="5A9E8ED4" w14:textId="77777777" w:rsidR="008D0B97" w:rsidRPr="004B520E" w:rsidRDefault="008D0B97" w:rsidP="000B73AA">
            <w:pPr>
              <w:pStyle w:val="TableTextRight0"/>
              <w:ind w:right="0"/>
            </w:pPr>
            <w:r w:rsidRPr="004B520E">
              <w:t>1 (5,671)</w:t>
            </w:r>
          </w:p>
        </w:tc>
        <w:tc>
          <w:tcPr>
            <w:tcW w:w="414" w:type="pct"/>
            <w:tcBorders>
              <w:left w:val="single" w:sz="8" w:space="0" w:color="A6A6A6" w:themeColor="background2" w:themeShade="A6"/>
              <w:right w:val="single" w:sz="8" w:space="0" w:color="A6A6A6" w:themeColor="background2" w:themeShade="A6"/>
            </w:tcBorders>
            <w:noWrap/>
            <w:hideMark/>
          </w:tcPr>
          <w:p w14:paraId="0FDA4C29" w14:textId="77777777" w:rsidR="008D0B97" w:rsidRPr="004B520E" w:rsidRDefault="008D0B97" w:rsidP="000B73AA">
            <w:pPr>
              <w:pStyle w:val="TableTextRight0"/>
              <w:ind w:right="0"/>
            </w:pPr>
            <w:r w:rsidRPr="004B520E">
              <w:t>9 (4,953)</w:t>
            </w:r>
          </w:p>
        </w:tc>
        <w:tc>
          <w:tcPr>
            <w:tcW w:w="414" w:type="pct"/>
            <w:tcBorders>
              <w:left w:val="single" w:sz="8" w:space="0" w:color="A6A6A6" w:themeColor="background2" w:themeShade="A6"/>
              <w:right w:val="single" w:sz="8" w:space="0" w:color="A6A6A6" w:themeColor="background2" w:themeShade="A6"/>
            </w:tcBorders>
            <w:noWrap/>
            <w:hideMark/>
          </w:tcPr>
          <w:p w14:paraId="44A87F03"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0F1D5FD3"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74F1CAEF"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7B03363F"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4544FFCE"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hideMark/>
          </w:tcPr>
          <w:p w14:paraId="0316517D"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tcBorders>
            <w:noWrap/>
            <w:hideMark/>
          </w:tcPr>
          <w:p w14:paraId="0A40DF1D" w14:textId="77777777" w:rsidR="008D0B97" w:rsidRPr="004B520E" w:rsidRDefault="008D0B97" w:rsidP="000B73AA">
            <w:pPr>
              <w:pStyle w:val="TableTextRight0"/>
              <w:ind w:right="0"/>
            </w:pPr>
            <w:r w:rsidRPr="004B520E">
              <w:t>13 (12,061)</w:t>
            </w:r>
          </w:p>
        </w:tc>
      </w:tr>
      <w:tr w:rsidR="005C33AC" w:rsidRPr="004B520E" w14:paraId="3EFBB495" w14:textId="77777777" w:rsidTr="00C328D1">
        <w:trPr>
          <w:cnfStyle w:val="000000100000" w:firstRow="0" w:lastRow="0" w:firstColumn="0" w:lastColumn="0" w:oddVBand="0" w:evenVBand="0" w:oddHBand="1" w:evenHBand="0" w:firstRowFirstColumn="0" w:firstRowLastColumn="0" w:lastRowFirstColumn="0" w:lastRowLastColumn="0"/>
          <w:trHeight w:val="285"/>
        </w:trPr>
        <w:tc>
          <w:tcPr>
            <w:tcW w:w="446" w:type="pct"/>
            <w:tcBorders>
              <w:right w:val="single" w:sz="4" w:space="0" w:color="auto"/>
            </w:tcBorders>
            <w:hideMark/>
          </w:tcPr>
          <w:p w14:paraId="4848A965" w14:textId="77777777" w:rsidR="008D0B97" w:rsidRPr="004B520E" w:rsidRDefault="008D0B97" w:rsidP="0038241E">
            <w:pPr>
              <w:pStyle w:val="TableText"/>
            </w:pPr>
            <w:r w:rsidRPr="004B520E">
              <w:t>Condamine Balonne</w:t>
            </w:r>
          </w:p>
        </w:tc>
        <w:tc>
          <w:tcPr>
            <w:tcW w:w="414" w:type="pct"/>
            <w:tcBorders>
              <w:left w:val="single" w:sz="4" w:space="0" w:color="auto"/>
              <w:right w:val="single" w:sz="8" w:space="0" w:color="A6A6A6" w:themeColor="background2" w:themeShade="A6"/>
            </w:tcBorders>
            <w:noWrap/>
            <w:hideMark/>
          </w:tcPr>
          <w:p w14:paraId="2697741D"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1B4E5002"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26601D8B"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505A158B" w14:textId="77777777" w:rsidR="008D0B97" w:rsidRPr="004B520E" w:rsidRDefault="008D0B97" w:rsidP="000B73AA">
            <w:pPr>
              <w:pStyle w:val="TableTextRight0"/>
              <w:ind w:right="0"/>
            </w:pPr>
            <w:r w:rsidRPr="004B520E">
              <w:t>1 (1,328)</w:t>
            </w:r>
          </w:p>
        </w:tc>
        <w:tc>
          <w:tcPr>
            <w:tcW w:w="414" w:type="pct"/>
            <w:tcBorders>
              <w:left w:val="single" w:sz="8" w:space="0" w:color="A6A6A6" w:themeColor="background2" w:themeShade="A6"/>
              <w:right w:val="single" w:sz="8" w:space="0" w:color="A6A6A6" w:themeColor="background2" w:themeShade="A6"/>
            </w:tcBorders>
            <w:noWrap/>
            <w:hideMark/>
          </w:tcPr>
          <w:p w14:paraId="2AF94A3E"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38A1F0B5" w14:textId="77777777" w:rsidR="008D0B97" w:rsidRPr="004B520E" w:rsidRDefault="008D0B97" w:rsidP="000B73AA">
            <w:pPr>
              <w:pStyle w:val="TableTextRight0"/>
              <w:ind w:right="0"/>
            </w:pPr>
            <w:r w:rsidRPr="004B520E">
              <w:t>1 (71,299)</w:t>
            </w:r>
          </w:p>
        </w:tc>
        <w:tc>
          <w:tcPr>
            <w:tcW w:w="414" w:type="pct"/>
            <w:tcBorders>
              <w:left w:val="single" w:sz="8" w:space="0" w:color="A6A6A6" w:themeColor="background2" w:themeShade="A6"/>
              <w:right w:val="single" w:sz="8" w:space="0" w:color="A6A6A6" w:themeColor="background2" w:themeShade="A6"/>
            </w:tcBorders>
            <w:noWrap/>
            <w:hideMark/>
          </w:tcPr>
          <w:p w14:paraId="379C34D5"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7EA3AA7D"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67D078D1"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hideMark/>
          </w:tcPr>
          <w:p w14:paraId="43B7CA0F"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tcBorders>
            <w:noWrap/>
            <w:hideMark/>
          </w:tcPr>
          <w:p w14:paraId="7CCF7D02" w14:textId="77777777" w:rsidR="008D0B97" w:rsidRPr="004B520E" w:rsidRDefault="008D0B97" w:rsidP="000B73AA">
            <w:pPr>
              <w:pStyle w:val="TableTextRight0"/>
              <w:ind w:right="0"/>
            </w:pPr>
            <w:r w:rsidRPr="004B520E">
              <w:t>2 (72,627)</w:t>
            </w:r>
          </w:p>
        </w:tc>
      </w:tr>
      <w:tr w:rsidR="00991655" w:rsidRPr="004B520E" w14:paraId="2BBC9674" w14:textId="77777777" w:rsidTr="00C328D1">
        <w:trPr>
          <w:trHeight w:val="285"/>
        </w:trPr>
        <w:tc>
          <w:tcPr>
            <w:tcW w:w="446" w:type="pct"/>
            <w:tcBorders>
              <w:right w:val="single" w:sz="4" w:space="0" w:color="auto"/>
            </w:tcBorders>
            <w:noWrap/>
            <w:hideMark/>
          </w:tcPr>
          <w:p w14:paraId="594B7F89" w14:textId="77777777" w:rsidR="008D0B97" w:rsidRPr="004B520E" w:rsidRDefault="008D0B97" w:rsidP="0038241E">
            <w:pPr>
              <w:pStyle w:val="TableText"/>
            </w:pPr>
            <w:r w:rsidRPr="004B520E">
              <w:t>Gwydir</w:t>
            </w:r>
          </w:p>
        </w:tc>
        <w:tc>
          <w:tcPr>
            <w:tcW w:w="414" w:type="pct"/>
            <w:tcBorders>
              <w:left w:val="single" w:sz="4" w:space="0" w:color="auto"/>
              <w:right w:val="single" w:sz="8" w:space="0" w:color="A6A6A6" w:themeColor="background2" w:themeShade="A6"/>
            </w:tcBorders>
            <w:noWrap/>
            <w:hideMark/>
          </w:tcPr>
          <w:p w14:paraId="40688894"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054C7F7E"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62C3C390"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0B324D66" w14:textId="77777777" w:rsidR="008D0B97" w:rsidRPr="004B520E" w:rsidRDefault="008D0B97" w:rsidP="000B73AA">
            <w:pPr>
              <w:pStyle w:val="TableTextRight0"/>
              <w:ind w:right="0"/>
            </w:pPr>
            <w:r w:rsidRPr="004B520E">
              <w:t>2 (4,500)</w:t>
            </w:r>
          </w:p>
        </w:tc>
        <w:tc>
          <w:tcPr>
            <w:tcW w:w="414" w:type="pct"/>
            <w:tcBorders>
              <w:left w:val="single" w:sz="8" w:space="0" w:color="A6A6A6" w:themeColor="background2" w:themeShade="A6"/>
              <w:right w:val="single" w:sz="8" w:space="0" w:color="A6A6A6" w:themeColor="background2" w:themeShade="A6"/>
            </w:tcBorders>
            <w:noWrap/>
            <w:hideMark/>
          </w:tcPr>
          <w:p w14:paraId="23CFEC9E"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7AB52377"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121E83AB"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37ADFF47"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29271D90"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hideMark/>
          </w:tcPr>
          <w:p w14:paraId="5CA5DDD3" w14:textId="77777777" w:rsidR="008D0B97" w:rsidRPr="004B520E" w:rsidRDefault="008D0B97" w:rsidP="000B73AA">
            <w:pPr>
              <w:pStyle w:val="TableTextRight0"/>
              <w:ind w:right="0"/>
            </w:pPr>
            <w:r w:rsidRPr="004B520E">
              <w:t>2 (10,539)</w:t>
            </w:r>
          </w:p>
        </w:tc>
        <w:tc>
          <w:tcPr>
            <w:tcW w:w="414" w:type="pct"/>
            <w:tcBorders>
              <w:left w:val="single" w:sz="8" w:space="0" w:color="A6A6A6" w:themeColor="background2" w:themeShade="A6"/>
            </w:tcBorders>
            <w:noWrap/>
            <w:hideMark/>
          </w:tcPr>
          <w:p w14:paraId="623BD08D" w14:textId="77777777" w:rsidR="008D0B97" w:rsidRPr="004B520E" w:rsidRDefault="008D0B97" w:rsidP="000B73AA">
            <w:pPr>
              <w:pStyle w:val="TableTextRight0"/>
              <w:ind w:right="0"/>
            </w:pPr>
            <w:r w:rsidRPr="004B520E">
              <w:t>4 (15,039)</w:t>
            </w:r>
          </w:p>
        </w:tc>
      </w:tr>
      <w:tr w:rsidR="005C33AC" w:rsidRPr="004B520E" w14:paraId="051A6FCF" w14:textId="77777777" w:rsidTr="00C328D1">
        <w:trPr>
          <w:cnfStyle w:val="000000100000" w:firstRow="0" w:lastRow="0" w:firstColumn="0" w:lastColumn="0" w:oddVBand="0" w:evenVBand="0" w:oddHBand="1" w:evenHBand="0" w:firstRowFirstColumn="0" w:firstRowLastColumn="0" w:lastRowFirstColumn="0" w:lastRowLastColumn="0"/>
          <w:trHeight w:val="285"/>
        </w:trPr>
        <w:tc>
          <w:tcPr>
            <w:tcW w:w="446" w:type="pct"/>
            <w:tcBorders>
              <w:right w:val="single" w:sz="4" w:space="0" w:color="auto"/>
            </w:tcBorders>
            <w:noWrap/>
            <w:hideMark/>
          </w:tcPr>
          <w:p w14:paraId="7CE4A2D3" w14:textId="77777777" w:rsidR="008D0B97" w:rsidRPr="004B520E" w:rsidRDefault="008D0B97" w:rsidP="0038241E">
            <w:pPr>
              <w:pStyle w:val="TableText"/>
            </w:pPr>
            <w:r w:rsidRPr="004B520E">
              <w:t>Macquarie</w:t>
            </w:r>
          </w:p>
        </w:tc>
        <w:tc>
          <w:tcPr>
            <w:tcW w:w="414" w:type="pct"/>
            <w:tcBorders>
              <w:left w:val="single" w:sz="4" w:space="0" w:color="auto"/>
              <w:right w:val="single" w:sz="8" w:space="0" w:color="A6A6A6" w:themeColor="background2" w:themeShade="A6"/>
            </w:tcBorders>
            <w:noWrap/>
            <w:hideMark/>
          </w:tcPr>
          <w:p w14:paraId="6A476BD1"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510011CF"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0AB806B9"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50E6967C" w14:textId="77777777" w:rsidR="008D0B97" w:rsidRPr="004B520E" w:rsidRDefault="008D0B97" w:rsidP="000B73AA">
            <w:pPr>
              <w:pStyle w:val="TableTextRight0"/>
              <w:ind w:right="0"/>
            </w:pPr>
            <w:r w:rsidRPr="004B520E">
              <w:t>1 (3,833)</w:t>
            </w:r>
          </w:p>
        </w:tc>
        <w:tc>
          <w:tcPr>
            <w:tcW w:w="414" w:type="pct"/>
            <w:tcBorders>
              <w:left w:val="single" w:sz="8" w:space="0" w:color="A6A6A6" w:themeColor="background2" w:themeShade="A6"/>
              <w:right w:val="single" w:sz="8" w:space="0" w:color="A6A6A6" w:themeColor="background2" w:themeShade="A6"/>
            </w:tcBorders>
            <w:noWrap/>
            <w:hideMark/>
          </w:tcPr>
          <w:p w14:paraId="3928047D"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4F410966"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0D126DAB"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1705E3E8"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58050A41" w14:textId="77777777" w:rsidR="008D0B97" w:rsidRPr="004B520E" w:rsidRDefault="008D0B97" w:rsidP="000B73AA">
            <w:pPr>
              <w:pStyle w:val="TableTextRight0"/>
              <w:ind w:right="0"/>
            </w:pPr>
            <w:r w:rsidRPr="004B520E">
              <w:t>1 (56,046)</w:t>
            </w:r>
          </w:p>
        </w:tc>
        <w:tc>
          <w:tcPr>
            <w:tcW w:w="414" w:type="pct"/>
            <w:tcBorders>
              <w:left w:val="single" w:sz="8" w:space="0" w:color="A6A6A6" w:themeColor="background2" w:themeShade="A6"/>
              <w:right w:val="single" w:sz="8" w:space="0" w:color="A6A6A6" w:themeColor="background2" w:themeShade="A6"/>
            </w:tcBorders>
            <w:hideMark/>
          </w:tcPr>
          <w:p w14:paraId="54674AAF"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tcBorders>
            <w:noWrap/>
            <w:hideMark/>
          </w:tcPr>
          <w:p w14:paraId="19A90B12" w14:textId="77777777" w:rsidR="008D0B97" w:rsidRPr="004B520E" w:rsidRDefault="008D0B97" w:rsidP="000B73AA">
            <w:pPr>
              <w:pStyle w:val="TableTextRight0"/>
              <w:ind w:right="0"/>
            </w:pPr>
            <w:r w:rsidRPr="004B520E">
              <w:t>2 (59,879)</w:t>
            </w:r>
          </w:p>
        </w:tc>
      </w:tr>
      <w:tr w:rsidR="00991655" w:rsidRPr="004B520E" w14:paraId="59547C9D" w14:textId="77777777" w:rsidTr="00C328D1">
        <w:trPr>
          <w:trHeight w:val="285"/>
        </w:trPr>
        <w:tc>
          <w:tcPr>
            <w:tcW w:w="446" w:type="pct"/>
            <w:tcBorders>
              <w:right w:val="single" w:sz="4" w:space="0" w:color="auto"/>
            </w:tcBorders>
            <w:noWrap/>
            <w:hideMark/>
          </w:tcPr>
          <w:p w14:paraId="62400980" w14:textId="77777777" w:rsidR="008D0B97" w:rsidRPr="004B520E" w:rsidRDefault="008D0B97" w:rsidP="0038241E">
            <w:pPr>
              <w:pStyle w:val="TableText"/>
            </w:pPr>
            <w:r w:rsidRPr="004B520E">
              <w:t>Namoi</w:t>
            </w:r>
          </w:p>
        </w:tc>
        <w:tc>
          <w:tcPr>
            <w:tcW w:w="414" w:type="pct"/>
            <w:tcBorders>
              <w:left w:val="single" w:sz="4" w:space="0" w:color="auto"/>
              <w:right w:val="single" w:sz="8" w:space="0" w:color="A6A6A6" w:themeColor="background2" w:themeShade="A6"/>
            </w:tcBorders>
            <w:noWrap/>
            <w:hideMark/>
          </w:tcPr>
          <w:p w14:paraId="4DB96145" w14:textId="77777777" w:rsidR="008D0B97" w:rsidRPr="004B520E" w:rsidRDefault="008D0B97" w:rsidP="000B73AA">
            <w:pPr>
              <w:pStyle w:val="TableTextRight0"/>
              <w:ind w:right="0"/>
            </w:pPr>
            <w:r w:rsidRPr="004B520E">
              <w:t>1 (900)</w:t>
            </w:r>
          </w:p>
        </w:tc>
        <w:tc>
          <w:tcPr>
            <w:tcW w:w="414" w:type="pct"/>
            <w:tcBorders>
              <w:left w:val="single" w:sz="8" w:space="0" w:color="A6A6A6" w:themeColor="background2" w:themeShade="A6"/>
              <w:right w:val="single" w:sz="8" w:space="0" w:color="A6A6A6" w:themeColor="background2" w:themeShade="A6"/>
            </w:tcBorders>
            <w:noWrap/>
            <w:hideMark/>
          </w:tcPr>
          <w:p w14:paraId="5BD571E0"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267E881A"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5F380C3C" w14:textId="77777777" w:rsidR="008D0B97" w:rsidRPr="004B520E" w:rsidRDefault="008D0B97" w:rsidP="000B73AA">
            <w:pPr>
              <w:pStyle w:val="TableTextRight0"/>
              <w:ind w:right="0"/>
            </w:pPr>
            <w:r w:rsidRPr="004B520E">
              <w:t>1 (8,379)</w:t>
            </w:r>
          </w:p>
        </w:tc>
        <w:tc>
          <w:tcPr>
            <w:tcW w:w="414" w:type="pct"/>
            <w:tcBorders>
              <w:left w:val="single" w:sz="8" w:space="0" w:color="A6A6A6" w:themeColor="background2" w:themeShade="A6"/>
              <w:right w:val="single" w:sz="8" w:space="0" w:color="A6A6A6" w:themeColor="background2" w:themeShade="A6"/>
            </w:tcBorders>
            <w:noWrap/>
            <w:hideMark/>
          </w:tcPr>
          <w:p w14:paraId="043A3BE2"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4917F7A9"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3784EED4"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01CB0C18"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659B965C"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right w:val="single" w:sz="8" w:space="0" w:color="A6A6A6" w:themeColor="background2" w:themeShade="A6"/>
            </w:tcBorders>
            <w:hideMark/>
          </w:tcPr>
          <w:p w14:paraId="1CE4369F"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tcBorders>
            <w:noWrap/>
            <w:hideMark/>
          </w:tcPr>
          <w:p w14:paraId="7A102B27" w14:textId="77777777" w:rsidR="008D0B97" w:rsidRPr="004B520E" w:rsidRDefault="008D0B97" w:rsidP="000B73AA">
            <w:pPr>
              <w:pStyle w:val="TableTextRight0"/>
              <w:ind w:right="0"/>
            </w:pPr>
            <w:r w:rsidRPr="004B520E">
              <w:t>2 (9,279)</w:t>
            </w:r>
          </w:p>
        </w:tc>
      </w:tr>
      <w:tr w:rsidR="005C33AC" w:rsidRPr="004B520E" w14:paraId="0EC65A08" w14:textId="77777777" w:rsidTr="00C328D1">
        <w:trPr>
          <w:cnfStyle w:val="000000100000" w:firstRow="0" w:lastRow="0" w:firstColumn="0" w:lastColumn="0" w:oddVBand="0" w:evenVBand="0" w:oddHBand="1" w:evenHBand="0" w:firstRowFirstColumn="0" w:firstRowLastColumn="0" w:lastRowFirstColumn="0" w:lastRowLastColumn="0"/>
          <w:trHeight w:val="285"/>
        </w:trPr>
        <w:tc>
          <w:tcPr>
            <w:tcW w:w="446" w:type="pct"/>
            <w:tcBorders>
              <w:bottom w:val="nil"/>
              <w:right w:val="single" w:sz="4" w:space="0" w:color="auto"/>
            </w:tcBorders>
            <w:noWrap/>
            <w:hideMark/>
          </w:tcPr>
          <w:p w14:paraId="193D8035" w14:textId="77777777" w:rsidR="008D0B97" w:rsidRPr="004B520E" w:rsidRDefault="008D0B97" w:rsidP="0038241E">
            <w:pPr>
              <w:pStyle w:val="TableText"/>
            </w:pPr>
            <w:r w:rsidRPr="004B520E">
              <w:t>Warrego</w:t>
            </w:r>
          </w:p>
        </w:tc>
        <w:tc>
          <w:tcPr>
            <w:tcW w:w="414" w:type="pct"/>
            <w:tcBorders>
              <w:left w:val="single" w:sz="4" w:space="0" w:color="auto"/>
              <w:bottom w:val="nil"/>
              <w:right w:val="single" w:sz="8" w:space="0" w:color="A6A6A6" w:themeColor="background2" w:themeShade="A6"/>
            </w:tcBorders>
            <w:noWrap/>
            <w:hideMark/>
          </w:tcPr>
          <w:p w14:paraId="676C3DAE"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right w:val="single" w:sz="8" w:space="0" w:color="A6A6A6" w:themeColor="background2" w:themeShade="A6"/>
            </w:tcBorders>
            <w:noWrap/>
            <w:hideMark/>
          </w:tcPr>
          <w:p w14:paraId="3E87208A"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right w:val="single" w:sz="8" w:space="0" w:color="A6A6A6" w:themeColor="background2" w:themeShade="A6"/>
            </w:tcBorders>
            <w:noWrap/>
            <w:hideMark/>
          </w:tcPr>
          <w:p w14:paraId="60F8304A" w14:textId="77777777" w:rsidR="008D0B97" w:rsidRPr="004B520E" w:rsidRDefault="008D0B97" w:rsidP="000B73AA">
            <w:pPr>
              <w:pStyle w:val="TableTextRight0"/>
              <w:ind w:right="0"/>
            </w:pPr>
            <w:r w:rsidRPr="004B520E">
              <w:t>2 (14,456)</w:t>
            </w:r>
          </w:p>
        </w:tc>
        <w:tc>
          <w:tcPr>
            <w:tcW w:w="414" w:type="pct"/>
            <w:tcBorders>
              <w:left w:val="single" w:sz="8" w:space="0" w:color="A6A6A6" w:themeColor="background2" w:themeShade="A6"/>
              <w:bottom w:val="nil"/>
              <w:right w:val="single" w:sz="8" w:space="0" w:color="A6A6A6" w:themeColor="background2" w:themeShade="A6"/>
            </w:tcBorders>
            <w:noWrap/>
            <w:hideMark/>
          </w:tcPr>
          <w:p w14:paraId="2C615EC6"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right w:val="single" w:sz="8" w:space="0" w:color="A6A6A6" w:themeColor="background2" w:themeShade="A6"/>
            </w:tcBorders>
            <w:noWrap/>
            <w:hideMark/>
          </w:tcPr>
          <w:p w14:paraId="2E7DAE3E"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right w:val="single" w:sz="8" w:space="0" w:color="A6A6A6" w:themeColor="background2" w:themeShade="A6"/>
            </w:tcBorders>
            <w:noWrap/>
            <w:hideMark/>
          </w:tcPr>
          <w:p w14:paraId="269251F9"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right w:val="single" w:sz="8" w:space="0" w:color="A6A6A6" w:themeColor="background2" w:themeShade="A6"/>
            </w:tcBorders>
            <w:noWrap/>
            <w:hideMark/>
          </w:tcPr>
          <w:p w14:paraId="565F81F1"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right w:val="single" w:sz="8" w:space="0" w:color="A6A6A6" w:themeColor="background2" w:themeShade="A6"/>
            </w:tcBorders>
            <w:noWrap/>
            <w:hideMark/>
          </w:tcPr>
          <w:p w14:paraId="2908D524" w14:textId="77777777" w:rsidR="008D0B97" w:rsidRPr="004B520E" w:rsidRDefault="008D0B97" w:rsidP="000B73AA">
            <w:pPr>
              <w:pStyle w:val="TableTextRight0"/>
              <w:ind w:right="0"/>
            </w:pPr>
            <w:r w:rsidRPr="004B520E">
              <w:t>1 (8,370)</w:t>
            </w:r>
          </w:p>
        </w:tc>
        <w:tc>
          <w:tcPr>
            <w:tcW w:w="414" w:type="pct"/>
            <w:tcBorders>
              <w:left w:val="single" w:sz="8" w:space="0" w:color="A6A6A6" w:themeColor="background2" w:themeShade="A6"/>
              <w:bottom w:val="nil"/>
              <w:right w:val="single" w:sz="8" w:space="0" w:color="A6A6A6" w:themeColor="background2" w:themeShade="A6"/>
            </w:tcBorders>
            <w:noWrap/>
            <w:hideMark/>
          </w:tcPr>
          <w:p w14:paraId="52E590B5"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right w:val="single" w:sz="8" w:space="0" w:color="A6A6A6" w:themeColor="background2" w:themeShade="A6"/>
            </w:tcBorders>
            <w:hideMark/>
          </w:tcPr>
          <w:p w14:paraId="4BED464C" w14:textId="77777777" w:rsidR="008D0B97" w:rsidRPr="004B520E" w:rsidRDefault="008D0B97" w:rsidP="000B73AA">
            <w:pPr>
              <w:pStyle w:val="TableTextRight0"/>
              <w:ind w:right="0"/>
            </w:pPr>
            <w:r w:rsidRPr="004B520E">
              <w:t>–</w:t>
            </w:r>
          </w:p>
        </w:tc>
        <w:tc>
          <w:tcPr>
            <w:tcW w:w="414" w:type="pct"/>
            <w:tcBorders>
              <w:left w:val="single" w:sz="8" w:space="0" w:color="A6A6A6" w:themeColor="background2" w:themeShade="A6"/>
              <w:bottom w:val="nil"/>
            </w:tcBorders>
            <w:noWrap/>
            <w:hideMark/>
          </w:tcPr>
          <w:p w14:paraId="68AEA394" w14:textId="77777777" w:rsidR="008D0B97" w:rsidRPr="004B520E" w:rsidRDefault="008D0B97" w:rsidP="000B73AA">
            <w:pPr>
              <w:pStyle w:val="TableTextRight0"/>
              <w:ind w:right="0"/>
            </w:pPr>
            <w:r w:rsidRPr="004B520E">
              <w:t>3 (22,826)</w:t>
            </w:r>
          </w:p>
        </w:tc>
      </w:tr>
      <w:tr w:rsidR="00991655" w:rsidRPr="004B520E" w14:paraId="39145757" w14:textId="77777777" w:rsidTr="00C328D1">
        <w:trPr>
          <w:cnfStyle w:val="010000000000" w:firstRow="0" w:lastRow="1" w:firstColumn="0" w:lastColumn="0" w:oddVBand="0" w:evenVBand="0" w:oddHBand="0" w:evenHBand="0" w:firstRowFirstColumn="0" w:firstRowLastColumn="0" w:lastRowFirstColumn="0" w:lastRowLastColumn="0"/>
          <w:trHeight w:val="293"/>
        </w:trPr>
        <w:tc>
          <w:tcPr>
            <w:tcW w:w="446" w:type="pct"/>
            <w:tcBorders>
              <w:right w:val="single" w:sz="4" w:space="0" w:color="auto"/>
            </w:tcBorders>
            <w:noWrap/>
            <w:hideMark/>
          </w:tcPr>
          <w:p w14:paraId="1393FB35" w14:textId="77777777" w:rsidR="008D0B97" w:rsidRPr="004B520E" w:rsidRDefault="008D0B97" w:rsidP="0038241E">
            <w:pPr>
              <w:pStyle w:val="TableText"/>
            </w:pPr>
            <w:r w:rsidRPr="004B520E">
              <w:t>Total</w:t>
            </w:r>
          </w:p>
        </w:tc>
        <w:tc>
          <w:tcPr>
            <w:tcW w:w="414" w:type="pct"/>
            <w:tcBorders>
              <w:left w:val="single" w:sz="4" w:space="0" w:color="auto"/>
              <w:right w:val="single" w:sz="8" w:space="0" w:color="A6A6A6" w:themeColor="background2" w:themeShade="A6"/>
            </w:tcBorders>
            <w:noWrap/>
            <w:hideMark/>
          </w:tcPr>
          <w:p w14:paraId="2F18DDEC" w14:textId="63E33301" w:rsidR="008D0B97" w:rsidRPr="004B520E" w:rsidRDefault="00A76DDD" w:rsidP="000B73AA">
            <w:pPr>
              <w:pStyle w:val="TableText"/>
              <w:jc w:val="right"/>
            </w:pPr>
            <w:r>
              <w:t>1</w:t>
            </w:r>
            <w:r w:rsidR="008D0B97" w:rsidRPr="004B520E">
              <w:t xml:space="preserve"> (</w:t>
            </w:r>
            <w:r>
              <w:t>900</w:t>
            </w:r>
            <w:r w:rsidR="008D0B97"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68066D04" w14:textId="19720708" w:rsidR="008D0B97" w:rsidRPr="004B520E" w:rsidRDefault="005843DF" w:rsidP="000B73AA">
            <w:pPr>
              <w:pStyle w:val="TableTextRight0"/>
              <w:ind w:right="0"/>
            </w:pPr>
            <w:r>
              <w:t>7</w:t>
            </w:r>
            <w:r w:rsidR="008D0B97" w:rsidRPr="004B520E">
              <w:t xml:space="preserve"> (</w:t>
            </w:r>
            <w:r w:rsidR="003455AA">
              <w:t>64,822</w:t>
            </w:r>
            <w:r w:rsidR="008D0B97"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59911AD4" w14:textId="6434D4CB" w:rsidR="008D0B97" w:rsidRPr="004B520E" w:rsidRDefault="003455AA" w:rsidP="000B73AA">
            <w:pPr>
              <w:pStyle w:val="TableTextRight0"/>
              <w:ind w:right="0"/>
            </w:pPr>
            <w:r>
              <w:t>3</w:t>
            </w:r>
            <w:r w:rsidR="008D0B97" w:rsidRPr="004B520E">
              <w:t xml:space="preserve"> (</w:t>
            </w:r>
            <w:r w:rsidR="00F455E5">
              <w:t>20,127</w:t>
            </w:r>
            <w:r w:rsidR="008D0B97"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2EBF11D5" w14:textId="44D7BA76" w:rsidR="008D0B97" w:rsidRPr="004B520E" w:rsidRDefault="00D970B7" w:rsidP="000B73AA">
            <w:pPr>
              <w:pStyle w:val="TableText"/>
              <w:jc w:val="right"/>
            </w:pPr>
            <w:r>
              <w:t>14</w:t>
            </w:r>
            <w:r w:rsidR="008D0B97" w:rsidRPr="004B520E">
              <w:t xml:space="preserve"> (</w:t>
            </w:r>
            <w:r w:rsidR="0015084F">
              <w:t>22,993</w:t>
            </w:r>
            <w:r w:rsidR="008D0B97" w:rsidRPr="004B520E">
              <w:t>)</w:t>
            </w:r>
          </w:p>
        </w:tc>
        <w:tc>
          <w:tcPr>
            <w:tcW w:w="414" w:type="pct"/>
            <w:tcBorders>
              <w:left w:val="single" w:sz="8" w:space="0" w:color="A6A6A6" w:themeColor="background2" w:themeShade="A6"/>
              <w:right w:val="single" w:sz="8" w:space="0" w:color="A6A6A6" w:themeColor="background2" w:themeShade="A6"/>
            </w:tcBorders>
            <w:noWrap/>
            <w:hideMark/>
          </w:tcPr>
          <w:p w14:paraId="731BD18C" w14:textId="23190966" w:rsidR="008D0B97" w:rsidRPr="004B520E" w:rsidRDefault="0015084F" w:rsidP="000B73AA">
            <w:pPr>
              <w:pStyle w:val="TableTextRight0"/>
              <w:ind w:right="0"/>
            </w:pPr>
            <w:r>
              <w:t>–</w:t>
            </w:r>
          </w:p>
        </w:tc>
        <w:tc>
          <w:tcPr>
            <w:tcW w:w="414" w:type="pct"/>
            <w:tcBorders>
              <w:left w:val="single" w:sz="8" w:space="0" w:color="A6A6A6" w:themeColor="background2" w:themeShade="A6"/>
              <w:right w:val="single" w:sz="8" w:space="0" w:color="A6A6A6" w:themeColor="background2" w:themeShade="A6"/>
            </w:tcBorders>
            <w:noWrap/>
            <w:hideMark/>
          </w:tcPr>
          <w:p w14:paraId="0D42D868" w14:textId="77777777" w:rsidR="008D0B97" w:rsidRPr="004B520E" w:rsidRDefault="008D0B97" w:rsidP="000B73AA">
            <w:pPr>
              <w:pStyle w:val="TableTextRight0"/>
              <w:ind w:right="0"/>
            </w:pPr>
            <w:r w:rsidRPr="004B520E">
              <w:t>1 (71,299)</w:t>
            </w:r>
          </w:p>
        </w:tc>
        <w:tc>
          <w:tcPr>
            <w:tcW w:w="414" w:type="pct"/>
            <w:tcBorders>
              <w:left w:val="single" w:sz="8" w:space="0" w:color="A6A6A6" w:themeColor="background2" w:themeShade="A6"/>
              <w:right w:val="single" w:sz="8" w:space="0" w:color="A6A6A6" w:themeColor="background2" w:themeShade="A6"/>
            </w:tcBorders>
            <w:noWrap/>
            <w:hideMark/>
          </w:tcPr>
          <w:p w14:paraId="5874BAAA" w14:textId="128A614E" w:rsidR="008D0B97" w:rsidRPr="004B520E" w:rsidRDefault="00BB22DD" w:rsidP="000B73AA">
            <w:pPr>
              <w:pStyle w:val="TableTextRight0"/>
              <w:ind w:right="0"/>
            </w:pPr>
            <w:r>
              <w:t>–</w:t>
            </w:r>
          </w:p>
        </w:tc>
        <w:tc>
          <w:tcPr>
            <w:tcW w:w="414" w:type="pct"/>
            <w:tcBorders>
              <w:left w:val="single" w:sz="8" w:space="0" w:color="A6A6A6" w:themeColor="background2" w:themeShade="A6"/>
              <w:right w:val="single" w:sz="8" w:space="0" w:color="A6A6A6" w:themeColor="background2" w:themeShade="A6"/>
            </w:tcBorders>
            <w:noWrap/>
            <w:hideMark/>
          </w:tcPr>
          <w:p w14:paraId="1129DE08" w14:textId="77777777" w:rsidR="008D0B97" w:rsidRPr="004B520E" w:rsidRDefault="008D0B97" w:rsidP="000B73AA">
            <w:pPr>
              <w:pStyle w:val="TableTextRight0"/>
              <w:ind w:right="0"/>
            </w:pPr>
            <w:r w:rsidRPr="004B520E">
              <w:t>1 (8,370)</w:t>
            </w:r>
          </w:p>
        </w:tc>
        <w:tc>
          <w:tcPr>
            <w:tcW w:w="414" w:type="pct"/>
            <w:tcBorders>
              <w:left w:val="single" w:sz="8" w:space="0" w:color="A6A6A6" w:themeColor="background2" w:themeShade="A6"/>
              <w:right w:val="single" w:sz="8" w:space="0" w:color="A6A6A6" w:themeColor="background2" w:themeShade="A6"/>
            </w:tcBorders>
            <w:noWrap/>
            <w:hideMark/>
          </w:tcPr>
          <w:p w14:paraId="0E379D52" w14:textId="77777777" w:rsidR="008D0B97" w:rsidRPr="004B520E" w:rsidRDefault="008D0B97" w:rsidP="000B73AA">
            <w:pPr>
              <w:pStyle w:val="TableTextRight0"/>
              <w:ind w:right="0"/>
            </w:pPr>
            <w:r w:rsidRPr="004B520E">
              <w:t>1 (56,046)</w:t>
            </w:r>
          </w:p>
        </w:tc>
        <w:tc>
          <w:tcPr>
            <w:tcW w:w="414" w:type="pct"/>
            <w:tcBorders>
              <w:left w:val="single" w:sz="8" w:space="0" w:color="A6A6A6" w:themeColor="background2" w:themeShade="A6"/>
              <w:right w:val="single" w:sz="8" w:space="0" w:color="A6A6A6" w:themeColor="background2" w:themeShade="A6"/>
            </w:tcBorders>
            <w:hideMark/>
          </w:tcPr>
          <w:p w14:paraId="069B000D" w14:textId="61C3993E" w:rsidR="008D0B97" w:rsidRPr="004B520E" w:rsidRDefault="00BB22DD" w:rsidP="000B73AA">
            <w:pPr>
              <w:pStyle w:val="TableText"/>
              <w:jc w:val="right"/>
            </w:pPr>
            <w:r>
              <w:t>2 (10,539)</w:t>
            </w:r>
          </w:p>
        </w:tc>
        <w:tc>
          <w:tcPr>
            <w:tcW w:w="414" w:type="pct"/>
            <w:tcBorders>
              <w:left w:val="single" w:sz="8" w:space="0" w:color="A6A6A6" w:themeColor="background2" w:themeShade="A6"/>
            </w:tcBorders>
            <w:noWrap/>
            <w:hideMark/>
          </w:tcPr>
          <w:p w14:paraId="035D9B1D" w14:textId="27DACA4C" w:rsidR="008D0B97" w:rsidRPr="004B520E" w:rsidRDefault="00F01963" w:rsidP="000B73AA">
            <w:pPr>
              <w:pStyle w:val="TableText"/>
              <w:jc w:val="right"/>
            </w:pPr>
            <w:r>
              <w:t>30 (255,096)</w:t>
            </w:r>
          </w:p>
        </w:tc>
      </w:tr>
    </w:tbl>
    <w:p w14:paraId="0DE3B536" w14:textId="7DACE2F9" w:rsidR="007A3B8F" w:rsidRPr="004B520E" w:rsidRDefault="007A3B8F" w:rsidP="005E17E7">
      <w:pPr>
        <w:pStyle w:val="CaptionWithNote"/>
        <w:pageBreakBefore/>
      </w:pPr>
      <w:bookmarkStart w:id="611" w:name="_Ref201668602"/>
      <w:bookmarkStart w:id="612" w:name="_Toc204609873"/>
      <w:r w:rsidRPr="004B520E">
        <w:lastRenderedPageBreak/>
        <w:t>Table </w:t>
      </w:r>
      <w:r>
        <w:fldChar w:fldCharType="begin"/>
      </w:r>
      <w:r>
        <w:instrText>STYLEREF 9 \s</w:instrText>
      </w:r>
      <w:r>
        <w:fldChar w:fldCharType="separate"/>
      </w:r>
      <w:r w:rsidR="00C43C1D">
        <w:rPr>
          <w:noProof/>
        </w:rPr>
        <w:t>A</w:t>
      </w:r>
      <w:r>
        <w:fldChar w:fldCharType="end"/>
      </w:r>
      <w:r w:rsidR="005E17E7">
        <w:t>.</w:t>
      </w:r>
      <w:r>
        <w:fldChar w:fldCharType="begin"/>
      </w:r>
      <w:r>
        <w:instrText>SEQ ApxTable \* ARABIC \s 9</w:instrText>
      </w:r>
      <w:r>
        <w:fldChar w:fldCharType="separate"/>
      </w:r>
      <w:r w:rsidR="00C43C1D">
        <w:rPr>
          <w:noProof/>
        </w:rPr>
        <w:t>2</w:t>
      </w:r>
      <w:r>
        <w:fldChar w:fldCharType="end"/>
      </w:r>
      <w:bookmarkEnd w:id="611"/>
      <w:r w:rsidRPr="004B520E">
        <w:t xml:space="preserve"> Commonwealth environmental watering actions </w:t>
      </w:r>
      <w:r>
        <w:t xml:space="preserve">in the southern Basin </w:t>
      </w:r>
      <w:r w:rsidRPr="004B520E">
        <w:t>by valley and hydrological flow component, 2023–24</w:t>
      </w:r>
      <w:bookmarkEnd w:id="612"/>
    </w:p>
    <w:p w14:paraId="38186190" w14:textId="586D553C" w:rsidR="001C5A5D" w:rsidRDefault="007A3B8F" w:rsidP="000B73AA">
      <w:pPr>
        <w:pStyle w:val="CaptionNote"/>
      </w:pPr>
      <w:r w:rsidRPr="004B520E">
        <w:t>The flow</w:t>
      </w:r>
      <w:r>
        <w:t>-</w:t>
      </w:r>
      <w:r w:rsidRPr="004B520E">
        <w:t>component terms (base flow, fresh, bankfull, overbank, wetland) are those used by the Commonwealth Environmental Water Holder when describing the watering actions.</w:t>
      </w:r>
      <w:r>
        <w:t xml:space="preserve"> </w:t>
      </w:r>
      <w:r w:rsidRPr="004B520E">
        <w:t>Cell values are number of actions</w:t>
      </w:r>
      <w:r>
        <w:t>,</w:t>
      </w:r>
      <w:r w:rsidRPr="004B520E">
        <w:t xml:space="preserve"> and values in parentheses are volumes in megalitres. Dash (</w:t>
      </w:r>
      <w:r w:rsidRPr="004B520E">
        <w:rPr>
          <w:rFonts w:eastAsia="Times New Roman" w:cs="Calibri"/>
          <w:sz w:val="16"/>
        </w:rPr>
        <w:t>–</w:t>
      </w:r>
      <w:r w:rsidRPr="004B520E">
        <w:t>) indicates that the watering action did not include that flow component.</w:t>
      </w:r>
    </w:p>
    <w:tbl>
      <w:tblPr>
        <w:tblStyle w:val="TableFlow-Mer0"/>
        <w:tblW w:w="5067" w:type="pct"/>
        <w:tblInd w:w="0" w:type="dxa"/>
        <w:tblLayout w:type="fixed"/>
        <w:tblCellMar>
          <w:left w:w="57" w:type="dxa"/>
          <w:right w:w="57" w:type="dxa"/>
        </w:tblCellMar>
        <w:tblLook w:val="0460" w:firstRow="1" w:lastRow="1" w:firstColumn="0" w:lastColumn="0" w:noHBand="0" w:noVBand="1"/>
      </w:tblPr>
      <w:tblGrid>
        <w:gridCol w:w="1306"/>
        <w:gridCol w:w="1203"/>
        <w:gridCol w:w="1202"/>
        <w:gridCol w:w="1202"/>
        <w:gridCol w:w="1202"/>
        <w:gridCol w:w="1202"/>
        <w:gridCol w:w="1202"/>
        <w:gridCol w:w="1202"/>
        <w:gridCol w:w="1202"/>
        <w:gridCol w:w="1202"/>
        <w:gridCol w:w="1202"/>
        <w:gridCol w:w="1438"/>
      </w:tblGrid>
      <w:tr w:rsidR="005C33AC" w:rsidRPr="004B520E" w14:paraId="7399E2CE" w14:textId="77777777" w:rsidTr="001D3ACB">
        <w:trPr>
          <w:cnfStyle w:val="100000000000" w:firstRow="1" w:lastRow="0" w:firstColumn="0" w:lastColumn="0" w:oddVBand="0" w:evenVBand="0" w:oddHBand="0" w:evenHBand="0" w:firstRowFirstColumn="0" w:firstRowLastColumn="0" w:lastRowFirstColumn="0" w:lastRowLastColumn="0"/>
          <w:trHeight w:val="698"/>
          <w:tblHeader/>
        </w:trPr>
        <w:tc>
          <w:tcPr>
            <w:tcW w:w="442" w:type="pct"/>
            <w:tcBorders>
              <w:bottom w:val="nil"/>
              <w:right w:val="single" w:sz="4" w:space="0" w:color="auto"/>
            </w:tcBorders>
            <w:hideMark/>
          </w:tcPr>
          <w:p w14:paraId="319F457C" w14:textId="77777777" w:rsidR="007A3B8F" w:rsidRPr="004B520E" w:rsidRDefault="007A3B8F" w:rsidP="00DD53EC">
            <w:pPr>
              <w:pStyle w:val="ColumnHeading"/>
              <w:rPr>
                <w:b w:val="0"/>
                <w:bCs w:val="0"/>
              </w:rPr>
            </w:pPr>
            <w:r w:rsidRPr="004B520E">
              <w:t>Valley</w:t>
            </w:r>
          </w:p>
        </w:tc>
        <w:tc>
          <w:tcPr>
            <w:tcW w:w="407" w:type="pct"/>
            <w:tcBorders>
              <w:left w:val="single" w:sz="4" w:space="0" w:color="auto"/>
              <w:bottom w:val="nil"/>
              <w:right w:val="single" w:sz="8" w:space="0" w:color="A6A6A6" w:themeColor="background2" w:themeShade="A6"/>
            </w:tcBorders>
            <w:hideMark/>
          </w:tcPr>
          <w:p w14:paraId="463980F0" w14:textId="77777777" w:rsidR="007A3B8F" w:rsidRPr="004B520E" w:rsidRDefault="007A3B8F" w:rsidP="00DD53EC">
            <w:pPr>
              <w:pStyle w:val="ColumnHeading"/>
              <w:rPr>
                <w:b w:val="0"/>
                <w:bCs w:val="0"/>
              </w:rPr>
            </w:pPr>
            <w:r w:rsidRPr="004B520E">
              <w:t>Base flow</w:t>
            </w:r>
          </w:p>
        </w:tc>
        <w:tc>
          <w:tcPr>
            <w:tcW w:w="407" w:type="pct"/>
            <w:tcBorders>
              <w:left w:val="single" w:sz="8" w:space="0" w:color="A6A6A6" w:themeColor="background2" w:themeShade="A6"/>
              <w:bottom w:val="nil"/>
              <w:right w:val="single" w:sz="8" w:space="0" w:color="A6A6A6" w:themeColor="background2" w:themeShade="A6"/>
            </w:tcBorders>
            <w:hideMark/>
          </w:tcPr>
          <w:p w14:paraId="271442D4" w14:textId="77777777" w:rsidR="007A3B8F" w:rsidRPr="004B520E" w:rsidRDefault="007A3B8F" w:rsidP="00DD53EC">
            <w:pPr>
              <w:pStyle w:val="ColumnHeading"/>
              <w:rPr>
                <w:b w:val="0"/>
                <w:bCs w:val="0"/>
              </w:rPr>
            </w:pPr>
            <w:r w:rsidRPr="004B520E">
              <w:t>Base flow, fresh</w:t>
            </w:r>
          </w:p>
        </w:tc>
        <w:tc>
          <w:tcPr>
            <w:tcW w:w="407" w:type="pct"/>
            <w:tcBorders>
              <w:left w:val="single" w:sz="8" w:space="0" w:color="A6A6A6" w:themeColor="background2" w:themeShade="A6"/>
              <w:bottom w:val="nil"/>
              <w:right w:val="single" w:sz="8" w:space="0" w:color="A6A6A6" w:themeColor="background2" w:themeShade="A6"/>
            </w:tcBorders>
            <w:hideMark/>
          </w:tcPr>
          <w:p w14:paraId="4F5493AF" w14:textId="77777777" w:rsidR="007A3B8F" w:rsidRPr="004B520E" w:rsidRDefault="007A3B8F" w:rsidP="00DD53EC">
            <w:pPr>
              <w:pStyle w:val="ColumnHeading"/>
              <w:rPr>
                <w:b w:val="0"/>
                <w:bCs w:val="0"/>
              </w:rPr>
            </w:pPr>
            <w:r w:rsidRPr="004B520E">
              <w:t>Base flow, fresh, bankfull</w:t>
            </w:r>
          </w:p>
        </w:tc>
        <w:tc>
          <w:tcPr>
            <w:tcW w:w="407" w:type="pct"/>
            <w:tcBorders>
              <w:left w:val="single" w:sz="8" w:space="0" w:color="A6A6A6" w:themeColor="background2" w:themeShade="A6"/>
              <w:bottom w:val="nil"/>
              <w:right w:val="single" w:sz="8" w:space="0" w:color="A6A6A6" w:themeColor="background2" w:themeShade="A6"/>
            </w:tcBorders>
            <w:hideMark/>
          </w:tcPr>
          <w:p w14:paraId="7AB28427" w14:textId="77777777" w:rsidR="007A3B8F" w:rsidRPr="004B520E" w:rsidRDefault="007A3B8F" w:rsidP="00DD53EC">
            <w:pPr>
              <w:pStyle w:val="ColumnHeading"/>
              <w:rPr>
                <w:b w:val="0"/>
                <w:bCs w:val="0"/>
              </w:rPr>
            </w:pPr>
            <w:r w:rsidRPr="004B520E">
              <w:t>Fresh</w:t>
            </w:r>
          </w:p>
        </w:tc>
        <w:tc>
          <w:tcPr>
            <w:tcW w:w="407" w:type="pct"/>
            <w:tcBorders>
              <w:left w:val="single" w:sz="8" w:space="0" w:color="A6A6A6" w:themeColor="background2" w:themeShade="A6"/>
              <w:bottom w:val="nil"/>
              <w:right w:val="single" w:sz="8" w:space="0" w:color="A6A6A6" w:themeColor="background2" w:themeShade="A6"/>
            </w:tcBorders>
            <w:hideMark/>
          </w:tcPr>
          <w:p w14:paraId="2D84B55E" w14:textId="77777777" w:rsidR="007A3B8F" w:rsidRPr="004B520E" w:rsidRDefault="007A3B8F" w:rsidP="00DD53EC">
            <w:pPr>
              <w:pStyle w:val="ColumnHeading"/>
              <w:rPr>
                <w:b w:val="0"/>
                <w:bCs w:val="0"/>
              </w:rPr>
            </w:pPr>
            <w:r w:rsidRPr="004B520E">
              <w:t>Fresh, base flow</w:t>
            </w:r>
          </w:p>
        </w:tc>
        <w:tc>
          <w:tcPr>
            <w:tcW w:w="407" w:type="pct"/>
            <w:tcBorders>
              <w:left w:val="single" w:sz="8" w:space="0" w:color="A6A6A6" w:themeColor="background2" w:themeShade="A6"/>
              <w:bottom w:val="nil"/>
              <w:right w:val="single" w:sz="8" w:space="0" w:color="A6A6A6" w:themeColor="background2" w:themeShade="A6"/>
            </w:tcBorders>
            <w:hideMark/>
          </w:tcPr>
          <w:p w14:paraId="572EB1E3" w14:textId="77777777" w:rsidR="007A3B8F" w:rsidRPr="004B520E" w:rsidRDefault="007A3B8F" w:rsidP="00DD53EC">
            <w:pPr>
              <w:pStyle w:val="ColumnHeading"/>
              <w:rPr>
                <w:b w:val="0"/>
                <w:bCs w:val="0"/>
              </w:rPr>
            </w:pPr>
            <w:r w:rsidRPr="004B520E">
              <w:t>Fresh, overbank</w:t>
            </w:r>
          </w:p>
        </w:tc>
        <w:tc>
          <w:tcPr>
            <w:tcW w:w="407" w:type="pct"/>
            <w:tcBorders>
              <w:left w:val="single" w:sz="8" w:space="0" w:color="A6A6A6" w:themeColor="background2" w:themeShade="A6"/>
              <w:bottom w:val="nil"/>
              <w:right w:val="single" w:sz="8" w:space="0" w:color="A6A6A6" w:themeColor="background2" w:themeShade="A6"/>
            </w:tcBorders>
            <w:hideMark/>
          </w:tcPr>
          <w:p w14:paraId="356B2A08" w14:textId="77777777" w:rsidR="007A3B8F" w:rsidRPr="004B520E" w:rsidRDefault="007A3B8F" w:rsidP="00DD53EC">
            <w:pPr>
              <w:pStyle w:val="ColumnHeading"/>
              <w:rPr>
                <w:b w:val="0"/>
                <w:bCs w:val="0"/>
              </w:rPr>
            </w:pPr>
            <w:r w:rsidRPr="004B520E">
              <w:t>Fresh, wetland</w:t>
            </w:r>
          </w:p>
        </w:tc>
        <w:tc>
          <w:tcPr>
            <w:tcW w:w="407" w:type="pct"/>
            <w:tcBorders>
              <w:left w:val="single" w:sz="8" w:space="0" w:color="A6A6A6" w:themeColor="background2" w:themeShade="A6"/>
              <w:bottom w:val="nil"/>
              <w:right w:val="single" w:sz="8" w:space="0" w:color="A6A6A6" w:themeColor="background2" w:themeShade="A6"/>
            </w:tcBorders>
            <w:hideMark/>
          </w:tcPr>
          <w:p w14:paraId="6B384334" w14:textId="77777777" w:rsidR="007A3B8F" w:rsidRPr="004B520E" w:rsidRDefault="007A3B8F" w:rsidP="00DD53EC">
            <w:pPr>
              <w:pStyle w:val="ColumnHeading"/>
              <w:rPr>
                <w:b w:val="0"/>
                <w:bCs w:val="0"/>
              </w:rPr>
            </w:pPr>
            <w:r w:rsidRPr="004B520E">
              <w:t>Overbank</w:t>
            </w:r>
          </w:p>
        </w:tc>
        <w:tc>
          <w:tcPr>
            <w:tcW w:w="407" w:type="pct"/>
            <w:tcBorders>
              <w:left w:val="single" w:sz="8" w:space="0" w:color="A6A6A6" w:themeColor="background2" w:themeShade="A6"/>
              <w:bottom w:val="nil"/>
              <w:right w:val="single" w:sz="8" w:space="0" w:color="A6A6A6" w:themeColor="background2" w:themeShade="A6"/>
            </w:tcBorders>
            <w:hideMark/>
          </w:tcPr>
          <w:p w14:paraId="68771AF9" w14:textId="77777777" w:rsidR="007A3B8F" w:rsidRPr="004B520E" w:rsidRDefault="007A3B8F" w:rsidP="00DD53EC">
            <w:pPr>
              <w:pStyle w:val="ColumnHeading"/>
              <w:rPr>
                <w:b w:val="0"/>
                <w:bCs w:val="0"/>
              </w:rPr>
            </w:pPr>
            <w:r w:rsidRPr="004B520E">
              <w:t>Wetland, fresh</w:t>
            </w:r>
          </w:p>
        </w:tc>
        <w:tc>
          <w:tcPr>
            <w:tcW w:w="407" w:type="pct"/>
            <w:tcBorders>
              <w:left w:val="single" w:sz="8" w:space="0" w:color="A6A6A6" w:themeColor="background2" w:themeShade="A6"/>
              <w:bottom w:val="nil"/>
              <w:right w:val="single" w:sz="8" w:space="0" w:color="A6A6A6" w:themeColor="background2" w:themeShade="A6"/>
            </w:tcBorders>
            <w:hideMark/>
          </w:tcPr>
          <w:p w14:paraId="3C52B0AD" w14:textId="77777777" w:rsidR="007A3B8F" w:rsidRPr="004B520E" w:rsidRDefault="007A3B8F" w:rsidP="00DD53EC">
            <w:pPr>
              <w:pStyle w:val="ColumnHeading"/>
              <w:rPr>
                <w:b w:val="0"/>
                <w:bCs w:val="0"/>
              </w:rPr>
            </w:pPr>
            <w:r w:rsidRPr="004B520E">
              <w:t>Wetland</w:t>
            </w:r>
          </w:p>
        </w:tc>
        <w:tc>
          <w:tcPr>
            <w:tcW w:w="487" w:type="pct"/>
            <w:tcBorders>
              <w:left w:val="single" w:sz="8" w:space="0" w:color="A6A6A6" w:themeColor="background2" w:themeShade="A6"/>
              <w:bottom w:val="nil"/>
            </w:tcBorders>
            <w:hideMark/>
          </w:tcPr>
          <w:p w14:paraId="4B50BE1B" w14:textId="77777777" w:rsidR="007A3B8F" w:rsidRPr="004B520E" w:rsidRDefault="007A3B8F" w:rsidP="00DD53EC">
            <w:pPr>
              <w:pStyle w:val="ColumnHeading"/>
              <w:rPr>
                <w:b w:val="0"/>
                <w:bCs w:val="0"/>
              </w:rPr>
            </w:pPr>
            <w:r w:rsidRPr="004B520E">
              <w:t>Total actions (volume, ML)</w:t>
            </w:r>
          </w:p>
        </w:tc>
      </w:tr>
      <w:tr w:rsidR="005C33AC" w:rsidRPr="004B520E" w14:paraId="1C7C4773" w14:textId="77777777" w:rsidTr="000B73AA">
        <w:trPr>
          <w:cnfStyle w:val="000000100000" w:firstRow="0" w:lastRow="0" w:firstColumn="0" w:lastColumn="0" w:oddVBand="0" w:evenVBand="0" w:oddHBand="1" w:evenHBand="0" w:firstRowFirstColumn="0" w:firstRowLastColumn="0" w:lastRowFirstColumn="0" w:lastRowLastColumn="0"/>
          <w:trHeight w:val="285"/>
        </w:trPr>
        <w:tc>
          <w:tcPr>
            <w:tcW w:w="442" w:type="pct"/>
            <w:tcBorders>
              <w:top w:val="nil"/>
              <w:right w:val="single" w:sz="4" w:space="0" w:color="auto"/>
            </w:tcBorders>
            <w:noWrap/>
            <w:hideMark/>
          </w:tcPr>
          <w:p w14:paraId="24D7C2E8" w14:textId="77777777" w:rsidR="007A3B8F" w:rsidRPr="004B520E" w:rsidRDefault="007A3B8F" w:rsidP="0038241E">
            <w:pPr>
              <w:pStyle w:val="TableText"/>
            </w:pPr>
            <w:r w:rsidRPr="004B520E">
              <w:t>Broken</w:t>
            </w:r>
          </w:p>
        </w:tc>
        <w:tc>
          <w:tcPr>
            <w:tcW w:w="407" w:type="pct"/>
            <w:tcBorders>
              <w:top w:val="nil"/>
              <w:left w:val="single" w:sz="4" w:space="0" w:color="auto"/>
              <w:right w:val="single" w:sz="8" w:space="0" w:color="A6A6A6" w:themeColor="background2" w:themeShade="A6"/>
            </w:tcBorders>
            <w:noWrap/>
            <w:hideMark/>
          </w:tcPr>
          <w:p w14:paraId="045D01A5" w14:textId="77777777" w:rsidR="007A3B8F" w:rsidRPr="004B520E" w:rsidRDefault="007A3B8F" w:rsidP="000B73AA">
            <w:pPr>
              <w:pStyle w:val="TableTextRight0"/>
              <w:ind w:right="0"/>
            </w:pPr>
            <w:r w:rsidRPr="004B520E">
              <w:t>8 (57,044)</w:t>
            </w:r>
          </w:p>
        </w:tc>
        <w:tc>
          <w:tcPr>
            <w:tcW w:w="407" w:type="pct"/>
            <w:tcBorders>
              <w:top w:val="nil"/>
              <w:left w:val="single" w:sz="8" w:space="0" w:color="A6A6A6" w:themeColor="background2" w:themeShade="A6"/>
              <w:right w:val="single" w:sz="8" w:space="0" w:color="A6A6A6" w:themeColor="background2" w:themeShade="A6"/>
            </w:tcBorders>
            <w:noWrap/>
            <w:hideMark/>
          </w:tcPr>
          <w:p w14:paraId="7F14D5BA" w14:textId="77777777" w:rsidR="007A3B8F" w:rsidRPr="004B520E" w:rsidRDefault="007A3B8F" w:rsidP="000B73AA">
            <w:pPr>
              <w:pStyle w:val="TableTextRight0"/>
              <w:ind w:right="0"/>
            </w:pPr>
            <w:r w:rsidRPr="004B520E">
              <w:t>–</w:t>
            </w:r>
          </w:p>
        </w:tc>
        <w:tc>
          <w:tcPr>
            <w:tcW w:w="407" w:type="pct"/>
            <w:tcBorders>
              <w:top w:val="nil"/>
              <w:left w:val="single" w:sz="8" w:space="0" w:color="A6A6A6" w:themeColor="background2" w:themeShade="A6"/>
              <w:right w:val="single" w:sz="8" w:space="0" w:color="A6A6A6" w:themeColor="background2" w:themeShade="A6"/>
            </w:tcBorders>
            <w:noWrap/>
            <w:hideMark/>
          </w:tcPr>
          <w:p w14:paraId="5D584903" w14:textId="77777777" w:rsidR="007A3B8F" w:rsidRPr="004B520E" w:rsidRDefault="007A3B8F" w:rsidP="000B73AA">
            <w:pPr>
              <w:pStyle w:val="TableTextRight0"/>
              <w:ind w:right="0"/>
            </w:pPr>
            <w:r w:rsidRPr="004B520E">
              <w:t>–</w:t>
            </w:r>
          </w:p>
        </w:tc>
        <w:tc>
          <w:tcPr>
            <w:tcW w:w="407" w:type="pct"/>
            <w:tcBorders>
              <w:top w:val="nil"/>
              <w:left w:val="single" w:sz="8" w:space="0" w:color="A6A6A6" w:themeColor="background2" w:themeShade="A6"/>
              <w:right w:val="single" w:sz="8" w:space="0" w:color="A6A6A6" w:themeColor="background2" w:themeShade="A6"/>
            </w:tcBorders>
            <w:noWrap/>
            <w:hideMark/>
          </w:tcPr>
          <w:p w14:paraId="1EF5EF74" w14:textId="77777777" w:rsidR="007A3B8F" w:rsidRPr="004B520E" w:rsidRDefault="007A3B8F" w:rsidP="000B73AA">
            <w:pPr>
              <w:pStyle w:val="TableTextRight0"/>
              <w:ind w:right="0"/>
            </w:pPr>
            <w:r w:rsidRPr="004B520E">
              <w:t>2 (6,788)</w:t>
            </w:r>
          </w:p>
        </w:tc>
        <w:tc>
          <w:tcPr>
            <w:tcW w:w="407" w:type="pct"/>
            <w:tcBorders>
              <w:top w:val="nil"/>
              <w:left w:val="single" w:sz="8" w:space="0" w:color="A6A6A6" w:themeColor="background2" w:themeShade="A6"/>
              <w:right w:val="single" w:sz="8" w:space="0" w:color="A6A6A6" w:themeColor="background2" w:themeShade="A6"/>
            </w:tcBorders>
            <w:noWrap/>
            <w:hideMark/>
          </w:tcPr>
          <w:p w14:paraId="5BEFF62D" w14:textId="77777777" w:rsidR="007A3B8F" w:rsidRPr="004B520E" w:rsidRDefault="007A3B8F" w:rsidP="000B73AA">
            <w:pPr>
              <w:pStyle w:val="TableTextRight0"/>
              <w:ind w:right="0"/>
            </w:pPr>
            <w:r w:rsidRPr="004B520E">
              <w:t>–</w:t>
            </w:r>
          </w:p>
        </w:tc>
        <w:tc>
          <w:tcPr>
            <w:tcW w:w="407" w:type="pct"/>
            <w:tcBorders>
              <w:top w:val="nil"/>
              <w:left w:val="single" w:sz="8" w:space="0" w:color="A6A6A6" w:themeColor="background2" w:themeShade="A6"/>
              <w:right w:val="single" w:sz="8" w:space="0" w:color="A6A6A6" w:themeColor="background2" w:themeShade="A6"/>
            </w:tcBorders>
            <w:noWrap/>
            <w:hideMark/>
          </w:tcPr>
          <w:p w14:paraId="1FC40FAA" w14:textId="77777777" w:rsidR="007A3B8F" w:rsidRPr="004B520E" w:rsidRDefault="007A3B8F" w:rsidP="000B73AA">
            <w:pPr>
              <w:pStyle w:val="TableTextRight0"/>
              <w:ind w:right="0"/>
            </w:pPr>
            <w:r w:rsidRPr="004B520E">
              <w:t>–</w:t>
            </w:r>
          </w:p>
        </w:tc>
        <w:tc>
          <w:tcPr>
            <w:tcW w:w="407" w:type="pct"/>
            <w:tcBorders>
              <w:top w:val="nil"/>
              <w:left w:val="single" w:sz="8" w:space="0" w:color="A6A6A6" w:themeColor="background2" w:themeShade="A6"/>
              <w:right w:val="single" w:sz="8" w:space="0" w:color="A6A6A6" w:themeColor="background2" w:themeShade="A6"/>
            </w:tcBorders>
            <w:noWrap/>
            <w:hideMark/>
          </w:tcPr>
          <w:p w14:paraId="3F99B524" w14:textId="77777777" w:rsidR="007A3B8F" w:rsidRPr="004B520E" w:rsidRDefault="007A3B8F" w:rsidP="000B73AA">
            <w:pPr>
              <w:pStyle w:val="TableTextRight0"/>
              <w:ind w:right="0"/>
            </w:pPr>
            <w:r w:rsidRPr="004B520E">
              <w:t>–</w:t>
            </w:r>
          </w:p>
        </w:tc>
        <w:tc>
          <w:tcPr>
            <w:tcW w:w="407" w:type="pct"/>
            <w:tcBorders>
              <w:top w:val="nil"/>
              <w:left w:val="single" w:sz="8" w:space="0" w:color="A6A6A6" w:themeColor="background2" w:themeShade="A6"/>
              <w:right w:val="single" w:sz="8" w:space="0" w:color="A6A6A6" w:themeColor="background2" w:themeShade="A6"/>
            </w:tcBorders>
            <w:noWrap/>
            <w:hideMark/>
          </w:tcPr>
          <w:p w14:paraId="06C6EB64" w14:textId="77777777" w:rsidR="007A3B8F" w:rsidRPr="004B520E" w:rsidRDefault="007A3B8F" w:rsidP="000B73AA">
            <w:pPr>
              <w:pStyle w:val="TableTextRight0"/>
              <w:ind w:right="0"/>
            </w:pPr>
            <w:r w:rsidRPr="004B520E">
              <w:t>–</w:t>
            </w:r>
          </w:p>
        </w:tc>
        <w:tc>
          <w:tcPr>
            <w:tcW w:w="407" w:type="pct"/>
            <w:tcBorders>
              <w:top w:val="nil"/>
              <w:left w:val="single" w:sz="8" w:space="0" w:color="A6A6A6" w:themeColor="background2" w:themeShade="A6"/>
              <w:right w:val="single" w:sz="8" w:space="0" w:color="A6A6A6" w:themeColor="background2" w:themeShade="A6"/>
            </w:tcBorders>
            <w:noWrap/>
            <w:hideMark/>
          </w:tcPr>
          <w:p w14:paraId="18410F7B" w14:textId="77777777" w:rsidR="007A3B8F" w:rsidRPr="004B520E" w:rsidRDefault="007A3B8F" w:rsidP="000B73AA">
            <w:pPr>
              <w:pStyle w:val="TableTextRight0"/>
              <w:ind w:right="0"/>
            </w:pPr>
            <w:r w:rsidRPr="004B520E">
              <w:t>–</w:t>
            </w:r>
          </w:p>
        </w:tc>
        <w:tc>
          <w:tcPr>
            <w:tcW w:w="407" w:type="pct"/>
            <w:tcBorders>
              <w:top w:val="nil"/>
              <w:left w:val="single" w:sz="8" w:space="0" w:color="A6A6A6" w:themeColor="background2" w:themeShade="A6"/>
              <w:right w:val="single" w:sz="8" w:space="0" w:color="A6A6A6" w:themeColor="background2" w:themeShade="A6"/>
            </w:tcBorders>
            <w:hideMark/>
          </w:tcPr>
          <w:p w14:paraId="12FBA559" w14:textId="77777777" w:rsidR="007A3B8F" w:rsidRPr="004B520E" w:rsidRDefault="007A3B8F" w:rsidP="000B73AA">
            <w:pPr>
              <w:pStyle w:val="TableTextRight0"/>
              <w:ind w:right="0"/>
            </w:pPr>
            <w:r w:rsidRPr="004B520E">
              <w:t>–</w:t>
            </w:r>
          </w:p>
        </w:tc>
        <w:tc>
          <w:tcPr>
            <w:tcW w:w="487" w:type="pct"/>
            <w:tcBorders>
              <w:top w:val="nil"/>
              <w:left w:val="single" w:sz="8" w:space="0" w:color="A6A6A6" w:themeColor="background2" w:themeShade="A6"/>
            </w:tcBorders>
            <w:noWrap/>
            <w:hideMark/>
          </w:tcPr>
          <w:p w14:paraId="5B02FBA1" w14:textId="77777777" w:rsidR="007A3B8F" w:rsidRPr="004B520E" w:rsidRDefault="007A3B8F" w:rsidP="000B73AA">
            <w:pPr>
              <w:pStyle w:val="TableTextRight0"/>
              <w:ind w:right="0"/>
            </w:pPr>
            <w:r w:rsidRPr="004B520E">
              <w:t>10 (63,832)</w:t>
            </w:r>
          </w:p>
        </w:tc>
      </w:tr>
      <w:tr w:rsidR="000B73AA" w:rsidRPr="004B520E" w14:paraId="2A617725" w14:textId="77777777" w:rsidTr="001D3ACB">
        <w:trPr>
          <w:trHeight w:val="285"/>
        </w:trPr>
        <w:tc>
          <w:tcPr>
            <w:tcW w:w="442" w:type="pct"/>
            <w:tcBorders>
              <w:right w:val="single" w:sz="4" w:space="0" w:color="auto"/>
            </w:tcBorders>
            <w:noWrap/>
            <w:hideMark/>
          </w:tcPr>
          <w:p w14:paraId="66CDD932" w14:textId="77777777" w:rsidR="007A3B8F" w:rsidRPr="004B520E" w:rsidRDefault="007A3B8F" w:rsidP="0038241E">
            <w:pPr>
              <w:pStyle w:val="TableText"/>
            </w:pPr>
            <w:r w:rsidRPr="004B520E">
              <w:t>Campaspe</w:t>
            </w:r>
          </w:p>
        </w:tc>
        <w:tc>
          <w:tcPr>
            <w:tcW w:w="407" w:type="pct"/>
            <w:tcBorders>
              <w:left w:val="single" w:sz="4" w:space="0" w:color="auto"/>
              <w:right w:val="single" w:sz="8" w:space="0" w:color="A6A6A6" w:themeColor="background2" w:themeShade="A6"/>
            </w:tcBorders>
            <w:noWrap/>
            <w:hideMark/>
          </w:tcPr>
          <w:p w14:paraId="02124BE1" w14:textId="77777777" w:rsidR="007A3B8F" w:rsidRPr="004B520E" w:rsidRDefault="007A3B8F" w:rsidP="000B73AA">
            <w:pPr>
              <w:pStyle w:val="TableTextRight0"/>
              <w:ind w:right="0"/>
            </w:pPr>
            <w:r w:rsidRPr="004B520E">
              <w:t>4 (2,210)</w:t>
            </w:r>
          </w:p>
        </w:tc>
        <w:tc>
          <w:tcPr>
            <w:tcW w:w="407" w:type="pct"/>
            <w:tcBorders>
              <w:left w:val="single" w:sz="8" w:space="0" w:color="A6A6A6" w:themeColor="background2" w:themeShade="A6"/>
              <w:right w:val="single" w:sz="8" w:space="0" w:color="A6A6A6" w:themeColor="background2" w:themeShade="A6"/>
            </w:tcBorders>
            <w:noWrap/>
            <w:hideMark/>
          </w:tcPr>
          <w:p w14:paraId="12F59BC2"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3650A9D"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6550F2B" w14:textId="77777777" w:rsidR="007A3B8F" w:rsidRPr="004B520E" w:rsidRDefault="007A3B8F" w:rsidP="000B73AA">
            <w:pPr>
              <w:pStyle w:val="TableTextRight0"/>
              <w:ind w:right="0"/>
            </w:pPr>
            <w:r w:rsidRPr="004B520E">
              <w:t>3 (2,368)</w:t>
            </w:r>
          </w:p>
        </w:tc>
        <w:tc>
          <w:tcPr>
            <w:tcW w:w="407" w:type="pct"/>
            <w:tcBorders>
              <w:left w:val="single" w:sz="8" w:space="0" w:color="A6A6A6" w:themeColor="background2" w:themeShade="A6"/>
              <w:right w:val="single" w:sz="8" w:space="0" w:color="A6A6A6" w:themeColor="background2" w:themeShade="A6"/>
            </w:tcBorders>
            <w:noWrap/>
            <w:hideMark/>
          </w:tcPr>
          <w:p w14:paraId="083387EB"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BF1E4B0"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49DF151F"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E3A104B"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648FD267"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7C87AC5B" w14:textId="77777777" w:rsidR="007A3B8F" w:rsidRPr="004B520E" w:rsidRDefault="007A3B8F" w:rsidP="000B73AA">
            <w:pPr>
              <w:pStyle w:val="TableTextRight0"/>
              <w:ind w:right="0"/>
            </w:pPr>
            <w:r w:rsidRPr="004B520E">
              <w:t>–</w:t>
            </w:r>
          </w:p>
        </w:tc>
        <w:tc>
          <w:tcPr>
            <w:tcW w:w="487" w:type="pct"/>
            <w:tcBorders>
              <w:left w:val="single" w:sz="8" w:space="0" w:color="A6A6A6" w:themeColor="background2" w:themeShade="A6"/>
            </w:tcBorders>
            <w:noWrap/>
            <w:hideMark/>
          </w:tcPr>
          <w:p w14:paraId="7BEC1152" w14:textId="77777777" w:rsidR="007A3B8F" w:rsidRPr="004B520E" w:rsidRDefault="007A3B8F" w:rsidP="000B73AA">
            <w:pPr>
              <w:pStyle w:val="TableTextRight0"/>
              <w:ind w:right="0"/>
            </w:pPr>
            <w:r w:rsidRPr="004B520E">
              <w:t>7 (4,578)</w:t>
            </w:r>
          </w:p>
        </w:tc>
      </w:tr>
      <w:tr w:rsidR="005C33AC" w:rsidRPr="004B520E" w14:paraId="31547484" w14:textId="77777777" w:rsidTr="000B73AA">
        <w:trPr>
          <w:cnfStyle w:val="000000100000" w:firstRow="0" w:lastRow="0" w:firstColumn="0" w:lastColumn="0" w:oddVBand="0" w:evenVBand="0" w:oddHBand="1" w:evenHBand="0" w:firstRowFirstColumn="0" w:firstRowLastColumn="0" w:lastRowFirstColumn="0" w:lastRowLastColumn="0"/>
          <w:trHeight w:val="285"/>
        </w:trPr>
        <w:tc>
          <w:tcPr>
            <w:tcW w:w="442" w:type="pct"/>
            <w:tcBorders>
              <w:right w:val="single" w:sz="4" w:space="0" w:color="auto"/>
            </w:tcBorders>
            <w:noWrap/>
            <w:hideMark/>
          </w:tcPr>
          <w:p w14:paraId="78247FC2" w14:textId="77777777" w:rsidR="007A3B8F" w:rsidRPr="004B520E" w:rsidRDefault="007A3B8F" w:rsidP="0038241E">
            <w:pPr>
              <w:pStyle w:val="TableText"/>
            </w:pPr>
            <w:r w:rsidRPr="004B520E">
              <w:t>Central Murray</w:t>
            </w:r>
          </w:p>
        </w:tc>
        <w:tc>
          <w:tcPr>
            <w:tcW w:w="407" w:type="pct"/>
            <w:tcBorders>
              <w:left w:val="single" w:sz="4" w:space="0" w:color="auto"/>
              <w:right w:val="single" w:sz="8" w:space="0" w:color="A6A6A6" w:themeColor="background2" w:themeShade="A6"/>
            </w:tcBorders>
            <w:noWrap/>
            <w:hideMark/>
          </w:tcPr>
          <w:p w14:paraId="2B4633F5" w14:textId="77777777" w:rsidR="007A3B8F" w:rsidRPr="004B520E" w:rsidRDefault="007A3B8F" w:rsidP="000B73AA">
            <w:pPr>
              <w:pStyle w:val="TableTextRight0"/>
              <w:ind w:right="0"/>
            </w:pPr>
            <w:r w:rsidRPr="004B520E">
              <w:t>3 (23,437)</w:t>
            </w:r>
          </w:p>
        </w:tc>
        <w:tc>
          <w:tcPr>
            <w:tcW w:w="407" w:type="pct"/>
            <w:tcBorders>
              <w:left w:val="single" w:sz="8" w:space="0" w:color="A6A6A6" w:themeColor="background2" w:themeShade="A6"/>
              <w:right w:val="single" w:sz="8" w:space="0" w:color="A6A6A6" w:themeColor="background2" w:themeShade="A6"/>
            </w:tcBorders>
            <w:noWrap/>
            <w:hideMark/>
          </w:tcPr>
          <w:p w14:paraId="3F4408DC"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014A502"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230B0356" w14:textId="77777777" w:rsidR="007A3B8F" w:rsidRPr="004B520E" w:rsidRDefault="007A3B8F" w:rsidP="000B73AA">
            <w:pPr>
              <w:pStyle w:val="TableTextRight0"/>
              <w:ind w:right="0"/>
            </w:pPr>
            <w:r w:rsidRPr="004B520E">
              <w:t>3 (310,761)</w:t>
            </w:r>
          </w:p>
        </w:tc>
        <w:tc>
          <w:tcPr>
            <w:tcW w:w="407" w:type="pct"/>
            <w:tcBorders>
              <w:left w:val="single" w:sz="8" w:space="0" w:color="A6A6A6" w:themeColor="background2" w:themeShade="A6"/>
              <w:right w:val="single" w:sz="8" w:space="0" w:color="A6A6A6" w:themeColor="background2" w:themeShade="A6"/>
            </w:tcBorders>
            <w:noWrap/>
            <w:hideMark/>
          </w:tcPr>
          <w:p w14:paraId="788BCA43"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25DB6C3F"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6DD462C2"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7DD9D53"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5BE91B8B"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18D28BA6" w14:textId="77777777" w:rsidR="007A3B8F" w:rsidRPr="004B520E" w:rsidRDefault="007A3B8F" w:rsidP="000B73AA">
            <w:pPr>
              <w:pStyle w:val="TableTextRight0"/>
              <w:ind w:right="0"/>
            </w:pPr>
            <w:r w:rsidRPr="004B520E">
              <w:t>–</w:t>
            </w:r>
          </w:p>
        </w:tc>
        <w:tc>
          <w:tcPr>
            <w:tcW w:w="487" w:type="pct"/>
            <w:tcBorders>
              <w:left w:val="single" w:sz="8" w:space="0" w:color="A6A6A6" w:themeColor="background2" w:themeShade="A6"/>
            </w:tcBorders>
            <w:noWrap/>
            <w:hideMark/>
          </w:tcPr>
          <w:p w14:paraId="60442536" w14:textId="77777777" w:rsidR="007A3B8F" w:rsidRPr="004B520E" w:rsidRDefault="007A3B8F" w:rsidP="000B73AA">
            <w:pPr>
              <w:pStyle w:val="TableTextRight0"/>
              <w:ind w:right="0"/>
            </w:pPr>
            <w:r w:rsidRPr="004B520E">
              <w:t>6 (334,198)</w:t>
            </w:r>
          </w:p>
        </w:tc>
      </w:tr>
      <w:tr w:rsidR="000B73AA" w:rsidRPr="004B520E" w14:paraId="706B6506" w14:textId="77777777" w:rsidTr="001D3ACB">
        <w:trPr>
          <w:trHeight w:val="285"/>
        </w:trPr>
        <w:tc>
          <w:tcPr>
            <w:tcW w:w="442" w:type="pct"/>
            <w:tcBorders>
              <w:right w:val="single" w:sz="4" w:space="0" w:color="auto"/>
            </w:tcBorders>
            <w:hideMark/>
          </w:tcPr>
          <w:p w14:paraId="1006B503" w14:textId="77777777" w:rsidR="007A3B8F" w:rsidRPr="004B520E" w:rsidRDefault="007A3B8F" w:rsidP="0038241E">
            <w:pPr>
              <w:pStyle w:val="TableText"/>
            </w:pPr>
            <w:r w:rsidRPr="004B520E">
              <w:t>Edward/Kolety–Wakool</w:t>
            </w:r>
          </w:p>
        </w:tc>
        <w:tc>
          <w:tcPr>
            <w:tcW w:w="407" w:type="pct"/>
            <w:tcBorders>
              <w:left w:val="single" w:sz="4" w:space="0" w:color="auto"/>
              <w:right w:val="single" w:sz="8" w:space="0" w:color="A6A6A6" w:themeColor="background2" w:themeShade="A6"/>
            </w:tcBorders>
            <w:noWrap/>
            <w:hideMark/>
          </w:tcPr>
          <w:p w14:paraId="6C5AEB62" w14:textId="77777777" w:rsidR="007A3B8F" w:rsidRPr="004B520E" w:rsidRDefault="007A3B8F" w:rsidP="000B73AA">
            <w:pPr>
              <w:pStyle w:val="TableTextRight0"/>
              <w:ind w:right="0"/>
            </w:pPr>
            <w:r w:rsidRPr="004B520E">
              <w:t>6 (12,798)</w:t>
            </w:r>
          </w:p>
        </w:tc>
        <w:tc>
          <w:tcPr>
            <w:tcW w:w="407" w:type="pct"/>
            <w:tcBorders>
              <w:left w:val="single" w:sz="8" w:space="0" w:color="A6A6A6" w:themeColor="background2" w:themeShade="A6"/>
              <w:right w:val="single" w:sz="8" w:space="0" w:color="A6A6A6" w:themeColor="background2" w:themeShade="A6"/>
            </w:tcBorders>
            <w:noWrap/>
            <w:hideMark/>
          </w:tcPr>
          <w:p w14:paraId="770510C0" w14:textId="77777777" w:rsidR="007A3B8F" w:rsidRPr="004B520E" w:rsidRDefault="007A3B8F" w:rsidP="000B73AA">
            <w:pPr>
              <w:pStyle w:val="TableTextRight0"/>
              <w:ind w:right="0"/>
            </w:pPr>
            <w:r w:rsidRPr="004B520E">
              <w:t>4 (85,479)</w:t>
            </w:r>
          </w:p>
        </w:tc>
        <w:tc>
          <w:tcPr>
            <w:tcW w:w="407" w:type="pct"/>
            <w:tcBorders>
              <w:left w:val="single" w:sz="8" w:space="0" w:color="A6A6A6" w:themeColor="background2" w:themeShade="A6"/>
              <w:right w:val="single" w:sz="8" w:space="0" w:color="A6A6A6" w:themeColor="background2" w:themeShade="A6"/>
            </w:tcBorders>
            <w:noWrap/>
            <w:hideMark/>
          </w:tcPr>
          <w:p w14:paraId="18608339"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4996E3B8"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CAAE4A8" w14:textId="77777777" w:rsidR="007A3B8F" w:rsidRPr="004B520E" w:rsidRDefault="007A3B8F" w:rsidP="000B73AA">
            <w:pPr>
              <w:pStyle w:val="TableTextRight0"/>
              <w:ind w:right="0"/>
            </w:pPr>
            <w:r w:rsidRPr="004B520E">
              <w:t>2 (59,881)</w:t>
            </w:r>
          </w:p>
        </w:tc>
        <w:tc>
          <w:tcPr>
            <w:tcW w:w="407" w:type="pct"/>
            <w:tcBorders>
              <w:left w:val="single" w:sz="8" w:space="0" w:color="A6A6A6" w:themeColor="background2" w:themeShade="A6"/>
              <w:right w:val="single" w:sz="8" w:space="0" w:color="A6A6A6" w:themeColor="background2" w:themeShade="A6"/>
            </w:tcBorders>
            <w:noWrap/>
            <w:hideMark/>
          </w:tcPr>
          <w:p w14:paraId="0312E092"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63DE4DC"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F8178A9"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4FEA05B"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675AC41F" w14:textId="77777777" w:rsidR="007A3B8F" w:rsidRPr="004B520E" w:rsidRDefault="007A3B8F" w:rsidP="000B73AA">
            <w:pPr>
              <w:pStyle w:val="TableTextRight0"/>
              <w:ind w:right="0"/>
            </w:pPr>
            <w:r w:rsidRPr="004B520E">
              <w:t>3 (843)</w:t>
            </w:r>
          </w:p>
        </w:tc>
        <w:tc>
          <w:tcPr>
            <w:tcW w:w="487" w:type="pct"/>
            <w:tcBorders>
              <w:left w:val="single" w:sz="8" w:space="0" w:color="A6A6A6" w:themeColor="background2" w:themeShade="A6"/>
            </w:tcBorders>
            <w:noWrap/>
            <w:hideMark/>
          </w:tcPr>
          <w:p w14:paraId="2022C1A4" w14:textId="73F2107E" w:rsidR="007A3B8F" w:rsidRPr="004B520E" w:rsidRDefault="007A3B8F" w:rsidP="000B73AA">
            <w:pPr>
              <w:pStyle w:val="TableTextRight0"/>
              <w:ind w:right="0"/>
            </w:pPr>
            <w:r w:rsidRPr="004B520E">
              <w:t>15 (159,001)</w:t>
            </w:r>
          </w:p>
        </w:tc>
      </w:tr>
      <w:tr w:rsidR="005C33AC" w:rsidRPr="004B520E" w14:paraId="504EC043" w14:textId="77777777" w:rsidTr="000B73AA">
        <w:trPr>
          <w:cnfStyle w:val="000000100000" w:firstRow="0" w:lastRow="0" w:firstColumn="0" w:lastColumn="0" w:oddVBand="0" w:evenVBand="0" w:oddHBand="1" w:evenHBand="0" w:firstRowFirstColumn="0" w:firstRowLastColumn="0" w:lastRowFirstColumn="0" w:lastRowLastColumn="0"/>
          <w:trHeight w:val="285"/>
        </w:trPr>
        <w:tc>
          <w:tcPr>
            <w:tcW w:w="442" w:type="pct"/>
            <w:tcBorders>
              <w:right w:val="single" w:sz="4" w:space="0" w:color="auto"/>
            </w:tcBorders>
            <w:hideMark/>
          </w:tcPr>
          <w:p w14:paraId="630F9D13" w14:textId="77777777" w:rsidR="007A3B8F" w:rsidRPr="004B520E" w:rsidRDefault="007A3B8F" w:rsidP="0038241E">
            <w:pPr>
              <w:pStyle w:val="TableText"/>
            </w:pPr>
            <w:r w:rsidRPr="004B520E">
              <w:t>Goulburn</w:t>
            </w:r>
          </w:p>
        </w:tc>
        <w:tc>
          <w:tcPr>
            <w:tcW w:w="407" w:type="pct"/>
            <w:tcBorders>
              <w:left w:val="single" w:sz="4" w:space="0" w:color="auto"/>
              <w:right w:val="single" w:sz="8" w:space="0" w:color="A6A6A6" w:themeColor="background2" w:themeShade="A6"/>
            </w:tcBorders>
            <w:noWrap/>
            <w:hideMark/>
          </w:tcPr>
          <w:p w14:paraId="6909D284" w14:textId="77777777" w:rsidR="007A3B8F" w:rsidRPr="004B520E" w:rsidRDefault="007A3B8F" w:rsidP="000B73AA">
            <w:pPr>
              <w:pStyle w:val="TableTextRight0"/>
              <w:ind w:right="0"/>
            </w:pPr>
            <w:r w:rsidRPr="004B520E">
              <w:t>3 (146,441)</w:t>
            </w:r>
          </w:p>
        </w:tc>
        <w:tc>
          <w:tcPr>
            <w:tcW w:w="407" w:type="pct"/>
            <w:tcBorders>
              <w:left w:val="single" w:sz="8" w:space="0" w:color="A6A6A6" w:themeColor="background2" w:themeShade="A6"/>
              <w:right w:val="single" w:sz="8" w:space="0" w:color="A6A6A6" w:themeColor="background2" w:themeShade="A6"/>
            </w:tcBorders>
            <w:noWrap/>
            <w:hideMark/>
          </w:tcPr>
          <w:p w14:paraId="38DE1262"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A73F9D1"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E4393F5" w14:textId="77777777" w:rsidR="007A3B8F" w:rsidRPr="004B520E" w:rsidRDefault="007A3B8F" w:rsidP="000B73AA">
            <w:pPr>
              <w:pStyle w:val="TableTextRight0"/>
              <w:ind w:right="0"/>
            </w:pPr>
            <w:r w:rsidRPr="004B520E">
              <w:t>3 (116,560)</w:t>
            </w:r>
          </w:p>
        </w:tc>
        <w:tc>
          <w:tcPr>
            <w:tcW w:w="407" w:type="pct"/>
            <w:tcBorders>
              <w:left w:val="single" w:sz="8" w:space="0" w:color="A6A6A6" w:themeColor="background2" w:themeShade="A6"/>
              <w:right w:val="single" w:sz="8" w:space="0" w:color="A6A6A6" w:themeColor="background2" w:themeShade="A6"/>
            </w:tcBorders>
            <w:noWrap/>
            <w:hideMark/>
          </w:tcPr>
          <w:p w14:paraId="518FC6FD"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13D1BF77"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0AAECC1"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68498E9D"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68F10974"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0204A0FA" w14:textId="77777777" w:rsidR="007A3B8F" w:rsidRPr="004B520E" w:rsidRDefault="007A3B8F" w:rsidP="000B73AA">
            <w:pPr>
              <w:pStyle w:val="TableTextRight0"/>
              <w:ind w:right="0"/>
            </w:pPr>
            <w:r w:rsidRPr="004B520E">
              <w:t>–</w:t>
            </w:r>
          </w:p>
        </w:tc>
        <w:tc>
          <w:tcPr>
            <w:tcW w:w="487" w:type="pct"/>
            <w:tcBorders>
              <w:left w:val="single" w:sz="8" w:space="0" w:color="A6A6A6" w:themeColor="background2" w:themeShade="A6"/>
            </w:tcBorders>
            <w:noWrap/>
            <w:hideMark/>
          </w:tcPr>
          <w:p w14:paraId="06A057A3" w14:textId="77777777" w:rsidR="007A3B8F" w:rsidRPr="004B520E" w:rsidRDefault="007A3B8F" w:rsidP="000B73AA">
            <w:pPr>
              <w:pStyle w:val="TableTextRight0"/>
              <w:ind w:right="0"/>
            </w:pPr>
            <w:r w:rsidRPr="004B520E">
              <w:t>6 (263,001)</w:t>
            </w:r>
          </w:p>
        </w:tc>
      </w:tr>
      <w:tr w:rsidR="000B73AA" w:rsidRPr="004B520E" w14:paraId="47904DE6" w14:textId="77777777" w:rsidTr="001D3ACB">
        <w:trPr>
          <w:trHeight w:val="285"/>
        </w:trPr>
        <w:tc>
          <w:tcPr>
            <w:tcW w:w="442" w:type="pct"/>
            <w:tcBorders>
              <w:right w:val="single" w:sz="4" w:space="0" w:color="auto"/>
            </w:tcBorders>
            <w:noWrap/>
            <w:hideMark/>
          </w:tcPr>
          <w:p w14:paraId="7832B613" w14:textId="77777777" w:rsidR="007A3B8F" w:rsidRPr="004B520E" w:rsidRDefault="007A3B8F" w:rsidP="0038241E">
            <w:pPr>
              <w:pStyle w:val="TableText"/>
            </w:pPr>
            <w:r w:rsidRPr="004B520E">
              <w:t>Lachlan</w:t>
            </w:r>
          </w:p>
        </w:tc>
        <w:tc>
          <w:tcPr>
            <w:tcW w:w="407" w:type="pct"/>
            <w:tcBorders>
              <w:left w:val="single" w:sz="4" w:space="0" w:color="auto"/>
              <w:right w:val="single" w:sz="8" w:space="0" w:color="A6A6A6" w:themeColor="background2" w:themeShade="A6"/>
            </w:tcBorders>
            <w:noWrap/>
            <w:hideMark/>
          </w:tcPr>
          <w:p w14:paraId="4C7FEF76" w14:textId="77777777" w:rsidR="007A3B8F" w:rsidRPr="004B520E" w:rsidRDefault="007A3B8F" w:rsidP="000B73AA">
            <w:pPr>
              <w:pStyle w:val="TableTextRight0"/>
              <w:ind w:right="0"/>
            </w:pPr>
            <w:r w:rsidRPr="004B520E">
              <w:t>1 (1,213)</w:t>
            </w:r>
          </w:p>
        </w:tc>
        <w:tc>
          <w:tcPr>
            <w:tcW w:w="407" w:type="pct"/>
            <w:tcBorders>
              <w:left w:val="single" w:sz="8" w:space="0" w:color="A6A6A6" w:themeColor="background2" w:themeShade="A6"/>
              <w:right w:val="single" w:sz="8" w:space="0" w:color="A6A6A6" w:themeColor="background2" w:themeShade="A6"/>
            </w:tcBorders>
            <w:noWrap/>
            <w:hideMark/>
          </w:tcPr>
          <w:p w14:paraId="631265BF"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53D62F18"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5AD99C56" w14:textId="77777777" w:rsidR="007A3B8F" w:rsidRPr="004B520E" w:rsidRDefault="007A3B8F" w:rsidP="000B73AA">
            <w:pPr>
              <w:pStyle w:val="TableTextRight0"/>
              <w:ind w:right="0"/>
            </w:pPr>
            <w:r w:rsidRPr="004B520E">
              <w:t>1 (110)</w:t>
            </w:r>
          </w:p>
        </w:tc>
        <w:tc>
          <w:tcPr>
            <w:tcW w:w="407" w:type="pct"/>
            <w:tcBorders>
              <w:left w:val="single" w:sz="8" w:space="0" w:color="A6A6A6" w:themeColor="background2" w:themeShade="A6"/>
              <w:right w:val="single" w:sz="8" w:space="0" w:color="A6A6A6" w:themeColor="background2" w:themeShade="A6"/>
            </w:tcBorders>
            <w:noWrap/>
            <w:hideMark/>
          </w:tcPr>
          <w:p w14:paraId="694F694E"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2687BBEA"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4040CD09" w14:textId="77777777" w:rsidR="007A3B8F" w:rsidRPr="004B520E" w:rsidRDefault="007A3B8F" w:rsidP="000B73AA">
            <w:pPr>
              <w:pStyle w:val="TableTextRight0"/>
              <w:ind w:right="0"/>
            </w:pPr>
            <w:r w:rsidRPr="004B520E">
              <w:t>1 (22,059)</w:t>
            </w:r>
          </w:p>
        </w:tc>
        <w:tc>
          <w:tcPr>
            <w:tcW w:w="407" w:type="pct"/>
            <w:tcBorders>
              <w:left w:val="single" w:sz="8" w:space="0" w:color="A6A6A6" w:themeColor="background2" w:themeShade="A6"/>
              <w:right w:val="single" w:sz="8" w:space="0" w:color="A6A6A6" w:themeColor="background2" w:themeShade="A6"/>
            </w:tcBorders>
            <w:noWrap/>
            <w:hideMark/>
          </w:tcPr>
          <w:p w14:paraId="1106A19F"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467311F3"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4784722A" w14:textId="77777777" w:rsidR="007A3B8F" w:rsidRPr="004B520E" w:rsidRDefault="007A3B8F" w:rsidP="000B73AA">
            <w:pPr>
              <w:pStyle w:val="TableTextRight0"/>
              <w:ind w:right="0"/>
            </w:pPr>
            <w:r w:rsidRPr="004B520E">
              <w:t>1 (3,646)</w:t>
            </w:r>
          </w:p>
        </w:tc>
        <w:tc>
          <w:tcPr>
            <w:tcW w:w="487" w:type="pct"/>
            <w:tcBorders>
              <w:left w:val="single" w:sz="8" w:space="0" w:color="A6A6A6" w:themeColor="background2" w:themeShade="A6"/>
            </w:tcBorders>
            <w:noWrap/>
            <w:hideMark/>
          </w:tcPr>
          <w:p w14:paraId="3F1C9BC3" w14:textId="77777777" w:rsidR="007A3B8F" w:rsidRPr="004B520E" w:rsidRDefault="007A3B8F" w:rsidP="000B73AA">
            <w:pPr>
              <w:pStyle w:val="TableTextRight0"/>
              <w:ind w:right="0"/>
            </w:pPr>
            <w:r w:rsidRPr="004B520E">
              <w:t>4 (27,028)</w:t>
            </w:r>
          </w:p>
        </w:tc>
      </w:tr>
      <w:tr w:rsidR="005C33AC" w:rsidRPr="004B520E" w14:paraId="345FB18D" w14:textId="77777777" w:rsidTr="000B73AA">
        <w:trPr>
          <w:cnfStyle w:val="000000100000" w:firstRow="0" w:lastRow="0" w:firstColumn="0" w:lastColumn="0" w:oddVBand="0" w:evenVBand="0" w:oddHBand="1" w:evenHBand="0" w:firstRowFirstColumn="0" w:firstRowLastColumn="0" w:lastRowFirstColumn="0" w:lastRowLastColumn="0"/>
          <w:trHeight w:val="285"/>
        </w:trPr>
        <w:tc>
          <w:tcPr>
            <w:tcW w:w="442" w:type="pct"/>
            <w:tcBorders>
              <w:right w:val="single" w:sz="4" w:space="0" w:color="auto"/>
            </w:tcBorders>
            <w:noWrap/>
          </w:tcPr>
          <w:p w14:paraId="06094407" w14:textId="77777777" w:rsidR="007A3B8F" w:rsidRPr="004B520E" w:rsidRDefault="007A3B8F" w:rsidP="0038241E">
            <w:pPr>
              <w:pStyle w:val="TableText"/>
            </w:pPr>
            <w:r w:rsidRPr="004B520E">
              <w:t>Loddon</w:t>
            </w:r>
          </w:p>
        </w:tc>
        <w:tc>
          <w:tcPr>
            <w:tcW w:w="407" w:type="pct"/>
            <w:tcBorders>
              <w:left w:val="single" w:sz="4" w:space="0" w:color="auto"/>
              <w:right w:val="single" w:sz="8" w:space="0" w:color="A6A6A6" w:themeColor="background2" w:themeShade="A6"/>
            </w:tcBorders>
            <w:noWrap/>
          </w:tcPr>
          <w:p w14:paraId="2C83815C" w14:textId="77777777" w:rsidR="007A3B8F" w:rsidRPr="004B520E" w:rsidRDefault="007A3B8F" w:rsidP="000B73AA">
            <w:pPr>
              <w:pStyle w:val="TableTextRight0"/>
              <w:ind w:right="0"/>
            </w:pPr>
            <w:r w:rsidRPr="004B520E">
              <w:t>2 (732)</w:t>
            </w:r>
          </w:p>
        </w:tc>
        <w:tc>
          <w:tcPr>
            <w:tcW w:w="407" w:type="pct"/>
            <w:tcBorders>
              <w:left w:val="single" w:sz="8" w:space="0" w:color="A6A6A6" w:themeColor="background2" w:themeShade="A6"/>
              <w:right w:val="single" w:sz="8" w:space="0" w:color="A6A6A6" w:themeColor="background2" w:themeShade="A6"/>
            </w:tcBorders>
            <w:noWrap/>
          </w:tcPr>
          <w:p w14:paraId="4C065E78"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tcPr>
          <w:p w14:paraId="2B62F657"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tcPr>
          <w:p w14:paraId="0E912BCB" w14:textId="77777777" w:rsidR="007A3B8F" w:rsidRPr="004B520E" w:rsidRDefault="007A3B8F" w:rsidP="000B73AA">
            <w:pPr>
              <w:pStyle w:val="TableTextRight0"/>
              <w:ind w:right="0"/>
            </w:pPr>
            <w:r w:rsidRPr="004B520E">
              <w:t>1 (3,030)</w:t>
            </w:r>
          </w:p>
        </w:tc>
        <w:tc>
          <w:tcPr>
            <w:tcW w:w="407" w:type="pct"/>
            <w:tcBorders>
              <w:left w:val="single" w:sz="8" w:space="0" w:color="A6A6A6" w:themeColor="background2" w:themeShade="A6"/>
              <w:right w:val="single" w:sz="8" w:space="0" w:color="A6A6A6" w:themeColor="background2" w:themeShade="A6"/>
            </w:tcBorders>
            <w:noWrap/>
          </w:tcPr>
          <w:p w14:paraId="7249C975"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tcPr>
          <w:p w14:paraId="13C28EFC"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tcPr>
          <w:p w14:paraId="29F4083B"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tcPr>
          <w:p w14:paraId="11EC7922"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tcPr>
          <w:p w14:paraId="37EFBB95"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tcPr>
          <w:p w14:paraId="02FC1FBF" w14:textId="77777777" w:rsidR="007A3B8F" w:rsidRPr="004B520E" w:rsidRDefault="007A3B8F" w:rsidP="000B73AA">
            <w:pPr>
              <w:pStyle w:val="TableTextRight0"/>
              <w:ind w:right="0"/>
            </w:pPr>
            <w:r w:rsidRPr="004B520E">
              <w:t>–</w:t>
            </w:r>
          </w:p>
        </w:tc>
        <w:tc>
          <w:tcPr>
            <w:tcW w:w="487" w:type="pct"/>
            <w:tcBorders>
              <w:left w:val="single" w:sz="8" w:space="0" w:color="A6A6A6" w:themeColor="background2" w:themeShade="A6"/>
            </w:tcBorders>
            <w:noWrap/>
          </w:tcPr>
          <w:p w14:paraId="1D5A82FC" w14:textId="77777777" w:rsidR="007A3B8F" w:rsidRPr="004B520E" w:rsidRDefault="007A3B8F" w:rsidP="000B73AA">
            <w:pPr>
              <w:pStyle w:val="TableTextRight0"/>
              <w:ind w:right="0"/>
            </w:pPr>
            <w:r w:rsidRPr="004B520E">
              <w:t>3 (3,762)</w:t>
            </w:r>
          </w:p>
        </w:tc>
      </w:tr>
      <w:tr w:rsidR="000B73AA" w:rsidRPr="004B520E" w14:paraId="691DA664" w14:textId="77777777" w:rsidTr="001D3ACB">
        <w:trPr>
          <w:trHeight w:val="285"/>
        </w:trPr>
        <w:tc>
          <w:tcPr>
            <w:tcW w:w="442" w:type="pct"/>
            <w:tcBorders>
              <w:right w:val="single" w:sz="4" w:space="0" w:color="auto"/>
            </w:tcBorders>
            <w:noWrap/>
            <w:hideMark/>
          </w:tcPr>
          <w:p w14:paraId="562B3AF3" w14:textId="77777777" w:rsidR="007A3B8F" w:rsidRPr="004B520E" w:rsidRDefault="007A3B8F" w:rsidP="0038241E">
            <w:pPr>
              <w:pStyle w:val="TableText"/>
            </w:pPr>
            <w:r w:rsidRPr="004B520E">
              <w:t>Lower Darling</w:t>
            </w:r>
          </w:p>
        </w:tc>
        <w:tc>
          <w:tcPr>
            <w:tcW w:w="407" w:type="pct"/>
            <w:tcBorders>
              <w:left w:val="single" w:sz="4" w:space="0" w:color="auto"/>
              <w:right w:val="single" w:sz="8" w:space="0" w:color="A6A6A6" w:themeColor="background2" w:themeShade="A6"/>
            </w:tcBorders>
            <w:noWrap/>
            <w:hideMark/>
          </w:tcPr>
          <w:p w14:paraId="5381561E" w14:textId="77777777" w:rsidR="007A3B8F" w:rsidRPr="004B520E" w:rsidRDefault="007A3B8F" w:rsidP="000B73AA">
            <w:pPr>
              <w:pStyle w:val="TableTextRight0"/>
              <w:ind w:right="0"/>
            </w:pPr>
            <w:r w:rsidRPr="004B520E">
              <w:t>2 (110,834)</w:t>
            </w:r>
          </w:p>
        </w:tc>
        <w:tc>
          <w:tcPr>
            <w:tcW w:w="407" w:type="pct"/>
            <w:tcBorders>
              <w:left w:val="single" w:sz="8" w:space="0" w:color="A6A6A6" w:themeColor="background2" w:themeShade="A6"/>
              <w:right w:val="single" w:sz="8" w:space="0" w:color="A6A6A6" w:themeColor="background2" w:themeShade="A6"/>
            </w:tcBorders>
            <w:noWrap/>
            <w:hideMark/>
          </w:tcPr>
          <w:p w14:paraId="23D18E93"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957506E"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65B55A2F"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951AF30"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4DBAB6C7"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F02D154"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A253F9B"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2061114"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3DC9D1CE" w14:textId="77777777" w:rsidR="007A3B8F" w:rsidRPr="004B520E" w:rsidRDefault="007A3B8F" w:rsidP="000B73AA">
            <w:pPr>
              <w:pStyle w:val="TableTextRight0"/>
              <w:ind w:right="0"/>
            </w:pPr>
            <w:r w:rsidRPr="004B520E">
              <w:t>–</w:t>
            </w:r>
          </w:p>
        </w:tc>
        <w:tc>
          <w:tcPr>
            <w:tcW w:w="487" w:type="pct"/>
            <w:tcBorders>
              <w:left w:val="single" w:sz="8" w:space="0" w:color="A6A6A6" w:themeColor="background2" w:themeShade="A6"/>
            </w:tcBorders>
            <w:noWrap/>
            <w:hideMark/>
          </w:tcPr>
          <w:p w14:paraId="0282A5C2" w14:textId="77777777" w:rsidR="007A3B8F" w:rsidRPr="004B520E" w:rsidRDefault="007A3B8F" w:rsidP="000B73AA">
            <w:pPr>
              <w:pStyle w:val="TableTextRight0"/>
              <w:ind w:right="0"/>
            </w:pPr>
            <w:r w:rsidRPr="004B520E">
              <w:t>2 (110,834)</w:t>
            </w:r>
          </w:p>
        </w:tc>
      </w:tr>
      <w:tr w:rsidR="005C33AC" w:rsidRPr="004B520E" w14:paraId="774DAE0A" w14:textId="77777777" w:rsidTr="000B73AA">
        <w:trPr>
          <w:cnfStyle w:val="000000100000" w:firstRow="0" w:lastRow="0" w:firstColumn="0" w:lastColumn="0" w:oddVBand="0" w:evenVBand="0" w:oddHBand="1" w:evenHBand="0" w:firstRowFirstColumn="0" w:firstRowLastColumn="0" w:lastRowFirstColumn="0" w:lastRowLastColumn="0"/>
          <w:trHeight w:val="285"/>
        </w:trPr>
        <w:tc>
          <w:tcPr>
            <w:tcW w:w="442" w:type="pct"/>
            <w:tcBorders>
              <w:right w:val="single" w:sz="4" w:space="0" w:color="auto"/>
            </w:tcBorders>
            <w:noWrap/>
            <w:hideMark/>
          </w:tcPr>
          <w:p w14:paraId="31853CE6" w14:textId="77777777" w:rsidR="007A3B8F" w:rsidRPr="004B520E" w:rsidRDefault="007A3B8F" w:rsidP="0038241E">
            <w:pPr>
              <w:pStyle w:val="TableText"/>
            </w:pPr>
            <w:r w:rsidRPr="004B520E">
              <w:t>Lower Murray</w:t>
            </w:r>
          </w:p>
        </w:tc>
        <w:tc>
          <w:tcPr>
            <w:tcW w:w="407" w:type="pct"/>
            <w:tcBorders>
              <w:left w:val="single" w:sz="4" w:space="0" w:color="auto"/>
              <w:right w:val="single" w:sz="8" w:space="0" w:color="A6A6A6" w:themeColor="background2" w:themeShade="A6"/>
            </w:tcBorders>
            <w:noWrap/>
            <w:hideMark/>
          </w:tcPr>
          <w:p w14:paraId="5F7E039E" w14:textId="77777777" w:rsidR="007A3B8F" w:rsidRPr="004B520E" w:rsidRDefault="007A3B8F" w:rsidP="000B73AA">
            <w:pPr>
              <w:pStyle w:val="TableTextRight0"/>
              <w:ind w:right="0"/>
            </w:pPr>
            <w:r w:rsidRPr="004B520E">
              <w:t>2 (769,382)</w:t>
            </w:r>
          </w:p>
        </w:tc>
        <w:tc>
          <w:tcPr>
            <w:tcW w:w="407" w:type="pct"/>
            <w:tcBorders>
              <w:left w:val="single" w:sz="8" w:space="0" w:color="A6A6A6" w:themeColor="background2" w:themeShade="A6"/>
              <w:right w:val="single" w:sz="8" w:space="0" w:color="A6A6A6" w:themeColor="background2" w:themeShade="A6"/>
            </w:tcBorders>
            <w:noWrap/>
            <w:hideMark/>
          </w:tcPr>
          <w:p w14:paraId="005DA9DB" w14:textId="77777777" w:rsidR="007A3B8F" w:rsidRPr="004B520E" w:rsidRDefault="007A3B8F" w:rsidP="000B73AA">
            <w:pPr>
              <w:pStyle w:val="TableTextRight0"/>
              <w:ind w:right="0"/>
            </w:pPr>
            <w:r w:rsidRPr="004B520E">
              <w:t>3 (614,959)</w:t>
            </w:r>
          </w:p>
        </w:tc>
        <w:tc>
          <w:tcPr>
            <w:tcW w:w="407" w:type="pct"/>
            <w:tcBorders>
              <w:left w:val="single" w:sz="8" w:space="0" w:color="A6A6A6" w:themeColor="background2" w:themeShade="A6"/>
              <w:right w:val="single" w:sz="8" w:space="0" w:color="A6A6A6" w:themeColor="background2" w:themeShade="A6"/>
            </w:tcBorders>
            <w:noWrap/>
            <w:hideMark/>
          </w:tcPr>
          <w:p w14:paraId="2449E7CA"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424DF0D3" w14:textId="77777777" w:rsidR="007A3B8F" w:rsidRPr="004B520E" w:rsidRDefault="007A3B8F" w:rsidP="000B73AA">
            <w:pPr>
              <w:pStyle w:val="TableTextRight0"/>
              <w:ind w:right="0"/>
            </w:pPr>
            <w:r w:rsidRPr="004B520E">
              <w:t>4 (0)*</w:t>
            </w:r>
          </w:p>
        </w:tc>
        <w:tc>
          <w:tcPr>
            <w:tcW w:w="407" w:type="pct"/>
            <w:tcBorders>
              <w:left w:val="single" w:sz="8" w:space="0" w:color="A6A6A6" w:themeColor="background2" w:themeShade="A6"/>
              <w:right w:val="single" w:sz="8" w:space="0" w:color="A6A6A6" w:themeColor="background2" w:themeShade="A6"/>
            </w:tcBorders>
            <w:noWrap/>
            <w:hideMark/>
          </w:tcPr>
          <w:p w14:paraId="431C989B"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B1756DD"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96C2CFD"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16068B14"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14123557"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1995117E" w14:textId="77777777" w:rsidR="007A3B8F" w:rsidRPr="004B520E" w:rsidRDefault="007A3B8F" w:rsidP="000B73AA">
            <w:pPr>
              <w:pStyle w:val="TableTextRight0"/>
              <w:ind w:right="0"/>
            </w:pPr>
            <w:r w:rsidRPr="004B520E">
              <w:t>10 (1,852)</w:t>
            </w:r>
          </w:p>
        </w:tc>
        <w:tc>
          <w:tcPr>
            <w:tcW w:w="487" w:type="pct"/>
            <w:tcBorders>
              <w:left w:val="single" w:sz="8" w:space="0" w:color="A6A6A6" w:themeColor="background2" w:themeShade="A6"/>
            </w:tcBorders>
            <w:noWrap/>
            <w:hideMark/>
          </w:tcPr>
          <w:p w14:paraId="06CCBBCF" w14:textId="77777777" w:rsidR="007A3B8F" w:rsidRPr="004B520E" w:rsidRDefault="007A3B8F" w:rsidP="000B73AA">
            <w:pPr>
              <w:pStyle w:val="TableTextRight0"/>
              <w:ind w:right="0"/>
            </w:pPr>
            <w:r w:rsidRPr="004B520E">
              <w:t>19 (1,386,193)</w:t>
            </w:r>
          </w:p>
        </w:tc>
      </w:tr>
      <w:tr w:rsidR="000B73AA" w:rsidRPr="004B520E" w14:paraId="33FF74CC" w14:textId="77777777" w:rsidTr="001D3ACB">
        <w:trPr>
          <w:trHeight w:val="285"/>
        </w:trPr>
        <w:tc>
          <w:tcPr>
            <w:tcW w:w="442" w:type="pct"/>
            <w:tcBorders>
              <w:right w:val="single" w:sz="4" w:space="0" w:color="auto"/>
            </w:tcBorders>
            <w:noWrap/>
            <w:hideMark/>
          </w:tcPr>
          <w:p w14:paraId="7A1ABE86" w14:textId="77777777" w:rsidR="007A3B8F" w:rsidRPr="004B520E" w:rsidRDefault="007A3B8F" w:rsidP="0038241E">
            <w:pPr>
              <w:pStyle w:val="TableText"/>
            </w:pPr>
            <w:r w:rsidRPr="004B520E">
              <w:t>Murrumbidgee</w:t>
            </w:r>
          </w:p>
        </w:tc>
        <w:tc>
          <w:tcPr>
            <w:tcW w:w="407" w:type="pct"/>
            <w:tcBorders>
              <w:left w:val="single" w:sz="4" w:space="0" w:color="auto"/>
              <w:right w:val="single" w:sz="8" w:space="0" w:color="A6A6A6" w:themeColor="background2" w:themeShade="A6"/>
            </w:tcBorders>
            <w:noWrap/>
            <w:hideMark/>
          </w:tcPr>
          <w:p w14:paraId="6F0C157C"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DA12B29"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6B019A22"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7830D2D" w14:textId="77777777" w:rsidR="007A3B8F" w:rsidRPr="004B520E" w:rsidRDefault="007A3B8F" w:rsidP="000B73AA">
            <w:pPr>
              <w:pStyle w:val="TableTextRight0"/>
              <w:ind w:right="0"/>
            </w:pPr>
            <w:r w:rsidRPr="004B520E">
              <w:t>1 (3,759)</w:t>
            </w:r>
          </w:p>
        </w:tc>
        <w:tc>
          <w:tcPr>
            <w:tcW w:w="407" w:type="pct"/>
            <w:tcBorders>
              <w:left w:val="single" w:sz="8" w:space="0" w:color="A6A6A6" w:themeColor="background2" w:themeShade="A6"/>
              <w:right w:val="single" w:sz="8" w:space="0" w:color="A6A6A6" w:themeColor="background2" w:themeShade="A6"/>
            </w:tcBorders>
            <w:noWrap/>
            <w:hideMark/>
          </w:tcPr>
          <w:p w14:paraId="399D56E2" w14:textId="77777777" w:rsidR="007A3B8F" w:rsidRPr="004B520E" w:rsidRDefault="007A3B8F" w:rsidP="000B73AA">
            <w:pPr>
              <w:pStyle w:val="TableTextRight0"/>
              <w:ind w:right="0"/>
            </w:pPr>
            <w:r w:rsidRPr="004B520E">
              <w:t>1 (203,235)</w:t>
            </w:r>
          </w:p>
        </w:tc>
        <w:tc>
          <w:tcPr>
            <w:tcW w:w="407" w:type="pct"/>
            <w:tcBorders>
              <w:left w:val="single" w:sz="8" w:space="0" w:color="A6A6A6" w:themeColor="background2" w:themeShade="A6"/>
              <w:right w:val="single" w:sz="8" w:space="0" w:color="A6A6A6" w:themeColor="background2" w:themeShade="A6"/>
            </w:tcBorders>
            <w:noWrap/>
            <w:hideMark/>
          </w:tcPr>
          <w:p w14:paraId="641AE647"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7012B40" w14:textId="77777777" w:rsidR="007A3B8F" w:rsidRPr="004B520E" w:rsidRDefault="007A3B8F" w:rsidP="000B73AA">
            <w:pPr>
              <w:pStyle w:val="TableTextRight0"/>
              <w:ind w:right="0"/>
            </w:pPr>
            <w:r w:rsidRPr="004B520E">
              <w:t>1 (4,646)</w:t>
            </w:r>
          </w:p>
        </w:tc>
        <w:tc>
          <w:tcPr>
            <w:tcW w:w="407" w:type="pct"/>
            <w:tcBorders>
              <w:left w:val="single" w:sz="8" w:space="0" w:color="A6A6A6" w:themeColor="background2" w:themeShade="A6"/>
              <w:right w:val="single" w:sz="8" w:space="0" w:color="A6A6A6" w:themeColor="background2" w:themeShade="A6"/>
            </w:tcBorders>
            <w:noWrap/>
            <w:hideMark/>
          </w:tcPr>
          <w:p w14:paraId="02E520F4"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2B2DD6EE"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189B3B56" w14:textId="77777777" w:rsidR="007A3B8F" w:rsidRPr="004B520E" w:rsidRDefault="007A3B8F" w:rsidP="000B73AA">
            <w:pPr>
              <w:pStyle w:val="TableTextRight0"/>
              <w:ind w:right="0"/>
            </w:pPr>
            <w:r w:rsidRPr="004B520E">
              <w:t>5 (48,100)</w:t>
            </w:r>
          </w:p>
        </w:tc>
        <w:tc>
          <w:tcPr>
            <w:tcW w:w="487" w:type="pct"/>
            <w:tcBorders>
              <w:left w:val="single" w:sz="8" w:space="0" w:color="A6A6A6" w:themeColor="background2" w:themeShade="A6"/>
            </w:tcBorders>
            <w:noWrap/>
            <w:hideMark/>
          </w:tcPr>
          <w:p w14:paraId="164018AD" w14:textId="77777777" w:rsidR="007A3B8F" w:rsidRPr="004B520E" w:rsidRDefault="007A3B8F" w:rsidP="000B73AA">
            <w:pPr>
              <w:pStyle w:val="TableTextRight0"/>
              <w:ind w:right="0"/>
            </w:pPr>
            <w:r w:rsidRPr="004B520E">
              <w:t>8 (259,740)</w:t>
            </w:r>
          </w:p>
        </w:tc>
      </w:tr>
      <w:tr w:rsidR="005C33AC" w:rsidRPr="004B520E" w14:paraId="590B3BA7" w14:textId="77777777" w:rsidTr="000B73AA">
        <w:trPr>
          <w:cnfStyle w:val="000000100000" w:firstRow="0" w:lastRow="0" w:firstColumn="0" w:lastColumn="0" w:oddVBand="0" w:evenVBand="0" w:oddHBand="1" w:evenHBand="0" w:firstRowFirstColumn="0" w:firstRowLastColumn="0" w:lastRowFirstColumn="0" w:lastRowLastColumn="0"/>
          <w:trHeight w:val="285"/>
        </w:trPr>
        <w:tc>
          <w:tcPr>
            <w:tcW w:w="442" w:type="pct"/>
            <w:tcBorders>
              <w:right w:val="single" w:sz="4" w:space="0" w:color="auto"/>
            </w:tcBorders>
            <w:noWrap/>
            <w:hideMark/>
          </w:tcPr>
          <w:p w14:paraId="6A3088AE" w14:textId="77777777" w:rsidR="007A3B8F" w:rsidRPr="004B520E" w:rsidRDefault="007A3B8F" w:rsidP="0038241E">
            <w:pPr>
              <w:pStyle w:val="TableText"/>
            </w:pPr>
            <w:r w:rsidRPr="004B520E">
              <w:t>Ovens</w:t>
            </w:r>
          </w:p>
        </w:tc>
        <w:tc>
          <w:tcPr>
            <w:tcW w:w="407" w:type="pct"/>
            <w:tcBorders>
              <w:left w:val="single" w:sz="4" w:space="0" w:color="auto"/>
              <w:right w:val="single" w:sz="8" w:space="0" w:color="A6A6A6" w:themeColor="background2" w:themeShade="A6"/>
            </w:tcBorders>
            <w:noWrap/>
            <w:hideMark/>
          </w:tcPr>
          <w:p w14:paraId="62F85B7E" w14:textId="77777777" w:rsidR="007A3B8F" w:rsidRPr="004B520E" w:rsidRDefault="007A3B8F" w:rsidP="000B73AA">
            <w:pPr>
              <w:pStyle w:val="TableTextRight0"/>
              <w:ind w:right="0"/>
            </w:pPr>
            <w:r w:rsidRPr="004B520E">
              <w:t>1 (50)</w:t>
            </w:r>
          </w:p>
        </w:tc>
        <w:tc>
          <w:tcPr>
            <w:tcW w:w="407" w:type="pct"/>
            <w:tcBorders>
              <w:left w:val="single" w:sz="8" w:space="0" w:color="A6A6A6" w:themeColor="background2" w:themeShade="A6"/>
              <w:right w:val="single" w:sz="8" w:space="0" w:color="A6A6A6" w:themeColor="background2" w:themeShade="A6"/>
            </w:tcBorders>
            <w:noWrap/>
            <w:hideMark/>
          </w:tcPr>
          <w:p w14:paraId="6CDADA45"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22F47FAE"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18D2FE5F" w14:textId="77777777" w:rsidR="007A3B8F" w:rsidRPr="004B520E" w:rsidRDefault="007A3B8F" w:rsidP="000B73AA">
            <w:pPr>
              <w:pStyle w:val="TableTextRight0"/>
              <w:ind w:right="0"/>
            </w:pPr>
            <w:r w:rsidRPr="004B520E">
              <w:t>1 (73)</w:t>
            </w:r>
          </w:p>
        </w:tc>
        <w:tc>
          <w:tcPr>
            <w:tcW w:w="407" w:type="pct"/>
            <w:tcBorders>
              <w:left w:val="single" w:sz="8" w:space="0" w:color="A6A6A6" w:themeColor="background2" w:themeShade="A6"/>
              <w:right w:val="single" w:sz="8" w:space="0" w:color="A6A6A6" w:themeColor="background2" w:themeShade="A6"/>
            </w:tcBorders>
            <w:noWrap/>
            <w:hideMark/>
          </w:tcPr>
          <w:p w14:paraId="717532EA"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82F21E3"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333C415"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3F5F919"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3E621903"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54666C45" w14:textId="77777777" w:rsidR="007A3B8F" w:rsidRPr="004B520E" w:rsidRDefault="007A3B8F" w:rsidP="000B73AA">
            <w:pPr>
              <w:pStyle w:val="TableTextRight0"/>
              <w:ind w:right="0"/>
            </w:pPr>
            <w:r w:rsidRPr="004B520E">
              <w:t>–</w:t>
            </w:r>
          </w:p>
        </w:tc>
        <w:tc>
          <w:tcPr>
            <w:tcW w:w="487" w:type="pct"/>
            <w:tcBorders>
              <w:left w:val="single" w:sz="8" w:space="0" w:color="A6A6A6" w:themeColor="background2" w:themeShade="A6"/>
            </w:tcBorders>
            <w:noWrap/>
            <w:hideMark/>
          </w:tcPr>
          <w:p w14:paraId="78546748" w14:textId="77777777" w:rsidR="007A3B8F" w:rsidRPr="004B520E" w:rsidRDefault="007A3B8F" w:rsidP="000B73AA">
            <w:pPr>
              <w:pStyle w:val="TableTextRight0"/>
              <w:ind w:right="0"/>
            </w:pPr>
            <w:r w:rsidRPr="004B520E">
              <w:t>2 (123)</w:t>
            </w:r>
          </w:p>
        </w:tc>
      </w:tr>
      <w:tr w:rsidR="000B73AA" w:rsidRPr="004B520E" w14:paraId="4A9F2ABB" w14:textId="77777777" w:rsidTr="001D3ACB">
        <w:trPr>
          <w:trHeight w:val="293"/>
        </w:trPr>
        <w:tc>
          <w:tcPr>
            <w:tcW w:w="442" w:type="pct"/>
            <w:tcBorders>
              <w:right w:val="single" w:sz="4" w:space="0" w:color="auto"/>
            </w:tcBorders>
            <w:noWrap/>
            <w:hideMark/>
          </w:tcPr>
          <w:p w14:paraId="1EFC514F" w14:textId="77777777" w:rsidR="007A3B8F" w:rsidRPr="004B520E" w:rsidRDefault="007A3B8F" w:rsidP="0038241E">
            <w:pPr>
              <w:pStyle w:val="TableText"/>
            </w:pPr>
            <w:r w:rsidRPr="004B520E">
              <w:t>Wimmera</w:t>
            </w:r>
          </w:p>
        </w:tc>
        <w:tc>
          <w:tcPr>
            <w:tcW w:w="407" w:type="pct"/>
            <w:tcBorders>
              <w:left w:val="single" w:sz="4" w:space="0" w:color="auto"/>
              <w:right w:val="single" w:sz="8" w:space="0" w:color="A6A6A6" w:themeColor="background2" w:themeShade="A6"/>
            </w:tcBorders>
            <w:noWrap/>
            <w:hideMark/>
          </w:tcPr>
          <w:p w14:paraId="50C7FCCB" w14:textId="77777777" w:rsidR="007A3B8F" w:rsidRPr="004B520E" w:rsidRDefault="007A3B8F" w:rsidP="000B73AA">
            <w:pPr>
              <w:pStyle w:val="TableTextRight0"/>
              <w:ind w:right="0"/>
            </w:pPr>
            <w:r w:rsidRPr="004B520E">
              <w:t>1 (1,291)</w:t>
            </w:r>
          </w:p>
        </w:tc>
        <w:tc>
          <w:tcPr>
            <w:tcW w:w="407" w:type="pct"/>
            <w:tcBorders>
              <w:left w:val="single" w:sz="8" w:space="0" w:color="A6A6A6" w:themeColor="background2" w:themeShade="A6"/>
              <w:right w:val="single" w:sz="8" w:space="0" w:color="A6A6A6" w:themeColor="background2" w:themeShade="A6"/>
            </w:tcBorders>
            <w:noWrap/>
            <w:hideMark/>
          </w:tcPr>
          <w:p w14:paraId="2339E152" w14:textId="77777777" w:rsidR="007A3B8F" w:rsidRPr="004B520E" w:rsidRDefault="007A3B8F" w:rsidP="000B73AA">
            <w:pPr>
              <w:pStyle w:val="TableTextRight0"/>
              <w:ind w:right="0"/>
            </w:pPr>
            <w:r w:rsidRPr="004B520E">
              <w:t>1 (1,471)</w:t>
            </w:r>
          </w:p>
        </w:tc>
        <w:tc>
          <w:tcPr>
            <w:tcW w:w="407" w:type="pct"/>
            <w:tcBorders>
              <w:left w:val="single" w:sz="8" w:space="0" w:color="A6A6A6" w:themeColor="background2" w:themeShade="A6"/>
              <w:right w:val="single" w:sz="8" w:space="0" w:color="A6A6A6" w:themeColor="background2" w:themeShade="A6"/>
            </w:tcBorders>
            <w:noWrap/>
            <w:hideMark/>
          </w:tcPr>
          <w:p w14:paraId="7E85DE01"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70A2B6AF"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2D474E30"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238F4F98"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4BED50FC"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6A48BA6C"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324AA23" w14:textId="77777777" w:rsidR="007A3B8F" w:rsidRPr="004B520E" w:rsidRDefault="007A3B8F" w:rsidP="000B73AA">
            <w:pPr>
              <w:pStyle w:val="TableTextRight0"/>
              <w:ind w:right="0"/>
            </w:pPr>
            <w:r w:rsidRPr="004B520E">
              <w:t>–</w:t>
            </w:r>
          </w:p>
        </w:tc>
        <w:tc>
          <w:tcPr>
            <w:tcW w:w="407" w:type="pct"/>
            <w:tcBorders>
              <w:left w:val="single" w:sz="8" w:space="0" w:color="A6A6A6" w:themeColor="background2" w:themeShade="A6"/>
              <w:right w:val="single" w:sz="8" w:space="0" w:color="A6A6A6" w:themeColor="background2" w:themeShade="A6"/>
            </w:tcBorders>
            <w:hideMark/>
          </w:tcPr>
          <w:p w14:paraId="309FBF95" w14:textId="77777777" w:rsidR="007A3B8F" w:rsidRPr="004B520E" w:rsidRDefault="007A3B8F" w:rsidP="000B73AA">
            <w:pPr>
              <w:pStyle w:val="TableTextRight0"/>
              <w:ind w:right="0"/>
            </w:pPr>
            <w:r w:rsidRPr="004B520E">
              <w:t>–</w:t>
            </w:r>
          </w:p>
        </w:tc>
        <w:tc>
          <w:tcPr>
            <w:tcW w:w="487" w:type="pct"/>
            <w:tcBorders>
              <w:left w:val="single" w:sz="8" w:space="0" w:color="A6A6A6" w:themeColor="background2" w:themeShade="A6"/>
            </w:tcBorders>
            <w:noWrap/>
            <w:hideMark/>
          </w:tcPr>
          <w:p w14:paraId="7B8579D0" w14:textId="4644F3ED" w:rsidR="007A3B8F" w:rsidRPr="004B520E" w:rsidRDefault="007A3B8F" w:rsidP="000B73AA">
            <w:pPr>
              <w:pStyle w:val="TableTextRight0"/>
              <w:ind w:right="0"/>
            </w:pPr>
            <w:r w:rsidRPr="004B520E">
              <w:t>2 (2</w:t>
            </w:r>
            <w:r w:rsidR="00B92AB7">
              <w:t>,</w:t>
            </w:r>
            <w:r w:rsidRPr="004B520E">
              <w:t>762)</w:t>
            </w:r>
          </w:p>
        </w:tc>
      </w:tr>
      <w:tr w:rsidR="001D3ACB" w:rsidRPr="004B520E" w14:paraId="478D4D14" w14:textId="77777777" w:rsidTr="000B73AA">
        <w:trPr>
          <w:cnfStyle w:val="010000000000" w:firstRow="0" w:lastRow="1" w:firstColumn="0" w:lastColumn="0" w:oddVBand="0" w:evenVBand="0" w:oddHBand="0" w:evenHBand="0" w:firstRowFirstColumn="0" w:firstRowLastColumn="0" w:lastRowFirstColumn="0" w:lastRowLastColumn="0"/>
          <w:trHeight w:val="293"/>
        </w:trPr>
        <w:tc>
          <w:tcPr>
            <w:tcW w:w="442" w:type="pct"/>
            <w:tcBorders>
              <w:right w:val="single" w:sz="4" w:space="0" w:color="auto"/>
            </w:tcBorders>
            <w:noWrap/>
            <w:hideMark/>
          </w:tcPr>
          <w:p w14:paraId="57371FAC" w14:textId="77777777" w:rsidR="007A3B8F" w:rsidRPr="004B520E" w:rsidRDefault="007A3B8F" w:rsidP="0038241E">
            <w:pPr>
              <w:pStyle w:val="TableText"/>
            </w:pPr>
            <w:r w:rsidRPr="004B520E">
              <w:t>Total</w:t>
            </w:r>
          </w:p>
        </w:tc>
        <w:tc>
          <w:tcPr>
            <w:tcW w:w="407" w:type="pct"/>
            <w:tcBorders>
              <w:left w:val="single" w:sz="4" w:space="0" w:color="auto"/>
              <w:right w:val="single" w:sz="8" w:space="0" w:color="A6A6A6" w:themeColor="background2" w:themeShade="A6"/>
            </w:tcBorders>
            <w:noWrap/>
            <w:hideMark/>
          </w:tcPr>
          <w:p w14:paraId="78C6FE38" w14:textId="2250640B" w:rsidR="007A3B8F" w:rsidRPr="004B520E" w:rsidRDefault="007A3B8F" w:rsidP="000B73AA">
            <w:pPr>
              <w:pStyle w:val="TableText"/>
              <w:jc w:val="right"/>
            </w:pPr>
            <w:r w:rsidRPr="004B520E">
              <w:t>3</w:t>
            </w:r>
            <w:r w:rsidR="00BA4512">
              <w:t>3</w:t>
            </w:r>
            <w:r w:rsidRPr="004B520E">
              <w:t xml:space="preserve"> (</w:t>
            </w:r>
            <w:r w:rsidR="00301432">
              <w:t>1,125,432</w:t>
            </w:r>
            <w:r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0513AA66" w14:textId="7C9F7D06" w:rsidR="007A3B8F" w:rsidRPr="004B520E" w:rsidRDefault="00BA4512" w:rsidP="000B73AA">
            <w:pPr>
              <w:pStyle w:val="TableTextRight0"/>
              <w:ind w:right="0"/>
            </w:pPr>
            <w:r>
              <w:t>8</w:t>
            </w:r>
            <w:r w:rsidR="007A3B8F" w:rsidRPr="004B520E">
              <w:t xml:space="preserve"> (</w:t>
            </w:r>
            <w:r w:rsidR="00C246F4">
              <w:t>701</w:t>
            </w:r>
            <w:r>
              <w:t>,909</w:t>
            </w:r>
            <w:r w:rsidR="007A3B8F"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5E7CCEDD" w14:textId="0D8C5A10" w:rsidR="007A3B8F" w:rsidRPr="004B520E" w:rsidRDefault="00BA4512" w:rsidP="000B73AA">
            <w:pPr>
              <w:pStyle w:val="TableTextRight0"/>
              <w:ind w:right="0"/>
            </w:pPr>
            <w:r>
              <w:t>–</w:t>
            </w:r>
          </w:p>
        </w:tc>
        <w:tc>
          <w:tcPr>
            <w:tcW w:w="407" w:type="pct"/>
            <w:tcBorders>
              <w:left w:val="single" w:sz="8" w:space="0" w:color="A6A6A6" w:themeColor="background2" w:themeShade="A6"/>
              <w:right w:val="single" w:sz="8" w:space="0" w:color="A6A6A6" w:themeColor="background2" w:themeShade="A6"/>
            </w:tcBorders>
            <w:noWrap/>
            <w:hideMark/>
          </w:tcPr>
          <w:p w14:paraId="7518DCE2" w14:textId="17A64843" w:rsidR="007A3B8F" w:rsidRPr="004B520E" w:rsidRDefault="00DA5BE3" w:rsidP="000B73AA">
            <w:pPr>
              <w:pStyle w:val="TableText"/>
              <w:jc w:val="right"/>
            </w:pPr>
            <w:r>
              <w:t>19</w:t>
            </w:r>
            <w:r w:rsidR="007A3B8F" w:rsidRPr="004B520E">
              <w:t xml:space="preserve"> (</w:t>
            </w:r>
            <w:r>
              <w:t>443,449</w:t>
            </w:r>
            <w:r w:rsidR="007A3B8F" w:rsidRPr="004B520E">
              <w:t>)</w:t>
            </w:r>
          </w:p>
        </w:tc>
        <w:tc>
          <w:tcPr>
            <w:tcW w:w="407" w:type="pct"/>
            <w:tcBorders>
              <w:left w:val="single" w:sz="8" w:space="0" w:color="A6A6A6" w:themeColor="background2" w:themeShade="A6"/>
              <w:right w:val="single" w:sz="8" w:space="0" w:color="A6A6A6" w:themeColor="background2" w:themeShade="A6"/>
            </w:tcBorders>
            <w:noWrap/>
            <w:hideMark/>
          </w:tcPr>
          <w:p w14:paraId="55DEB9D2" w14:textId="77777777" w:rsidR="007A3B8F" w:rsidRPr="004B520E" w:rsidRDefault="007A3B8F" w:rsidP="000B73AA">
            <w:pPr>
              <w:pStyle w:val="TableTextRight0"/>
              <w:ind w:right="0"/>
            </w:pPr>
            <w:r w:rsidRPr="004B520E">
              <w:t>3 (263,116)</w:t>
            </w:r>
          </w:p>
        </w:tc>
        <w:tc>
          <w:tcPr>
            <w:tcW w:w="407" w:type="pct"/>
            <w:tcBorders>
              <w:left w:val="single" w:sz="8" w:space="0" w:color="A6A6A6" w:themeColor="background2" w:themeShade="A6"/>
              <w:right w:val="single" w:sz="8" w:space="0" w:color="A6A6A6" w:themeColor="background2" w:themeShade="A6"/>
            </w:tcBorders>
            <w:noWrap/>
            <w:hideMark/>
          </w:tcPr>
          <w:p w14:paraId="5C8B8088" w14:textId="612EE584" w:rsidR="007A3B8F" w:rsidRPr="004B520E" w:rsidRDefault="00DA5BE3" w:rsidP="000B73AA">
            <w:pPr>
              <w:pStyle w:val="TableTextRight0"/>
              <w:ind w:right="0"/>
            </w:pPr>
            <w:r>
              <w:t>–</w:t>
            </w:r>
          </w:p>
        </w:tc>
        <w:tc>
          <w:tcPr>
            <w:tcW w:w="407" w:type="pct"/>
            <w:tcBorders>
              <w:left w:val="single" w:sz="8" w:space="0" w:color="A6A6A6" w:themeColor="background2" w:themeShade="A6"/>
              <w:right w:val="single" w:sz="8" w:space="0" w:color="A6A6A6" w:themeColor="background2" w:themeShade="A6"/>
            </w:tcBorders>
            <w:noWrap/>
            <w:hideMark/>
          </w:tcPr>
          <w:p w14:paraId="6ECEDA0A" w14:textId="77777777" w:rsidR="007A3B8F" w:rsidRPr="004B520E" w:rsidRDefault="007A3B8F" w:rsidP="000B73AA">
            <w:pPr>
              <w:pStyle w:val="TableTextRight0"/>
              <w:ind w:right="0"/>
            </w:pPr>
            <w:r w:rsidRPr="004B520E">
              <w:t>2 (26,705)</w:t>
            </w:r>
          </w:p>
        </w:tc>
        <w:tc>
          <w:tcPr>
            <w:tcW w:w="407" w:type="pct"/>
            <w:tcBorders>
              <w:left w:val="single" w:sz="8" w:space="0" w:color="A6A6A6" w:themeColor="background2" w:themeShade="A6"/>
              <w:right w:val="single" w:sz="8" w:space="0" w:color="A6A6A6" w:themeColor="background2" w:themeShade="A6"/>
            </w:tcBorders>
            <w:noWrap/>
            <w:hideMark/>
          </w:tcPr>
          <w:p w14:paraId="108F9C69" w14:textId="5F27D51D" w:rsidR="007A3B8F" w:rsidRPr="004B520E" w:rsidRDefault="00DA5BE3" w:rsidP="000B73AA">
            <w:pPr>
              <w:pStyle w:val="TableTextRight0"/>
              <w:ind w:right="0"/>
            </w:pPr>
            <w:r>
              <w:t>–</w:t>
            </w:r>
          </w:p>
        </w:tc>
        <w:tc>
          <w:tcPr>
            <w:tcW w:w="407" w:type="pct"/>
            <w:tcBorders>
              <w:left w:val="single" w:sz="8" w:space="0" w:color="A6A6A6" w:themeColor="background2" w:themeShade="A6"/>
              <w:right w:val="single" w:sz="8" w:space="0" w:color="A6A6A6" w:themeColor="background2" w:themeShade="A6"/>
            </w:tcBorders>
            <w:noWrap/>
            <w:hideMark/>
          </w:tcPr>
          <w:p w14:paraId="70701579" w14:textId="1627A369" w:rsidR="007A3B8F" w:rsidRPr="004B520E" w:rsidRDefault="00DA5BE3" w:rsidP="000B73AA">
            <w:pPr>
              <w:pStyle w:val="TableTextRight0"/>
              <w:ind w:right="0"/>
            </w:pPr>
            <w:r>
              <w:t>–</w:t>
            </w:r>
          </w:p>
        </w:tc>
        <w:tc>
          <w:tcPr>
            <w:tcW w:w="407" w:type="pct"/>
            <w:tcBorders>
              <w:left w:val="single" w:sz="8" w:space="0" w:color="A6A6A6" w:themeColor="background2" w:themeShade="A6"/>
              <w:right w:val="single" w:sz="8" w:space="0" w:color="A6A6A6" w:themeColor="background2" w:themeShade="A6"/>
            </w:tcBorders>
            <w:hideMark/>
          </w:tcPr>
          <w:p w14:paraId="16F4BF0B" w14:textId="7631A7D9" w:rsidR="007A3B8F" w:rsidRPr="004B520E" w:rsidRDefault="00653E6B" w:rsidP="000B73AA">
            <w:pPr>
              <w:pStyle w:val="TableText"/>
              <w:jc w:val="right"/>
            </w:pPr>
            <w:r>
              <w:t>19</w:t>
            </w:r>
            <w:r w:rsidR="007A3B8F" w:rsidRPr="004B520E">
              <w:t xml:space="preserve"> (</w:t>
            </w:r>
            <w:r>
              <w:t>54,441</w:t>
            </w:r>
            <w:r w:rsidR="007A3B8F" w:rsidRPr="004B520E">
              <w:t>)</w:t>
            </w:r>
          </w:p>
        </w:tc>
        <w:tc>
          <w:tcPr>
            <w:tcW w:w="487" w:type="pct"/>
            <w:tcBorders>
              <w:left w:val="single" w:sz="8" w:space="0" w:color="A6A6A6" w:themeColor="background2" w:themeShade="A6"/>
            </w:tcBorders>
            <w:noWrap/>
            <w:hideMark/>
          </w:tcPr>
          <w:p w14:paraId="4651B4AE" w14:textId="648605BB" w:rsidR="007A3B8F" w:rsidRPr="004B520E" w:rsidRDefault="00653E6B" w:rsidP="000B73AA">
            <w:pPr>
              <w:pStyle w:val="TableText"/>
              <w:jc w:val="right"/>
            </w:pPr>
            <w:r>
              <w:t>8</w:t>
            </w:r>
            <w:r w:rsidR="007A3B8F" w:rsidRPr="004B520E">
              <w:t>4 (2,</w:t>
            </w:r>
            <w:r w:rsidR="00084735">
              <w:t>61</w:t>
            </w:r>
            <w:r w:rsidR="004A536B">
              <w:t>5,052</w:t>
            </w:r>
            <w:r w:rsidR="007A3B8F" w:rsidRPr="004B520E">
              <w:t>)</w:t>
            </w:r>
          </w:p>
        </w:tc>
      </w:tr>
    </w:tbl>
    <w:p w14:paraId="38B2095D" w14:textId="5E7FF7D6" w:rsidR="00363AE2" w:rsidRPr="004B520E" w:rsidRDefault="00363AE2" w:rsidP="00363AE2">
      <w:pPr>
        <w:pStyle w:val="CaptionWithNote"/>
      </w:pPr>
      <w:bookmarkStart w:id="613" w:name="_Ref201668605"/>
      <w:bookmarkStart w:id="614" w:name="_Toc204609874"/>
      <w:r w:rsidRPr="004B520E">
        <w:t>Table </w:t>
      </w:r>
      <w:r>
        <w:fldChar w:fldCharType="begin"/>
      </w:r>
      <w:r>
        <w:instrText>STYLEREF 9 \s</w:instrText>
      </w:r>
      <w:r>
        <w:fldChar w:fldCharType="separate"/>
      </w:r>
      <w:r w:rsidR="00C43C1D">
        <w:rPr>
          <w:noProof/>
        </w:rPr>
        <w:t>A</w:t>
      </w:r>
      <w:r>
        <w:fldChar w:fldCharType="end"/>
      </w:r>
      <w:r w:rsidR="005E17E7">
        <w:t>.</w:t>
      </w:r>
      <w:r>
        <w:fldChar w:fldCharType="begin"/>
      </w:r>
      <w:r>
        <w:instrText>SEQ ApxTable \* ARABIC \s 9</w:instrText>
      </w:r>
      <w:r>
        <w:fldChar w:fldCharType="separate"/>
      </w:r>
      <w:r w:rsidR="00C43C1D">
        <w:rPr>
          <w:noProof/>
        </w:rPr>
        <w:t>3</w:t>
      </w:r>
      <w:r>
        <w:fldChar w:fldCharType="end"/>
      </w:r>
      <w:bookmarkEnd w:id="613"/>
      <w:r w:rsidRPr="004B520E">
        <w:t xml:space="preserve"> Commonwealth environmental watering actions </w:t>
      </w:r>
      <w:r>
        <w:t xml:space="preserve">in the </w:t>
      </w:r>
      <w:r w:rsidR="007F477A">
        <w:t xml:space="preserve">northern Basin and </w:t>
      </w:r>
      <w:r>
        <w:t xml:space="preserve">southern Basin </w:t>
      </w:r>
      <w:r w:rsidRPr="004B520E">
        <w:t>by valley and hydrological flow component, 2023–24</w:t>
      </w:r>
      <w:bookmarkEnd w:id="614"/>
    </w:p>
    <w:p w14:paraId="7DE6A939" w14:textId="2B2346C3" w:rsidR="007A3B8F" w:rsidRDefault="00363AE2" w:rsidP="000B73AA">
      <w:pPr>
        <w:pStyle w:val="CaptionNote"/>
      </w:pPr>
      <w:r w:rsidRPr="004B520E">
        <w:t>The flow</w:t>
      </w:r>
      <w:r>
        <w:t>-</w:t>
      </w:r>
      <w:r w:rsidRPr="004B520E">
        <w:t>component terms (base flow, fresh, bankfull, overbank, wetland) are those used by the Commonwealth Environmental Water Holder when describing the watering actions.</w:t>
      </w:r>
      <w:r>
        <w:t xml:space="preserve"> </w:t>
      </w:r>
      <w:r w:rsidRPr="004B520E">
        <w:t>Cell values are number of actions</w:t>
      </w:r>
      <w:r>
        <w:t>,</w:t>
      </w:r>
      <w:r w:rsidRPr="004B520E">
        <w:t xml:space="preserve"> and values in parentheses are volumes in megalitres. Dash (</w:t>
      </w:r>
      <w:r w:rsidRPr="004B520E">
        <w:rPr>
          <w:rFonts w:eastAsia="Times New Roman" w:cs="Calibri"/>
          <w:sz w:val="16"/>
        </w:rPr>
        <w:t>–</w:t>
      </w:r>
      <w:r w:rsidRPr="004B520E">
        <w:t>) indicates that the watering action did not include that flow component.</w:t>
      </w:r>
    </w:p>
    <w:tbl>
      <w:tblPr>
        <w:tblStyle w:val="TableFlow-Mer0"/>
        <w:tblW w:w="5108" w:type="pct"/>
        <w:tblInd w:w="0" w:type="dxa"/>
        <w:tblLayout w:type="fixed"/>
        <w:tblCellMar>
          <w:left w:w="57" w:type="dxa"/>
          <w:right w:w="57" w:type="dxa"/>
        </w:tblCellMar>
        <w:tblLook w:val="0460" w:firstRow="1" w:lastRow="1" w:firstColumn="0" w:lastColumn="0" w:noHBand="0" w:noVBand="1"/>
      </w:tblPr>
      <w:tblGrid>
        <w:gridCol w:w="1277"/>
        <w:gridCol w:w="1277"/>
        <w:gridCol w:w="1096"/>
        <w:gridCol w:w="1215"/>
        <w:gridCol w:w="1215"/>
        <w:gridCol w:w="1215"/>
        <w:gridCol w:w="1215"/>
        <w:gridCol w:w="1215"/>
        <w:gridCol w:w="1215"/>
        <w:gridCol w:w="1215"/>
        <w:gridCol w:w="1215"/>
        <w:gridCol w:w="1515"/>
      </w:tblGrid>
      <w:tr w:rsidR="005C33AC" w:rsidRPr="004B520E" w14:paraId="08BA40D7" w14:textId="77777777" w:rsidTr="00784EC6">
        <w:trPr>
          <w:cnfStyle w:val="100000000000" w:firstRow="1" w:lastRow="0" w:firstColumn="0" w:lastColumn="0" w:oddVBand="0" w:evenVBand="0" w:oddHBand="0" w:evenHBand="0" w:firstRowFirstColumn="0" w:firstRowLastColumn="0" w:lastRowFirstColumn="0" w:lastRowLastColumn="0"/>
          <w:trHeight w:val="698"/>
          <w:tblHeader/>
        </w:trPr>
        <w:tc>
          <w:tcPr>
            <w:tcW w:w="429" w:type="pct"/>
            <w:tcBorders>
              <w:bottom w:val="nil"/>
              <w:right w:val="single" w:sz="4" w:space="0" w:color="auto"/>
            </w:tcBorders>
            <w:hideMark/>
          </w:tcPr>
          <w:p w14:paraId="2E750525" w14:textId="1AC370EA" w:rsidR="005843DF" w:rsidRPr="004B520E" w:rsidRDefault="00F02DD6" w:rsidP="006D7A6D">
            <w:pPr>
              <w:pStyle w:val="ColumnHeading"/>
              <w:rPr>
                <w:b w:val="0"/>
                <w:bCs w:val="0"/>
              </w:rPr>
            </w:pPr>
            <w:r>
              <w:t>Sub-Basin</w:t>
            </w:r>
          </w:p>
        </w:tc>
        <w:tc>
          <w:tcPr>
            <w:tcW w:w="429" w:type="pct"/>
            <w:tcBorders>
              <w:left w:val="single" w:sz="4" w:space="0" w:color="auto"/>
              <w:bottom w:val="nil"/>
              <w:right w:val="single" w:sz="8" w:space="0" w:color="A6A6A6" w:themeColor="background2" w:themeShade="A6"/>
            </w:tcBorders>
            <w:hideMark/>
          </w:tcPr>
          <w:p w14:paraId="5A532C50" w14:textId="77777777" w:rsidR="005843DF" w:rsidRPr="004B520E" w:rsidRDefault="005843DF" w:rsidP="006D7A6D">
            <w:pPr>
              <w:pStyle w:val="ColumnHeading"/>
              <w:rPr>
                <w:b w:val="0"/>
                <w:bCs w:val="0"/>
              </w:rPr>
            </w:pPr>
            <w:r w:rsidRPr="004B520E">
              <w:t>Base flow</w:t>
            </w:r>
          </w:p>
        </w:tc>
        <w:tc>
          <w:tcPr>
            <w:tcW w:w="368" w:type="pct"/>
            <w:tcBorders>
              <w:left w:val="single" w:sz="8" w:space="0" w:color="A6A6A6" w:themeColor="background2" w:themeShade="A6"/>
              <w:bottom w:val="nil"/>
              <w:right w:val="single" w:sz="8" w:space="0" w:color="A6A6A6" w:themeColor="background2" w:themeShade="A6"/>
            </w:tcBorders>
            <w:hideMark/>
          </w:tcPr>
          <w:p w14:paraId="43D7EB07" w14:textId="77777777" w:rsidR="005843DF" w:rsidRPr="004B520E" w:rsidRDefault="005843DF" w:rsidP="006D7A6D">
            <w:pPr>
              <w:pStyle w:val="ColumnHeading"/>
              <w:rPr>
                <w:b w:val="0"/>
                <w:bCs w:val="0"/>
              </w:rPr>
            </w:pPr>
            <w:r w:rsidRPr="004B520E">
              <w:t>Base flow, fresh</w:t>
            </w:r>
          </w:p>
        </w:tc>
        <w:tc>
          <w:tcPr>
            <w:tcW w:w="408" w:type="pct"/>
            <w:tcBorders>
              <w:left w:val="single" w:sz="8" w:space="0" w:color="A6A6A6" w:themeColor="background2" w:themeShade="A6"/>
              <w:bottom w:val="nil"/>
              <w:right w:val="single" w:sz="8" w:space="0" w:color="A6A6A6" w:themeColor="background2" w:themeShade="A6"/>
            </w:tcBorders>
            <w:hideMark/>
          </w:tcPr>
          <w:p w14:paraId="4D604FF2" w14:textId="77777777" w:rsidR="005843DF" w:rsidRPr="004B520E" w:rsidRDefault="005843DF" w:rsidP="006D7A6D">
            <w:pPr>
              <w:pStyle w:val="ColumnHeading"/>
              <w:rPr>
                <w:b w:val="0"/>
                <w:bCs w:val="0"/>
              </w:rPr>
            </w:pPr>
            <w:r w:rsidRPr="004B520E">
              <w:t>Base flow, fresh, bankfull</w:t>
            </w:r>
          </w:p>
        </w:tc>
        <w:tc>
          <w:tcPr>
            <w:tcW w:w="408" w:type="pct"/>
            <w:tcBorders>
              <w:left w:val="single" w:sz="8" w:space="0" w:color="A6A6A6" w:themeColor="background2" w:themeShade="A6"/>
              <w:bottom w:val="nil"/>
              <w:right w:val="single" w:sz="8" w:space="0" w:color="A6A6A6" w:themeColor="background2" w:themeShade="A6"/>
            </w:tcBorders>
            <w:hideMark/>
          </w:tcPr>
          <w:p w14:paraId="02E7E00B" w14:textId="77777777" w:rsidR="005843DF" w:rsidRPr="004B520E" w:rsidRDefault="005843DF" w:rsidP="006D7A6D">
            <w:pPr>
              <w:pStyle w:val="ColumnHeading"/>
              <w:rPr>
                <w:b w:val="0"/>
                <w:bCs w:val="0"/>
              </w:rPr>
            </w:pPr>
            <w:r w:rsidRPr="004B520E">
              <w:t>Fresh</w:t>
            </w:r>
          </w:p>
        </w:tc>
        <w:tc>
          <w:tcPr>
            <w:tcW w:w="408" w:type="pct"/>
            <w:tcBorders>
              <w:left w:val="single" w:sz="8" w:space="0" w:color="A6A6A6" w:themeColor="background2" w:themeShade="A6"/>
              <w:bottom w:val="nil"/>
              <w:right w:val="single" w:sz="8" w:space="0" w:color="A6A6A6" w:themeColor="background2" w:themeShade="A6"/>
            </w:tcBorders>
            <w:hideMark/>
          </w:tcPr>
          <w:p w14:paraId="148AB368" w14:textId="77777777" w:rsidR="005843DF" w:rsidRPr="004B520E" w:rsidRDefault="005843DF" w:rsidP="006D7A6D">
            <w:pPr>
              <w:pStyle w:val="ColumnHeading"/>
              <w:rPr>
                <w:b w:val="0"/>
                <w:bCs w:val="0"/>
              </w:rPr>
            </w:pPr>
            <w:r w:rsidRPr="004B520E">
              <w:t>Fresh, base flow</w:t>
            </w:r>
          </w:p>
        </w:tc>
        <w:tc>
          <w:tcPr>
            <w:tcW w:w="408" w:type="pct"/>
            <w:tcBorders>
              <w:left w:val="single" w:sz="8" w:space="0" w:color="A6A6A6" w:themeColor="background2" w:themeShade="A6"/>
              <w:bottom w:val="nil"/>
              <w:right w:val="single" w:sz="8" w:space="0" w:color="A6A6A6" w:themeColor="background2" w:themeShade="A6"/>
            </w:tcBorders>
            <w:hideMark/>
          </w:tcPr>
          <w:p w14:paraId="2811531C" w14:textId="77777777" w:rsidR="005843DF" w:rsidRPr="004B520E" w:rsidRDefault="005843DF" w:rsidP="006D7A6D">
            <w:pPr>
              <w:pStyle w:val="ColumnHeading"/>
              <w:rPr>
                <w:b w:val="0"/>
                <w:bCs w:val="0"/>
              </w:rPr>
            </w:pPr>
            <w:r w:rsidRPr="004B520E">
              <w:t>Fresh, overbank</w:t>
            </w:r>
          </w:p>
        </w:tc>
        <w:tc>
          <w:tcPr>
            <w:tcW w:w="408" w:type="pct"/>
            <w:tcBorders>
              <w:left w:val="single" w:sz="8" w:space="0" w:color="A6A6A6" w:themeColor="background2" w:themeShade="A6"/>
              <w:bottom w:val="nil"/>
              <w:right w:val="single" w:sz="8" w:space="0" w:color="A6A6A6" w:themeColor="background2" w:themeShade="A6"/>
            </w:tcBorders>
            <w:hideMark/>
          </w:tcPr>
          <w:p w14:paraId="3BAE17BD" w14:textId="77777777" w:rsidR="005843DF" w:rsidRPr="004B520E" w:rsidRDefault="005843DF" w:rsidP="006D7A6D">
            <w:pPr>
              <w:pStyle w:val="ColumnHeading"/>
              <w:rPr>
                <w:b w:val="0"/>
                <w:bCs w:val="0"/>
              </w:rPr>
            </w:pPr>
            <w:r w:rsidRPr="004B520E">
              <w:t>Fresh, wetland</w:t>
            </w:r>
          </w:p>
        </w:tc>
        <w:tc>
          <w:tcPr>
            <w:tcW w:w="408" w:type="pct"/>
            <w:tcBorders>
              <w:left w:val="single" w:sz="8" w:space="0" w:color="A6A6A6" w:themeColor="background2" w:themeShade="A6"/>
              <w:bottom w:val="nil"/>
              <w:right w:val="single" w:sz="8" w:space="0" w:color="A6A6A6" w:themeColor="background2" w:themeShade="A6"/>
            </w:tcBorders>
            <w:hideMark/>
          </w:tcPr>
          <w:p w14:paraId="20D17AD7" w14:textId="77777777" w:rsidR="005843DF" w:rsidRPr="004B520E" w:rsidRDefault="005843DF" w:rsidP="006D7A6D">
            <w:pPr>
              <w:pStyle w:val="ColumnHeading"/>
              <w:rPr>
                <w:b w:val="0"/>
                <w:bCs w:val="0"/>
              </w:rPr>
            </w:pPr>
            <w:r w:rsidRPr="004B520E">
              <w:t>Overbank</w:t>
            </w:r>
          </w:p>
        </w:tc>
        <w:tc>
          <w:tcPr>
            <w:tcW w:w="408" w:type="pct"/>
            <w:tcBorders>
              <w:left w:val="single" w:sz="8" w:space="0" w:color="A6A6A6" w:themeColor="background2" w:themeShade="A6"/>
              <w:bottom w:val="nil"/>
              <w:right w:val="single" w:sz="8" w:space="0" w:color="A6A6A6" w:themeColor="background2" w:themeShade="A6"/>
            </w:tcBorders>
            <w:hideMark/>
          </w:tcPr>
          <w:p w14:paraId="1F624108" w14:textId="77777777" w:rsidR="005843DF" w:rsidRPr="004B520E" w:rsidRDefault="005843DF" w:rsidP="006D7A6D">
            <w:pPr>
              <w:pStyle w:val="ColumnHeading"/>
              <w:rPr>
                <w:b w:val="0"/>
                <w:bCs w:val="0"/>
              </w:rPr>
            </w:pPr>
            <w:r w:rsidRPr="004B520E">
              <w:t>Wetland, fresh</w:t>
            </w:r>
          </w:p>
        </w:tc>
        <w:tc>
          <w:tcPr>
            <w:tcW w:w="408" w:type="pct"/>
            <w:tcBorders>
              <w:left w:val="single" w:sz="8" w:space="0" w:color="A6A6A6" w:themeColor="background2" w:themeShade="A6"/>
              <w:bottom w:val="nil"/>
              <w:right w:val="single" w:sz="8" w:space="0" w:color="A6A6A6" w:themeColor="background2" w:themeShade="A6"/>
            </w:tcBorders>
            <w:hideMark/>
          </w:tcPr>
          <w:p w14:paraId="176588DB" w14:textId="77777777" w:rsidR="005843DF" w:rsidRPr="004B520E" w:rsidRDefault="005843DF" w:rsidP="006D7A6D">
            <w:pPr>
              <w:pStyle w:val="ColumnHeading"/>
              <w:rPr>
                <w:b w:val="0"/>
                <w:bCs w:val="0"/>
              </w:rPr>
            </w:pPr>
            <w:r w:rsidRPr="004B520E">
              <w:t>Wetland</w:t>
            </w:r>
          </w:p>
        </w:tc>
        <w:tc>
          <w:tcPr>
            <w:tcW w:w="509" w:type="pct"/>
            <w:tcBorders>
              <w:left w:val="single" w:sz="8" w:space="0" w:color="A6A6A6" w:themeColor="background2" w:themeShade="A6"/>
              <w:bottom w:val="nil"/>
            </w:tcBorders>
            <w:hideMark/>
          </w:tcPr>
          <w:p w14:paraId="2D3FEED6" w14:textId="77777777" w:rsidR="005843DF" w:rsidRPr="004B520E" w:rsidRDefault="005843DF" w:rsidP="006D7A6D">
            <w:pPr>
              <w:pStyle w:val="ColumnHeading"/>
              <w:rPr>
                <w:b w:val="0"/>
                <w:bCs w:val="0"/>
              </w:rPr>
            </w:pPr>
            <w:r w:rsidRPr="004B520E">
              <w:t>Total actions (volume, ML)</w:t>
            </w:r>
          </w:p>
        </w:tc>
      </w:tr>
      <w:tr w:rsidR="005C33AC" w:rsidRPr="004B520E" w14:paraId="6D726712" w14:textId="77777777" w:rsidTr="00784EC6">
        <w:trPr>
          <w:cnfStyle w:val="000000100000" w:firstRow="0" w:lastRow="0" w:firstColumn="0" w:lastColumn="0" w:oddVBand="0" w:evenVBand="0" w:oddHBand="1" w:evenHBand="0" w:firstRowFirstColumn="0" w:firstRowLastColumn="0" w:lastRowFirstColumn="0" w:lastRowLastColumn="0"/>
          <w:trHeight w:val="285"/>
        </w:trPr>
        <w:tc>
          <w:tcPr>
            <w:tcW w:w="429" w:type="pct"/>
            <w:tcBorders>
              <w:top w:val="nil"/>
              <w:right w:val="single" w:sz="4" w:space="0" w:color="auto"/>
            </w:tcBorders>
            <w:noWrap/>
            <w:hideMark/>
          </w:tcPr>
          <w:p w14:paraId="6C563B50" w14:textId="2C4A0F86" w:rsidR="0094592D" w:rsidRPr="004B520E" w:rsidRDefault="0094592D" w:rsidP="006D7A6D">
            <w:pPr>
              <w:pStyle w:val="TableText"/>
            </w:pPr>
            <w:r>
              <w:t>Northern Basin</w:t>
            </w:r>
          </w:p>
        </w:tc>
        <w:tc>
          <w:tcPr>
            <w:tcW w:w="429" w:type="pct"/>
            <w:tcBorders>
              <w:top w:val="nil"/>
              <w:left w:val="single" w:sz="4" w:space="0" w:color="auto"/>
              <w:right w:val="single" w:sz="8" w:space="0" w:color="A6A6A6" w:themeColor="background2" w:themeShade="A6"/>
            </w:tcBorders>
            <w:noWrap/>
            <w:hideMark/>
          </w:tcPr>
          <w:p w14:paraId="432E69A4" w14:textId="6465E1C7" w:rsidR="0094592D" w:rsidRPr="004B520E" w:rsidRDefault="0094592D" w:rsidP="000B73AA">
            <w:pPr>
              <w:pStyle w:val="TableTextRight0"/>
              <w:ind w:right="0"/>
            </w:pPr>
            <w:r>
              <w:t>1</w:t>
            </w:r>
            <w:r w:rsidRPr="004B520E">
              <w:t xml:space="preserve"> (</w:t>
            </w:r>
            <w:r>
              <w:t>900</w:t>
            </w:r>
            <w:r w:rsidRPr="004B520E">
              <w:t>)</w:t>
            </w:r>
          </w:p>
        </w:tc>
        <w:tc>
          <w:tcPr>
            <w:tcW w:w="368" w:type="pct"/>
            <w:tcBorders>
              <w:top w:val="nil"/>
              <w:left w:val="single" w:sz="8" w:space="0" w:color="A6A6A6" w:themeColor="background2" w:themeShade="A6"/>
              <w:right w:val="single" w:sz="8" w:space="0" w:color="A6A6A6" w:themeColor="background2" w:themeShade="A6"/>
            </w:tcBorders>
            <w:noWrap/>
            <w:hideMark/>
          </w:tcPr>
          <w:p w14:paraId="6697A2E6" w14:textId="3A997EFD" w:rsidR="0094592D" w:rsidRPr="004B520E" w:rsidRDefault="0094592D" w:rsidP="000B73AA">
            <w:pPr>
              <w:pStyle w:val="TableTextRight0"/>
              <w:ind w:right="0"/>
            </w:pPr>
            <w:r>
              <w:t>7</w:t>
            </w:r>
            <w:r w:rsidRPr="004B520E">
              <w:t xml:space="preserve"> (</w:t>
            </w:r>
            <w:r>
              <w:t>64,822</w:t>
            </w:r>
            <w:r w:rsidRPr="004B520E">
              <w:t>)</w:t>
            </w:r>
          </w:p>
        </w:tc>
        <w:tc>
          <w:tcPr>
            <w:tcW w:w="408" w:type="pct"/>
            <w:tcBorders>
              <w:top w:val="nil"/>
              <w:left w:val="single" w:sz="8" w:space="0" w:color="A6A6A6" w:themeColor="background2" w:themeShade="A6"/>
              <w:right w:val="single" w:sz="8" w:space="0" w:color="A6A6A6" w:themeColor="background2" w:themeShade="A6"/>
            </w:tcBorders>
            <w:noWrap/>
            <w:hideMark/>
          </w:tcPr>
          <w:p w14:paraId="62514817" w14:textId="5A2DB268" w:rsidR="0094592D" w:rsidRPr="004B520E" w:rsidRDefault="0094592D" w:rsidP="000B73AA">
            <w:pPr>
              <w:pStyle w:val="TableTextRight0"/>
              <w:ind w:right="0"/>
            </w:pPr>
            <w:r>
              <w:t>3</w:t>
            </w:r>
            <w:r w:rsidRPr="004B520E">
              <w:t xml:space="preserve"> (</w:t>
            </w:r>
            <w:r>
              <w:t>20,127</w:t>
            </w:r>
            <w:r w:rsidRPr="004B520E">
              <w:t>)</w:t>
            </w:r>
          </w:p>
        </w:tc>
        <w:tc>
          <w:tcPr>
            <w:tcW w:w="408" w:type="pct"/>
            <w:tcBorders>
              <w:top w:val="nil"/>
              <w:left w:val="single" w:sz="8" w:space="0" w:color="A6A6A6" w:themeColor="background2" w:themeShade="A6"/>
              <w:right w:val="single" w:sz="8" w:space="0" w:color="A6A6A6" w:themeColor="background2" w:themeShade="A6"/>
            </w:tcBorders>
            <w:noWrap/>
            <w:hideMark/>
          </w:tcPr>
          <w:p w14:paraId="634781D4" w14:textId="06ADA9E2" w:rsidR="0094592D" w:rsidRPr="004B520E" w:rsidRDefault="0094592D" w:rsidP="000B73AA">
            <w:pPr>
              <w:pStyle w:val="TableTextRight0"/>
              <w:ind w:right="0"/>
            </w:pPr>
            <w:r>
              <w:t>14</w:t>
            </w:r>
            <w:r w:rsidRPr="004B520E">
              <w:t xml:space="preserve"> (</w:t>
            </w:r>
            <w:r>
              <w:t>22,993</w:t>
            </w:r>
            <w:r w:rsidRPr="004B520E">
              <w:t>)</w:t>
            </w:r>
          </w:p>
        </w:tc>
        <w:tc>
          <w:tcPr>
            <w:tcW w:w="408" w:type="pct"/>
            <w:tcBorders>
              <w:top w:val="nil"/>
              <w:left w:val="single" w:sz="8" w:space="0" w:color="A6A6A6" w:themeColor="background2" w:themeShade="A6"/>
              <w:right w:val="single" w:sz="8" w:space="0" w:color="A6A6A6" w:themeColor="background2" w:themeShade="A6"/>
            </w:tcBorders>
            <w:noWrap/>
            <w:hideMark/>
          </w:tcPr>
          <w:p w14:paraId="494C9C4C" w14:textId="71110DA8" w:rsidR="0094592D" w:rsidRPr="004B520E" w:rsidRDefault="0094592D" w:rsidP="000B73AA">
            <w:pPr>
              <w:pStyle w:val="TableTextRight0"/>
              <w:ind w:right="0"/>
            </w:pPr>
            <w:r>
              <w:t>–</w:t>
            </w:r>
          </w:p>
        </w:tc>
        <w:tc>
          <w:tcPr>
            <w:tcW w:w="408" w:type="pct"/>
            <w:tcBorders>
              <w:top w:val="nil"/>
              <w:left w:val="single" w:sz="8" w:space="0" w:color="A6A6A6" w:themeColor="background2" w:themeShade="A6"/>
              <w:right w:val="single" w:sz="8" w:space="0" w:color="A6A6A6" w:themeColor="background2" w:themeShade="A6"/>
            </w:tcBorders>
            <w:noWrap/>
            <w:hideMark/>
          </w:tcPr>
          <w:p w14:paraId="1B14FA3C" w14:textId="31F1E54E" w:rsidR="0094592D" w:rsidRPr="004B520E" w:rsidRDefault="0094592D" w:rsidP="000B73AA">
            <w:pPr>
              <w:pStyle w:val="TableTextRight0"/>
              <w:ind w:right="0"/>
            </w:pPr>
            <w:r w:rsidRPr="004B520E">
              <w:t>1 (71,299)</w:t>
            </w:r>
          </w:p>
        </w:tc>
        <w:tc>
          <w:tcPr>
            <w:tcW w:w="408" w:type="pct"/>
            <w:tcBorders>
              <w:top w:val="nil"/>
              <w:left w:val="single" w:sz="8" w:space="0" w:color="A6A6A6" w:themeColor="background2" w:themeShade="A6"/>
              <w:right w:val="single" w:sz="8" w:space="0" w:color="A6A6A6" w:themeColor="background2" w:themeShade="A6"/>
            </w:tcBorders>
            <w:noWrap/>
            <w:hideMark/>
          </w:tcPr>
          <w:p w14:paraId="0ED0957C" w14:textId="3D41387F" w:rsidR="0094592D" w:rsidRPr="004B520E" w:rsidRDefault="0094592D" w:rsidP="000B73AA">
            <w:pPr>
              <w:pStyle w:val="TableTextRight0"/>
              <w:ind w:right="0"/>
            </w:pPr>
            <w:r>
              <w:t>–</w:t>
            </w:r>
          </w:p>
        </w:tc>
        <w:tc>
          <w:tcPr>
            <w:tcW w:w="408" w:type="pct"/>
            <w:tcBorders>
              <w:top w:val="nil"/>
              <w:left w:val="single" w:sz="8" w:space="0" w:color="A6A6A6" w:themeColor="background2" w:themeShade="A6"/>
              <w:right w:val="single" w:sz="8" w:space="0" w:color="A6A6A6" w:themeColor="background2" w:themeShade="A6"/>
            </w:tcBorders>
            <w:noWrap/>
            <w:hideMark/>
          </w:tcPr>
          <w:p w14:paraId="730366AC" w14:textId="38975389" w:rsidR="0094592D" w:rsidRPr="004B520E" w:rsidRDefault="0094592D" w:rsidP="000B73AA">
            <w:pPr>
              <w:pStyle w:val="TableTextRight0"/>
              <w:ind w:right="0"/>
            </w:pPr>
            <w:r w:rsidRPr="004B520E">
              <w:t>1 (8,370)</w:t>
            </w:r>
          </w:p>
        </w:tc>
        <w:tc>
          <w:tcPr>
            <w:tcW w:w="408" w:type="pct"/>
            <w:tcBorders>
              <w:top w:val="nil"/>
              <w:left w:val="single" w:sz="8" w:space="0" w:color="A6A6A6" w:themeColor="background2" w:themeShade="A6"/>
              <w:right w:val="single" w:sz="8" w:space="0" w:color="A6A6A6" w:themeColor="background2" w:themeShade="A6"/>
            </w:tcBorders>
            <w:noWrap/>
            <w:hideMark/>
          </w:tcPr>
          <w:p w14:paraId="6486D044" w14:textId="7D20CD18" w:rsidR="0094592D" w:rsidRPr="004B520E" w:rsidRDefault="0094592D" w:rsidP="000B73AA">
            <w:pPr>
              <w:pStyle w:val="TableTextRight0"/>
              <w:ind w:right="0"/>
            </w:pPr>
            <w:r w:rsidRPr="004B520E">
              <w:t>1 (56,046)</w:t>
            </w:r>
          </w:p>
        </w:tc>
        <w:tc>
          <w:tcPr>
            <w:tcW w:w="408" w:type="pct"/>
            <w:tcBorders>
              <w:top w:val="nil"/>
              <w:left w:val="single" w:sz="8" w:space="0" w:color="A6A6A6" w:themeColor="background2" w:themeShade="A6"/>
              <w:right w:val="single" w:sz="8" w:space="0" w:color="A6A6A6" w:themeColor="background2" w:themeShade="A6"/>
            </w:tcBorders>
            <w:hideMark/>
          </w:tcPr>
          <w:p w14:paraId="22F09D3E" w14:textId="4D60593F" w:rsidR="0094592D" w:rsidRPr="004B520E" w:rsidRDefault="0094592D" w:rsidP="000B73AA">
            <w:pPr>
              <w:pStyle w:val="TableTextRight0"/>
              <w:ind w:right="0"/>
            </w:pPr>
            <w:r>
              <w:t>2 (10,539)</w:t>
            </w:r>
          </w:p>
        </w:tc>
        <w:tc>
          <w:tcPr>
            <w:tcW w:w="509" w:type="pct"/>
            <w:tcBorders>
              <w:top w:val="nil"/>
              <w:left w:val="single" w:sz="8" w:space="0" w:color="A6A6A6" w:themeColor="background2" w:themeShade="A6"/>
            </w:tcBorders>
            <w:noWrap/>
            <w:hideMark/>
          </w:tcPr>
          <w:p w14:paraId="03CD1384" w14:textId="0A47F7DE" w:rsidR="0094592D" w:rsidRPr="004B520E" w:rsidRDefault="0094592D" w:rsidP="000B73AA">
            <w:pPr>
              <w:pStyle w:val="TableTextRight0"/>
              <w:ind w:right="0"/>
            </w:pPr>
            <w:r>
              <w:t>30 (255,096)</w:t>
            </w:r>
          </w:p>
        </w:tc>
      </w:tr>
      <w:tr w:rsidR="00DF1D3F" w:rsidRPr="004B520E" w14:paraId="4B02C0E2" w14:textId="77777777" w:rsidTr="00784EC6">
        <w:trPr>
          <w:trHeight w:val="285"/>
        </w:trPr>
        <w:tc>
          <w:tcPr>
            <w:tcW w:w="429" w:type="pct"/>
            <w:tcBorders>
              <w:right w:val="single" w:sz="4" w:space="0" w:color="auto"/>
            </w:tcBorders>
            <w:noWrap/>
            <w:hideMark/>
          </w:tcPr>
          <w:p w14:paraId="58E91F9D" w14:textId="287F7F82" w:rsidR="0094592D" w:rsidRPr="004B520E" w:rsidRDefault="0094592D" w:rsidP="006D7A6D">
            <w:pPr>
              <w:pStyle w:val="TableText"/>
            </w:pPr>
            <w:r>
              <w:t>Southern Basin</w:t>
            </w:r>
          </w:p>
        </w:tc>
        <w:tc>
          <w:tcPr>
            <w:tcW w:w="429" w:type="pct"/>
            <w:tcBorders>
              <w:left w:val="single" w:sz="4" w:space="0" w:color="auto"/>
              <w:right w:val="single" w:sz="8" w:space="0" w:color="A6A6A6" w:themeColor="background2" w:themeShade="A6"/>
            </w:tcBorders>
            <w:noWrap/>
            <w:hideMark/>
          </w:tcPr>
          <w:p w14:paraId="026EB077" w14:textId="36293E88" w:rsidR="0094592D" w:rsidRPr="004B520E" w:rsidRDefault="0094592D" w:rsidP="000B73AA">
            <w:pPr>
              <w:pStyle w:val="TableTextRight0"/>
              <w:ind w:right="0"/>
            </w:pPr>
            <w:r w:rsidRPr="004B520E">
              <w:t>3</w:t>
            </w:r>
            <w:r>
              <w:t>3</w:t>
            </w:r>
            <w:r w:rsidRPr="004B520E">
              <w:t xml:space="preserve"> (</w:t>
            </w:r>
            <w:r>
              <w:t>1,125,432</w:t>
            </w:r>
            <w:r w:rsidRPr="004B520E">
              <w:t>)</w:t>
            </w:r>
          </w:p>
        </w:tc>
        <w:tc>
          <w:tcPr>
            <w:tcW w:w="368" w:type="pct"/>
            <w:tcBorders>
              <w:left w:val="single" w:sz="8" w:space="0" w:color="A6A6A6" w:themeColor="background2" w:themeShade="A6"/>
              <w:right w:val="single" w:sz="8" w:space="0" w:color="A6A6A6" w:themeColor="background2" w:themeShade="A6"/>
            </w:tcBorders>
            <w:noWrap/>
            <w:hideMark/>
          </w:tcPr>
          <w:p w14:paraId="6B748451" w14:textId="089146BE" w:rsidR="0094592D" w:rsidRPr="004B520E" w:rsidRDefault="0094592D" w:rsidP="000B73AA">
            <w:pPr>
              <w:pStyle w:val="TableTextRight0"/>
              <w:ind w:right="0"/>
            </w:pPr>
            <w:r>
              <w:t>8</w:t>
            </w:r>
            <w:r w:rsidRPr="004B520E">
              <w:t xml:space="preserve"> (</w:t>
            </w:r>
            <w:r w:rsidR="0017650B">
              <w:t>701</w:t>
            </w:r>
            <w:r>
              <w:t>,909</w:t>
            </w:r>
            <w:r w:rsidRPr="004B520E">
              <w:t>)</w:t>
            </w:r>
          </w:p>
        </w:tc>
        <w:tc>
          <w:tcPr>
            <w:tcW w:w="408" w:type="pct"/>
            <w:tcBorders>
              <w:left w:val="single" w:sz="8" w:space="0" w:color="A6A6A6" w:themeColor="background2" w:themeShade="A6"/>
              <w:right w:val="single" w:sz="8" w:space="0" w:color="A6A6A6" w:themeColor="background2" w:themeShade="A6"/>
            </w:tcBorders>
            <w:noWrap/>
            <w:hideMark/>
          </w:tcPr>
          <w:p w14:paraId="70051561" w14:textId="47A9F35C" w:rsidR="0094592D" w:rsidRPr="004B520E" w:rsidRDefault="0094592D" w:rsidP="000B73AA">
            <w:pPr>
              <w:pStyle w:val="TableTextRight0"/>
              <w:ind w:right="0"/>
            </w:pPr>
            <w:r>
              <w:t>–</w:t>
            </w:r>
          </w:p>
        </w:tc>
        <w:tc>
          <w:tcPr>
            <w:tcW w:w="408" w:type="pct"/>
            <w:tcBorders>
              <w:left w:val="single" w:sz="8" w:space="0" w:color="A6A6A6" w:themeColor="background2" w:themeShade="A6"/>
              <w:right w:val="single" w:sz="8" w:space="0" w:color="A6A6A6" w:themeColor="background2" w:themeShade="A6"/>
            </w:tcBorders>
            <w:noWrap/>
            <w:hideMark/>
          </w:tcPr>
          <w:p w14:paraId="0E12280C" w14:textId="73A168EE" w:rsidR="0094592D" w:rsidRPr="004B520E" w:rsidRDefault="0094592D" w:rsidP="000B73AA">
            <w:pPr>
              <w:pStyle w:val="TableTextRight0"/>
              <w:ind w:right="0"/>
            </w:pPr>
            <w:r>
              <w:t>19</w:t>
            </w:r>
            <w:r w:rsidRPr="004B520E">
              <w:t xml:space="preserve"> (</w:t>
            </w:r>
            <w:r>
              <w:t>443,449</w:t>
            </w:r>
            <w:r w:rsidRPr="004B520E">
              <w:t>)</w:t>
            </w:r>
          </w:p>
        </w:tc>
        <w:tc>
          <w:tcPr>
            <w:tcW w:w="408" w:type="pct"/>
            <w:tcBorders>
              <w:left w:val="single" w:sz="8" w:space="0" w:color="A6A6A6" w:themeColor="background2" w:themeShade="A6"/>
              <w:right w:val="single" w:sz="8" w:space="0" w:color="A6A6A6" w:themeColor="background2" w:themeShade="A6"/>
            </w:tcBorders>
            <w:noWrap/>
            <w:hideMark/>
          </w:tcPr>
          <w:p w14:paraId="699706EF" w14:textId="3D9337F6" w:rsidR="0094592D" w:rsidRPr="004B520E" w:rsidRDefault="0094592D" w:rsidP="000B73AA">
            <w:pPr>
              <w:pStyle w:val="TableTextRight0"/>
              <w:ind w:right="0"/>
            </w:pPr>
            <w:r w:rsidRPr="004B520E">
              <w:t>3 (263,116)</w:t>
            </w:r>
          </w:p>
        </w:tc>
        <w:tc>
          <w:tcPr>
            <w:tcW w:w="408" w:type="pct"/>
            <w:tcBorders>
              <w:left w:val="single" w:sz="8" w:space="0" w:color="A6A6A6" w:themeColor="background2" w:themeShade="A6"/>
              <w:right w:val="single" w:sz="8" w:space="0" w:color="A6A6A6" w:themeColor="background2" w:themeShade="A6"/>
            </w:tcBorders>
            <w:noWrap/>
            <w:hideMark/>
          </w:tcPr>
          <w:p w14:paraId="61F1EFF7" w14:textId="6C99A2C8" w:rsidR="0094592D" w:rsidRPr="004B520E" w:rsidRDefault="0094592D" w:rsidP="000B73AA">
            <w:pPr>
              <w:pStyle w:val="TableTextRight0"/>
              <w:ind w:right="0"/>
            </w:pPr>
            <w:r>
              <w:t>–</w:t>
            </w:r>
          </w:p>
        </w:tc>
        <w:tc>
          <w:tcPr>
            <w:tcW w:w="408" w:type="pct"/>
            <w:tcBorders>
              <w:left w:val="single" w:sz="8" w:space="0" w:color="A6A6A6" w:themeColor="background2" w:themeShade="A6"/>
              <w:right w:val="single" w:sz="8" w:space="0" w:color="A6A6A6" w:themeColor="background2" w:themeShade="A6"/>
            </w:tcBorders>
            <w:noWrap/>
            <w:hideMark/>
          </w:tcPr>
          <w:p w14:paraId="198FBB36" w14:textId="64E62C5E" w:rsidR="0094592D" w:rsidRPr="004B520E" w:rsidRDefault="0094592D" w:rsidP="000B73AA">
            <w:pPr>
              <w:pStyle w:val="TableTextRight0"/>
              <w:ind w:right="0"/>
            </w:pPr>
            <w:r w:rsidRPr="004B520E">
              <w:t>2 (26,705)</w:t>
            </w:r>
          </w:p>
        </w:tc>
        <w:tc>
          <w:tcPr>
            <w:tcW w:w="408" w:type="pct"/>
            <w:tcBorders>
              <w:left w:val="single" w:sz="8" w:space="0" w:color="A6A6A6" w:themeColor="background2" w:themeShade="A6"/>
              <w:right w:val="single" w:sz="8" w:space="0" w:color="A6A6A6" w:themeColor="background2" w:themeShade="A6"/>
            </w:tcBorders>
            <w:noWrap/>
            <w:hideMark/>
          </w:tcPr>
          <w:p w14:paraId="3A0DD059" w14:textId="6F81B0E1" w:rsidR="0094592D" w:rsidRPr="004B520E" w:rsidRDefault="0094592D" w:rsidP="000B73AA">
            <w:pPr>
              <w:pStyle w:val="TableTextRight0"/>
              <w:ind w:right="0"/>
            </w:pPr>
            <w:r>
              <w:t>–</w:t>
            </w:r>
          </w:p>
        </w:tc>
        <w:tc>
          <w:tcPr>
            <w:tcW w:w="408" w:type="pct"/>
            <w:tcBorders>
              <w:left w:val="single" w:sz="8" w:space="0" w:color="A6A6A6" w:themeColor="background2" w:themeShade="A6"/>
              <w:right w:val="single" w:sz="8" w:space="0" w:color="A6A6A6" w:themeColor="background2" w:themeShade="A6"/>
            </w:tcBorders>
            <w:noWrap/>
            <w:hideMark/>
          </w:tcPr>
          <w:p w14:paraId="3EFEB5FB" w14:textId="05B4DEB3" w:rsidR="0094592D" w:rsidRPr="004B520E" w:rsidRDefault="0094592D" w:rsidP="000B73AA">
            <w:pPr>
              <w:pStyle w:val="TableTextRight0"/>
              <w:ind w:right="0"/>
            </w:pPr>
            <w:r>
              <w:t>–</w:t>
            </w:r>
          </w:p>
        </w:tc>
        <w:tc>
          <w:tcPr>
            <w:tcW w:w="408" w:type="pct"/>
            <w:tcBorders>
              <w:left w:val="single" w:sz="8" w:space="0" w:color="A6A6A6" w:themeColor="background2" w:themeShade="A6"/>
              <w:right w:val="single" w:sz="8" w:space="0" w:color="A6A6A6" w:themeColor="background2" w:themeShade="A6"/>
            </w:tcBorders>
            <w:hideMark/>
          </w:tcPr>
          <w:p w14:paraId="4C983B3E" w14:textId="7A428E4D" w:rsidR="0094592D" w:rsidRPr="004B520E" w:rsidRDefault="0094592D" w:rsidP="000B73AA">
            <w:pPr>
              <w:pStyle w:val="TableTextRight0"/>
              <w:ind w:right="0"/>
            </w:pPr>
            <w:r>
              <w:t>19</w:t>
            </w:r>
            <w:r w:rsidRPr="004B520E">
              <w:t xml:space="preserve"> (</w:t>
            </w:r>
            <w:r>
              <w:t>54,441</w:t>
            </w:r>
            <w:r w:rsidRPr="004B520E">
              <w:t>)</w:t>
            </w:r>
          </w:p>
        </w:tc>
        <w:tc>
          <w:tcPr>
            <w:tcW w:w="509" w:type="pct"/>
            <w:tcBorders>
              <w:left w:val="single" w:sz="8" w:space="0" w:color="A6A6A6" w:themeColor="background2" w:themeShade="A6"/>
            </w:tcBorders>
            <w:noWrap/>
            <w:hideMark/>
          </w:tcPr>
          <w:p w14:paraId="0725AA4B" w14:textId="0496C8AE" w:rsidR="0094592D" w:rsidRPr="004B520E" w:rsidRDefault="0094592D" w:rsidP="000B73AA">
            <w:pPr>
              <w:pStyle w:val="TableTextRight0"/>
              <w:ind w:right="0"/>
            </w:pPr>
            <w:r>
              <w:t>8</w:t>
            </w:r>
            <w:r w:rsidRPr="004B520E">
              <w:t>4 (2,</w:t>
            </w:r>
            <w:r w:rsidR="00A2212B">
              <w:t>615,052</w:t>
            </w:r>
            <w:r w:rsidRPr="004B520E">
              <w:t>)</w:t>
            </w:r>
          </w:p>
        </w:tc>
      </w:tr>
      <w:tr w:rsidR="00DF1D3F" w:rsidRPr="004B520E" w14:paraId="0C07B8F7" w14:textId="77777777" w:rsidTr="00784EC6">
        <w:trPr>
          <w:cnfStyle w:val="010000000000" w:firstRow="0" w:lastRow="1" w:firstColumn="0" w:lastColumn="0" w:oddVBand="0" w:evenVBand="0" w:oddHBand="0" w:evenHBand="0" w:firstRowFirstColumn="0" w:firstRowLastColumn="0" w:lastRowFirstColumn="0" w:lastRowLastColumn="0"/>
          <w:trHeight w:val="293"/>
        </w:trPr>
        <w:tc>
          <w:tcPr>
            <w:tcW w:w="429" w:type="pct"/>
            <w:tcBorders>
              <w:right w:val="single" w:sz="4" w:space="0" w:color="auto"/>
            </w:tcBorders>
            <w:noWrap/>
            <w:hideMark/>
          </w:tcPr>
          <w:p w14:paraId="1BA0753E" w14:textId="77777777" w:rsidR="005843DF" w:rsidRPr="004B520E" w:rsidRDefault="005843DF" w:rsidP="006D7A6D">
            <w:pPr>
              <w:pStyle w:val="TableText"/>
            </w:pPr>
            <w:r w:rsidRPr="004B520E">
              <w:t>Total</w:t>
            </w:r>
          </w:p>
        </w:tc>
        <w:tc>
          <w:tcPr>
            <w:tcW w:w="429" w:type="pct"/>
            <w:tcBorders>
              <w:left w:val="single" w:sz="4" w:space="0" w:color="auto"/>
              <w:right w:val="single" w:sz="8" w:space="0" w:color="A6A6A6" w:themeColor="background2" w:themeShade="A6"/>
            </w:tcBorders>
            <w:noWrap/>
            <w:hideMark/>
          </w:tcPr>
          <w:p w14:paraId="75BE9C98" w14:textId="77777777" w:rsidR="005843DF" w:rsidRPr="004B520E" w:rsidRDefault="005843DF" w:rsidP="000B73AA">
            <w:pPr>
              <w:pStyle w:val="TableText"/>
              <w:jc w:val="right"/>
            </w:pPr>
            <w:r w:rsidRPr="004B520E">
              <w:t>34 (1,126,332)</w:t>
            </w:r>
          </w:p>
        </w:tc>
        <w:tc>
          <w:tcPr>
            <w:tcW w:w="368" w:type="pct"/>
            <w:tcBorders>
              <w:left w:val="single" w:sz="8" w:space="0" w:color="A6A6A6" w:themeColor="background2" w:themeShade="A6"/>
              <w:right w:val="single" w:sz="8" w:space="0" w:color="A6A6A6" w:themeColor="background2" w:themeShade="A6"/>
            </w:tcBorders>
            <w:noWrap/>
            <w:hideMark/>
          </w:tcPr>
          <w:p w14:paraId="2C8A6197" w14:textId="47EE0E1B" w:rsidR="005843DF" w:rsidRPr="004B520E" w:rsidRDefault="005843DF" w:rsidP="000B73AA">
            <w:pPr>
              <w:pStyle w:val="TableTextRight0"/>
              <w:ind w:right="0"/>
            </w:pPr>
            <w:r w:rsidRPr="004B520E">
              <w:t>15 (</w:t>
            </w:r>
            <w:r w:rsidR="008A036E">
              <w:t>76</w:t>
            </w:r>
            <w:r w:rsidRPr="004B520E">
              <w:t>6,73</w:t>
            </w:r>
            <w:r w:rsidR="009E74B0">
              <w:t>0</w:t>
            </w:r>
            <w:r w:rsidRPr="004B520E">
              <w:t>)</w:t>
            </w:r>
          </w:p>
        </w:tc>
        <w:tc>
          <w:tcPr>
            <w:tcW w:w="408" w:type="pct"/>
            <w:tcBorders>
              <w:left w:val="single" w:sz="8" w:space="0" w:color="A6A6A6" w:themeColor="background2" w:themeShade="A6"/>
              <w:right w:val="single" w:sz="8" w:space="0" w:color="A6A6A6" w:themeColor="background2" w:themeShade="A6"/>
            </w:tcBorders>
            <w:noWrap/>
            <w:hideMark/>
          </w:tcPr>
          <w:p w14:paraId="53CEA6C3" w14:textId="77777777" w:rsidR="005843DF" w:rsidRPr="004B520E" w:rsidRDefault="005843DF" w:rsidP="000B73AA">
            <w:pPr>
              <w:pStyle w:val="TableTextRight0"/>
              <w:ind w:right="0"/>
            </w:pPr>
            <w:r w:rsidRPr="004B520E">
              <w:t>3 (20,127)</w:t>
            </w:r>
          </w:p>
        </w:tc>
        <w:tc>
          <w:tcPr>
            <w:tcW w:w="408" w:type="pct"/>
            <w:tcBorders>
              <w:left w:val="single" w:sz="8" w:space="0" w:color="A6A6A6" w:themeColor="background2" w:themeShade="A6"/>
              <w:right w:val="single" w:sz="8" w:space="0" w:color="A6A6A6" w:themeColor="background2" w:themeShade="A6"/>
            </w:tcBorders>
            <w:noWrap/>
            <w:hideMark/>
          </w:tcPr>
          <w:p w14:paraId="39E05690" w14:textId="12A002FE" w:rsidR="005843DF" w:rsidRPr="004B520E" w:rsidRDefault="005843DF" w:rsidP="000B73AA">
            <w:pPr>
              <w:pStyle w:val="TableText"/>
              <w:jc w:val="right"/>
            </w:pPr>
            <w:r w:rsidRPr="004B520E">
              <w:t>33 (466,44</w:t>
            </w:r>
            <w:r w:rsidR="009E74B0">
              <w:t>1</w:t>
            </w:r>
            <w:r w:rsidRPr="004B520E">
              <w:t>)</w:t>
            </w:r>
          </w:p>
        </w:tc>
        <w:tc>
          <w:tcPr>
            <w:tcW w:w="408" w:type="pct"/>
            <w:tcBorders>
              <w:left w:val="single" w:sz="8" w:space="0" w:color="A6A6A6" w:themeColor="background2" w:themeShade="A6"/>
              <w:right w:val="single" w:sz="8" w:space="0" w:color="A6A6A6" w:themeColor="background2" w:themeShade="A6"/>
            </w:tcBorders>
            <w:noWrap/>
            <w:hideMark/>
          </w:tcPr>
          <w:p w14:paraId="6E65B657" w14:textId="77777777" w:rsidR="005843DF" w:rsidRPr="004B520E" w:rsidRDefault="005843DF" w:rsidP="000B73AA">
            <w:pPr>
              <w:pStyle w:val="TableTextRight0"/>
              <w:ind w:right="0"/>
            </w:pPr>
            <w:r w:rsidRPr="004B520E">
              <w:t>3 (263,116)</w:t>
            </w:r>
          </w:p>
        </w:tc>
        <w:tc>
          <w:tcPr>
            <w:tcW w:w="408" w:type="pct"/>
            <w:tcBorders>
              <w:left w:val="single" w:sz="8" w:space="0" w:color="A6A6A6" w:themeColor="background2" w:themeShade="A6"/>
              <w:right w:val="single" w:sz="8" w:space="0" w:color="A6A6A6" w:themeColor="background2" w:themeShade="A6"/>
            </w:tcBorders>
            <w:noWrap/>
            <w:hideMark/>
          </w:tcPr>
          <w:p w14:paraId="4F111440" w14:textId="77777777" w:rsidR="005843DF" w:rsidRPr="004B520E" w:rsidRDefault="005843DF" w:rsidP="000B73AA">
            <w:pPr>
              <w:pStyle w:val="TableTextRight0"/>
              <w:ind w:right="0"/>
            </w:pPr>
            <w:r w:rsidRPr="004B520E">
              <w:t>1 (71,299)</w:t>
            </w:r>
          </w:p>
        </w:tc>
        <w:tc>
          <w:tcPr>
            <w:tcW w:w="408" w:type="pct"/>
            <w:tcBorders>
              <w:left w:val="single" w:sz="8" w:space="0" w:color="A6A6A6" w:themeColor="background2" w:themeShade="A6"/>
              <w:right w:val="single" w:sz="8" w:space="0" w:color="A6A6A6" w:themeColor="background2" w:themeShade="A6"/>
            </w:tcBorders>
            <w:noWrap/>
            <w:hideMark/>
          </w:tcPr>
          <w:p w14:paraId="5D42C3C6" w14:textId="77777777" w:rsidR="005843DF" w:rsidRPr="004B520E" w:rsidRDefault="005843DF" w:rsidP="000B73AA">
            <w:pPr>
              <w:pStyle w:val="TableTextRight0"/>
              <w:ind w:right="0"/>
            </w:pPr>
            <w:r w:rsidRPr="004B520E">
              <w:t>2 (26,705)</w:t>
            </w:r>
          </w:p>
        </w:tc>
        <w:tc>
          <w:tcPr>
            <w:tcW w:w="408" w:type="pct"/>
            <w:tcBorders>
              <w:left w:val="single" w:sz="8" w:space="0" w:color="A6A6A6" w:themeColor="background2" w:themeShade="A6"/>
              <w:right w:val="single" w:sz="8" w:space="0" w:color="A6A6A6" w:themeColor="background2" w:themeShade="A6"/>
            </w:tcBorders>
            <w:noWrap/>
            <w:hideMark/>
          </w:tcPr>
          <w:p w14:paraId="655D6BAD" w14:textId="77777777" w:rsidR="005843DF" w:rsidRPr="004B520E" w:rsidRDefault="005843DF" w:rsidP="000B73AA">
            <w:pPr>
              <w:pStyle w:val="TableTextRight0"/>
              <w:ind w:right="0"/>
            </w:pPr>
            <w:r w:rsidRPr="004B520E">
              <w:t>1 (8,370)</w:t>
            </w:r>
          </w:p>
        </w:tc>
        <w:tc>
          <w:tcPr>
            <w:tcW w:w="408" w:type="pct"/>
            <w:tcBorders>
              <w:left w:val="single" w:sz="8" w:space="0" w:color="A6A6A6" w:themeColor="background2" w:themeShade="A6"/>
              <w:right w:val="single" w:sz="8" w:space="0" w:color="A6A6A6" w:themeColor="background2" w:themeShade="A6"/>
            </w:tcBorders>
            <w:noWrap/>
            <w:hideMark/>
          </w:tcPr>
          <w:p w14:paraId="4BF8C981" w14:textId="77777777" w:rsidR="005843DF" w:rsidRPr="004B520E" w:rsidRDefault="005843DF" w:rsidP="000B73AA">
            <w:pPr>
              <w:pStyle w:val="TableTextRight0"/>
              <w:ind w:right="0"/>
            </w:pPr>
            <w:r w:rsidRPr="004B520E">
              <w:t>1 (56,046)</w:t>
            </w:r>
          </w:p>
        </w:tc>
        <w:tc>
          <w:tcPr>
            <w:tcW w:w="408" w:type="pct"/>
            <w:tcBorders>
              <w:left w:val="single" w:sz="8" w:space="0" w:color="A6A6A6" w:themeColor="background2" w:themeShade="A6"/>
              <w:right w:val="single" w:sz="8" w:space="0" w:color="A6A6A6" w:themeColor="background2" w:themeShade="A6"/>
            </w:tcBorders>
            <w:hideMark/>
          </w:tcPr>
          <w:p w14:paraId="225724CB" w14:textId="1F9F944E" w:rsidR="005843DF" w:rsidRPr="004B520E" w:rsidRDefault="005843DF" w:rsidP="000B73AA">
            <w:pPr>
              <w:pStyle w:val="TableText"/>
              <w:jc w:val="right"/>
            </w:pPr>
            <w:r w:rsidRPr="004B520E">
              <w:t>21 (64,98</w:t>
            </w:r>
            <w:r w:rsidR="00991655">
              <w:t>1</w:t>
            </w:r>
            <w:r w:rsidRPr="004B520E">
              <w:t>)</w:t>
            </w:r>
          </w:p>
        </w:tc>
        <w:tc>
          <w:tcPr>
            <w:tcW w:w="509" w:type="pct"/>
            <w:tcBorders>
              <w:left w:val="single" w:sz="8" w:space="0" w:color="A6A6A6" w:themeColor="background2" w:themeShade="A6"/>
            </w:tcBorders>
            <w:noWrap/>
            <w:hideMark/>
          </w:tcPr>
          <w:p w14:paraId="042B4BCD" w14:textId="3268D807" w:rsidR="005843DF" w:rsidRPr="004B520E" w:rsidRDefault="005843DF" w:rsidP="000B73AA">
            <w:pPr>
              <w:pStyle w:val="TableText"/>
              <w:jc w:val="right"/>
            </w:pPr>
            <w:r w:rsidRPr="004B520E">
              <w:t>114 (2,</w:t>
            </w:r>
            <w:r w:rsidR="000A400F">
              <w:t>87</w:t>
            </w:r>
            <w:r w:rsidRPr="004B520E">
              <w:t>0,14</w:t>
            </w:r>
            <w:r w:rsidR="000A400F">
              <w:t>8</w:t>
            </w:r>
            <w:r w:rsidRPr="004B520E">
              <w:t>)</w:t>
            </w:r>
          </w:p>
        </w:tc>
      </w:tr>
    </w:tbl>
    <w:p w14:paraId="77C2CC4F" w14:textId="77777777" w:rsidR="005843DF" w:rsidRPr="004B520E" w:rsidRDefault="005843DF">
      <w:pPr>
        <w:pStyle w:val="TableText"/>
      </w:pPr>
    </w:p>
    <w:p w14:paraId="22B54263" w14:textId="02C1DE3C" w:rsidR="001C5A5D" w:rsidRPr="004B520E" w:rsidRDefault="001C5A5D" w:rsidP="00815F56">
      <w:pPr>
        <w:pStyle w:val="TableTextRight0"/>
      </w:pPr>
    </w:p>
    <w:p w14:paraId="3F99006A" w14:textId="69636863" w:rsidR="001C5A5D" w:rsidRPr="004B520E" w:rsidRDefault="001C5A5D" w:rsidP="0089441F">
      <w:pPr>
        <w:pStyle w:val="Caption"/>
        <w:spacing w:before="0"/>
      </w:pPr>
      <w:bookmarkStart w:id="615" w:name="_Ref172300795"/>
      <w:bookmarkStart w:id="616" w:name="_Toc172283765"/>
      <w:bookmarkStart w:id="617" w:name="_Toc172283789"/>
      <w:bookmarkStart w:id="618" w:name="_Toc203692563"/>
      <w:bookmarkStart w:id="619" w:name="_Toc206528517"/>
      <w:r w:rsidRPr="004B520E">
        <w:lastRenderedPageBreak/>
        <w:t>Figure</w:t>
      </w:r>
      <w:r w:rsidR="00753C6F">
        <w:t> </w:t>
      </w:r>
      <w:r>
        <w:fldChar w:fldCharType="begin"/>
      </w:r>
      <w:r>
        <w:instrText>STYLEREF 9 \s</w:instrText>
      </w:r>
      <w:r>
        <w:fldChar w:fldCharType="separate"/>
      </w:r>
      <w:r w:rsidR="00C43C1D">
        <w:rPr>
          <w:noProof/>
        </w:rPr>
        <w:t>A</w:t>
      </w:r>
      <w:r>
        <w:fldChar w:fldCharType="end"/>
      </w:r>
      <w:r w:rsidR="003B266F" w:rsidRPr="004B520E">
        <w:t>.</w:t>
      </w:r>
      <w:r>
        <w:fldChar w:fldCharType="begin"/>
      </w:r>
      <w:r>
        <w:instrText>SEQ ApxFigure \* ARABIC \s 9</w:instrText>
      </w:r>
      <w:r>
        <w:fldChar w:fldCharType="separate"/>
      </w:r>
      <w:r w:rsidR="00C43C1D">
        <w:rPr>
          <w:noProof/>
        </w:rPr>
        <w:t>1</w:t>
      </w:r>
      <w:r>
        <w:fldChar w:fldCharType="end"/>
      </w:r>
      <w:bookmarkEnd w:id="615"/>
      <w:r w:rsidRPr="004B520E">
        <w:t xml:space="preserve"> Commonwealth environmental water portfolio showing volume (left) and number (right) of watering actions, by valley and year, </w:t>
      </w:r>
      <w:r w:rsidR="00244943" w:rsidRPr="004B520E">
        <w:t>2014–24</w:t>
      </w:r>
      <w:bookmarkEnd w:id="616"/>
      <w:bookmarkEnd w:id="617"/>
      <w:bookmarkEnd w:id="618"/>
      <w:bookmarkEnd w:id="619"/>
    </w:p>
    <w:p w14:paraId="67958F33" w14:textId="78BF664C" w:rsidR="00654308" w:rsidRPr="004B520E" w:rsidRDefault="00EC3228" w:rsidP="00654308">
      <w:pPr>
        <w:pStyle w:val="Caption"/>
      </w:pPr>
      <w:bookmarkStart w:id="620" w:name="_Toc172283468"/>
      <w:bookmarkStart w:id="621" w:name="_Toc172283589"/>
      <w:bookmarkStart w:id="622" w:name="_Toc172283710"/>
      <w:bookmarkStart w:id="623" w:name="_Toc172290998"/>
      <w:bookmarkStart w:id="624" w:name="_Toc172283711"/>
      <w:bookmarkStart w:id="625" w:name="_Toc172290999"/>
      <w:bookmarkEnd w:id="620"/>
      <w:bookmarkEnd w:id="621"/>
      <w:bookmarkEnd w:id="622"/>
      <w:bookmarkEnd w:id="623"/>
      <w:r w:rsidRPr="00EC3228">
        <w:rPr>
          <w:noProof/>
        </w:rPr>
        <w:drawing>
          <wp:inline distT="0" distB="0" distL="0" distR="0" wp14:anchorId="61C47242" wp14:editId="33EE4379">
            <wp:extent cx="9251950" cy="5805805"/>
            <wp:effectExtent l="0" t="0" r="6350" b="4445"/>
            <wp:docPr id="2043845399" name="Picture 1" descr="Due to the complexity of this graph / chart / figure and the niche scientific target audience, no alternative description has been provided. Please email the CEWH Environmental Water Science Section at CEWHscience@dcceew.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45399" name="Picture 1" descr="Due to the complexity of this graph / chart / figure and the niche scientific target audience, no alternative description has been provided. Please email the CEWH Environmental Water Science Section at CEWHscience@dcceew.gov.au for an alternative description."/>
                    <pic:cNvPicPr/>
                  </pic:nvPicPr>
                  <pic:blipFill>
                    <a:blip r:embed="rId79"/>
                    <a:stretch>
                      <a:fillRect/>
                    </a:stretch>
                  </pic:blipFill>
                  <pic:spPr>
                    <a:xfrm>
                      <a:off x="0" y="0"/>
                      <a:ext cx="9251950" cy="5805805"/>
                    </a:xfrm>
                    <a:prstGeom prst="rect">
                      <a:avLst/>
                    </a:prstGeom>
                  </pic:spPr>
                </pic:pic>
              </a:graphicData>
            </a:graphic>
          </wp:inline>
        </w:drawing>
      </w:r>
    </w:p>
    <w:p w14:paraId="0E3876C7" w14:textId="662A385D" w:rsidR="00DA0906" w:rsidRPr="004B520E" w:rsidRDefault="00DA0906" w:rsidP="00DA0906">
      <w:pPr>
        <w:pStyle w:val="Heading9"/>
      </w:pPr>
      <w:bookmarkStart w:id="626" w:name="_Toc203682284"/>
      <w:bookmarkStart w:id="627" w:name="_Toc204606899"/>
      <w:r w:rsidRPr="004B520E">
        <w:lastRenderedPageBreak/>
        <w:t>Detailed outcomes table</w:t>
      </w:r>
      <w:bookmarkEnd w:id="601"/>
      <w:bookmarkEnd w:id="602"/>
      <w:bookmarkEnd w:id="603"/>
      <w:bookmarkEnd w:id="624"/>
      <w:bookmarkEnd w:id="625"/>
      <w:bookmarkEnd w:id="626"/>
      <w:bookmarkEnd w:id="627"/>
    </w:p>
    <w:p w14:paraId="3245C404" w14:textId="51E5B708" w:rsidR="008D0B97" w:rsidRDefault="00E32B5B" w:rsidP="000B73AA">
      <w:pPr>
        <w:pStyle w:val="CaptionWithNote"/>
      </w:pPr>
      <w:bookmarkStart w:id="628" w:name="_Toc106204501"/>
      <w:bookmarkStart w:id="629" w:name="_Toc172283796"/>
      <w:bookmarkStart w:id="630" w:name="_Toc172291951"/>
      <w:bookmarkStart w:id="631" w:name="_Toc204609875"/>
      <w:r w:rsidRPr="004B520E">
        <w:t>Table</w:t>
      </w:r>
      <w:r w:rsidR="007D79EC">
        <w:t> </w:t>
      </w:r>
      <w:r>
        <w:fldChar w:fldCharType="begin"/>
      </w:r>
      <w:r>
        <w:instrText>STYLEREF 9 \s</w:instrText>
      </w:r>
      <w:r>
        <w:fldChar w:fldCharType="separate"/>
      </w:r>
      <w:r w:rsidR="00C43C1D">
        <w:rPr>
          <w:noProof/>
        </w:rPr>
        <w:t>B</w:t>
      </w:r>
      <w:r>
        <w:fldChar w:fldCharType="end"/>
      </w:r>
      <w:r w:rsidR="005E17E7">
        <w:t>.</w:t>
      </w:r>
      <w:r>
        <w:fldChar w:fldCharType="begin"/>
      </w:r>
      <w:r>
        <w:instrText>SEQ ApxTable \* ARABIC \s 9</w:instrText>
      </w:r>
      <w:r>
        <w:fldChar w:fldCharType="separate"/>
      </w:r>
      <w:r w:rsidR="00C43C1D">
        <w:rPr>
          <w:noProof/>
        </w:rPr>
        <w:t>1</w:t>
      </w:r>
      <w:r>
        <w:fldChar w:fldCharType="end"/>
      </w:r>
      <w:r w:rsidR="00DA0906" w:rsidRPr="004B520E">
        <w:t xml:space="preserve"> Commonwealth Environmental Outcomes framework against Basin Plan </w:t>
      </w:r>
      <w:r w:rsidR="00DF7EA8" w:rsidRPr="004B520E">
        <w:t xml:space="preserve">biodiversity </w:t>
      </w:r>
      <w:r w:rsidR="00DA0906" w:rsidRPr="004B520E">
        <w:t>objectives</w:t>
      </w:r>
      <w:bookmarkEnd w:id="628"/>
      <w:r w:rsidR="00DF7EA8" w:rsidRPr="004B520E">
        <w:t xml:space="preserve"> (</w:t>
      </w:r>
      <w:r w:rsidR="00CA297E" w:rsidRPr="004B520E">
        <w:t xml:space="preserve">Basin Plan </w:t>
      </w:r>
      <w:r w:rsidR="00DF7EA8" w:rsidRPr="004B520E">
        <w:t>S8.05)</w:t>
      </w:r>
      <w:bookmarkEnd w:id="629"/>
      <w:bookmarkEnd w:id="630"/>
      <w:bookmarkEnd w:id="631"/>
    </w:p>
    <w:p w14:paraId="63EE7FE1" w14:textId="5EAF3AA7" w:rsidR="00460C2B" w:rsidRPr="00460C2B" w:rsidRDefault="00460C2B" w:rsidP="00C92F63">
      <w:pPr>
        <w:pStyle w:val="CaptionNote"/>
      </w:pPr>
      <w:r w:rsidRPr="00460C2B">
        <w:t xml:space="preserve">Flow-MER monitors and evaluates outcomes from the delivery of Commonwealth environmental water according to the CEWH’s </w:t>
      </w:r>
      <w:hyperlink r:id="rId80" w:history="1">
        <w:r w:rsidRPr="00460C2B">
          <w:rPr>
            <w:rStyle w:val="Hyperlink"/>
            <w:i/>
            <w:iCs/>
          </w:rPr>
          <w:t>Monitoring, evaluation, reporting and innovation strategy</w:t>
        </w:r>
      </w:hyperlink>
      <w:r w:rsidRPr="00460C2B">
        <w:rPr>
          <w:i/>
          <w:iCs/>
        </w:rPr>
        <w:t xml:space="preserve"> </w:t>
      </w:r>
      <w:r w:rsidRPr="00460C2B">
        <w:t>(MERI)</w:t>
      </w:r>
      <w:r w:rsidR="00743613">
        <w:t xml:space="preserve"> using one-year and </w:t>
      </w:r>
      <w:r w:rsidR="006C6AB5">
        <w:t>five-year</w:t>
      </w:r>
      <w:r w:rsidR="00992BD2">
        <w:t xml:space="preserve"> outcomes</w:t>
      </w:r>
      <w:r w:rsidR="006C6AB5">
        <w:t xml:space="preserve"> (extended to 10 years and referred to here as long-term) described in the </w:t>
      </w:r>
      <w:hyperlink r:id="rId81" w:history="1">
        <w:r w:rsidRPr="00460C2B">
          <w:rPr>
            <w:rStyle w:val="Hyperlink"/>
            <w:i/>
            <w:iCs/>
          </w:rPr>
          <w:t>Environmental water outcomes framework</w:t>
        </w:r>
      </w:hyperlink>
      <w:r w:rsidRPr="00460C2B">
        <w:t xml:space="preserve"> (the Framework). </w:t>
      </w:r>
    </w:p>
    <w:tbl>
      <w:tblPr>
        <w:tblStyle w:val="TableFlow-Mer0"/>
        <w:tblW w:w="0" w:type="auto"/>
        <w:tblLook w:val="0420" w:firstRow="1" w:lastRow="0" w:firstColumn="0" w:lastColumn="0" w:noHBand="0" w:noVBand="1"/>
      </w:tblPr>
      <w:tblGrid>
        <w:gridCol w:w="1384"/>
        <w:gridCol w:w="1188"/>
        <w:gridCol w:w="1646"/>
        <w:gridCol w:w="5142"/>
        <w:gridCol w:w="5097"/>
      </w:tblGrid>
      <w:tr w:rsidR="0017401E" w:rsidRPr="00427AA4" w14:paraId="0994D1EF" w14:textId="77777777" w:rsidTr="00B608A5">
        <w:trPr>
          <w:cnfStyle w:val="100000000000" w:firstRow="1" w:lastRow="0" w:firstColumn="0" w:lastColumn="0" w:oddVBand="0" w:evenVBand="0" w:oddHBand="0" w:evenHBand="0" w:firstRowFirstColumn="0" w:firstRowLastColumn="0" w:lastRowFirstColumn="0" w:lastRowLastColumn="0"/>
          <w:cantSplit/>
          <w:tblHeader/>
        </w:trPr>
        <w:tc>
          <w:tcPr>
            <w:tcW w:w="0" w:type="auto"/>
            <w:hideMark/>
          </w:tcPr>
          <w:p w14:paraId="5C494FF2" w14:textId="77777777" w:rsidR="008D0B97" w:rsidRPr="00427AA4" w:rsidRDefault="008D0B97" w:rsidP="00427AA4">
            <w:pPr>
              <w:pStyle w:val="ColumnHeading"/>
            </w:pPr>
            <w:r w:rsidRPr="00427AA4">
              <w:t>Basin outcomes</w:t>
            </w:r>
          </w:p>
        </w:tc>
        <w:tc>
          <w:tcPr>
            <w:tcW w:w="0" w:type="auto"/>
            <w:hideMark/>
          </w:tcPr>
          <w:p w14:paraId="038CE2F7" w14:textId="77777777" w:rsidR="008D0B97" w:rsidRPr="00427AA4" w:rsidRDefault="008D0B97" w:rsidP="00427AA4">
            <w:pPr>
              <w:pStyle w:val="ColumnHeading"/>
            </w:pPr>
            <w:r w:rsidRPr="00427AA4">
              <w:t>One-year expected outcomes</w:t>
            </w:r>
          </w:p>
        </w:tc>
        <w:tc>
          <w:tcPr>
            <w:tcW w:w="0" w:type="auto"/>
            <w:hideMark/>
          </w:tcPr>
          <w:p w14:paraId="4EEBCE5C" w14:textId="77777777" w:rsidR="008D0B97" w:rsidRPr="00427AA4" w:rsidRDefault="008D0B97" w:rsidP="00427AA4">
            <w:pPr>
              <w:pStyle w:val="ColumnHeading"/>
            </w:pPr>
            <w:r w:rsidRPr="00427AA4">
              <w:t>Long-term expected outcomes </w:t>
            </w:r>
          </w:p>
        </w:tc>
        <w:tc>
          <w:tcPr>
            <w:tcW w:w="0" w:type="auto"/>
            <w:hideMark/>
          </w:tcPr>
          <w:p w14:paraId="475874D7" w14:textId="77777777" w:rsidR="008D0B97" w:rsidRPr="00427AA4" w:rsidRDefault="008D0B97" w:rsidP="00427AA4">
            <w:pPr>
              <w:pStyle w:val="ColumnHeading"/>
            </w:pPr>
            <w:r w:rsidRPr="00427AA4">
              <w:t>Outcomes 2023–24</w:t>
            </w:r>
          </w:p>
        </w:tc>
        <w:tc>
          <w:tcPr>
            <w:tcW w:w="0" w:type="auto"/>
            <w:hideMark/>
          </w:tcPr>
          <w:p w14:paraId="278738A5" w14:textId="77777777" w:rsidR="008D0B97" w:rsidRPr="00427AA4" w:rsidRDefault="008D0B97" w:rsidP="00427AA4">
            <w:pPr>
              <w:pStyle w:val="ColumnHeading"/>
            </w:pPr>
            <w:r w:rsidRPr="00427AA4">
              <w:t>Outcomes 2014–24</w:t>
            </w:r>
          </w:p>
        </w:tc>
      </w:tr>
      <w:tr w:rsidR="004B4A2A" w:rsidRPr="00FD7646" w14:paraId="6B419672" w14:textId="77777777" w:rsidTr="00B608A5">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48F4ED3E" w14:textId="2602E4EA" w:rsidR="004B4A2A" w:rsidRPr="00FD7646" w:rsidRDefault="004B4A2A" w:rsidP="004B4A2A">
            <w:pPr>
              <w:pStyle w:val="TableText"/>
              <w:rPr>
                <w:bCs/>
              </w:rPr>
            </w:pPr>
            <w:r w:rsidRPr="00FD7646">
              <w:rPr>
                <w:rFonts w:cs="Calibri"/>
                <w:bCs/>
                <w:szCs w:val="18"/>
              </w:rPr>
              <w:t>Ecosystem diversity</w:t>
            </w:r>
          </w:p>
        </w:tc>
        <w:tc>
          <w:tcPr>
            <w:tcW w:w="0" w:type="auto"/>
            <w:hideMark/>
          </w:tcPr>
          <w:p w14:paraId="773E430E" w14:textId="5814A538" w:rsidR="004B4A2A" w:rsidRPr="00FD7646" w:rsidRDefault="004B4A2A" w:rsidP="004B4A2A">
            <w:pPr>
              <w:pStyle w:val="TableText"/>
              <w:rPr>
                <w:bCs/>
              </w:rPr>
            </w:pPr>
            <w:r w:rsidRPr="00FD7646">
              <w:rPr>
                <w:rFonts w:cs="Calibri"/>
                <w:bCs/>
                <w:szCs w:val="18"/>
              </w:rPr>
              <w:t>None identified </w:t>
            </w:r>
          </w:p>
        </w:tc>
        <w:tc>
          <w:tcPr>
            <w:tcW w:w="0" w:type="auto"/>
            <w:hideMark/>
          </w:tcPr>
          <w:p w14:paraId="2A9F60A1" w14:textId="2B1348BC" w:rsidR="004B4A2A" w:rsidRPr="00FD7646" w:rsidRDefault="004B4A2A" w:rsidP="004B4A2A">
            <w:pPr>
              <w:pStyle w:val="TableText"/>
              <w:rPr>
                <w:bCs/>
              </w:rPr>
            </w:pPr>
            <w:r w:rsidRPr="00FD7646">
              <w:rPr>
                <w:rFonts w:cs="Calibri"/>
                <w:bCs/>
                <w:szCs w:val="18"/>
              </w:rPr>
              <w:t>None identified</w:t>
            </w:r>
          </w:p>
        </w:tc>
        <w:tc>
          <w:tcPr>
            <w:tcW w:w="0" w:type="auto"/>
            <w:hideMark/>
          </w:tcPr>
          <w:p w14:paraId="3F4AD3BC" w14:textId="1DDA23A6" w:rsidR="004B4A2A" w:rsidRPr="00FD7646" w:rsidRDefault="004B4A2A" w:rsidP="004B4A2A">
            <w:pPr>
              <w:pStyle w:val="TableText"/>
              <w:rPr>
                <w:bCs/>
              </w:rPr>
            </w:pPr>
            <w:r w:rsidRPr="00FD7646">
              <w:rPr>
                <w:rFonts w:cs="Calibri"/>
                <w:bCs/>
                <w:szCs w:val="18"/>
              </w:rPr>
              <w:t>200,890 ha of mapped lakes and wetland supported</w:t>
            </w:r>
            <w:r w:rsidRPr="00FD7646">
              <w:rPr>
                <w:rFonts w:cs="Calibri"/>
                <w:bCs/>
                <w:szCs w:val="18"/>
              </w:rPr>
              <w:br/>
              <w:t>21,075 km of rivers supported</w:t>
            </w:r>
            <w:r w:rsidRPr="00FD7646">
              <w:rPr>
                <w:rFonts w:cs="Calibri"/>
                <w:bCs/>
                <w:szCs w:val="18"/>
              </w:rPr>
              <w:br/>
              <w:t>47,770 ha of floodplain inundated</w:t>
            </w:r>
            <w:r w:rsidRPr="00FD7646">
              <w:rPr>
                <w:rFonts w:cs="Calibri"/>
                <w:bCs/>
                <w:szCs w:val="18"/>
              </w:rPr>
              <w:br/>
              <w:t>23,768 ha of estuary supported with fresh water</w:t>
            </w:r>
            <w:r w:rsidRPr="00FD7646">
              <w:rPr>
                <w:rFonts w:cs="Calibri"/>
                <w:bCs/>
                <w:szCs w:val="18"/>
              </w:rPr>
              <w:br/>
              <w:t>52 Basin A</w:t>
            </w:r>
            <w:r w:rsidR="00CE4838" w:rsidRPr="00FD7646">
              <w:rPr>
                <w:rFonts w:cs="Calibri"/>
                <w:bCs/>
                <w:szCs w:val="18"/>
              </w:rPr>
              <w:t xml:space="preserve">ustralian </w:t>
            </w:r>
            <w:r w:rsidRPr="00FD7646">
              <w:rPr>
                <w:rFonts w:cs="Calibri"/>
                <w:bCs/>
                <w:szCs w:val="18"/>
              </w:rPr>
              <w:t>N</w:t>
            </w:r>
            <w:r w:rsidR="00CE4838" w:rsidRPr="00FD7646">
              <w:rPr>
                <w:rFonts w:cs="Calibri"/>
                <w:bCs/>
                <w:szCs w:val="18"/>
              </w:rPr>
              <w:t xml:space="preserve">ational </w:t>
            </w:r>
            <w:r w:rsidRPr="00FD7646">
              <w:rPr>
                <w:rFonts w:cs="Calibri"/>
                <w:bCs/>
                <w:szCs w:val="18"/>
              </w:rPr>
              <w:t>A</w:t>
            </w:r>
            <w:r w:rsidR="00CE4838" w:rsidRPr="00FD7646">
              <w:rPr>
                <w:rFonts w:cs="Calibri"/>
                <w:bCs/>
                <w:szCs w:val="18"/>
              </w:rPr>
              <w:t xml:space="preserve">quatic </w:t>
            </w:r>
            <w:r w:rsidRPr="00FD7646">
              <w:rPr>
                <w:rFonts w:cs="Calibri"/>
                <w:bCs/>
                <w:szCs w:val="18"/>
              </w:rPr>
              <w:t>Ecosystem types supported</w:t>
            </w:r>
          </w:p>
        </w:tc>
        <w:tc>
          <w:tcPr>
            <w:tcW w:w="0" w:type="auto"/>
            <w:hideMark/>
          </w:tcPr>
          <w:p w14:paraId="34A9A592" w14:textId="5496587E" w:rsidR="004B4A2A" w:rsidRPr="00FD7646" w:rsidRDefault="004B4A2A" w:rsidP="004B4A2A">
            <w:pPr>
              <w:pStyle w:val="TableText"/>
              <w:rPr>
                <w:bCs/>
              </w:rPr>
            </w:pPr>
            <w:r w:rsidRPr="00FD7646">
              <w:rPr>
                <w:rFonts w:cs="Calibri"/>
                <w:bCs/>
                <w:szCs w:val="18"/>
              </w:rPr>
              <w:t>254,665 ha of lakes, and wetlands supported</w:t>
            </w:r>
            <w:r w:rsidRPr="00FD7646">
              <w:rPr>
                <w:rFonts w:cs="Calibri"/>
                <w:bCs/>
                <w:szCs w:val="18"/>
              </w:rPr>
              <w:br/>
              <w:t>191,599 ha of floodplain supported</w:t>
            </w:r>
            <w:r w:rsidRPr="00FD7646">
              <w:rPr>
                <w:rFonts w:cs="Calibri"/>
                <w:bCs/>
                <w:szCs w:val="18"/>
              </w:rPr>
              <w:br/>
              <w:t>28,549 km of waterways supported</w:t>
            </w:r>
            <w:r w:rsidRPr="00FD7646">
              <w:rPr>
                <w:rFonts w:cs="Calibri"/>
                <w:bCs/>
                <w:szCs w:val="18"/>
              </w:rPr>
              <w:br/>
              <w:t>23,768 ha of estuary supported</w:t>
            </w:r>
            <w:r w:rsidRPr="00FD7646">
              <w:rPr>
                <w:rFonts w:cs="Calibri"/>
                <w:bCs/>
                <w:szCs w:val="18"/>
              </w:rPr>
              <w:br/>
              <w:t xml:space="preserve">56 Basin </w:t>
            </w:r>
            <w:r w:rsidR="00CE4838" w:rsidRPr="00FD7646">
              <w:rPr>
                <w:rFonts w:cs="Calibri"/>
                <w:bCs/>
                <w:szCs w:val="18"/>
              </w:rPr>
              <w:t xml:space="preserve">Australian National Aquatic Ecosystem </w:t>
            </w:r>
            <w:r w:rsidRPr="00FD7646">
              <w:rPr>
                <w:rFonts w:cs="Calibri"/>
                <w:bCs/>
                <w:szCs w:val="18"/>
              </w:rPr>
              <w:t>types supported</w:t>
            </w:r>
          </w:p>
        </w:tc>
      </w:tr>
      <w:tr w:rsidR="004B4A2A" w:rsidRPr="00FD7646" w14:paraId="470A7478" w14:textId="77777777" w:rsidTr="00B608A5">
        <w:trPr>
          <w:cantSplit/>
        </w:trPr>
        <w:tc>
          <w:tcPr>
            <w:tcW w:w="0" w:type="auto"/>
            <w:hideMark/>
          </w:tcPr>
          <w:p w14:paraId="33932A04" w14:textId="26CDB4AA" w:rsidR="004B4A2A" w:rsidRPr="00FD7646" w:rsidRDefault="004B4A2A" w:rsidP="004B4A2A">
            <w:pPr>
              <w:pStyle w:val="TableText"/>
              <w:rPr>
                <w:bCs/>
              </w:rPr>
            </w:pPr>
            <w:r w:rsidRPr="00FD7646">
              <w:rPr>
                <w:rFonts w:cs="Calibri"/>
                <w:bCs/>
                <w:szCs w:val="18"/>
              </w:rPr>
              <w:t>Ecosystem diversity: Ramsar wetlands</w:t>
            </w:r>
          </w:p>
        </w:tc>
        <w:tc>
          <w:tcPr>
            <w:tcW w:w="0" w:type="auto"/>
            <w:hideMark/>
          </w:tcPr>
          <w:p w14:paraId="2FBF9BD1" w14:textId="3C989DE6" w:rsidR="004B4A2A" w:rsidRPr="00FD7646" w:rsidRDefault="004B4A2A" w:rsidP="004B4A2A">
            <w:pPr>
              <w:pStyle w:val="TableText"/>
              <w:rPr>
                <w:bCs/>
              </w:rPr>
            </w:pPr>
            <w:r w:rsidRPr="00FD7646">
              <w:rPr>
                <w:rFonts w:cs="Calibri"/>
                <w:bCs/>
                <w:szCs w:val="18"/>
              </w:rPr>
              <w:t>None identified</w:t>
            </w:r>
          </w:p>
        </w:tc>
        <w:tc>
          <w:tcPr>
            <w:tcW w:w="0" w:type="auto"/>
            <w:hideMark/>
          </w:tcPr>
          <w:p w14:paraId="64C97BE3" w14:textId="45EE469D" w:rsidR="004B4A2A" w:rsidRPr="00FD7646" w:rsidRDefault="004B4A2A" w:rsidP="004B4A2A">
            <w:pPr>
              <w:pStyle w:val="TableText"/>
              <w:rPr>
                <w:bCs/>
              </w:rPr>
            </w:pPr>
            <w:r w:rsidRPr="00FD7646">
              <w:rPr>
                <w:rFonts w:cs="Calibri"/>
                <w:bCs/>
                <w:szCs w:val="18"/>
              </w:rPr>
              <w:t>None identified</w:t>
            </w:r>
          </w:p>
        </w:tc>
        <w:tc>
          <w:tcPr>
            <w:tcW w:w="0" w:type="auto"/>
            <w:hideMark/>
          </w:tcPr>
          <w:p w14:paraId="20A2A0F0" w14:textId="4100320B" w:rsidR="004B4A2A" w:rsidRPr="00FD7646" w:rsidRDefault="004B4A2A" w:rsidP="004B4A2A">
            <w:pPr>
              <w:pStyle w:val="TableText"/>
              <w:rPr>
                <w:bCs/>
              </w:rPr>
            </w:pPr>
            <w:r w:rsidRPr="00FD7646">
              <w:rPr>
                <w:rFonts w:cs="Calibri"/>
                <w:bCs/>
                <w:szCs w:val="18"/>
              </w:rPr>
              <w:t>Commonwealth environmental water delivered to 8 Ramsar Sites, supporting vegetation listed as a critical component of the Ramsar Sites</w:t>
            </w:r>
          </w:p>
        </w:tc>
        <w:tc>
          <w:tcPr>
            <w:tcW w:w="0" w:type="auto"/>
            <w:hideMark/>
          </w:tcPr>
          <w:p w14:paraId="1A04D921" w14:textId="3F8CA4BE" w:rsidR="004B4A2A" w:rsidRPr="00FD7646" w:rsidRDefault="004B4A2A" w:rsidP="004B4A2A">
            <w:pPr>
              <w:pStyle w:val="TableText"/>
              <w:rPr>
                <w:bCs/>
              </w:rPr>
            </w:pPr>
            <w:r w:rsidRPr="00FD7646">
              <w:rPr>
                <w:rFonts w:cs="Calibri"/>
                <w:bCs/>
                <w:szCs w:val="18"/>
              </w:rPr>
              <w:t>Commonwealth environmental water was delivered to support environmental outcomes in 11 Ramsar Sites in the Basin, noting that Commonwealth environmental water is often delivered in partnership with water held by the M</w:t>
            </w:r>
            <w:r w:rsidR="00CE4838" w:rsidRPr="00FD7646">
              <w:rPr>
                <w:rFonts w:cs="Calibri"/>
                <w:bCs/>
                <w:szCs w:val="18"/>
              </w:rPr>
              <w:t>urray–</w:t>
            </w:r>
            <w:r w:rsidRPr="00FD7646">
              <w:rPr>
                <w:rFonts w:cs="Calibri"/>
                <w:bCs/>
                <w:szCs w:val="18"/>
              </w:rPr>
              <w:t>D</w:t>
            </w:r>
            <w:r w:rsidR="00CE4838" w:rsidRPr="00FD7646">
              <w:rPr>
                <w:rFonts w:cs="Calibri"/>
                <w:bCs/>
                <w:szCs w:val="18"/>
              </w:rPr>
              <w:t xml:space="preserve">arling </w:t>
            </w:r>
            <w:r w:rsidRPr="00FD7646">
              <w:rPr>
                <w:rFonts w:cs="Calibri"/>
                <w:bCs/>
                <w:szCs w:val="18"/>
              </w:rPr>
              <w:t>B</w:t>
            </w:r>
            <w:r w:rsidR="00CE4838" w:rsidRPr="00FD7646">
              <w:rPr>
                <w:rFonts w:cs="Calibri"/>
                <w:bCs/>
                <w:szCs w:val="18"/>
              </w:rPr>
              <w:t xml:space="preserve">asin </w:t>
            </w:r>
            <w:r w:rsidRPr="00FD7646">
              <w:rPr>
                <w:rFonts w:cs="Calibri"/>
                <w:bCs/>
                <w:szCs w:val="18"/>
              </w:rPr>
              <w:t>A</w:t>
            </w:r>
            <w:r w:rsidR="00CE4838" w:rsidRPr="00FD7646">
              <w:rPr>
                <w:rFonts w:cs="Calibri"/>
                <w:bCs/>
                <w:szCs w:val="18"/>
              </w:rPr>
              <w:t>uthority</w:t>
            </w:r>
            <w:r w:rsidRPr="00FD7646">
              <w:rPr>
                <w:rFonts w:cs="Calibri"/>
                <w:bCs/>
                <w:szCs w:val="18"/>
              </w:rPr>
              <w:t xml:space="preserve"> (e.g. The Living Murray Program) as well as water from state jurisdictions</w:t>
            </w:r>
          </w:p>
        </w:tc>
      </w:tr>
      <w:tr w:rsidR="004B4A2A" w:rsidRPr="00FD7646" w14:paraId="1FFCF1CA" w14:textId="77777777" w:rsidTr="00B608A5">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7723033F" w14:textId="1198D136" w:rsidR="004B4A2A" w:rsidRPr="00FD7646" w:rsidRDefault="004B4A2A" w:rsidP="004B4A2A">
            <w:pPr>
              <w:pStyle w:val="TableText"/>
              <w:rPr>
                <w:bCs/>
              </w:rPr>
            </w:pPr>
            <w:r w:rsidRPr="00FD7646">
              <w:rPr>
                <w:rFonts w:cs="Calibri"/>
                <w:bCs/>
                <w:szCs w:val="18"/>
              </w:rPr>
              <w:t>Species diversity: Vegetation</w:t>
            </w:r>
          </w:p>
        </w:tc>
        <w:tc>
          <w:tcPr>
            <w:tcW w:w="0" w:type="auto"/>
            <w:hideMark/>
          </w:tcPr>
          <w:p w14:paraId="1540780F" w14:textId="2E9EC355" w:rsidR="004B4A2A" w:rsidRPr="00FD7646" w:rsidRDefault="004B4A2A" w:rsidP="004B4A2A">
            <w:pPr>
              <w:pStyle w:val="TableText"/>
              <w:rPr>
                <w:bCs/>
              </w:rPr>
            </w:pPr>
            <w:r w:rsidRPr="00FD7646">
              <w:rPr>
                <w:rFonts w:cs="Calibri"/>
                <w:bCs/>
                <w:szCs w:val="18"/>
              </w:rPr>
              <w:t>Plant species diversity </w:t>
            </w:r>
          </w:p>
        </w:tc>
        <w:tc>
          <w:tcPr>
            <w:tcW w:w="0" w:type="auto"/>
            <w:hideMark/>
          </w:tcPr>
          <w:p w14:paraId="654A87C7" w14:textId="1BB86EFF" w:rsidR="004B4A2A" w:rsidRPr="00FD7646" w:rsidRDefault="004B4A2A" w:rsidP="004B4A2A">
            <w:pPr>
              <w:pStyle w:val="TableText"/>
              <w:rPr>
                <w:bCs/>
              </w:rPr>
            </w:pPr>
            <w:r w:rsidRPr="00FD7646">
              <w:rPr>
                <w:rFonts w:cs="Calibri"/>
                <w:bCs/>
                <w:szCs w:val="18"/>
              </w:rPr>
              <w:t>Plant species diversity</w:t>
            </w:r>
          </w:p>
        </w:tc>
        <w:tc>
          <w:tcPr>
            <w:tcW w:w="0" w:type="auto"/>
            <w:hideMark/>
          </w:tcPr>
          <w:p w14:paraId="7747BD33" w14:textId="0D86DB52" w:rsidR="004B4A2A" w:rsidRPr="00FD7646" w:rsidRDefault="004B4A2A" w:rsidP="004B4A2A">
            <w:pPr>
              <w:pStyle w:val="TableText"/>
              <w:rPr>
                <w:bCs/>
              </w:rPr>
            </w:pPr>
            <w:r w:rsidRPr="00FD7646">
              <w:rPr>
                <w:rFonts w:cs="Calibri"/>
                <w:bCs/>
                <w:szCs w:val="18"/>
              </w:rPr>
              <w:t>360 plant taxa were recorded across all floodplain, wetland and riverine monitoring locations, including 54 taxa known to be used by Aboriginal people</w:t>
            </w:r>
          </w:p>
        </w:tc>
        <w:tc>
          <w:tcPr>
            <w:tcW w:w="0" w:type="auto"/>
            <w:hideMark/>
          </w:tcPr>
          <w:p w14:paraId="16323A8D" w14:textId="0998927D" w:rsidR="004B4A2A" w:rsidRPr="00FD7646" w:rsidRDefault="004B4A2A" w:rsidP="004B4A2A">
            <w:pPr>
              <w:pStyle w:val="TableText"/>
              <w:rPr>
                <w:bCs/>
              </w:rPr>
            </w:pPr>
            <w:r w:rsidRPr="00FD7646">
              <w:rPr>
                <w:rFonts w:cs="Calibri"/>
                <w:bCs/>
                <w:szCs w:val="18"/>
              </w:rPr>
              <w:t>The delivery of Commonwealth environmental water played a role in maintaining a substantial number of native plant species across the Basin. Of the 804 taxa recorded across all sample points since 2014, 10% (81) are native species that have only occurred at floodplain</w:t>
            </w:r>
            <w:r w:rsidR="00FF305D" w:rsidRPr="00FD7646">
              <w:rPr>
                <w:rFonts w:cs="Calibri"/>
                <w:bCs/>
                <w:szCs w:val="18"/>
              </w:rPr>
              <w:t>–</w:t>
            </w:r>
            <w:r w:rsidRPr="00FD7646">
              <w:rPr>
                <w:rFonts w:cs="Calibri"/>
                <w:bCs/>
                <w:szCs w:val="18"/>
              </w:rPr>
              <w:t>wetland sample points that experience a wetter inundation regime because of environmental water</w:t>
            </w:r>
          </w:p>
        </w:tc>
      </w:tr>
      <w:tr w:rsidR="004B4A2A" w:rsidRPr="00FD7646" w14:paraId="6DF7F674" w14:textId="77777777" w:rsidTr="00B608A5">
        <w:trPr>
          <w:cantSplit/>
        </w:trPr>
        <w:tc>
          <w:tcPr>
            <w:tcW w:w="0" w:type="auto"/>
            <w:hideMark/>
          </w:tcPr>
          <w:p w14:paraId="45D49F8F" w14:textId="51249FE0" w:rsidR="004B4A2A" w:rsidRPr="00FD7646" w:rsidRDefault="004B4A2A" w:rsidP="004B4A2A">
            <w:pPr>
              <w:pStyle w:val="TableText"/>
              <w:rPr>
                <w:bCs/>
              </w:rPr>
            </w:pPr>
            <w:r w:rsidRPr="00FD7646">
              <w:rPr>
                <w:rFonts w:cs="Calibri"/>
                <w:bCs/>
                <w:szCs w:val="18"/>
              </w:rPr>
              <w:t>Species diversity: Vegetation</w:t>
            </w:r>
          </w:p>
        </w:tc>
        <w:tc>
          <w:tcPr>
            <w:tcW w:w="0" w:type="auto"/>
            <w:hideMark/>
          </w:tcPr>
          <w:p w14:paraId="08FA0E3D" w14:textId="3D3873A4" w:rsidR="004B4A2A" w:rsidRPr="00FD7646" w:rsidRDefault="004B4A2A" w:rsidP="004B4A2A">
            <w:pPr>
              <w:pStyle w:val="TableText"/>
              <w:rPr>
                <w:bCs/>
              </w:rPr>
            </w:pPr>
            <w:r w:rsidRPr="00FD7646">
              <w:rPr>
                <w:rFonts w:cs="Calibri"/>
                <w:bCs/>
                <w:szCs w:val="18"/>
              </w:rPr>
              <w:t>Vegetation community diversity</w:t>
            </w:r>
          </w:p>
        </w:tc>
        <w:tc>
          <w:tcPr>
            <w:tcW w:w="0" w:type="auto"/>
            <w:hideMark/>
          </w:tcPr>
          <w:p w14:paraId="7C00F31A" w14:textId="39B93731" w:rsidR="004B4A2A" w:rsidRPr="00FD7646" w:rsidRDefault="004B4A2A" w:rsidP="004B4A2A">
            <w:pPr>
              <w:pStyle w:val="TableText"/>
              <w:rPr>
                <w:bCs/>
              </w:rPr>
            </w:pPr>
            <w:r w:rsidRPr="00FD7646">
              <w:rPr>
                <w:rFonts w:cs="Calibri"/>
                <w:bCs/>
                <w:szCs w:val="18"/>
              </w:rPr>
              <w:t>Vegetation community diversity</w:t>
            </w:r>
          </w:p>
        </w:tc>
        <w:tc>
          <w:tcPr>
            <w:tcW w:w="0" w:type="auto"/>
            <w:hideMark/>
          </w:tcPr>
          <w:p w14:paraId="4B7B2E72" w14:textId="59F77131" w:rsidR="004B4A2A" w:rsidRPr="00FD7646" w:rsidRDefault="004B4A2A" w:rsidP="004B4A2A">
            <w:pPr>
              <w:pStyle w:val="TableText"/>
              <w:keepLines/>
              <w:rPr>
                <w:bCs/>
              </w:rPr>
            </w:pPr>
            <w:r w:rsidRPr="00FD7646">
              <w:rPr>
                <w:rFonts w:cs="Calibri"/>
                <w:bCs/>
                <w:szCs w:val="18"/>
              </w:rPr>
              <w:t>Noticeable differences were observed in the vegetation assemblages associated with sites that have a wetter inundation regime supported by environmental water, compared with those that have a drier inundation regime. A greater proportion and cover of submerged and amphibious plants observed at sites that had wetter inundation regimes maintained using environmental water</w:t>
            </w:r>
          </w:p>
        </w:tc>
        <w:tc>
          <w:tcPr>
            <w:tcW w:w="0" w:type="auto"/>
            <w:hideMark/>
          </w:tcPr>
          <w:p w14:paraId="4FB1AAF2" w14:textId="04BE47B6" w:rsidR="004B4A2A" w:rsidRPr="00FD7646" w:rsidRDefault="004B4A2A" w:rsidP="004B4A2A">
            <w:pPr>
              <w:pStyle w:val="TableText"/>
              <w:rPr>
                <w:bCs/>
              </w:rPr>
            </w:pPr>
            <w:r w:rsidRPr="00FD7646">
              <w:rPr>
                <w:rFonts w:cs="Calibri"/>
                <w:bCs/>
                <w:szCs w:val="18"/>
              </w:rPr>
              <w:t>There was a greater diversity and cover of submerged, amphibious and damp-loving species at sample points that have received wetter regimes supported by environmental watering events, than at sample points not receiving environmental water</w:t>
            </w:r>
          </w:p>
        </w:tc>
      </w:tr>
      <w:tr w:rsidR="004B4A2A" w:rsidRPr="00FD7646" w14:paraId="0E4A0F45" w14:textId="77777777" w:rsidTr="00B608A5">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5CB6B999" w14:textId="12D1BB9B" w:rsidR="004B4A2A" w:rsidRPr="00FD7646" w:rsidRDefault="004B4A2A" w:rsidP="004B4A2A">
            <w:pPr>
              <w:pStyle w:val="TableText"/>
              <w:rPr>
                <w:bCs/>
              </w:rPr>
            </w:pPr>
            <w:r w:rsidRPr="00FD7646">
              <w:rPr>
                <w:rFonts w:cs="Calibri"/>
                <w:bCs/>
                <w:szCs w:val="18"/>
              </w:rPr>
              <w:lastRenderedPageBreak/>
              <w:t>Species diversity: F</w:t>
            </w:r>
            <w:r w:rsidR="00FF305D" w:rsidRPr="00FD7646">
              <w:rPr>
                <w:rFonts w:cs="Calibri"/>
                <w:bCs/>
                <w:szCs w:val="18"/>
              </w:rPr>
              <w:t>i</w:t>
            </w:r>
            <w:r w:rsidRPr="00FD7646">
              <w:rPr>
                <w:rFonts w:cs="Calibri"/>
                <w:bCs/>
                <w:szCs w:val="18"/>
              </w:rPr>
              <w:t>sh</w:t>
            </w:r>
          </w:p>
        </w:tc>
        <w:tc>
          <w:tcPr>
            <w:tcW w:w="0" w:type="auto"/>
            <w:hideMark/>
          </w:tcPr>
          <w:p w14:paraId="68FB0D5A" w14:textId="1316DC6A" w:rsidR="004B4A2A" w:rsidRPr="00FD7646" w:rsidRDefault="004B4A2A" w:rsidP="004B4A2A">
            <w:pPr>
              <w:pStyle w:val="TableText"/>
              <w:rPr>
                <w:bCs/>
              </w:rPr>
            </w:pPr>
            <w:r w:rsidRPr="00FD7646">
              <w:rPr>
                <w:rFonts w:cs="Calibri"/>
                <w:bCs/>
                <w:szCs w:val="18"/>
              </w:rPr>
              <w:t>None identified</w:t>
            </w:r>
          </w:p>
        </w:tc>
        <w:tc>
          <w:tcPr>
            <w:tcW w:w="0" w:type="auto"/>
            <w:hideMark/>
          </w:tcPr>
          <w:p w14:paraId="023C2FAF" w14:textId="6F127D56" w:rsidR="004B4A2A" w:rsidRPr="00FD7646" w:rsidRDefault="004B4A2A" w:rsidP="004B4A2A">
            <w:pPr>
              <w:pStyle w:val="TableText"/>
              <w:rPr>
                <w:bCs/>
              </w:rPr>
            </w:pPr>
            <w:r w:rsidRPr="00FD7646">
              <w:rPr>
                <w:rFonts w:cs="Calibri"/>
                <w:bCs/>
                <w:szCs w:val="18"/>
              </w:rPr>
              <w:t>No loss of native species currently present within the Basin</w:t>
            </w:r>
          </w:p>
        </w:tc>
        <w:tc>
          <w:tcPr>
            <w:tcW w:w="0" w:type="auto"/>
            <w:hideMark/>
          </w:tcPr>
          <w:p w14:paraId="59FDF4F6" w14:textId="335F3A3D" w:rsidR="004B4A2A" w:rsidRPr="00FD7646" w:rsidRDefault="004B4A2A" w:rsidP="004B4A2A">
            <w:pPr>
              <w:pStyle w:val="TableText"/>
              <w:rPr>
                <w:bCs/>
              </w:rPr>
            </w:pPr>
            <w:r w:rsidRPr="00FD7646">
              <w:rPr>
                <w:rFonts w:cs="Calibri"/>
                <w:bCs/>
                <w:szCs w:val="18"/>
              </w:rPr>
              <w:t>The Basin-scale evaluation was not designed to detect loss of native species within the Basin</w:t>
            </w:r>
          </w:p>
        </w:tc>
        <w:tc>
          <w:tcPr>
            <w:tcW w:w="0" w:type="auto"/>
            <w:hideMark/>
          </w:tcPr>
          <w:p w14:paraId="7EAB5789" w14:textId="674A0283" w:rsidR="004B4A2A" w:rsidRPr="00FD7646" w:rsidRDefault="004B4A2A" w:rsidP="004B4A2A">
            <w:pPr>
              <w:pStyle w:val="TableText"/>
              <w:rPr>
                <w:bCs/>
              </w:rPr>
            </w:pPr>
            <w:r w:rsidRPr="00FD7646">
              <w:rPr>
                <w:rFonts w:cs="Calibri"/>
                <w:bCs/>
                <w:szCs w:val="18"/>
              </w:rPr>
              <w:t>There is no evident loss of species in the Selected Areas; however, the contribution of Commonwealth environmental water to this Strategy outcome is unknown</w:t>
            </w:r>
          </w:p>
        </w:tc>
      </w:tr>
      <w:tr w:rsidR="004B4A2A" w:rsidRPr="00FD7646" w14:paraId="60CCC3D5" w14:textId="77777777" w:rsidTr="00B608A5">
        <w:trPr>
          <w:cantSplit/>
        </w:trPr>
        <w:tc>
          <w:tcPr>
            <w:tcW w:w="0" w:type="auto"/>
            <w:hideMark/>
          </w:tcPr>
          <w:p w14:paraId="4A387E24" w14:textId="0762781E" w:rsidR="004B4A2A" w:rsidRPr="00FD7646" w:rsidRDefault="004B4A2A" w:rsidP="004B4A2A">
            <w:pPr>
              <w:pStyle w:val="TableText"/>
              <w:rPr>
                <w:bCs/>
              </w:rPr>
            </w:pPr>
            <w:r w:rsidRPr="00FD7646">
              <w:rPr>
                <w:rFonts w:cs="Calibri"/>
                <w:bCs/>
                <w:szCs w:val="18"/>
              </w:rPr>
              <w:t>Species diversity: F</w:t>
            </w:r>
            <w:r w:rsidR="00FF305D" w:rsidRPr="00FD7646">
              <w:rPr>
                <w:rFonts w:cs="Calibri"/>
                <w:bCs/>
                <w:szCs w:val="18"/>
              </w:rPr>
              <w:t>i</w:t>
            </w:r>
            <w:r w:rsidRPr="00FD7646">
              <w:rPr>
                <w:rFonts w:cs="Calibri"/>
                <w:bCs/>
                <w:szCs w:val="18"/>
              </w:rPr>
              <w:t>sh</w:t>
            </w:r>
          </w:p>
        </w:tc>
        <w:tc>
          <w:tcPr>
            <w:tcW w:w="0" w:type="auto"/>
            <w:hideMark/>
          </w:tcPr>
          <w:p w14:paraId="744C0E21" w14:textId="1D4F38F4" w:rsidR="004B4A2A" w:rsidRPr="00FD7646" w:rsidRDefault="004B4A2A" w:rsidP="004B4A2A">
            <w:pPr>
              <w:pStyle w:val="TableText"/>
              <w:rPr>
                <w:bCs/>
              </w:rPr>
            </w:pPr>
            <w:r w:rsidRPr="00FD7646">
              <w:rPr>
                <w:rFonts w:cs="Calibri"/>
                <w:bCs/>
                <w:szCs w:val="18"/>
              </w:rPr>
              <w:t>None identified</w:t>
            </w:r>
          </w:p>
        </w:tc>
        <w:tc>
          <w:tcPr>
            <w:tcW w:w="0" w:type="auto"/>
            <w:hideMark/>
          </w:tcPr>
          <w:p w14:paraId="24C70D23" w14:textId="0348A88F" w:rsidR="004B4A2A" w:rsidRPr="00FD7646" w:rsidRDefault="004B4A2A" w:rsidP="004B4A2A">
            <w:pPr>
              <w:pStyle w:val="TableText"/>
              <w:rPr>
                <w:bCs/>
              </w:rPr>
            </w:pPr>
            <w:r w:rsidRPr="00FD7646">
              <w:rPr>
                <w:rFonts w:cs="Calibri"/>
                <w:bCs/>
                <w:szCs w:val="18"/>
              </w:rPr>
              <w:t>Improved population structure of key fish species through regular recruitment</w:t>
            </w:r>
          </w:p>
        </w:tc>
        <w:tc>
          <w:tcPr>
            <w:tcW w:w="0" w:type="auto"/>
            <w:hideMark/>
          </w:tcPr>
          <w:p w14:paraId="034FC904" w14:textId="1577271B" w:rsidR="004B4A2A" w:rsidRPr="00FD7646" w:rsidRDefault="004B4A2A" w:rsidP="004B4A2A">
            <w:pPr>
              <w:pStyle w:val="TableText"/>
              <w:rPr>
                <w:bCs/>
              </w:rPr>
            </w:pPr>
            <w:r w:rsidRPr="00FD7646">
              <w:rPr>
                <w:rFonts w:cs="Calibri"/>
                <w:bCs/>
                <w:szCs w:val="18"/>
              </w:rPr>
              <w:t>There was evidence of golden perch spawning along with detection of young-of-year recruits indicating low levels of recruitment in the Lower Murray River and limited evidence in other Selected Areas. Murray cod recruitment has been absent or minimal, based on young-of-year abundances, in the Edward/Kolety–Wakool river systems, Goulburn River, Gywdir River System, Lachlan River System and Murrumbidgee River System</w:t>
            </w:r>
            <w:r w:rsidR="002C664F" w:rsidRPr="00FD7646">
              <w:rPr>
                <w:rFonts w:cs="Calibri"/>
                <w:bCs/>
                <w:szCs w:val="18"/>
              </w:rPr>
              <w:t>. There was</w:t>
            </w:r>
            <w:r w:rsidRPr="00FD7646">
              <w:rPr>
                <w:rFonts w:cs="Calibri"/>
                <w:bCs/>
                <w:szCs w:val="18"/>
              </w:rPr>
              <w:t xml:space="preserve"> evidence of minor recruitment occurring in the Lower Murray River</w:t>
            </w:r>
          </w:p>
        </w:tc>
        <w:tc>
          <w:tcPr>
            <w:tcW w:w="0" w:type="auto"/>
            <w:hideMark/>
          </w:tcPr>
          <w:p w14:paraId="26DF5501" w14:textId="1723F049" w:rsidR="004B4A2A" w:rsidRPr="00FD7646" w:rsidRDefault="004B4A2A" w:rsidP="004B4A2A">
            <w:pPr>
              <w:pStyle w:val="TableText"/>
              <w:rPr>
                <w:bCs/>
              </w:rPr>
            </w:pPr>
            <w:r w:rsidRPr="00FD7646">
              <w:rPr>
                <w:rFonts w:cs="Calibri"/>
                <w:bCs/>
                <w:szCs w:val="18"/>
              </w:rPr>
              <w:t>Across the Basin, there is evidence of recruitment of golden perch; however, the contribution of Commonwealth environmental water to this outcome at the wider Basin scale is unknown due to the limited availability of golden perch recruitment data and long-term counterfactual flow data. There is evidence of recruitment of Murray cod in the Selected Areas; however, in recent years recruitment has been absent or minimal in several Selected Areas</w:t>
            </w:r>
          </w:p>
        </w:tc>
      </w:tr>
      <w:tr w:rsidR="004B4A2A" w:rsidRPr="00FD7646" w14:paraId="61AF460D" w14:textId="77777777" w:rsidTr="00B608A5">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2A81A343" w14:textId="7DD21D41" w:rsidR="004B4A2A" w:rsidRPr="00FD7646" w:rsidRDefault="004B4A2A" w:rsidP="004B4A2A">
            <w:pPr>
              <w:pStyle w:val="TableText"/>
              <w:rPr>
                <w:bCs/>
              </w:rPr>
            </w:pPr>
            <w:r w:rsidRPr="00FD7646">
              <w:rPr>
                <w:rFonts w:cs="Calibri"/>
                <w:bCs/>
                <w:szCs w:val="18"/>
              </w:rPr>
              <w:t>Species diversity: F</w:t>
            </w:r>
            <w:r w:rsidR="00FF305D" w:rsidRPr="00FD7646">
              <w:rPr>
                <w:rFonts w:cs="Calibri"/>
                <w:bCs/>
                <w:szCs w:val="18"/>
              </w:rPr>
              <w:t>i</w:t>
            </w:r>
            <w:r w:rsidRPr="00FD7646">
              <w:rPr>
                <w:rFonts w:cs="Calibri"/>
                <w:bCs/>
                <w:szCs w:val="18"/>
              </w:rPr>
              <w:t>sh</w:t>
            </w:r>
          </w:p>
        </w:tc>
        <w:tc>
          <w:tcPr>
            <w:tcW w:w="0" w:type="auto"/>
            <w:hideMark/>
          </w:tcPr>
          <w:p w14:paraId="4A6115DC" w14:textId="58C5D0D9" w:rsidR="004B4A2A" w:rsidRPr="00FD7646" w:rsidRDefault="004B4A2A" w:rsidP="004B4A2A">
            <w:pPr>
              <w:pStyle w:val="TableText"/>
              <w:rPr>
                <w:bCs/>
              </w:rPr>
            </w:pPr>
            <w:r w:rsidRPr="00FD7646">
              <w:rPr>
                <w:rFonts w:cs="Calibri"/>
                <w:bCs/>
                <w:szCs w:val="18"/>
              </w:rPr>
              <w:t>None identified</w:t>
            </w:r>
          </w:p>
        </w:tc>
        <w:tc>
          <w:tcPr>
            <w:tcW w:w="0" w:type="auto"/>
            <w:hideMark/>
          </w:tcPr>
          <w:p w14:paraId="09906E92" w14:textId="37E9F4BE" w:rsidR="004B4A2A" w:rsidRPr="00FD7646" w:rsidRDefault="004B4A2A" w:rsidP="004B4A2A">
            <w:pPr>
              <w:pStyle w:val="TableText"/>
              <w:rPr>
                <w:bCs/>
              </w:rPr>
            </w:pPr>
            <w:r w:rsidRPr="00FD7646">
              <w:rPr>
                <w:rFonts w:cs="Calibri"/>
                <w:bCs/>
                <w:szCs w:val="18"/>
              </w:rPr>
              <w:t>Improved community structure of key native fish species</w:t>
            </w:r>
          </w:p>
        </w:tc>
        <w:tc>
          <w:tcPr>
            <w:tcW w:w="0" w:type="auto"/>
            <w:hideMark/>
          </w:tcPr>
          <w:p w14:paraId="04EE7BC2" w14:textId="255EE3AF" w:rsidR="004B4A2A" w:rsidRPr="00FD7646" w:rsidRDefault="004B4A2A" w:rsidP="004B4A2A">
            <w:pPr>
              <w:pStyle w:val="TableText"/>
              <w:rPr>
                <w:bCs/>
              </w:rPr>
            </w:pPr>
            <w:r w:rsidRPr="00FD7646">
              <w:rPr>
                <w:rFonts w:cs="Calibri"/>
                <w:bCs/>
                <w:szCs w:val="18"/>
              </w:rPr>
              <w:t>Setting community metrics for assessing Commonwealth water for the environment is challenging</w:t>
            </w:r>
            <w:r w:rsidR="002C664F" w:rsidRPr="00FD7646">
              <w:rPr>
                <w:rFonts w:cs="Calibri"/>
                <w:bCs/>
                <w:szCs w:val="18"/>
              </w:rPr>
              <w:t>,</w:t>
            </w:r>
            <w:r w:rsidRPr="00FD7646">
              <w:rPr>
                <w:rFonts w:cs="Calibri"/>
                <w:bCs/>
                <w:szCs w:val="18"/>
              </w:rPr>
              <w:t xml:space="preserve"> since the Strategy outcome does not provide any guidance as to what is considered an improvement</w:t>
            </w:r>
          </w:p>
        </w:tc>
        <w:tc>
          <w:tcPr>
            <w:tcW w:w="0" w:type="auto"/>
            <w:hideMark/>
          </w:tcPr>
          <w:p w14:paraId="4C0E751A" w14:textId="44516F11" w:rsidR="004B4A2A" w:rsidRPr="00FD7646" w:rsidRDefault="004B4A2A" w:rsidP="004B4A2A">
            <w:pPr>
              <w:pStyle w:val="TableText"/>
              <w:rPr>
                <w:bCs/>
              </w:rPr>
            </w:pPr>
            <w:r w:rsidRPr="00FD7646">
              <w:rPr>
                <w:rFonts w:cs="Calibri"/>
                <w:bCs/>
                <w:szCs w:val="18"/>
              </w:rPr>
              <w:t>Counterfactual modelling showed that in the Goulburn, the Lower Murray River and Murrumbidgee River System (all associations with medium confidence) there were positive effects on the community metric (the proportion of catch that was native) in association with Commonwealth environmental water in multiple years. There were more variable responses in the other Selected Areas</w:t>
            </w:r>
          </w:p>
        </w:tc>
      </w:tr>
      <w:tr w:rsidR="004B4A2A" w:rsidRPr="00FD7646" w14:paraId="1F9CD529" w14:textId="77777777" w:rsidTr="00B608A5">
        <w:trPr>
          <w:cantSplit/>
        </w:trPr>
        <w:tc>
          <w:tcPr>
            <w:tcW w:w="0" w:type="auto"/>
            <w:hideMark/>
          </w:tcPr>
          <w:p w14:paraId="1C1F583C" w14:textId="031EA563" w:rsidR="004B4A2A" w:rsidRPr="00FD7646" w:rsidRDefault="004B4A2A" w:rsidP="004B4A2A">
            <w:pPr>
              <w:pStyle w:val="TableText"/>
              <w:rPr>
                <w:bCs/>
              </w:rPr>
            </w:pPr>
            <w:r w:rsidRPr="00FD7646">
              <w:rPr>
                <w:rFonts w:cs="Calibri"/>
                <w:bCs/>
                <w:szCs w:val="18"/>
              </w:rPr>
              <w:t>Species diversity: Waterbirds</w:t>
            </w:r>
          </w:p>
        </w:tc>
        <w:tc>
          <w:tcPr>
            <w:tcW w:w="0" w:type="auto"/>
            <w:hideMark/>
          </w:tcPr>
          <w:p w14:paraId="7988C4C5" w14:textId="49BB8202" w:rsidR="004B4A2A" w:rsidRPr="00FD7646" w:rsidRDefault="004B4A2A" w:rsidP="004B4A2A">
            <w:pPr>
              <w:pStyle w:val="TableText"/>
              <w:rPr>
                <w:bCs/>
              </w:rPr>
            </w:pPr>
            <w:r w:rsidRPr="00FD7646">
              <w:rPr>
                <w:rFonts w:cs="Calibri"/>
                <w:bCs/>
                <w:szCs w:val="18"/>
              </w:rPr>
              <w:t>None identified</w:t>
            </w:r>
          </w:p>
        </w:tc>
        <w:tc>
          <w:tcPr>
            <w:tcW w:w="0" w:type="auto"/>
            <w:hideMark/>
          </w:tcPr>
          <w:p w14:paraId="0EF1A4A4" w14:textId="397765AA" w:rsidR="004B4A2A" w:rsidRPr="00FD7646" w:rsidRDefault="004B4A2A" w:rsidP="004B4A2A">
            <w:pPr>
              <w:pStyle w:val="TableText"/>
              <w:rPr>
                <w:bCs/>
              </w:rPr>
            </w:pPr>
            <w:r w:rsidRPr="00FD7646">
              <w:rPr>
                <w:rFonts w:cs="Calibri"/>
                <w:bCs/>
                <w:szCs w:val="18"/>
              </w:rPr>
              <w:t>Waterbird diversity</w:t>
            </w:r>
          </w:p>
        </w:tc>
        <w:tc>
          <w:tcPr>
            <w:tcW w:w="0" w:type="auto"/>
            <w:hideMark/>
          </w:tcPr>
          <w:p w14:paraId="6745F0C8" w14:textId="3483FA8F" w:rsidR="004B4A2A" w:rsidRPr="00FD7646" w:rsidRDefault="004B4A2A" w:rsidP="004B4A2A">
            <w:pPr>
              <w:pStyle w:val="TableText"/>
              <w:rPr>
                <w:bCs/>
              </w:rPr>
            </w:pPr>
            <w:r w:rsidRPr="00FD7646">
              <w:rPr>
                <w:rFonts w:cs="Calibri"/>
                <w:bCs/>
                <w:szCs w:val="18"/>
              </w:rPr>
              <w:t>68 waterbird species reported from annual waterbird counts</w:t>
            </w:r>
          </w:p>
        </w:tc>
        <w:tc>
          <w:tcPr>
            <w:tcW w:w="0" w:type="auto"/>
            <w:hideMark/>
          </w:tcPr>
          <w:p w14:paraId="01331442" w14:textId="3C81DF6B" w:rsidR="004B4A2A" w:rsidRPr="00FD7646" w:rsidRDefault="004B4A2A" w:rsidP="004B4A2A">
            <w:pPr>
              <w:pStyle w:val="TableText"/>
              <w:rPr>
                <w:bCs/>
              </w:rPr>
            </w:pPr>
            <w:r w:rsidRPr="00FD7646">
              <w:rPr>
                <w:rFonts w:cs="Calibri"/>
                <w:bCs/>
                <w:szCs w:val="18"/>
              </w:rPr>
              <w:t xml:space="preserve">Over the past 10 years, 224,921 individuals from 97 waterbird species were detected </w:t>
            </w:r>
            <w:r w:rsidR="002C664F" w:rsidRPr="00FD7646">
              <w:rPr>
                <w:rFonts w:cs="Calibri"/>
                <w:bCs/>
                <w:szCs w:val="18"/>
              </w:rPr>
              <w:t>at</w:t>
            </w:r>
            <w:r w:rsidRPr="00FD7646">
              <w:rPr>
                <w:rFonts w:cs="Calibri"/>
                <w:bCs/>
                <w:szCs w:val="18"/>
              </w:rPr>
              <w:t xml:space="preserve"> Junction of Warrego and Darling rivers, Gwydir and Murrumbidgee monitoring sites</w:t>
            </w:r>
          </w:p>
        </w:tc>
      </w:tr>
      <w:tr w:rsidR="004B4A2A" w:rsidRPr="00FD7646" w14:paraId="288883A0" w14:textId="77777777" w:rsidTr="00B608A5">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18B756CB" w14:textId="5D64E329" w:rsidR="004B4A2A" w:rsidRPr="00FD7646" w:rsidRDefault="004B4A2A" w:rsidP="004B4A2A">
            <w:pPr>
              <w:pStyle w:val="TableText"/>
              <w:rPr>
                <w:bCs/>
              </w:rPr>
            </w:pPr>
            <w:r w:rsidRPr="00FD7646">
              <w:rPr>
                <w:rFonts w:cs="Calibri"/>
                <w:bCs/>
                <w:szCs w:val="18"/>
              </w:rPr>
              <w:t>Species diversity: Frogs</w:t>
            </w:r>
          </w:p>
        </w:tc>
        <w:tc>
          <w:tcPr>
            <w:tcW w:w="0" w:type="auto"/>
            <w:hideMark/>
          </w:tcPr>
          <w:p w14:paraId="4C897892" w14:textId="026B8D31" w:rsidR="004B4A2A" w:rsidRPr="00FD7646" w:rsidRDefault="004B4A2A" w:rsidP="004B4A2A">
            <w:pPr>
              <w:pStyle w:val="TableText"/>
              <w:rPr>
                <w:bCs/>
              </w:rPr>
            </w:pPr>
            <w:r w:rsidRPr="00FD7646">
              <w:rPr>
                <w:rFonts w:cs="Calibri"/>
                <w:bCs/>
                <w:szCs w:val="18"/>
              </w:rPr>
              <w:t>None identified</w:t>
            </w:r>
          </w:p>
        </w:tc>
        <w:tc>
          <w:tcPr>
            <w:tcW w:w="0" w:type="auto"/>
            <w:hideMark/>
          </w:tcPr>
          <w:p w14:paraId="50E3562D" w14:textId="7314367D" w:rsidR="004B4A2A" w:rsidRPr="00FD7646" w:rsidRDefault="004B4A2A" w:rsidP="004B4A2A">
            <w:pPr>
              <w:pStyle w:val="TableText"/>
              <w:rPr>
                <w:bCs/>
              </w:rPr>
            </w:pPr>
            <w:r w:rsidRPr="00FD7646">
              <w:rPr>
                <w:rFonts w:cs="Calibri"/>
                <w:bCs/>
                <w:szCs w:val="18"/>
              </w:rPr>
              <w:t>None identified</w:t>
            </w:r>
          </w:p>
        </w:tc>
        <w:tc>
          <w:tcPr>
            <w:tcW w:w="0" w:type="auto"/>
            <w:hideMark/>
          </w:tcPr>
          <w:p w14:paraId="3C6DCDB8" w14:textId="697B4143" w:rsidR="004B4A2A" w:rsidRPr="00FD7646" w:rsidRDefault="004B4A2A" w:rsidP="004B4A2A">
            <w:pPr>
              <w:pStyle w:val="TableText"/>
              <w:rPr>
                <w:bCs/>
              </w:rPr>
            </w:pPr>
            <w:r w:rsidRPr="00FD7646">
              <w:rPr>
                <w:rFonts w:cs="Calibri"/>
                <w:bCs/>
                <w:szCs w:val="18"/>
              </w:rPr>
              <w:t>11 species were detected</w:t>
            </w:r>
            <w:r w:rsidR="00905274" w:rsidRPr="00FD7646">
              <w:rPr>
                <w:rFonts w:cs="Calibri"/>
                <w:bCs/>
                <w:szCs w:val="18"/>
              </w:rPr>
              <w:t>. T</w:t>
            </w:r>
            <w:r w:rsidRPr="00FD7646">
              <w:rPr>
                <w:rFonts w:cs="Calibri"/>
                <w:bCs/>
                <w:szCs w:val="18"/>
              </w:rPr>
              <w:t>he most widespread species were spotted marsh frog, barking marsh frog and Peron</w:t>
            </w:r>
            <w:r w:rsidR="00905274" w:rsidRPr="00FD7646">
              <w:rPr>
                <w:rFonts w:cs="Calibri"/>
                <w:bCs/>
                <w:szCs w:val="18"/>
              </w:rPr>
              <w:t>’</w:t>
            </w:r>
            <w:r w:rsidRPr="00FD7646">
              <w:rPr>
                <w:rFonts w:cs="Calibri"/>
                <w:bCs/>
                <w:szCs w:val="18"/>
              </w:rPr>
              <w:t>s tree frogs. In the Murrumbidgee, only one of the monitored wetlands received environmental water – Bala (Eulimbah)</w:t>
            </w:r>
            <w:r w:rsidR="000333E8" w:rsidRPr="00FD7646">
              <w:rPr>
                <w:rFonts w:cs="Calibri"/>
                <w:bCs/>
                <w:szCs w:val="18"/>
              </w:rPr>
              <w:t>,</w:t>
            </w:r>
            <w:r w:rsidRPr="00FD7646">
              <w:rPr>
                <w:rFonts w:cs="Calibri"/>
                <w:bCs/>
                <w:szCs w:val="18"/>
              </w:rPr>
              <w:t xml:space="preserve"> which is a large lignum wetland. This action was successful in triggering breeding, as evidenced by the detection of calling, tadpoles and recently metamorphosed frogs between September 2023 and March 2024 </w:t>
            </w:r>
          </w:p>
        </w:tc>
        <w:tc>
          <w:tcPr>
            <w:tcW w:w="0" w:type="auto"/>
            <w:hideMark/>
          </w:tcPr>
          <w:p w14:paraId="5B79EFB9" w14:textId="38838ED1" w:rsidR="004B4A2A" w:rsidRPr="00FD7646" w:rsidRDefault="004B4A2A" w:rsidP="004B4A2A">
            <w:pPr>
              <w:pStyle w:val="TableText"/>
              <w:rPr>
                <w:bCs/>
              </w:rPr>
            </w:pPr>
            <w:r w:rsidRPr="00FD7646">
              <w:rPr>
                <w:rFonts w:cs="Calibri"/>
                <w:bCs/>
                <w:szCs w:val="18"/>
              </w:rPr>
              <w:t>The hydrological regime of floodplain wetlands surveyed for frogs is strongly influenced by C</w:t>
            </w:r>
            <w:r w:rsidR="000333E8" w:rsidRPr="00FD7646">
              <w:rPr>
                <w:rFonts w:cs="Calibri"/>
                <w:bCs/>
                <w:szCs w:val="18"/>
              </w:rPr>
              <w:t>ommonwealth environmental water</w:t>
            </w:r>
            <w:r w:rsidRPr="00FD7646">
              <w:rPr>
                <w:rFonts w:cs="Calibri"/>
                <w:bCs/>
                <w:szCs w:val="18"/>
              </w:rPr>
              <w:t xml:space="preserve">. All survey sites were influenced by </w:t>
            </w:r>
            <w:r w:rsidR="000333E8" w:rsidRPr="00FD7646">
              <w:rPr>
                <w:rFonts w:cs="Calibri"/>
                <w:bCs/>
                <w:szCs w:val="18"/>
              </w:rPr>
              <w:t>Commonwealth environmental water</w:t>
            </w:r>
            <w:r w:rsidRPr="00FD7646">
              <w:rPr>
                <w:rFonts w:cs="Calibri"/>
                <w:bCs/>
                <w:szCs w:val="18"/>
              </w:rPr>
              <w:t xml:space="preserve"> on at least one occasion, and most sites were influenced by </w:t>
            </w:r>
            <w:r w:rsidR="000333E8" w:rsidRPr="00FD7646">
              <w:rPr>
                <w:rFonts w:cs="Calibri"/>
                <w:bCs/>
                <w:szCs w:val="18"/>
              </w:rPr>
              <w:t>Commonwealth environmental water</w:t>
            </w:r>
            <w:r w:rsidRPr="00FD7646">
              <w:rPr>
                <w:rFonts w:cs="Calibri"/>
                <w:bCs/>
                <w:szCs w:val="18"/>
              </w:rPr>
              <w:t xml:space="preserve"> in more than 5 years. At the site scale, </w:t>
            </w:r>
            <w:r w:rsidR="000333E8" w:rsidRPr="00FD7646">
              <w:rPr>
                <w:rFonts w:cs="Calibri"/>
                <w:bCs/>
                <w:szCs w:val="18"/>
              </w:rPr>
              <w:t>Commonwealth environmental water</w:t>
            </w:r>
            <w:r w:rsidRPr="00FD7646">
              <w:rPr>
                <w:rFonts w:cs="Calibri"/>
                <w:bCs/>
                <w:szCs w:val="18"/>
              </w:rPr>
              <w:t xml:space="preserve"> has had a profound impact on species occurrence (number of species) in most years by increasing inundation frequency of wetland inundation </w:t>
            </w:r>
          </w:p>
        </w:tc>
      </w:tr>
      <w:tr w:rsidR="004B4A2A" w:rsidRPr="00FD7646" w14:paraId="11EA2AFD" w14:textId="77777777" w:rsidTr="00B608A5">
        <w:trPr>
          <w:cantSplit/>
        </w:trPr>
        <w:tc>
          <w:tcPr>
            <w:tcW w:w="0" w:type="auto"/>
            <w:hideMark/>
          </w:tcPr>
          <w:p w14:paraId="182E6B44" w14:textId="2A0ABBD9" w:rsidR="004B4A2A" w:rsidRPr="00FD7646" w:rsidRDefault="004B4A2A" w:rsidP="004B4A2A">
            <w:pPr>
              <w:pStyle w:val="TableText"/>
              <w:rPr>
                <w:bCs/>
              </w:rPr>
            </w:pPr>
            <w:r w:rsidRPr="00FD7646">
              <w:rPr>
                <w:rFonts w:cs="Calibri"/>
                <w:bCs/>
                <w:szCs w:val="18"/>
              </w:rPr>
              <w:t>Species diversity: Turtles</w:t>
            </w:r>
          </w:p>
        </w:tc>
        <w:tc>
          <w:tcPr>
            <w:tcW w:w="0" w:type="auto"/>
            <w:hideMark/>
          </w:tcPr>
          <w:p w14:paraId="47D5D6E3" w14:textId="78D53817" w:rsidR="004B4A2A" w:rsidRPr="00FD7646" w:rsidRDefault="004B4A2A" w:rsidP="004B4A2A">
            <w:pPr>
              <w:pStyle w:val="TableText"/>
              <w:rPr>
                <w:bCs/>
              </w:rPr>
            </w:pPr>
            <w:r w:rsidRPr="00FD7646">
              <w:rPr>
                <w:rFonts w:cs="Calibri"/>
                <w:bCs/>
                <w:szCs w:val="18"/>
              </w:rPr>
              <w:t>None identified</w:t>
            </w:r>
          </w:p>
        </w:tc>
        <w:tc>
          <w:tcPr>
            <w:tcW w:w="0" w:type="auto"/>
            <w:hideMark/>
          </w:tcPr>
          <w:p w14:paraId="71A18B5E" w14:textId="26D5B667" w:rsidR="004B4A2A" w:rsidRPr="00FD7646" w:rsidRDefault="004B4A2A" w:rsidP="004B4A2A">
            <w:pPr>
              <w:pStyle w:val="TableText"/>
              <w:rPr>
                <w:bCs/>
              </w:rPr>
            </w:pPr>
            <w:r w:rsidRPr="00FD7646">
              <w:rPr>
                <w:rFonts w:cs="Calibri"/>
                <w:bCs/>
                <w:szCs w:val="18"/>
              </w:rPr>
              <w:t>None identified</w:t>
            </w:r>
          </w:p>
        </w:tc>
        <w:tc>
          <w:tcPr>
            <w:tcW w:w="0" w:type="auto"/>
            <w:hideMark/>
          </w:tcPr>
          <w:p w14:paraId="5D6C8B3C" w14:textId="6FC3648F" w:rsidR="004B4A2A" w:rsidRPr="00FD7646" w:rsidRDefault="004B4A2A" w:rsidP="004B4A2A">
            <w:pPr>
              <w:pStyle w:val="TableText"/>
              <w:rPr>
                <w:bCs/>
              </w:rPr>
            </w:pPr>
            <w:r w:rsidRPr="00FD7646">
              <w:rPr>
                <w:rFonts w:cs="Calibri"/>
                <w:bCs/>
                <w:szCs w:val="18"/>
              </w:rPr>
              <w:t>Abundance not reported</w:t>
            </w:r>
          </w:p>
        </w:tc>
        <w:tc>
          <w:tcPr>
            <w:tcW w:w="0" w:type="auto"/>
            <w:hideMark/>
          </w:tcPr>
          <w:p w14:paraId="282660D4" w14:textId="35F5A54E" w:rsidR="004B4A2A" w:rsidRPr="00FD7646" w:rsidRDefault="004B4A2A" w:rsidP="004B4A2A">
            <w:pPr>
              <w:pStyle w:val="TableText"/>
              <w:rPr>
                <w:bCs/>
              </w:rPr>
            </w:pPr>
            <w:r w:rsidRPr="00FD7646">
              <w:rPr>
                <w:rFonts w:cs="Calibri"/>
                <w:bCs/>
                <w:szCs w:val="18"/>
              </w:rPr>
              <w:t>Abundance not reported</w:t>
            </w:r>
          </w:p>
        </w:tc>
      </w:tr>
      <w:tr w:rsidR="004B4A2A" w:rsidRPr="00FD7646" w14:paraId="059374D1" w14:textId="77777777" w:rsidTr="00B608A5">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5F7FE05C" w14:textId="2BD375C8" w:rsidR="004B4A2A" w:rsidRPr="00FD7646" w:rsidRDefault="004B4A2A" w:rsidP="004B4A2A">
            <w:pPr>
              <w:pStyle w:val="TableText"/>
              <w:rPr>
                <w:bCs/>
              </w:rPr>
            </w:pPr>
            <w:r w:rsidRPr="00FD7646">
              <w:rPr>
                <w:rFonts w:cs="Calibri"/>
                <w:bCs/>
                <w:szCs w:val="18"/>
              </w:rPr>
              <w:lastRenderedPageBreak/>
              <w:t>Species diversity: Threatened and migratory species</w:t>
            </w:r>
          </w:p>
        </w:tc>
        <w:tc>
          <w:tcPr>
            <w:tcW w:w="0" w:type="auto"/>
            <w:hideMark/>
          </w:tcPr>
          <w:p w14:paraId="47CF08F5" w14:textId="6A5A4854" w:rsidR="004B4A2A" w:rsidRPr="00FD7646" w:rsidRDefault="004B4A2A" w:rsidP="004B4A2A">
            <w:pPr>
              <w:pStyle w:val="TableText"/>
              <w:rPr>
                <w:bCs/>
              </w:rPr>
            </w:pPr>
            <w:r w:rsidRPr="00FD7646">
              <w:rPr>
                <w:rFonts w:cs="Calibri"/>
                <w:bCs/>
                <w:szCs w:val="18"/>
              </w:rPr>
              <w:t>None identified</w:t>
            </w:r>
          </w:p>
        </w:tc>
        <w:tc>
          <w:tcPr>
            <w:tcW w:w="0" w:type="auto"/>
            <w:hideMark/>
          </w:tcPr>
          <w:p w14:paraId="6C97692E" w14:textId="2495B415" w:rsidR="004B4A2A" w:rsidRPr="00FD7646" w:rsidRDefault="004B4A2A" w:rsidP="004B4A2A">
            <w:pPr>
              <w:pStyle w:val="TableText"/>
              <w:rPr>
                <w:bCs/>
              </w:rPr>
            </w:pPr>
            <w:r w:rsidRPr="00FD7646">
              <w:rPr>
                <w:rFonts w:cs="Calibri"/>
                <w:bCs/>
                <w:szCs w:val="18"/>
              </w:rPr>
              <w:t>None identified</w:t>
            </w:r>
          </w:p>
        </w:tc>
        <w:tc>
          <w:tcPr>
            <w:tcW w:w="0" w:type="auto"/>
            <w:hideMark/>
          </w:tcPr>
          <w:p w14:paraId="07AB032C" w14:textId="1E2A3CE2" w:rsidR="004B4A2A" w:rsidRPr="00FD7646" w:rsidRDefault="004B4A2A" w:rsidP="004B4A2A">
            <w:pPr>
              <w:pStyle w:val="TableText"/>
              <w:rPr>
                <w:bCs/>
              </w:rPr>
            </w:pPr>
            <w:r w:rsidRPr="00FD7646">
              <w:rPr>
                <w:rFonts w:cs="Calibri"/>
                <w:bCs/>
                <w:szCs w:val="18"/>
              </w:rPr>
              <w:t>18 conservation-significant waterbird species were identified from the Flow-MER and NSW D</w:t>
            </w:r>
            <w:r w:rsidR="00DC7442" w:rsidRPr="00FD7646">
              <w:rPr>
                <w:rFonts w:cs="Calibri"/>
                <w:bCs/>
                <w:szCs w:val="18"/>
              </w:rPr>
              <w:t>epartment of Climate Change, Energy, the Environment and Water</w:t>
            </w:r>
            <w:r w:rsidRPr="00FD7646">
              <w:rPr>
                <w:rFonts w:cs="Calibri"/>
                <w:bCs/>
                <w:szCs w:val="18"/>
              </w:rPr>
              <w:t xml:space="preserve"> monitoring in 2023–24, including 3 species listed under the </w:t>
            </w:r>
            <w:r w:rsidR="00DC7442" w:rsidRPr="00FD7646">
              <w:rPr>
                <w:rFonts w:cs="Calibri"/>
                <w:bCs/>
                <w:szCs w:val="18"/>
              </w:rPr>
              <w:t xml:space="preserve">Australian </w:t>
            </w:r>
            <w:r w:rsidR="00DC7442" w:rsidRPr="00FD7646">
              <w:rPr>
                <w:rFonts w:cs="Calibri"/>
                <w:bCs/>
                <w:i/>
                <w:iCs/>
                <w:szCs w:val="18"/>
              </w:rPr>
              <w:t>Environment Protection and Biodiversity Conservation</w:t>
            </w:r>
            <w:r w:rsidRPr="00FD7646">
              <w:rPr>
                <w:rFonts w:cs="Calibri"/>
                <w:bCs/>
                <w:szCs w:val="18"/>
              </w:rPr>
              <w:t xml:space="preserve"> </w:t>
            </w:r>
            <w:r w:rsidRPr="00FD7646">
              <w:rPr>
                <w:rFonts w:cs="Calibri"/>
                <w:bCs/>
                <w:i/>
                <w:iCs/>
                <w:szCs w:val="18"/>
              </w:rPr>
              <w:t>Act</w:t>
            </w:r>
            <w:r w:rsidR="00DC7442" w:rsidRPr="00FD7646">
              <w:rPr>
                <w:rFonts w:cs="Calibri"/>
                <w:bCs/>
                <w:i/>
                <w:iCs/>
                <w:szCs w:val="18"/>
              </w:rPr>
              <w:t xml:space="preserve"> 1999</w:t>
            </w:r>
            <w:r w:rsidRPr="00FD7646">
              <w:rPr>
                <w:rFonts w:cs="Calibri"/>
                <w:bCs/>
                <w:szCs w:val="18"/>
              </w:rPr>
              <w:t xml:space="preserve"> – Australasian bittern, sharp-tailed sandpiper and Latham’s snipe. Other species of significance included the listed threatened species black-necked stork, blue-billed duck, freckled duck and marsh sandpiper.</w:t>
            </w:r>
          </w:p>
        </w:tc>
        <w:tc>
          <w:tcPr>
            <w:tcW w:w="0" w:type="auto"/>
            <w:hideMark/>
          </w:tcPr>
          <w:p w14:paraId="46A57365" w14:textId="556E66DE" w:rsidR="004B4A2A" w:rsidRPr="00FD7646" w:rsidRDefault="004B4A2A" w:rsidP="004B4A2A">
            <w:pPr>
              <w:pStyle w:val="TableText"/>
              <w:rPr>
                <w:bCs/>
              </w:rPr>
            </w:pPr>
            <w:r w:rsidRPr="00FD7646">
              <w:rPr>
                <w:rFonts w:cs="Calibri"/>
                <w:bCs/>
                <w:szCs w:val="18"/>
              </w:rPr>
              <w:t>59 listed threatened or migratory waterbird and raptor species were reported from habitats that received Commonwealth environmental water on at least one occasion</w:t>
            </w:r>
          </w:p>
        </w:tc>
      </w:tr>
    </w:tbl>
    <w:p w14:paraId="7D976AB7" w14:textId="5E8EEF50" w:rsidR="008D0B97" w:rsidRPr="004B520E" w:rsidRDefault="00A406F9" w:rsidP="00891D5C">
      <w:pPr>
        <w:pStyle w:val="Caption"/>
      </w:pPr>
      <w:bookmarkStart w:id="632" w:name="_Toc204609876"/>
      <w:bookmarkStart w:id="633" w:name="_Hlk72849837"/>
      <w:bookmarkStart w:id="634" w:name="_Toc72302508"/>
      <w:r w:rsidRPr="004B520E">
        <w:t>Table</w:t>
      </w:r>
      <w:r>
        <w:t> </w:t>
      </w:r>
      <w:r>
        <w:fldChar w:fldCharType="begin"/>
      </w:r>
      <w:r>
        <w:instrText>STYLEREF 9 \s</w:instrText>
      </w:r>
      <w:r>
        <w:fldChar w:fldCharType="separate"/>
      </w:r>
      <w:r w:rsidR="00C43C1D">
        <w:rPr>
          <w:noProof/>
        </w:rPr>
        <w:t>B</w:t>
      </w:r>
      <w:r>
        <w:fldChar w:fldCharType="end"/>
      </w:r>
      <w:r w:rsidR="005E17E7">
        <w:t>.</w:t>
      </w:r>
      <w:r>
        <w:fldChar w:fldCharType="begin"/>
      </w:r>
      <w:r>
        <w:instrText>SEQ ApxTable \* ARABIC \s 9</w:instrText>
      </w:r>
      <w:r>
        <w:fldChar w:fldCharType="separate"/>
      </w:r>
      <w:r w:rsidR="00C43C1D">
        <w:rPr>
          <w:noProof/>
        </w:rPr>
        <w:t>2</w:t>
      </w:r>
      <w:r>
        <w:fldChar w:fldCharType="end"/>
      </w:r>
      <w:r w:rsidRPr="004B520E">
        <w:t xml:space="preserve"> Commonwealth Environmental Outcomes framework against Basin Plan </w:t>
      </w:r>
      <w:r w:rsidRPr="00891D5C">
        <w:t>ecosystem</w:t>
      </w:r>
      <w:r>
        <w:t xml:space="preserve"> function</w:t>
      </w:r>
      <w:r w:rsidRPr="004B520E">
        <w:t xml:space="preserve"> objectives (Basin Plan S8.0</w:t>
      </w:r>
      <w:r w:rsidR="00891D5C">
        <w:t>6</w:t>
      </w:r>
      <w:r w:rsidRPr="004B520E">
        <w:t>)</w:t>
      </w:r>
      <w:bookmarkEnd w:id="632"/>
    </w:p>
    <w:tbl>
      <w:tblPr>
        <w:tblStyle w:val="TableFlow-Mer0"/>
        <w:tblW w:w="0" w:type="auto"/>
        <w:tblLook w:val="0420" w:firstRow="1" w:lastRow="0" w:firstColumn="0" w:lastColumn="0" w:noHBand="0" w:noVBand="1"/>
      </w:tblPr>
      <w:tblGrid>
        <w:gridCol w:w="1160"/>
        <w:gridCol w:w="1756"/>
        <w:gridCol w:w="1756"/>
        <w:gridCol w:w="3717"/>
        <w:gridCol w:w="6068"/>
      </w:tblGrid>
      <w:tr w:rsidR="00310CDC" w:rsidRPr="00427AA4" w14:paraId="13714B46" w14:textId="77777777" w:rsidTr="00F7080C">
        <w:trPr>
          <w:cnfStyle w:val="100000000000" w:firstRow="1" w:lastRow="0" w:firstColumn="0" w:lastColumn="0" w:oddVBand="0" w:evenVBand="0" w:oddHBand="0" w:evenHBand="0" w:firstRowFirstColumn="0" w:firstRowLastColumn="0" w:lastRowFirstColumn="0" w:lastRowLastColumn="0"/>
        </w:trPr>
        <w:tc>
          <w:tcPr>
            <w:tcW w:w="0" w:type="auto"/>
            <w:hideMark/>
          </w:tcPr>
          <w:p w14:paraId="2B16C410" w14:textId="77777777" w:rsidR="00310CDC" w:rsidRPr="00427AA4" w:rsidRDefault="00310CDC" w:rsidP="00DD53EC">
            <w:pPr>
              <w:pStyle w:val="ColumnHeading"/>
            </w:pPr>
            <w:r w:rsidRPr="00427AA4">
              <w:t>Basin outcomes</w:t>
            </w:r>
          </w:p>
        </w:tc>
        <w:tc>
          <w:tcPr>
            <w:tcW w:w="0" w:type="auto"/>
            <w:hideMark/>
          </w:tcPr>
          <w:p w14:paraId="236C5AED" w14:textId="77777777" w:rsidR="00310CDC" w:rsidRPr="00427AA4" w:rsidRDefault="00310CDC" w:rsidP="00DD53EC">
            <w:pPr>
              <w:pStyle w:val="ColumnHeading"/>
            </w:pPr>
            <w:r w:rsidRPr="00427AA4">
              <w:t>One-year expected outcomes</w:t>
            </w:r>
          </w:p>
        </w:tc>
        <w:tc>
          <w:tcPr>
            <w:tcW w:w="0" w:type="auto"/>
            <w:hideMark/>
          </w:tcPr>
          <w:p w14:paraId="0EE90A05" w14:textId="77777777" w:rsidR="00310CDC" w:rsidRPr="00427AA4" w:rsidRDefault="00310CDC" w:rsidP="00DD53EC">
            <w:pPr>
              <w:pStyle w:val="ColumnHeading"/>
            </w:pPr>
            <w:r w:rsidRPr="00427AA4">
              <w:t>Long-term expected outcomes </w:t>
            </w:r>
          </w:p>
        </w:tc>
        <w:tc>
          <w:tcPr>
            <w:tcW w:w="0" w:type="auto"/>
            <w:hideMark/>
          </w:tcPr>
          <w:p w14:paraId="1D322614" w14:textId="77777777" w:rsidR="00310CDC" w:rsidRPr="00427AA4" w:rsidRDefault="00310CDC" w:rsidP="00DD53EC">
            <w:pPr>
              <w:pStyle w:val="ColumnHeading"/>
            </w:pPr>
            <w:r w:rsidRPr="00427AA4">
              <w:t>Outcomes 2023–24</w:t>
            </w:r>
          </w:p>
        </w:tc>
        <w:tc>
          <w:tcPr>
            <w:tcW w:w="0" w:type="auto"/>
            <w:hideMark/>
          </w:tcPr>
          <w:p w14:paraId="27EB92F3" w14:textId="77777777" w:rsidR="00310CDC" w:rsidRPr="00427AA4" w:rsidRDefault="00310CDC" w:rsidP="00DD53EC">
            <w:pPr>
              <w:pStyle w:val="ColumnHeading"/>
            </w:pPr>
            <w:r w:rsidRPr="00427AA4">
              <w:t>Outcomes 2014–24</w:t>
            </w:r>
          </w:p>
        </w:tc>
      </w:tr>
      <w:tr w:rsidR="00897F7F" w:rsidRPr="004B520E" w14:paraId="57EF8800" w14:textId="77777777" w:rsidTr="00F7080C">
        <w:trPr>
          <w:cnfStyle w:val="000000100000" w:firstRow="0" w:lastRow="0" w:firstColumn="0" w:lastColumn="0" w:oddVBand="0" w:evenVBand="0" w:oddHBand="1" w:evenHBand="0" w:firstRowFirstColumn="0" w:firstRowLastColumn="0" w:lastRowFirstColumn="0" w:lastRowLastColumn="0"/>
        </w:trPr>
        <w:tc>
          <w:tcPr>
            <w:tcW w:w="0" w:type="auto"/>
            <w:hideMark/>
          </w:tcPr>
          <w:p w14:paraId="6ACD1FA7" w14:textId="40B299B0" w:rsidR="00897F7F" w:rsidRPr="00FD7646" w:rsidRDefault="00897F7F" w:rsidP="00897F7F">
            <w:pPr>
              <w:pStyle w:val="TableText"/>
              <w:rPr>
                <w:bCs/>
              </w:rPr>
            </w:pPr>
            <w:r w:rsidRPr="00FD7646">
              <w:rPr>
                <w:rFonts w:cs="Calibri"/>
                <w:bCs/>
                <w:szCs w:val="18"/>
              </w:rPr>
              <w:t>Connectivity</w:t>
            </w:r>
          </w:p>
        </w:tc>
        <w:tc>
          <w:tcPr>
            <w:tcW w:w="0" w:type="auto"/>
            <w:hideMark/>
          </w:tcPr>
          <w:p w14:paraId="5A442E38" w14:textId="1EBEC50A" w:rsidR="00897F7F" w:rsidRPr="00FD7646" w:rsidRDefault="00897F7F" w:rsidP="00897F7F">
            <w:pPr>
              <w:pStyle w:val="TableText"/>
              <w:rPr>
                <w:bCs/>
              </w:rPr>
            </w:pPr>
            <w:r w:rsidRPr="00FD7646">
              <w:rPr>
                <w:rFonts w:cs="Calibri"/>
                <w:bCs/>
                <w:szCs w:val="18"/>
              </w:rPr>
              <w:t xml:space="preserve">Longitudinal connectivity </w:t>
            </w:r>
          </w:p>
        </w:tc>
        <w:tc>
          <w:tcPr>
            <w:tcW w:w="0" w:type="auto"/>
            <w:hideMark/>
          </w:tcPr>
          <w:p w14:paraId="04AE118F" w14:textId="54D05D00" w:rsidR="00897F7F" w:rsidRPr="00FD7646" w:rsidRDefault="00897F7F" w:rsidP="00897F7F">
            <w:pPr>
              <w:pStyle w:val="TableText"/>
              <w:rPr>
                <w:bCs/>
              </w:rPr>
            </w:pPr>
            <w:r w:rsidRPr="00FD7646">
              <w:rPr>
                <w:rFonts w:cs="Calibri"/>
                <w:bCs/>
                <w:szCs w:val="18"/>
              </w:rPr>
              <w:t xml:space="preserve">Longitudinal connectivity </w:t>
            </w:r>
          </w:p>
        </w:tc>
        <w:tc>
          <w:tcPr>
            <w:tcW w:w="0" w:type="auto"/>
            <w:hideMark/>
          </w:tcPr>
          <w:p w14:paraId="24E44E0D" w14:textId="073256AB" w:rsidR="00897F7F" w:rsidRPr="00FD7646" w:rsidRDefault="00897F7F" w:rsidP="00897F7F">
            <w:pPr>
              <w:pStyle w:val="TableText"/>
              <w:rPr>
                <w:bCs/>
              </w:rPr>
            </w:pPr>
            <w:r w:rsidRPr="00FD7646">
              <w:rPr>
                <w:rFonts w:cs="Calibri"/>
                <w:bCs/>
                <w:szCs w:val="18"/>
              </w:rPr>
              <w:t>21,075 km of waterways</w:t>
            </w:r>
            <w:r w:rsidR="00630983" w:rsidRPr="00FD7646">
              <w:rPr>
                <w:rFonts w:cs="Calibri"/>
                <w:bCs/>
                <w:szCs w:val="18"/>
              </w:rPr>
              <w:t xml:space="preserve"> supported</w:t>
            </w:r>
          </w:p>
        </w:tc>
        <w:tc>
          <w:tcPr>
            <w:tcW w:w="0" w:type="auto"/>
            <w:hideMark/>
          </w:tcPr>
          <w:p w14:paraId="65931DEA" w14:textId="1799CAC8" w:rsidR="00897F7F" w:rsidRPr="00FD7646" w:rsidRDefault="00897F7F" w:rsidP="00897F7F">
            <w:pPr>
              <w:pStyle w:val="TableText"/>
              <w:rPr>
                <w:bCs/>
              </w:rPr>
            </w:pPr>
            <w:r w:rsidRPr="00FD7646">
              <w:rPr>
                <w:rFonts w:cs="Calibri"/>
                <w:bCs/>
                <w:szCs w:val="18"/>
              </w:rPr>
              <w:t>28,549 km of waterways supported</w:t>
            </w:r>
          </w:p>
        </w:tc>
      </w:tr>
      <w:tr w:rsidR="00897F7F" w:rsidRPr="004B520E" w14:paraId="40E09210" w14:textId="77777777" w:rsidTr="00F7080C">
        <w:tc>
          <w:tcPr>
            <w:tcW w:w="0" w:type="auto"/>
            <w:hideMark/>
          </w:tcPr>
          <w:p w14:paraId="1B415AB8" w14:textId="02050C56" w:rsidR="00897F7F" w:rsidRPr="00FD7646" w:rsidRDefault="00897F7F" w:rsidP="00897F7F">
            <w:pPr>
              <w:pStyle w:val="TableText"/>
              <w:rPr>
                <w:bCs/>
              </w:rPr>
            </w:pPr>
            <w:r w:rsidRPr="00FD7646">
              <w:rPr>
                <w:rFonts w:cs="Calibri"/>
                <w:bCs/>
                <w:szCs w:val="18"/>
              </w:rPr>
              <w:t>Connectivity</w:t>
            </w:r>
          </w:p>
        </w:tc>
        <w:tc>
          <w:tcPr>
            <w:tcW w:w="0" w:type="auto"/>
            <w:hideMark/>
          </w:tcPr>
          <w:p w14:paraId="3541FBD8" w14:textId="69EEE5F6" w:rsidR="00897F7F" w:rsidRPr="00FD7646" w:rsidRDefault="00897F7F" w:rsidP="00897F7F">
            <w:pPr>
              <w:pStyle w:val="TableText"/>
              <w:rPr>
                <w:bCs/>
              </w:rPr>
            </w:pPr>
            <w:r w:rsidRPr="00FD7646">
              <w:rPr>
                <w:rFonts w:cs="Calibri"/>
                <w:bCs/>
                <w:szCs w:val="18"/>
              </w:rPr>
              <w:t xml:space="preserve">Lateral connectivity </w:t>
            </w:r>
          </w:p>
        </w:tc>
        <w:tc>
          <w:tcPr>
            <w:tcW w:w="0" w:type="auto"/>
            <w:hideMark/>
          </w:tcPr>
          <w:p w14:paraId="3F674D62" w14:textId="0CF90EDF" w:rsidR="00897F7F" w:rsidRPr="00FD7646" w:rsidRDefault="00897F7F" w:rsidP="00897F7F">
            <w:pPr>
              <w:pStyle w:val="TableText"/>
              <w:rPr>
                <w:bCs/>
              </w:rPr>
            </w:pPr>
            <w:r w:rsidRPr="00FD7646">
              <w:rPr>
                <w:rFonts w:cs="Calibri"/>
                <w:bCs/>
                <w:szCs w:val="18"/>
              </w:rPr>
              <w:t xml:space="preserve">Lateral connectivity </w:t>
            </w:r>
          </w:p>
        </w:tc>
        <w:tc>
          <w:tcPr>
            <w:tcW w:w="0" w:type="auto"/>
            <w:hideMark/>
          </w:tcPr>
          <w:p w14:paraId="7910801D" w14:textId="16B70321" w:rsidR="00897F7F" w:rsidRPr="00FD7646" w:rsidRDefault="00897F7F" w:rsidP="00897F7F">
            <w:pPr>
              <w:pStyle w:val="TableText"/>
              <w:rPr>
                <w:bCs/>
              </w:rPr>
            </w:pPr>
            <w:r w:rsidRPr="00FD7646">
              <w:rPr>
                <w:rFonts w:cs="Calibri"/>
                <w:bCs/>
                <w:szCs w:val="18"/>
              </w:rPr>
              <w:t>272,428 ha of lakes, wetlands, floodplain and estuary supported</w:t>
            </w:r>
          </w:p>
        </w:tc>
        <w:tc>
          <w:tcPr>
            <w:tcW w:w="0" w:type="auto"/>
            <w:hideMark/>
          </w:tcPr>
          <w:p w14:paraId="090FDEBC" w14:textId="05FFD233" w:rsidR="00897F7F" w:rsidRPr="00FD7646" w:rsidRDefault="00897F7F" w:rsidP="00897F7F">
            <w:pPr>
              <w:pStyle w:val="TableText"/>
              <w:rPr>
                <w:bCs/>
              </w:rPr>
            </w:pPr>
            <w:r w:rsidRPr="00FD7646">
              <w:rPr>
                <w:rFonts w:cs="Calibri"/>
                <w:bCs/>
                <w:szCs w:val="18"/>
              </w:rPr>
              <w:t>470,032 ha of lakes, wetlands, floodplain and estuary supported</w:t>
            </w:r>
          </w:p>
        </w:tc>
      </w:tr>
      <w:tr w:rsidR="00897F7F" w:rsidRPr="004B520E" w14:paraId="4E0B0E58" w14:textId="77777777" w:rsidTr="00F7080C">
        <w:trPr>
          <w:cnfStyle w:val="000000100000" w:firstRow="0" w:lastRow="0" w:firstColumn="0" w:lastColumn="0" w:oddVBand="0" w:evenVBand="0" w:oddHBand="1" w:evenHBand="0" w:firstRowFirstColumn="0" w:firstRowLastColumn="0" w:lastRowFirstColumn="0" w:lastRowLastColumn="0"/>
        </w:trPr>
        <w:tc>
          <w:tcPr>
            <w:tcW w:w="0" w:type="auto"/>
            <w:hideMark/>
          </w:tcPr>
          <w:p w14:paraId="02503965" w14:textId="422FA467" w:rsidR="00897F7F" w:rsidRPr="00FD7646" w:rsidRDefault="00897F7F" w:rsidP="00897F7F">
            <w:pPr>
              <w:pStyle w:val="TableText"/>
              <w:rPr>
                <w:bCs/>
              </w:rPr>
            </w:pPr>
            <w:r w:rsidRPr="00FD7646">
              <w:rPr>
                <w:rFonts w:cs="Calibri"/>
                <w:bCs/>
                <w:szCs w:val="18"/>
              </w:rPr>
              <w:t>Connectivity</w:t>
            </w:r>
          </w:p>
        </w:tc>
        <w:tc>
          <w:tcPr>
            <w:tcW w:w="0" w:type="auto"/>
            <w:hideMark/>
          </w:tcPr>
          <w:p w14:paraId="5AB69967" w14:textId="33A237AE" w:rsidR="00897F7F" w:rsidRPr="00FD7646" w:rsidRDefault="00897F7F" w:rsidP="00897F7F">
            <w:pPr>
              <w:pStyle w:val="TableText"/>
              <w:rPr>
                <w:bCs/>
              </w:rPr>
            </w:pPr>
            <w:r w:rsidRPr="00FD7646">
              <w:rPr>
                <w:rFonts w:cs="Calibri"/>
                <w:bCs/>
                <w:szCs w:val="18"/>
              </w:rPr>
              <w:t>End</w:t>
            </w:r>
            <w:r w:rsidR="00DC7442" w:rsidRPr="00FD7646">
              <w:rPr>
                <w:rFonts w:cs="Calibri"/>
                <w:bCs/>
                <w:szCs w:val="18"/>
              </w:rPr>
              <w:t>-</w:t>
            </w:r>
            <w:r w:rsidRPr="00FD7646">
              <w:rPr>
                <w:rFonts w:cs="Calibri"/>
                <w:bCs/>
                <w:szCs w:val="18"/>
              </w:rPr>
              <w:t>of</w:t>
            </w:r>
            <w:r w:rsidR="00DC7442" w:rsidRPr="00FD7646">
              <w:rPr>
                <w:rFonts w:cs="Calibri"/>
                <w:bCs/>
                <w:szCs w:val="18"/>
              </w:rPr>
              <w:t>-</w:t>
            </w:r>
            <w:r w:rsidRPr="00FD7646">
              <w:rPr>
                <w:rFonts w:cs="Calibri"/>
                <w:bCs/>
                <w:szCs w:val="18"/>
              </w:rPr>
              <w:t>system flows</w:t>
            </w:r>
          </w:p>
        </w:tc>
        <w:tc>
          <w:tcPr>
            <w:tcW w:w="0" w:type="auto"/>
            <w:hideMark/>
          </w:tcPr>
          <w:p w14:paraId="2A27E9BA" w14:textId="1DAA92F8" w:rsidR="00897F7F" w:rsidRPr="00FD7646" w:rsidRDefault="00897F7F" w:rsidP="00897F7F">
            <w:pPr>
              <w:pStyle w:val="TableText"/>
              <w:rPr>
                <w:bCs/>
              </w:rPr>
            </w:pPr>
            <w:r w:rsidRPr="00FD7646">
              <w:rPr>
                <w:rFonts w:cs="Calibri"/>
                <w:bCs/>
                <w:szCs w:val="18"/>
              </w:rPr>
              <w:t>End</w:t>
            </w:r>
            <w:r w:rsidR="00DC7442" w:rsidRPr="00FD7646">
              <w:rPr>
                <w:rFonts w:cs="Calibri"/>
                <w:bCs/>
                <w:szCs w:val="18"/>
              </w:rPr>
              <w:t>-</w:t>
            </w:r>
            <w:r w:rsidRPr="00FD7646">
              <w:rPr>
                <w:rFonts w:cs="Calibri"/>
                <w:bCs/>
                <w:szCs w:val="18"/>
              </w:rPr>
              <w:t>of</w:t>
            </w:r>
            <w:r w:rsidR="00DC7442" w:rsidRPr="00FD7646">
              <w:rPr>
                <w:rFonts w:cs="Calibri"/>
                <w:bCs/>
                <w:szCs w:val="18"/>
              </w:rPr>
              <w:t>-</w:t>
            </w:r>
            <w:r w:rsidRPr="00FD7646">
              <w:rPr>
                <w:rFonts w:cs="Calibri"/>
                <w:bCs/>
                <w:szCs w:val="18"/>
              </w:rPr>
              <w:t>system flows</w:t>
            </w:r>
          </w:p>
        </w:tc>
        <w:tc>
          <w:tcPr>
            <w:tcW w:w="0" w:type="auto"/>
            <w:hideMark/>
          </w:tcPr>
          <w:p w14:paraId="583E3EDD" w14:textId="793827B1" w:rsidR="00897F7F" w:rsidRPr="00FD7646" w:rsidRDefault="00897F7F" w:rsidP="00897F7F">
            <w:pPr>
              <w:pStyle w:val="TableText"/>
              <w:rPr>
                <w:bCs/>
              </w:rPr>
            </w:pPr>
            <w:r w:rsidRPr="00FD7646">
              <w:rPr>
                <w:rFonts w:cs="Calibri"/>
                <w:bCs/>
                <w:szCs w:val="18"/>
              </w:rPr>
              <w:t>Commonwealth environmental water contributed 1,1</w:t>
            </w:r>
            <w:r w:rsidR="003206C8">
              <w:rPr>
                <w:rFonts w:cs="Calibri"/>
                <w:bCs/>
                <w:szCs w:val="18"/>
              </w:rPr>
              <w:t>46</w:t>
            </w:r>
            <w:r w:rsidRPr="00FD7646">
              <w:rPr>
                <w:rFonts w:cs="Calibri"/>
                <w:bCs/>
                <w:szCs w:val="18"/>
              </w:rPr>
              <w:t xml:space="preserve"> GL to barrage releases over the year </w:t>
            </w:r>
          </w:p>
        </w:tc>
        <w:tc>
          <w:tcPr>
            <w:tcW w:w="0" w:type="auto"/>
            <w:hideMark/>
          </w:tcPr>
          <w:p w14:paraId="66FE8A43" w14:textId="2461B92A" w:rsidR="00897F7F" w:rsidRPr="00FD7646" w:rsidRDefault="00897F7F" w:rsidP="00897F7F">
            <w:pPr>
              <w:pStyle w:val="TableText"/>
              <w:rPr>
                <w:bCs/>
              </w:rPr>
            </w:pPr>
            <w:r w:rsidRPr="00FD7646">
              <w:rPr>
                <w:rFonts w:cs="Calibri"/>
                <w:bCs/>
                <w:szCs w:val="18"/>
              </w:rPr>
              <w:t xml:space="preserve">Commonwealth </w:t>
            </w:r>
            <w:r w:rsidR="00630983" w:rsidRPr="00FD7646">
              <w:rPr>
                <w:rFonts w:cs="Calibri"/>
                <w:bCs/>
                <w:szCs w:val="18"/>
              </w:rPr>
              <w:t xml:space="preserve">environmental </w:t>
            </w:r>
            <w:r w:rsidRPr="00FD7646">
              <w:rPr>
                <w:rFonts w:cs="Calibri"/>
                <w:bCs/>
                <w:szCs w:val="18"/>
              </w:rPr>
              <w:t>water had an important role to play in meeting long-term objectives to protect and restore connectivity within and between water-dependent ecosystems, particularly in the Lower Murray River Selected Area</w:t>
            </w:r>
          </w:p>
        </w:tc>
      </w:tr>
      <w:tr w:rsidR="00897F7F" w:rsidRPr="004B520E" w14:paraId="05A7D394" w14:textId="77777777" w:rsidTr="00F7080C">
        <w:tc>
          <w:tcPr>
            <w:tcW w:w="0" w:type="auto"/>
            <w:hideMark/>
          </w:tcPr>
          <w:p w14:paraId="1932364A" w14:textId="5409341B" w:rsidR="00897F7F" w:rsidRPr="00FD7646" w:rsidRDefault="00897F7F" w:rsidP="00897F7F">
            <w:pPr>
              <w:pStyle w:val="TableText"/>
              <w:rPr>
                <w:bCs/>
              </w:rPr>
            </w:pPr>
            <w:r w:rsidRPr="00FD7646">
              <w:rPr>
                <w:rFonts w:cs="Calibri"/>
                <w:bCs/>
                <w:szCs w:val="18"/>
              </w:rPr>
              <w:t>Process</w:t>
            </w:r>
          </w:p>
        </w:tc>
        <w:tc>
          <w:tcPr>
            <w:tcW w:w="0" w:type="auto"/>
            <w:hideMark/>
          </w:tcPr>
          <w:p w14:paraId="36597313" w14:textId="0020E454" w:rsidR="00897F7F" w:rsidRPr="00FD7646" w:rsidRDefault="00897F7F" w:rsidP="00897F7F">
            <w:pPr>
              <w:pStyle w:val="TableText"/>
              <w:rPr>
                <w:bCs/>
              </w:rPr>
            </w:pPr>
            <w:r w:rsidRPr="00FD7646">
              <w:rPr>
                <w:rFonts w:cs="Calibri"/>
                <w:bCs/>
                <w:szCs w:val="18"/>
              </w:rPr>
              <w:t>Primary productivity (of aquatic ecosystems)</w:t>
            </w:r>
          </w:p>
        </w:tc>
        <w:tc>
          <w:tcPr>
            <w:tcW w:w="0" w:type="auto"/>
            <w:hideMark/>
          </w:tcPr>
          <w:p w14:paraId="20A0709A" w14:textId="262600C0" w:rsidR="00897F7F" w:rsidRPr="00FD7646" w:rsidRDefault="00897F7F" w:rsidP="00897F7F">
            <w:pPr>
              <w:pStyle w:val="TableText"/>
              <w:rPr>
                <w:bCs/>
              </w:rPr>
            </w:pPr>
            <w:r w:rsidRPr="00FD7646">
              <w:rPr>
                <w:rFonts w:cs="Calibri"/>
                <w:bCs/>
                <w:szCs w:val="18"/>
              </w:rPr>
              <w:t>Primary productivity (of aquatic ecosystems)</w:t>
            </w:r>
          </w:p>
        </w:tc>
        <w:tc>
          <w:tcPr>
            <w:tcW w:w="0" w:type="auto"/>
            <w:hideMark/>
          </w:tcPr>
          <w:p w14:paraId="460C8F79" w14:textId="08E408F1" w:rsidR="00897F7F" w:rsidRPr="00FD7646" w:rsidRDefault="00897F7F" w:rsidP="00897F7F">
            <w:pPr>
              <w:pStyle w:val="TableText"/>
              <w:rPr>
                <w:bCs/>
              </w:rPr>
            </w:pPr>
            <w:r w:rsidRPr="00FD7646">
              <w:rPr>
                <w:rFonts w:cs="Calibri"/>
                <w:bCs/>
                <w:szCs w:val="18"/>
              </w:rPr>
              <w:t xml:space="preserve">Commonwealth </w:t>
            </w:r>
            <w:r w:rsidR="008647BD" w:rsidRPr="00FD7646">
              <w:rPr>
                <w:rFonts w:cs="Calibri"/>
                <w:bCs/>
                <w:szCs w:val="18"/>
              </w:rPr>
              <w:t xml:space="preserve">environmental </w:t>
            </w:r>
            <w:r w:rsidRPr="00FD7646">
              <w:rPr>
                <w:rFonts w:cs="Calibri"/>
                <w:bCs/>
                <w:szCs w:val="18"/>
              </w:rPr>
              <w:t>water had a positive influence on primary production and respiration</w:t>
            </w:r>
          </w:p>
        </w:tc>
        <w:tc>
          <w:tcPr>
            <w:tcW w:w="0" w:type="auto"/>
            <w:hideMark/>
          </w:tcPr>
          <w:p w14:paraId="6AE8F264" w14:textId="2F37AF4A" w:rsidR="00897F7F" w:rsidRPr="00FD7646" w:rsidRDefault="00897F7F" w:rsidP="00897F7F">
            <w:pPr>
              <w:pStyle w:val="TableText"/>
              <w:rPr>
                <w:bCs/>
              </w:rPr>
            </w:pPr>
            <w:r w:rsidRPr="00FD7646">
              <w:rPr>
                <w:rFonts w:cs="Calibri"/>
                <w:bCs/>
                <w:szCs w:val="18"/>
              </w:rPr>
              <w:t xml:space="preserve">Evidence from all Selected Areas that Commonwealth </w:t>
            </w:r>
            <w:r w:rsidR="00630983" w:rsidRPr="00FD7646">
              <w:rPr>
                <w:rFonts w:cs="Calibri"/>
                <w:bCs/>
                <w:szCs w:val="18"/>
              </w:rPr>
              <w:t xml:space="preserve">environmental </w:t>
            </w:r>
            <w:r w:rsidRPr="00FD7646">
              <w:rPr>
                <w:rFonts w:cs="Calibri"/>
                <w:bCs/>
                <w:szCs w:val="18"/>
              </w:rPr>
              <w:t xml:space="preserve">water had a positive influence on primary production and respiration </w:t>
            </w:r>
          </w:p>
        </w:tc>
      </w:tr>
      <w:tr w:rsidR="00897F7F" w:rsidRPr="004B520E" w14:paraId="3679AA43" w14:textId="77777777" w:rsidTr="00F7080C">
        <w:trPr>
          <w:cnfStyle w:val="000000100000" w:firstRow="0" w:lastRow="0" w:firstColumn="0" w:lastColumn="0" w:oddVBand="0" w:evenVBand="0" w:oddHBand="1" w:evenHBand="0" w:firstRowFirstColumn="0" w:firstRowLastColumn="0" w:lastRowFirstColumn="0" w:lastRowLastColumn="0"/>
        </w:trPr>
        <w:tc>
          <w:tcPr>
            <w:tcW w:w="0" w:type="auto"/>
            <w:hideMark/>
          </w:tcPr>
          <w:p w14:paraId="126C81F3" w14:textId="064C7268" w:rsidR="00897F7F" w:rsidRPr="00FD7646" w:rsidRDefault="00897F7F" w:rsidP="00897F7F">
            <w:pPr>
              <w:pStyle w:val="TableText"/>
              <w:rPr>
                <w:bCs/>
              </w:rPr>
            </w:pPr>
            <w:r w:rsidRPr="00FD7646">
              <w:rPr>
                <w:rFonts w:cs="Calibri"/>
                <w:bCs/>
                <w:szCs w:val="18"/>
              </w:rPr>
              <w:t>Process</w:t>
            </w:r>
          </w:p>
        </w:tc>
        <w:tc>
          <w:tcPr>
            <w:tcW w:w="0" w:type="auto"/>
            <w:hideMark/>
          </w:tcPr>
          <w:p w14:paraId="67C20F0E" w14:textId="3DCDC3C7" w:rsidR="00897F7F" w:rsidRPr="00FD7646" w:rsidRDefault="00897F7F" w:rsidP="00897F7F">
            <w:pPr>
              <w:pStyle w:val="TableText"/>
              <w:rPr>
                <w:bCs/>
              </w:rPr>
            </w:pPr>
            <w:r w:rsidRPr="00FD7646">
              <w:rPr>
                <w:rFonts w:cs="Calibri"/>
                <w:bCs/>
                <w:szCs w:val="18"/>
              </w:rPr>
              <w:t>Nutrient and carbon cycling</w:t>
            </w:r>
          </w:p>
        </w:tc>
        <w:tc>
          <w:tcPr>
            <w:tcW w:w="0" w:type="auto"/>
            <w:hideMark/>
          </w:tcPr>
          <w:p w14:paraId="1AC88CBE" w14:textId="7802387A" w:rsidR="00897F7F" w:rsidRPr="00FD7646" w:rsidRDefault="00897F7F" w:rsidP="00897F7F">
            <w:pPr>
              <w:pStyle w:val="TableText"/>
              <w:rPr>
                <w:bCs/>
              </w:rPr>
            </w:pPr>
            <w:r w:rsidRPr="00FD7646">
              <w:rPr>
                <w:rFonts w:cs="Calibri"/>
                <w:bCs/>
                <w:szCs w:val="18"/>
              </w:rPr>
              <w:t>Nutrient and carbon cycling</w:t>
            </w:r>
          </w:p>
        </w:tc>
        <w:tc>
          <w:tcPr>
            <w:tcW w:w="0" w:type="auto"/>
            <w:hideMark/>
          </w:tcPr>
          <w:p w14:paraId="1ACC03C8" w14:textId="19DC9022" w:rsidR="00897F7F" w:rsidRPr="00FD7646" w:rsidRDefault="00897F7F" w:rsidP="00897F7F">
            <w:pPr>
              <w:pStyle w:val="TableText"/>
              <w:rPr>
                <w:bCs/>
              </w:rPr>
            </w:pPr>
            <w:r w:rsidRPr="00FD7646">
              <w:rPr>
                <w:rFonts w:cs="Calibri"/>
                <w:bCs/>
                <w:szCs w:val="18"/>
              </w:rPr>
              <w:t xml:space="preserve">Commonwealth </w:t>
            </w:r>
            <w:r w:rsidR="008647BD" w:rsidRPr="00FD7646">
              <w:rPr>
                <w:rFonts w:cs="Calibri"/>
                <w:bCs/>
                <w:szCs w:val="18"/>
              </w:rPr>
              <w:t xml:space="preserve">environmental </w:t>
            </w:r>
            <w:r w:rsidRPr="00FD7646">
              <w:rPr>
                <w:rFonts w:cs="Calibri"/>
                <w:bCs/>
                <w:szCs w:val="18"/>
              </w:rPr>
              <w:t>water had a positive influence on protecting and restoring energy, carbon and nutrient dynamics</w:t>
            </w:r>
          </w:p>
        </w:tc>
        <w:tc>
          <w:tcPr>
            <w:tcW w:w="0" w:type="auto"/>
            <w:hideMark/>
          </w:tcPr>
          <w:p w14:paraId="1FB9D052" w14:textId="3D923AA0" w:rsidR="00897F7F" w:rsidRPr="00FD7646" w:rsidRDefault="00897F7F" w:rsidP="00897F7F">
            <w:pPr>
              <w:pStyle w:val="TableText"/>
              <w:rPr>
                <w:bCs/>
              </w:rPr>
            </w:pPr>
            <w:r w:rsidRPr="00FD7646">
              <w:rPr>
                <w:rFonts w:cs="Calibri"/>
                <w:bCs/>
                <w:szCs w:val="18"/>
              </w:rPr>
              <w:t xml:space="preserve">Commonwealth </w:t>
            </w:r>
            <w:r w:rsidR="00630983" w:rsidRPr="00FD7646">
              <w:rPr>
                <w:rFonts w:cs="Calibri"/>
                <w:bCs/>
                <w:szCs w:val="18"/>
              </w:rPr>
              <w:t xml:space="preserve">environmental </w:t>
            </w:r>
            <w:r w:rsidRPr="00FD7646">
              <w:rPr>
                <w:rFonts w:cs="Calibri"/>
                <w:bCs/>
                <w:szCs w:val="18"/>
              </w:rPr>
              <w:t>water had a positive influence on protecting and restoring energy, carbon and nutrient dynamics</w:t>
            </w:r>
          </w:p>
        </w:tc>
      </w:tr>
    </w:tbl>
    <w:p w14:paraId="714DB67E" w14:textId="531ADDEE" w:rsidR="00090082" w:rsidRDefault="006E674C" w:rsidP="00DF03F4">
      <w:pPr>
        <w:pStyle w:val="Caption"/>
      </w:pPr>
      <w:bookmarkStart w:id="635" w:name="_Toc204609877"/>
      <w:r w:rsidRPr="004B520E">
        <w:lastRenderedPageBreak/>
        <w:t>Table</w:t>
      </w:r>
      <w:r>
        <w:t> </w:t>
      </w:r>
      <w:r>
        <w:fldChar w:fldCharType="begin"/>
      </w:r>
      <w:r>
        <w:instrText>STYLEREF 9 \s</w:instrText>
      </w:r>
      <w:r>
        <w:fldChar w:fldCharType="separate"/>
      </w:r>
      <w:r w:rsidR="00C43C1D">
        <w:rPr>
          <w:noProof/>
        </w:rPr>
        <w:t>B</w:t>
      </w:r>
      <w:r>
        <w:fldChar w:fldCharType="end"/>
      </w:r>
      <w:r w:rsidR="005E17E7">
        <w:t>.</w:t>
      </w:r>
      <w:r>
        <w:fldChar w:fldCharType="begin"/>
      </w:r>
      <w:r>
        <w:instrText>SEQ ApxTable \* ARABIC \s 9</w:instrText>
      </w:r>
      <w:r>
        <w:fldChar w:fldCharType="separate"/>
      </w:r>
      <w:r w:rsidR="00C43C1D">
        <w:rPr>
          <w:noProof/>
        </w:rPr>
        <w:t>3</w:t>
      </w:r>
      <w:r>
        <w:fldChar w:fldCharType="end"/>
      </w:r>
      <w:r w:rsidRPr="004B520E">
        <w:t xml:space="preserve"> Commonwealth Environmental Outcomes framework against Basin Plan </w:t>
      </w:r>
      <w:r>
        <w:t>water quality</w:t>
      </w:r>
      <w:r w:rsidRPr="004B520E">
        <w:t xml:space="preserve"> objectives (Basin Plan S</w:t>
      </w:r>
      <w:r w:rsidR="00D377E6">
        <w:t>9</w:t>
      </w:r>
      <w:r w:rsidRPr="004B520E">
        <w:t>.0</w:t>
      </w:r>
      <w:r w:rsidR="00D377E6">
        <w:t>8</w:t>
      </w:r>
      <w:r w:rsidR="000A5794">
        <w:t>;</w:t>
      </w:r>
      <w:r w:rsidR="00D377E6">
        <w:t xml:space="preserve"> 9.09</w:t>
      </w:r>
      <w:r w:rsidR="000A5794">
        <w:t>;</w:t>
      </w:r>
      <w:r w:rsidR="00D377E6">
        <w:t xml:space="preserve"> 9.14</w:t>
      </w:r>
      <w:r w:rsidRPr="004B520E">
        <w:t>)</w:t>
      </w:r>
      <w:bookmarkEnd w:id="635"/>
    </w:p>
    <w:tbl>
      <w:tblPr>
        <w:tblStyle w:val="TableFlow-Mer0"/>
        <w:tblW w:w="0" w:type="auto"/>
        <w:tblLook w:val="0420" w:firstRow="1" w:lastRow="0" w:firstColumn="0" w:lastColumn="0" w:noHBand="0" w:noVBand="1"/>
      </w:tblPr>
      <w:tblGrid>
        <w:gridCol w:w="990"/>
        <w:gridCol w:w="1183"/>
        <w:gridCol w:w="1239"/>
        <w:gridCol w:w="3975"/>
        <w:gridCol w:w="7070"/>
      </w:tblGrid>
      <w:tr w:rsidR="00600982" w:rsidRPr="00427AA4" w14:paraId="38A1BAAA" w14:textId="77777777" w:rsidTr="00B608A5">
        <w:trPr>
          <w:cnfStyle w:val="100000000000" w:firstRow="1" w:lastRow="0" w:firstColumn="0" w:lastColumn="0" w:oddVBand="0" w:evenVBand="0" w:oddHBand="0" w:evenHBand="0" w:firstRowFirstColumn="0" w:firstRowLastColumn="0" w:lastRowFirstColumn="0" w:lastRowLastColumn="0"/>
          <w:tblHeader/>
        </w:trPr>
        <w:tc>
          <w:tcPr>
            <w:tcW w:w="0" w:type="auto"/>
            <w:hideMark/>
          </w:tcPr>
          <w:p w14:paraId="39FACF3C" w14:textId="77777777" w:rsidR="00446873" w:rsidRPr="00427AA4" w:rsidRDefault="00446873" w:rsidP="00DD53EC">
            <w:pPr>
              <w:pStyle w:val="ColumnHeading"/>
            </w:pPr>
            <w:r w:rsidRPr="00427AA4">
              <w:t>Basin outcomes</w:t>
            </w:r>
          </w:p>
        </w:tc>
        <w:tc>
          <w:tcPr>
            <w:tcW w:w="0" w:type="auto"/>
            <w:hideMark/>
          </w:tcPr>
          <w:p w14:paraId="65ECFC66" w14:textId="77777777" w:rsidR="00446873" w:rsidRPr="00427AA4" w:rsidRDefault="00446873" w:rsidP="00DD53EC">
            <w:pPr>
              <w:pStyle w:val="ColumnHeading"/>
            </w:pPr>
            <w:r w:rsidRPr="00427AA4">
              <w:t>One-year expected outcomes</w:t>
            </w:r>
          </w:p>
        </w:tc>
        <w:tc>
          <w:tcPr>
            <w:tcW w:w="0" w:type="auto"/>
            <w:hideMark/>
          </w:tcPr>
          <w:p w14:paraId="4F9BB975" w14:textId="77777777" w:rsidR="00446873" w:rsidRPr="00427AA4" w:rsidRDefault="00446873" w:rsidP="00DD53EC">
            <w:pPr>
              <w:pStyle w:val="ColumnHeading"/>
            </w:pPr>
            <w:r w:rsidRPr="00427AA4">
              <w:t>Long-term expected outcomes </w:t>
            </w:r>
          </w:p>
        </w:tc>
        <w:tc>
          <w:tcPr>
            <w:tcW w:w="0" w:type="auto"/>
            <w:hideMark/>
          </w:tcPr>
          <w:p w14:paraId="2426A6A1" w14:textId="77777777" w:rsidR="00446873" w:rsidRPr="00427AA4" w:rsidRDefault="00446873" w:rsidP="00DD53EC">
            <w:pPr>
              <w:pStyle w:val="ColumnHeading"/>
            </w:pPr>
            <w:r w:rsidRPr="00427AA4">
              <w:t>Outcomes 2023–24</w:t>
            </w:r>
          </w:p>
        </w:tc>
        <w:tc>
          <w:tcPr>
            <w:tcW w:w="0" w:type="auto"/>
            <w:hideMark/>
          </w:tcPr>
          <w:p w14:paraId="79D34241" w14:textId="77777777" w:rsidR="00446873" w:rsidRPr="00427AA4" w:rsidRDefault="00446873" w:rsidP="00DD53EC">
            <w:pPr>
              <w:pStyle w:val="ColumnHeading"/>
            </w:pPr>
            <w:r w:rsidRPr="00427AA4">
              <w:t>Outcomes 2014–24</w:t>
            </w:r>
          </w:p>
        </w:tc>
      </w:tr>
      <w:tr w:rsidR="00B010DF" w:rsidRPr="004B520E" w14:paraId="32CE0DD5" w14:textId="77777777" w:rsidTr="00B608A5">
        <w:trPr>
          <w:cnfStyle w:val="000000100000" w:firstRow="0" w:lastRow="0" w:firstColumn="0" w:lastColumn="0" w:oddVBand="0" w:evenVBand="0" w:oddHBand="1" w:evenHBand="0" w:firstRowFirstColumn="0" w:firstRowLastColumn="0" w:lastRowFirstColumn="0" w:lastRowLastColumn="0"/>
        </w:trPr>
        <w:tc>
          <w:tcPr>
            <w:tcW w:w="0" w:type="auto"/>
            <w:hideMark/>
          </w:tcPr>
          <w:p w14:paraId="32AFD3D2" w14:textId="65CEE8EC" w:rsidR="00B010DF" w:rsidRPr="00FD7646" w:rsidRDefault="00B010DF" w:rsidP="00B010DF">
            <w:pPr>
              <w:pStyle w:val="TableText"/>
              <w:rPr>
                <w:bCs/>
              </w:rPr>
            </w:pPr>
            <w:r w:rsidRPr="00FD7646">
              <w:rPr>
                <w:rFonts w:cs="Calibri"/>
                <w:bCs/>
                <w:szCs w:val="18"/>
              </w:rPr>
              <w:t>Chemical</w:t>
            </w:r>
          </w:p>
        </w:tc>
        <w:tc>
          <w:tcPr>
            <w:tcW w:w="0" w:type="auto"/>
            <w:hideMark/>
          </w:tcPr>
          <w:p w14:paraId="1E5DF6BC" w14:textId="4DCA8EB5" w:rsidR="00B010DF" w:rsidRPr="00FD7646" w:rsidRDefault="00B010DF" w:rsidP="00B010DF">
            <w:pPr>
              <w:pStyle w:val="TableText"/>
              <w:rPr>
                <w:bCs/>
              </w:rPr>
            </w:pPr>
            <w:r w:rsidRPr="00FD7646">
              <w:rPr>
                <w:rFonts w:cs="Calibri"/>
                <w:bCs/>
                <w:szCs w:val="18"/>
              </w:rPr>
              <w:t>Salinity</w:t>
            </w:r>
          </w:p>
        </w:tc>
        <w:tc>
          <w:tcPr>
            <w:tcW w:w="0" w:type="auto"/>
            <w:hideMark/>
          </w:tcPr>
          <w:p w14:paraId="15CF3CCD" w14:textId="321F5BFA" w:rsidR="00B010DF" w:rsidRPr="00FD7646" w:rsidRDefault="00B010DF" w:rsidP="00B010DF">
            <w:pPr>
              <w:pStyle w:val="TableText"/>
              <w:rPr>
                <w:bCs/>
              </w:rPr>
            </w:pPr>
            <w:r w:rsidRPr="00FD7646">
              <w:rPr>
                <w:rFonts w:cs="Calibri"/>
                <w:bCs/>
                <w:szCs w:val="18"/>
              </w:rPr>
              <w:t>Salinity</w:t>
            </w:r>
          </w:p>
        </w:tc>
        <w:tc>
          <w:tcPr>
            <w:tcW w:w="0" w:type="auto"/>
            <w:hideMark/>
          </w:tcPr>
          <w:p w14:paraId="441B25D0" w14:textId="58338064" w:rsidR="00B010DF" w:rsidRPr="00FD7646" w:rsidRDefault="00B010DF" w:rsidP="00B010DF">
            <w:pPr>
              <w:pStyle w:val="TableText"/>
              <w:rPr>
                <w:rFonts w:cs="Calibri"/>
                <w:bCs/>
                <w:szCs w:val="18"/>
              </w:rPr>
            </w:pPr>
            <w:r w:rsidRPr="00FD7646">
              <w:rPr>
                <w:rFonts w:cs="Calibri"/>
                <w:bCs/>
                <w:szCs w:val="18"/>
              </w:rPr>
              <w:t xml:space="preserve">221,272 tonnes of salt exported through barrages estimated as being attributable to Commonwealth </w:t>
            </w:r>
            <w:r w:rsidR="00353811" w:rsidRPr="00FD7646">
              <w:rPr>
                <w:rFonts w:cs="Calibri"/>
                <w:bCs/>
                <w:szCs w:val="18"/>
              </w:rPr>
              <w:t xml:space="preserve">environmental </w:t>
            </w:r>
            <w:r w:rsidRPr="00FD7646">
              <w:rPr>
                <w:rFonts w:cs="Calibri"/>
                <w:bCs/>
                <w:szCs w:val="18"/>
              </w:rPr>
              <w:t>water</w:t>
            </w:r>
          </w:p>
          <w:p w14:paraId="4A5C4848" w14:textId="45E5873A" w:rsidR="00B010DF" w:rsidRPr="00FD7646" w:rsidRDefault="00B010DF" w:rsidP="00B010DF">
            <w:pPr>
              <w:pStyle w:val="TableText"/>
              <w:rPr>
                <w:bCs/>
              </w:rPr>
            </w:pPr>
            <w:r w:rsidRPr="00FD7646">
              <w:rPr>
                <w:rFonts w:cs="Calibri"/>
                <w:bCs/>
                <w:szCs w:val="18"/>
              </w:rPr>
              <w:t>Commonwealth environmental water contributed to maintenance of salinity below 800</w:t>
            </w:r>
            <w:r w:rsidR="00353811" w:rsidRPr="00FD7646">
              <w:rPr>
                <w:rFonts w:cs="Calibri"/>
                <w:bCs/>
                <w:szCs w:val="18"/>
              </w:rPr>
              <w:t> </w:t>
            </w:r>
            <w:r w:rsidRPr="00FD7646">
              <w:rPr>
                <w:rFonts w:cs="Calibri"/>
                <w:bCs/>
                <w:szCs w:val="18"/>
              </w:rPr>
              <w:t>EC (µS/cm) at Morgan (Ye et al. 2025</w:t>
            </w:r>
            <w:r w:rsidR="00326150" w:rsidRPr="00FD7646">
              <w:rPr>
                <w:rStyle w:val="FootnoteReference"/>
                <w:bCs/>
                <w:szCs w:val="18"/>
              </w:rPr>
              <w:footnoteReference w:id="10"/>
            </w:r>
            <w:r w:rsidRPr="00FD7646">
              <w:rPr>
                <w:rFonts w:cs="Calibri"/>
                <w:bCs/>
                <w:szCs w:val="18"/>
              </w:rPr>
              <w:t>)</w:t>
            </w:r>
          </w:p>
        </w:tc>
        <w:tc>
          <w:tcPr>
            <w:tcW w:w="0" w:type="auto"/>
            <w:hideMark/>
          </w:tcPr>
          <w:p w14:paraId="514DDAC1" w14:textId="1AAA0415" w:rsidR="00B010DF" w:rsidRPr="00FD7646" w:rsidRDefault="00B010DF" w:rsidP="00B010DF">
            <w:pPr>
              <w:pStyle w:val="TableText"/>
              <w:rPr>
                <w:bCs/>
              </w:rPr>
            </w:pPr>
            <w:r w:rsidRPr="00FD7646">
              <w:rPr>
                <w:rFonts w:cs="Calibri"/>
                <w:bCs/>
                <w:szCs w:val="18"/>
              </w:rPr>
              <w:t>Commonwealth environmental water accounted for 80</w:t>
            </w:r>
            <w:r w:rsidR="00353811" w:rsidRPr="00FD7646">
              <w:rPr>
                <w:rFonts w:cs="Calibri"/>
                <w:bCs/>
                <w:szCs w:val="18"/>
              </w:rPr>
              <w:t xml:space="preserve">% to </w:t>
            </w:r>
            <w:r w:rsidRPr="00FD7646">
              <w:rPr>
                <w:rFonts w:cs="Calibri"/>
                <w:bCs/>
                <w:szCs w:val="18"/>
              </w:rPr>
              <w:t>100% of annual environmental flow releases through the barrages (the only mechanism for salt export from the Basin) during the dry years (between 2014–15 and 2020–21</w:t>
            </w:r>
            <w:r w:rsidR="00F255E0" w:rsidRPr="00FD7646">
              <w:rPr>
                <w:rFonts w:cs="Calibri"/>
                <w:bCs/>
                <w:szCs w:val="18"/>
              </w:rPr>
              <w:t>,</w:t>
            </w:r>
            <w:r w:rsidRPr="00FD7646">
              <w:rPr>
                <w:rFonts w:cs="Calibri"/>
                <w:bCs/>
                <w:szCs w:val="18"/>
              </w:rPr>
              <w:t xml:space="preserve"> except for 2016–17). Since 2014–15</w:t>
            </w:r>
            <w:r w:rsidR="00F255E0" w:rsidRPr="00FD7646">
              <w:rPr>
                <w:rFonts w:cs="Calibri"/>
                <w:bCs/>
                <w:szCs w:val="18"/>
              </w:rPr>
              <w:t>,</w:t>
            </w:r>
            <w:r w:rsidRPr="00FD7646">
              <w:rPr>
                <w:rFonts w:cs="Calibri"/>
                <w:bCs/>
                <w:szCs w:val="18"/>
              </w:rPr>
              <w:t xml:space="preserve"> Commonwealth environmental water has been responsible for over 4 million tonnes of additional salt exported through the barrages and has reduced salt import by more than 28 million tonnes (Ye et al. 2025)</w:t>
            </w:r>
          </w:p>
        </w:tc>
      </w:tr>
      <w:tr w:rsidR="00B010DF" w:rsidRPr="004B520E" w14:paraId="26593436" w14:textId="77777777" w:rsidTr="00B608A5">
        <w:tc>
          <w:tcPr>
            <w:tcW w:w="0" w:type="auto"/>
            <w:hideMark/>
          </w:tcPr>
          <w:p w14:paraId="403B0DF8" w14:textId="076B6AC8" w:rsidR="00B010DF" w:rsidRPr="00FD7646" w:rsidRDefault="00B010DF" w:rsidP="00B010DF">
            <w:pPr>
              <w:pStyle w:val="TableText"/>
              <w:rPr>
                <w:bCs/>
              </w:rPr>
            </w:pPr>
            <w:r w:rsidRPr="00FD7646">
              <w:rPr>
                <w:rFonts w:cs="Calibri"/>
                <w:bCs/>
                <w:szCs w:val="18"/>
              </w:rPr>
              <w:t>Chemical</w:t>
            </w:r>
          </w:p>
        </w:tc>
        <w:tc>
          <w:tcPr>
            <w:tcW w:w="0" w:type="auto"/>
            <w:hideMark/>
          </w:tcPr>
          <w:p w14:paraId="3493B1D8" w14:textId="3EEC2345" w:rsidR="00B010DF" w:rsidRPr="00FD7646" w:rsidRDefault="00B010DF" w:rsidP="00B010DF">
            <w:pPr>
              <w:pStyle w:val="TableText"/>
              <w:rPr>
                <w:bCs/>
              </w:rPr>
            </w:pPr>
            <w:r w:rsidRPr="00FD7646">
              <w:rPr>
                <w:rFonts w:cs="Calibri"/>
                <w:bCs/>
                <w:szCs w:val="18"/>
              </w:rPr>
              <w:t>Dissolved oxygen</w:t>
            </w:r>
          </w:p>
        </w:tc>
        <w:tc>
          <w:tcPr>
            <w:tcW w:w="0" w:type="auto"/>
            <w:hideMark/>
          </w:tcPr>
          <w:p w14:paraId="211A81A3" w14:textId="04CF5477" w:rsidR="00B010DF" w:rsidRPr="00FD7646" w:rsidRDefault="00B010DF" w:rsidP="00B010DF">
            <w:pPr>
              <w:pStyle w:val="TableText"/>
              <w:rPr>
                <w:bCs/>
              </w:rPr>
            </w:pPr>
            <w:r w:rsidRPr="00FD7646">
              <w:rPr>
                <w:rFonts w:cs="Calibri"/>
                <w:bCs/>
                <w:szCs w:val="18"/>
              </w:rPr>
              <w:t>Dissolved oxygen</w:t>
            </w:r>
          </w:p>
        </w:tc>
        <w:tc>
          <w:tcPr>
            <w:tcW w:w="0" w:type="auto"/>
            <w:hideMark/>
          </w:tcPr>
          <w:p w14:paraId="10EC1FB6" w14:textId="10E6A850" w:rsidR="00B010DF" w:rsidRPr="00FD7646" w:rsidRDefault="00AE4A47" w:rsidP="00B010DF">
            <w:pPr>
              <w:pStyle w:val="TableText"/>
              <w:rPr>
                <w:bCs/>
              </w:rPr>
            </w:pPr>
            <w:r w:rsidRPr="00FD7646">
              <w:rPr>
                <w:rFonts w:cs="Calibri"/>
                <w:bCs/>
                <w:szCs w:val="18"/>
              </w:rPr>
              <w:t>There were c</w:t>
            </w:r>
            <w:r w:rsidR="00B010DF" w:rsidRPr="00FD7646">
              <w:rPr>
                <w:rFonts w:cs="Calibri"/>
                <w:bCs/>
                <w:szCs w:val="18"/>
              </w:rPr>
              <w:t xml:space="preserve">lear benefits of environmental flow provision in March 2023 in terms of increasing </w:t>
            </w:r>
            <w:r w:rsidRPr="00FD7646">
              <w:rPr>
                <w:rFonts w:cs="Calibri"/>
                <w:bCs/>
                <w:szCs w:val="18"/>
              </w:rPr>
              <w:t xml:space="preserve">dissolved </w:t>
            </w:r>
            <w:r w:rsidR="00B010DF" w:rsidRPr="00FD7646">
              <w:rPr>
                <w:rFonts w:cs="Calibri"/>
                <w:bCs/>
                <w:szCs w:val="18"/>
              </w:rPr>
              <w:t>oxygen concentrations and reducing the potential for blackwater events (e.g. Higgisson et al. 2024</w:t>
            </w:r>
            <w:r w:rsidR="009161F0" w:rsidRPr="00FD7646">
              <w:rPr>
                <w:rStyle w:val="FootnoteReference"/>
                <w:bCs/>
                <w:szCs w:val="18"/>
              </w:rPr>
              <w:footnoteReference w:id="11"/>
            </w:r>
            <w:r w:rsidR="00B010DF" w:rsidRPr="00FD7646">
              <w:rPr>
                <w:rFonts w:cs="Calibri"/>
                <w:bCs/>
                <w:szCs w:val="18"/>
              </w:rPr>
              <w:t>).</w:t>
            </w:r>
          </w:p>
        </w:tc>
        <w:tc>
          <w:tcPr>
            <w:tcW w:w="0" w:type="auto"/>
            <w:hideMark/>
          </w:tcPr>
          <w:p w14:paraId="4D894642" w14:textId="3013C457" w:rsidR="00B010DF" w:rsidRPr="00FD7646" w:rsidRDefault="00B010DF" w:rsidP="00B010DF">
            <w:pPr>
              <w:pStyle w:val="TableText"/>
              <w:rPr>
                <w:bCs/>
              </w:rPr>
            </w:pPr>
            <w:r w:rsidRPr="00FD7646">
              <w:rPr>
                <w:rFonts w:cs="Calibri"/>
                <w:bCs/>
                <w:szCs w:val="18"/>
              </w:rPr>
              <w:t xml:space="preserve">Commonwealth </w:t>
            </w:r>
            <w:r w:rsidR="00F255E0" w:rsidRPr="00FD7646">
              <w:rPr>
                <w:rFonts w:cs="Calibri"/>
                <w:bCs/>
                <w:szCs w:val="18"/>
              </w:rPr>
              <w:t xml:space="preserve">environmental </w:t>
            </w:r>
            <w:r w:rsidRPr="00FD7646">
              <w:rPr>
                <w:rFonts w:cs="Calibri"/>
                <w:bCs/>
                <w:szCs w:val="18"/>
              </w:rPr>
              <w:t>water can help reduce the likelihood of low dissolved oxygen concentrations in the Lower Murray River if the contribution increases water velocities above a level of ~0.18 m/s, below which surface oxygen exchange is poor (Ye et al. 202</w:t>
            </w:r>
            <w:r w:rsidR="00BD2AF2" w:rsidRPr="00FD7646">
              <w:rPr>
                <w:rFonts w:cs="Calibri"/>
                <w:bCs/>
                <w:szCs w:val="18"/>
              </w:rPr>
              <w:t>5</w:t>
            </w:r>
            <w:r w:rsidRPr="00FD7646">
              <w:rPr>
                <w:rFonts w:cs="Calibri"/>
                <w:bCs/>
                <w:szCs w:val="18"/>
              </w:rPr>
              <w:t>). Reducing the likelihood of low dissolved oxygen concentrations can be achieved by increasing water mixing in otherwise low flow (Ye et al. 202</w:t>
            </w:r>
            <w:r w:rsidR="00BD2AF2" w:rsidRPr="00FD7646">
              <w:rPr>
                <w:rFonts w:cs="Calibri"/>
                <w:bCs/>
                <w:szCs w:val="18"/>
              </w:rPr>
              <w:t>5</w:t>
            </w:r>
            <w:r w:rsidRPr="00FD7646">
              <w:rPr>
                <w:rFonts w:cs="Calibri"/>
                <w:bCs/>
                <w:szCs w:val="18"/>
              </w:rPr>
              <w:t>)</w:t>
            </w:r>
          </w:p>
        </w:tc>
      </w:tr>
    </w:tbl>
    <w:p w14:paraId="69D50044" w14:textId="55E3EE10" w:rsidR="005E6D0C" w:rsidRDefault="000A5794" w:rsidP="00F7080C">
      <w:pPr>
        <w:pStyle w:val="Caption"/>
        <w:pageBreakBefore/>
        <w:contextualSpacing w:val="0"/>
      </w:pPr>
      <w:bookmarkStart w:id="636" w:name="_Toc204609878"/>
      <w:r w:rsidRPr="004B520E">
        <w:lastRenderedPageBreak/>
        <w:t>Table</w:t>
      </w:r>
      <w:r>
        <w:t> </w:t>
      </w:r>
      <w:r>
        <w:fldChar w:fldCharType="begin"/>
      </w:r>
      <w:r>
        <w:instrText>STYLEREF 9 \s</w:instrText>
      </w:r>
      <w:r>
        <w:fldChar w:fldCharType="separate"/>
      </w:r>
      <w:r w:rsidR="00C43C1D">
        <w:rPr>
          <w:noProof/>
        </w:rPr>
        <w:t>B</w:t>
      </w:r>
      <w:r>
        <w:fldChar w:fldCharType="end"/>
      </w:r>
      <w:r w:rsidR="005E17E7">
        <w:t>.</w:t>
      </w:r>
      <w:r>
        <w:fldChar w:fldCharType="begin"/>
      </w:r>
      <w:r>
        <w:instrText>SEQ ApxTable \* ARABIC \s 9</w:instrText>
      </w:r>
      <w:r>
        <w:fldChar w:fldCharType="separate"/>
      </w:r>
      <w:r w:rsidR="00C43C1D">
        <w:rPr>
          <w:noProof/>
        </w:rPr>
        <w:t>4</w:t>
      </w:r>
      <w:r>
        <w:fldChar w:fldCharType="end"/>
      </w:r>
      <w:r w:rsidRPr="004B520E">
        <w:t xml:space="preserve"> Commonwealth Environmental Outcomes framework against Basin Plan </w:t>
      </w:r>
      <w:r w:rsidR="000A2B14">
        <w:t>resilience</w:t>
      </w:r>
      <w:r w:rsidRPr="004B520E">
        <w:t xml:space="preserve"> objectives (Basin Plan S8.0</w:t>
      </w:r>
      <w:r w:rsidR="000A2B14">
        <w:t>7</w:t>
      </w:r>
      <w:r w:rsidRPr="004B520E">
        <w:t>)</w:t>
      </w:r>
      <w:bookmarkEnd w:id="636"/>
    </w:p>
    <w:tbl>
      <w:tblPr>
        <w:tblStyle w:val="TableFlow-Mer0"/>
        <w:tblW w:w="0" w:type="auto"/>
        <w:tblLook w:val="0420" w:firstRow="1" w:lastRow="0" w:firstColumn="0" w:lastColumn="0" w:noHBand="0" w:noVBand="1"/>
      </w:tblPr>
      <w:tblGrid>
        <w:gridCol w:w="1089"/>
        <w:gridCol w:w="1220"/>
        <w:gridCol w:w="1246"/>
        <w:gridCol w:w="6416"/>
        <w:gridCol w:w="4486"/>
      </w:tblGrid>
      <w:tr w:rsidR="005E6D0C" w:rsidRPr="00427AA4" w14:paraId="6F876220" w14:textId="77777777" w:rsidTr="00F7080C">
        <w:trPr>
          <w:cnfStyle w:val="100000000000" w:firstRow="1" w:lastRow="0" w:firstColumn="0" w:lastColumn="0" w:oddVBand="0" w:evenVBand="0" w:oddHBand="0" w:evenHBand="0" w:firstRowFirstColumn="0" w:firstRowLastColumn="0" w:lastRowFirstColumn="0" w:lastRowLastColumn="0"/>
          <w:cantSplit/>
          <w:tblHeader/>
        </w:trPr>
        <w:tc>
          <w:tcPr>
            <w:tcW w:w="0" w:type="auto"/>
            <w:hideMark/>
          </w:tcPr>
          <w:p w14:paraId="278A2776" w14:textId="77777777" w:rsidR="005E6D0C" w:rsidRPr="00427AA4" w:rsidRDefault="005E6D0C" w:rsidP="00DD53EC">
            <w:pPr>
              <w:pStyle w:val="ColumnHeading"/>
            </w:pPr>
            <w:r w:rsidRPr="00427AA4">
              <w:t>Basin outcomes</w:t>
            </w:r>
          </w:p>
        </w:tc>
        <w:tc>
          <w:tcPr>
            <w:tcW w:w="0" w:type="auto"/>
            <w:hideMark/>
          </w:tcPr>
          <w:p w14:paraId="7A189E20" w14:textId="77777777" w:rsidR="005E6D0C" w:rsidRPr="00427AA4" w:rsidRDefault="005E6D0C" w:rsidP="00DD53EC">
            <w:pPr>
              <w:pStyle w:val="ColumnHeading"/>
            </w:pPr>
            <w:r w:rsidRPr="00427AA4">
              <w:t>One-year expected outcomes</w:t>
            </w:r>
          </w:p>
        </w:tc>
        <w:tc>
          <w:tcPr>
            <w:tcW w:w="0" w:type="auto"/>
            <w:hideMark/>
          </w:tcPr>
          <w:p w14:paraId="1D771DAD" w14:textId="77777777" w:rsidR="005E6D0C" w:rsidRPr="00427AA4" w:rsidRDefault="005E6D0C" w:rsidP="00DD53EC">
            <w:pPr>
              <w:pStyle w:val="ColumnHeading"/>
            </w:pPr>
            <w:r w:rsidRPr="00427AA4">
              <w:t>Long-term expected outcomes </w:t>
            </w:r>
          </w:p>
        </w:tc>
        <w:tc>
          <w:tcPr>
            <w:tcW w:w="0" w:type="auto"/>
            <w:hideMark/>
          </w:tcPr>
          <w:p w14:paraId="7DBA269F" w14:textId="77777777" w:rsidR="005E6D0C" w:rsidRPr="00427AA4" w:rsidRDefault="005E6D0C" w:rsidP="00DD53EC">
            <w:pPr>
              <w:pStyle w:val="ColumnHeading"/>
            </w:pPr>
            <w:r w:rsidRPr="00427AA4">
              <w:t>Outcomes 2023–24</w:t>
            </w:r>
          </w:p>
        </w:tc>
        <w:tc>
          <w:tcPr>
            <w:tcW w:w="0" w:type="auto"/>
            <w:hideMark/>
          </w:tcPr>
          <w:p w14:paraId="6968AB7A" w14:textId="77777777" w:rsidR="005E6D0C" w:rsidRPr="00427AA4" w:rsidRDefault="005E6D0C" w:rsidP="00DD53EC">
            <w:pPr>
              <w:pStyle w:val="ColumnHeading"/>
            </w:pPr>
            <w:r w:rsidRPr="00427AA4">
              <w:t>Outcomes 2014–24</w:t>
            </w:r>
          </w:p>
        </w:tc>
      </w:tr>
      <w:tr w:rsidR="00B010DF" w:rsidRPr="004B520E" w14:paraId="082724A5" w14:textId="77777777" w:rsidTr="00F7080C">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1DFC4169" w14:textId="5DA4DAB0" w:rsidR="00B010DF" w:rsidRPr="00FD7646" w:rsidRDefault="00B010DF" w:rsidP="00B010DF">
            <w:pPr>
              <w:pStyle w:val="TableText"/>
              <w:rPr>
                <w:bCs/>
              </w:rPr>
            </w:pPr>
            <w:r w:rsidRPr="00FD7646">
              <w:rPr>
                <w:rFonts w:cs="Calibri"/>
                <w:bCs/>
                <w:szCs w:val="18"/>
              </w:rPr>
              <w:t>Ecosystem resilience</w:t>
            </w:r>
          </w:p>
        </w:tc>
        <w:tc>
          <w:tcPr>
            <w:tcW w:w="0" w:type="auto"/>
            <w:hideMark/>
          </w:tcPr>
          <w:p w14:paraId="71662C8A" w14:textId="18668255" w:rsidR="00B010DF" w:rsidRPr="00FD7646" w:rsidRDefault="00B010DF" w:rsidP="00B010DF">
            <w:pPr>
              <w:pStyle w:val="TableText"/>
              <w:rPr>
                <w:bCs/>
              </w:rPr>
            </w:pPr>
            <w:r w:rsidRPr="00FD7646">
              <w:rPr>
                <w:rFonts w:cs="Calibri"/>
                <w:bCs/>
                <w:szCs w:val="18"/>
              </w:rPr>
              <w:t>Individual refuges</w:t>
            </w:r>
          </w:p>
        </w:tc>
        <w:tc>
          <w:tcPr>
            <w:tcW w:w="0" w:type="auto"/>
            <w:hideMark/>
          </w:tcPr>
          <w:p w14:paraId="77C795D7" w14:textId="54EBC999" w:rsidR="00B010DF" w:rsidRPr="00FD7646" w:rsidRDefault="00B010DF" w:rsidP="00B010DF">
            <w:pPr>
              <w:pStyle w:val="TableText"/>
              <w:rPr>
                <w:bCs/>
              </w:rPr>
            </w:pPr>
            <w:r w:rsidRPr="00FD7646">
              <w:rPr>
                <w:rFonts w:cs="Calibri"/>
                <w:bCs/>
                <w:szCs w:val="18"/>
              </w:rPr>
              <w:t>Individual refuges</w:t>
            </w:r>
          </w:p>
        </w:tc>
        <w:tc>
          <w:tcPr>
            <w:tcW w:w="0" w:type="auto"/>
            <w:hideMark/>
          </w:tcPr>
          <w:p w14:paraId="3ECC4A53" w14:textId="74A1D483" w:rsidR="00B010DF" w:rsidRPr="00FD7646" w:rsidRDefault="00B010DF" w:rsidP="00B010DF">
            <w:pPr>
              <w:pStyle w:val="TableText"/>
              <w:rPr>
                <w:bCs/>
              </w:rPr>
            </w:pPr>
            <w:r w:rsidRPr="00FD7646">
              <w:rPr>
                <w:rFonts w:cs="Calibri"/>
                <w:bCs/>
                <w:szCs w:val="18"/>
              </w:rPr>
              <w:t>9 watering events (214 GL) were used with the objective of supporting refugia</w:t>
            </w:r>
          </w:p>
        </w:tc>
        <w:tc>
          <w:tcPr>
            <w:tcW w:w="0" w:type="auto"/>
            <w:hideMark/>
          </w:tcPr>
          <w:p w14:paraId="3E4C1750" w14:textId="2FA2BC0A" w:rsidR="00B010DF" w:rsidRPr="00FD7646" w:rsidRDefault="00B010DF" w:rsidP="00B010DF">
            <w:pPr>
              <w:pStyle w:val="TableText"/>
              <w:rPr>
                <w:bCs/>
              </w:rPr>
            </w:pPr>
            <w:r w:rsidRPr="00FD7646">
              <w:rPr>
                <w:rFonts w:cs="Calibri"/>
                <w:bCs/>
                <w:szCs w:val="18"/>
              </w:rPr>
              <w:t>189 watering events (3,082 GL) were used with the objective of supporting refugia</w:t>
            </w:r>
          </w:p>
        </w:tc>
      </w:tr>
      <w:tr w:rsidR="00B010DF" w:rsidRPr="004B520E" w14:paraId="37DCBC77" w14:textId="77777777" w:rsidTr="00F7080C">
        <w:trPr>
          <w:cantSplit/>
        </w:trPr>
        <w:tc>
          <w:tcPr>
            <w:tcW w:w="0" w:type="auto"/>
            <w:hideMark/>
          </w:tcPr>
          <w:p w14:paraId="60B5737B" w14:textId="11149836" w:rsidR="00B010DF" w:rsidRPr="00FD7646" w:rsidRDefault="00B010DF" w:rsidP="00B010DF">
            <w:pPr>
              <w:pStyle w:val="TableText"/>
              <w:rPr>
                <w:bCs/>
              </w:rPr>
            </w:pPr>
            <w:r w:rsidRPr="00FD7646">
              <w:rPr>
                <w:rFonts w:cs="Calibri"/>
                <w:bCs/>
                <w:szCs w:val="18"/>
              </w:rPr>
              <w:t>Ecosystem resilience</w:t>
            </w:r>
          </w:p>
        </w:tc>
        <w:tc>
          <w:tcPr>
            <w:tcW w:w="0" w:type="auto"/>
            <w:hideMark/>
          </w:tcPr>
          <w:p w14:paraId="2C1C0F99" w14:textId="5E201B85" w:rsidR="00B010DF" w:rsidRPr="00FD7646" w:rsidRDefault="00B010DF" w:rsidP="00B010DF">
            <w:pPr>
              <w:pStyle w:val="TableText"/>
              <w:rPr>
                <w:bCs/>
              </w:rPr>
            </w:pPr>
            <w:r w:rsidRPr="00FD7646">
              <w:rPr>
                <w:rFonts w:cs="Calibri"/>
                <w:bCs/>
                <w:szCs w:val="18"/>
              </w:rPr>
              <w:t>Landscape refuges</w:t>
            </w:r>
          </w:p>
        </w:tc>
        <w:tc>
          <w:tcPr>
            <w:tcW w:w="0" w:type="auto"/>
            <w:hideMark/>
          </w:tcPr>
          <w:p w14:paraId="4B8F3939" w14:textId="4A0FDD56" w:rsidR="00B010DF" w:rsidRPr="00FD7646" w:rsidRDefault="00B010DF" w:rsidP="00B010DF">
            <w:pPr>
              <w:pStyle w:val="TableText"/>
              <w:rPr>
                <w:bCs/>
              </w:rPr>
            </w:pPr>
            <w:r w:rsidRPr="00FD7646">
              <w:rPr>
                <w:rFonts w:cs="Calibri"/>
                <w:bCs/>
                <w:szCs w:val="18"/>
              </w:rPr>
              <w:t>Landscape refuges</w:t>
            </w:r>
          </w:p>
        </w:tc>
        <w:tc>
          <w:tcPr>
            <w:tcW w:w="0" w:type="auto"/>
            <w:hideMark/>
          </w:tcPr>
          <w:p w14:paraId="509314FA" w14:textId="5DAB1211" w:rsidR="00B010DF" w:rsidRPr="00FD7646" w:rsidRDefault="00B010DF" w:rsidP="00B010DF">
            <w:pPr>
              <w:pStyle w:val="TableText"/>
              <w:rPr>
                <w:bCs/>
              </w:rPr>
            </w:pPr>
            <w:r w:rsidRPr="00FD7646">
              <w:rPr>
                <w:rFonts w:cs="Calibri"/>
                <w:bCs/>
                <w:szCs w:val="18"/>
              </w:rPr>
              <w:t>Vegetated ecosystems were supported in agreement with the Strategy’s Basin-wide annual watering priorities for 2023–24</w:t>
            </w:r>
          </w:p>
        </w:tc>
        <w:tc>
          <w:tcPr>
            <w:tcW w:w="0" w:type="auto"/>
            <w:hideMark/>
          </w:tcPr>
          <w:p w14:paraId="3598896C" w14:textId="10CC973C" w:rsidR="00B010DF" w:rsidRPr="00FD7646" w:rsidRDefault="00B010DF" w:rsidP="00B010DF">
            <w:pPr>
              <w:pStyle w:val="TableText"/>
              <w:rPr>
                <w:bCs/>
              </w:rPr>
            </w:pPr>
            <w:r w:rsidRPr="00FD7646">
              <w:rPr>
                <w:rFonts w:cs="Calibri"/>
                <w:bCs/>
                <w:szCs w:val="18"/>
              </w:rPr>
              <w:t>Watering events were used across the Basin to support a wide range of vegetation communities. Commonwealth</w:t>
            </w:r>
            <w:r w:rsidR="009348AB" w:rsidRPr="00FD7646">
              <w:rPr>
                <w:rFonts w:cs="Calibri"/>
                <w:bCs/>
                <w:szCs w:val="18"/>
              </w:rPr>
              <w:t xml:space="preserve"> environmental</w:t>
            </w:r>
            <w:r w:rsidRPr="00FD7646">
              <w:rPr>
                <w:rFonts w:cs="Calibri"/>
                <w:bCs/>
                <w:szCs w:val="18"/>
              </w:rPr>
              <w:t xml:space="preserve"> </w:t>
            </w:r>
            <w:r w:rsidR="009348AB" w:rsidRPr="00FD7646">
              <w:rPr>
                <w:rFonts w:cs="Calibri"/>
                <w:bCs/>
                <w:szCs w:val="18"/>
              </w:rPr>
              <w:t>water</w:t>
            </w:r>
            <w:r w:rsidRPr="00FD7646">
              <w:rPr>
                <w:rFonts w:cs="Calibri"/>
                <w:bCs/>
                <w:szCs w:val="18"/>
              </w:rPr>
              <w:t xml:space="preserve"> supported 130,574 ha of palustrine wetlands and 191,599 ha of floodplains</w:t>
            </w:r>
          </w:p>
        </w:tc>
      </w:tr>
      <w:tr w:rsidR="00B010DF" w:rsidRPr="004B520E" w14:paraId="3FA533CE" w14:textId="77777777" w:rsidTr="00F7080C">
        <w:trPr>
          <w:cnfStyle w:val="000000100000" w:firstRow="0" w:lastRow="0" w:firstColumn="0" w:lastColumn="0" w:oddVBand="0" w:evenVBand="0" w:oddHBand="1" w:evenHBand="0" w:firstRowFirstColumn="0" w:firstRowLastColumn="0" w:lastRowFirstColumn="0" w:lastRowLastColumn="0"/>
          <w:cantSplit/>
        </w:trPr>
        <w:tc>
          <w:tcPr>
            <w:tcW w:w="0" w:type="auto"/>
            <w:hideMark/>
          </w:tcPr>
          <w:p w14:paraId="2A36FEF8" w14:textId="13D28B14" w:rsidR="00B010DF" w:rsidRPr="00FD7646" w:rsidRDefault="00B010DF" w:rsidP="00B010DF">
            <w:pPr>
              <w:pStyle w:val="TableText"/>
              <w:rPr>
                <w:bCs/>
              </w:rPr>
            </w:pPr>
            <w:r w:rsidRPr="00FD7646">
              <w:rPr>
                <w:rFonts w:cs="Calibri"/>
                <w:bCs/>
                <w:szCs w:val="18"/>
              </w:rPr>
              <w:t>Ecosystem resilience</w:t>
            </w:r>
          </w:p>
        </w:tc>
        <w:tc>
          <w:tcPr>
            <w:tcW w:w="0" w:type="auto"/>
            <w:hideMark/>
          </w:tcPr>
          <w:p w14:paraId="1AE02C7D" w14:textId="0F2E2D2D" w:rsidR="00B010DF" w:rsidRPr="00FD7646" w:rsidRDefault="00B010DF" w:rsidP="00B010DF">
            <w:pPr>
              <w:pStyle w:val="TableText"/>
              <w:rPr>
                <w:bCs/>
              </w:rPr>
            </w:pPr>
            <w:r w:rsidRPr="00FD7646">
              <w:rPr>
                <w:rFonts w:cs="Calibri"/>
                <w:bCs/>
                <w:szCs w:val="18"/>
              </w:rPr>
              <w:t>Ecosystem recovery</w:t>
            </w:r>
          </w:p>
        </w:tc>
        <w:tc>
          <w:tcPr>
            <w:tcW w:w="0" w:type="auto"/>
            <w:hideMark/>
          </w:tcPr>
          <w:p w14:paraId="25177A53" w14:textId="5F953842" w:rsidR="00B010DF" w:rsidRPr="00FD7646" w:rsidRDefault="00B010DF" w:rsidP="00B010DF">
            <w:pPr>
              <w:pStyle w:val="TableText"/>
              <w:rPr>
                <w:bCs/>
              </w:rPr>
            </w:pPr>
            <w:r w:rsidRPr="00FD7646">
              <w:rPr>
                <w:rFonts w:cs="Calibri"/>
                <w:bCs/>
                <w:szCs w:val="18"/>
              </w:rPr>
              <w:t>Ecosystem recovery</w:t>
            </w:r>
          </w:p>
        </w:tc>
        <w:tc>
          <w:tcPr>
            <w:tcW w:w="0" w:type="auto"/>
            <w:hideMark/>
          </w:tcPr>
          <w:p w14:paraId="10BC7D80" w14:textId="383631CB" w:rsidR="00B010DF" w:rsidRPr="00FD7646" w:rsidRDefault="00B010DF" w:rsidP="00B010DF">
            <w:pPr>
              <w:pStyle w:val="TableText"/>
              <w:rPr>
                <w:bCs/>
              </w:rPr>
            </w:pPr>
            <w:r w:rsidRPr="00FD7646">
              <w:rPr>
                <w:rFonts w:cs="Calibri"/>
                <w:bCs/>
                <w:szCs w:val="18"/>
              </w:rPr>
              <w:t>A rolling priority to maintain the extent and improve the condition of lignum shrublands and an annual priority to support continued recovery of lignum shrublands at Narran Lakes and other key sites in the northern Basin were met. 4,895</w:t>
            </w:r>
            <w:r w:rsidR="009348AB" w:rsidRPr="00FD7646">
              <w:rPr>
                <w:rFonts w:cs="Calibri"/>
                <w:bCs/>
                <w:szCs w:val="18"/>
              </w:rPr>
              <w:t> </w:t>
            </w:r>
            <w:r w:rsidRPr="00FD7646">
              <w:rPr>
                <w:rFonts w:cs="Calibri"/>
                <w:bCs/>
                <w:szCs w:val="18"/>
              </w:rPr>
              <w:t>ha of lignum floodplain were inundated, and another 215 ha of temporary lignum swamp received C</w:t>
            </w:r>
            <w:r w:rsidR="009348AB" w:rsidRPr="00FD7646">
              <w:rPr>
                <w:rFonts w:cs="Calibri"/>
                <w:bCs/>
                <w:szCs w:val="18"/>
              </w:rPr>
              <w:t>ommonwealth environmental water</w:t>
            </w:r>
          </w:p>
        </w:tc>
        <w:tc>
          <w:tcPr>
            <w:tcW w:w="0" w:type="auto"/>
            <w:hideMark/>
          </w:tcPr>
          <w:p w14:paraId="2A274595" w14:textId="391D4CC6" w:rsidR="00B010DF" w:rsidRPr="00FD7646" w:rsidRDefault="00B010DF" w:rsidP="00B010DF">
            <w:pPr>
              <w:pStyle w:val="TableText"/>
              <w:rPr>
                <w:bCs/>
              </w:rPr>
            </w:pPr>
            <w:r w:rsidRPr="00FD7646">
              <w:rPr>
                <w:rFonts w:cs="Calibri"/>
                <w:bCs/>
                <w:szCs w:val="18"/>
              </w:rPr>
              <w:t>Watering events were used for flow management to support the recovery of instream aquatic vegetation and large</w:t>
            </w:r>
            <w:r w:rsidR="00D74269" w:rsidRPr="00FD7646">
              <w:rPr>
                <w:rFonts w:cs="Calibri"/>
                <w:bCs/>
                <w:szCs w:val="18"/>
              </w:rPr>
              <w:t>-</w:t>
            </w:r>
            <w:r w:rsidRPr="00FD7646">
              <w:rPr>
                <w:rFonts w:cs="Calibri"/>
                <w:bCs/>
                <w:szCs w:val="18"/>
              </w:rPr>
              <w:t>bodied native fish in the Edward/Kolety–Wakool system following the 2016 hypoxic blackwater event (Watts et al. 2022</w:t>
            </w:r>
            <w:r w:rsidR="003D47E0" w:rsidRPr="00FD7646">
              <w:rPr>
                <w:rStyle w:val="FootnoteReference"/>
                <w:bCs/>
                <w:szCs w:val="18"/>
              </w:rPr>
              <w:footnoteReference w:id="12"/>
            </w:r>
            <w:r w:rsidRPr="00FD7646">
              <w:rPr>
                <w:rFonts w:cs="Calibri"/>
                <w:bCs/>
                <w:szCs w:val="18"/>
              </w:rPr>
              <w:t>)</w:t>
            </w:r>
          </w:p>
        </w:tc>
      </w:tr>
    </w:tbl>
    <w:p w14:paraId="2DCDA2EF" w14:textId="77777777" w:rsidR="005E6D0C" w:rsidRPr="004B520E" w:rsidRDefault="005E6D0C" w:rsidP="00D644B2">
      <w:pPr>
        <w:pStyle w:val="BodyText"/>
        <w:sectPr w:rsidR="005E6D0C" w:rsidRPr="004B520E" w:rsidSect="00F406A4">
          <w:headerReference w:type="even" r:id="rId82"/>
          <w:headerReference w:type="default" r:id="rId83"/>
          <w:footerReference w:type="default" r:id="rId84"/>
          <w:headerReference w:type="first" r:id="rId85"/>
          <w:pgSz w:w="16838" w:h="11906" w:orient="landscape" w:code="9"/>
          <w:pgMar w:top="1134" w:right="1134" w:bottom="1134" w:left="1134" w:header="510" w:footer="510" w:gutter="0"/>
          <w:cols w:space="284"/>
          <w:docGrid w:linePitch="360"/>
        </w:sectPr>
      </w:pPr>
    </w:p>
    <w:bookmarkEnd w:id="633"/>
    <w:bookmarkEnd w:id="634"/>
    <w:p w14:paraId="25DF952F" w14:textId="2638ABCD" w:rsidR="00D80647" w:rsidRPr="004B520E" w:rsidRDefault="00D80647" w:rsidP="00D80647">
      <w:pPr>
        <w:pStyle w:val="BackCoverWebAddress"/>
      </w:pPr>
      <w:r w:rsidRPr="004B520E">
        <w:lastRenderedPageBreak/>
        <w:fldChar w:fldCharType="begin"/>
      </w:r>
      <w:r w:rsidRPr="004B520E">
        <w:instrText>HYPERLINK "https://flow-mer.org.au"</w:instrText>
      </w:r>
      <w:r w:rsidRPr="004B520E">
        <w:fldChar w:fldCharType="separate"/>
      </w:r>
      <w:r w:rsidRPr="004B520E">
        <w:rPr>
          <w:rStyle w:val="Hyperlink"/>
        </w:rPr>
        <w:t>https://flow-mer.org.au</w:t>
      </w:r>
      <w:r w:rsidRPr="004B520E">
        <w:fldChar w:fldCharType="end"/>
      </w:r>
    </w:p>
    <w:sdt>
      <w:sdtPr>
        <w:rPr>
          <w:color w:val="2B579A"/>
          <w:shd w:val="clear" w:color="auto" w:fill="E6E6E6"/>
        </w:rPr>
        <w:id w:val="-1369530439"/>
        <w:docPartObj>
          <w:docPartGallery w:val="Cover Pages"/>
        </w:docPartObj>
      </w:sdtPr>
      <w:sdtEndPr>
        <w:rPr>
          <w:color w:val="000000"/>
          <w:shd w:val="clear" w:color="auto" w:fill="auto"/>
        </w:rPr>
      </w:sdtEndPr>
      <w:sdtContent>
        <w:p w14:paraId="0D6AF6EE" w14:textId="77777777" w:rsidR="00D80647" w:rsidRPr="004B520E" w:rsidRDefault="00D80647" w:rsidP="00D80647">
          <w:pPr>
            <w:pStyle w:val="BodyText"/>
          </w:pPr>
          <w:r w:rsidRPr="004B520E">
            <w:rPr>
              <w:noProof/>
              <w:color w:val="2B579A"/>
              <w:shd w:val="clear" w:color="auto" w:fill="E6E6E6"/>
            </w:rPr>
            <w:drawing>
              <wp:inline distT="0" distB="0" distL="0" distR="0" wp14:anchorId="5B8FCD8B" wp14:editId="02EE4AD4">
                <wp:extent cx="6118860" cy="7673645"/>
                <wp:effectExtent l="0" t="0" r="0" b="3810"/>
                <wp:docPr id="1307123690" name="Picture 2" descr="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23690" name="Picture 2" descr="Partner logos"/>
                        <pic:cNvPicPr/>
                      </pic:nvPicPr>
                      <pic:blipFill rotWithShape="1">
                        <a:blip r:embed="rId86"/>
                        <a:srcRect t="6726" b="1232"/>
                        <a:stretch>
                          <a:fillRect/>
                        </a:stretch>
                      </pic:blipFill>
                      <pic:spPr bwMode="auto">
                        <a:xfrm>
                          <a:off x="0" y="0"/>
                          <a:ext cx="6120130" cy="7675238"/>
                        </a:xfrm>
                        <a:prstGeom prst="rect">
                          <a:avLst/>
                        </a:prstGeom>
                        <a:ln>
                          <a:noFill/>
                        </a:ln>
                        <a:extLst>
                          <a:ext uri="{53640926-AAD7-44D8-BBD7-CCE9431645EC}">
                            <a14:shadowObscured xmlns:a14="http://schemas.microsoft.com/office/drawing/2010/main"/>
                          </a:ext>
                        </a:extLst>
                      </pic:spPr>
                    </pic:pic>
                  </a:graphicData>
                </a:graphic>
              </wp:inline>
            </w:drawing>
          </w:r>
          <w:r w:rsidRPr="004B520E">
            <w:rPr>
              <w:noProof/>
              <w:color w:val="2B579A"/>
              <w:shd w:val="clear" w:color="auto" w:fill="E6E6E6"/>
            </w:rPr>
            <mc:AlternateContent>
              <mc:Choice Requires="wps">
                <w:drawing>
                  <wp:anchor distT="0" distB="0" distL="114300" distR="114300" simplePos="0" relativeHeight="251658244" behindDoc="1" locked="1" layoutInCell="1" allowOverlap="1" wp14:anchorId="7A22809D" wp14:editId="18AD06F1">
                    <wp:simplePos x="0" y="0"/>
                    <wp:positionH relativeFrom="page">
                      <wp:align>right</wp:align>
                    </wp:positionH>
                    <wp:positionV relativeFrom="page">
                      <wp:align>bottom</wp:align>
                    </wp:positionV>
                    <wp:extent cx="7560310" cy="393700"/>
                    <wp:effectExtent l="0" t="0" r="2540" b="6350"/>
                    <wp:wrapNone/>
                    <wp:docPr id="655095123" name="Rectangle 655095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0B05A709" id="Rectangle 655095123" o:spid="_x0000_s1026" alt="&quot;&quot;" style="position:absolute;margin-left:544.1pt;margin-top:0;width:595.3pt;height:31pt;z-index:-2516582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fillcolor="#01528b [3204]" stroked="f">
                    <w10:wrap anchorx="page" anchory="page"/>
                    <w10:anchorlock/>
                  </v:rect>
                </w:pict>
              </mc:Fallback>
            </mc:AlternateContent>
          </w:r>
        </w:p>
      </w:sdtContent>
    </w:sdt>
    <w:p w14:paraId="71DF3B13" w14:textId="28C9DF82" w:rsidR="00A026EF" w:rsidRPr="004B520E" w:rsidRDefault="00E755C3" w:rsidP="00A06FEB">
      <w:pPr>
        <w:pStyle w:val="BodyText"/>
      </w:pPr>
      <w:r w:rsidRPr="004B520E">
        <w:rPr>
          <w:noProof/>
          <w:color w:val="FF0000"/>
        </w:rPr>
        <mc:AlternateContent>
          <mc:Choice Requires="wps">
            <w:drawing>
              <wp:anchor distT="0" distB="0" distL="114300" distR="114300" simplePos="0" relativeHeight="251658241" behindDoc="1" locked="1" layoutInCell="1" allowOverlap="1" wp14:anchorId="1AAD328F" wp14:editId="7689E917">
                <wp:simplePos x="0" y="0"/>
                <wp:positionH relativeFrom="page">
                  <wp:posOffset>15240</wp:posOffset>
                </wp:positionH>
                <wp:positionV relativeFrom="page">
                  <wp:posOffset>10280015</wp:posOffset>
                </wp:positionV>
                <wp:extent cx="7560310" cy="393700"/>
                <wp:effectExtent l="0" t="0" r="2540" b="6350"/>
                <wp:wrapNone/>
                <wp:docPr id="1662309957" name="Rectangl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49FCF194" id="Rectangle 8" o:spid="_x0000_s1026" alt="&quot;&quot;" style="position:absolute;margin-left:1.2pt;margin-top:809.45pt;width:595.3pt;height:3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" fillcolor="#01528b" stroked="f">
                <w10:wrap anchorx="page" anchory="page"/>
                <w10:anchorlock/>
              </v:rect>
            </w:pict>
          </mc:Fallback>
        </mc:AlternateContent>
      </w:r>
    </w:p>
    <w:sectPr w:rsidR="00A026EF" w:rsidRPr="004B520E" w:rsidSect="002D0A61">
      <w:headerReference w:type="even" r:id="rId87"/>
      <w:headerReference w:type="default" r:id="rId88"/>
      <w:footerReference w:type="even" r:id="rId89"/>
      <w:headerReference w:type="first" r:id="rId90"/>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63A829" w14:textId="77777777" w:rsidR="00BF1252" w:rsidRDefault="00BF1252" w:rsidP="009964E7">
      <w:r>
        <w:separator/>
      </w:r>
    </w:p>
    <w:p w14:paraId="69372D78" w14:textId="77777777" w:rsidR="00BF1252" w:rsidRDefault="00BF1252"/>
    <w:p w14:paraId="04D8491C" w14:textId="77777777" w:rsidR="00BF1252" w:rsidRDefault="00BF1252"/>
  </w:endnote>
  <w:endnote w:type="continuationSeparator" w:id="0">
    <w:p w14:paraId="6795361A" w14:textId="77777777" w:rsidR="00BF1252" w:rsidRDefault="00BF1252" w:rsidP="009964E7">
      <w:r>
        <w:continuationSeparator/>
      </w:r>
    </w:p>
    <w:p w14:paraId="62496407" w14:textId="77777777" w:rsidR="00BF1252" w:rsidRDefault="00BF1252"/>
    <w:p w14:paraId="348F3F8E" w14:textId="77777777" w:rsidR="00BF1252" w:rsidRDefault="00BF1252"/>
  </w:endnote>
  <w:endnote w:type="continuationNotice" w:id="1">
    <w:p w14:paraId="0A7C4847" w14:textId="77777777" w:rsidR="00BF1252" w:rsidRDefault="00BF1252"/>
    <w:p w14:paraId="5CED8DA7" w14:textId="77777777" w:rsidR="00BF1252" w:rsidRDefault="00BF12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66DA4" w14:textId="6C068F75" w:rsidR="000F301D" w:rsidRDefault="000F301D">
    <w:pPr>
      <w:pStyle w:val="Footer"/>
    </w:pPr>
    <w:r>
      <w:fldChar w:fldCharType="begin"/>
    </w:r>
    <w:r>
      <w:instrText xml:space="preserve"> PAGE  \* roman  \* MERGEFORMAT </w:instrText>
    </w:r>
    <w:r>
      <w:fldChar w:fldCharType="separate"/>
    </w:r>
    <w:r>
      <w:rPr>
        <w:noProof/>
      </w:rPr>
      <w:t>iv</w:t>
    </w:r>
    <w:r>
      <w:fldChar w:fldCharType="end"/>
    </w:r>
    <w:r w:rsidR="00FE5DF9">
      <w:t xml:space="preserve"> | </w:t>
    </w:r>
    <w:sdt>
      <w:sdtPr>
        <w:alias w:val="Title"/>
        <w:tag w:val=""/>
        <w:id w:val="-903448014"/>
        <w:placeholder>
          <w:docPart w:val="C0B3A0F73C5C4BD68799F6FFC66E2271"/>
        </w:placeholder>
        <w:dataBinding w:prefixMappings="xmlns:ns0='http://purl.org/dc/elements/1.1/' xmlns:ns1='http://schemas.openxmlformats.org/package/2006/metadata/core-properties' " w:xpath="/ns1:coreProperties[1]/ns0:title[1]" w:storeItemID="{6C3C8BC8-F283-45AE-878A-BAB7291924A1}"/>
        <w:text/>
      </w:sdtPr>
      <w:sdtContent>
        <w:r w:rsidR="00FE5DF9">
          <w:t>Commonwealth environmental water sustaining Murray–Darling Basin ecosystems: 10-year (2014–24) retrospective</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92269" w14:textId="36A9892E" w:rsidR="000F301D" w:rsidRDefault="001A26BB" w:rsidP="000F301D">
    <w:pPr>
      <w:pStyle w:val="Footer"/>
      <w:jc w:val="right"/>
    </w:pPr>
    <w:fldSimple w:instr="STYLEREF  &quot;Heading 1 not numbered&quot;  \* MERGEFORMAT">
      <w:r w:rsidR="00C43C1D">
        <w:rPr>
          <w:noProof/>
        </w:rPr>
        <w:t>Water year 2023–24: statistics</w:t>
      </w:r>
    </w:fldSimple>
    <w:r w:rsidR="000F301D">
      <w:t xml:space="preserve"> | </w:t>
    </w:r>
    <w:r w:rsidR="000F301D">
      <w:fldChar w:fldCharType="begin"/>
    </w:r>
    <w:r w:rsidR="000F301D">
      <w:instrText xml:space="preserve"> PAGE  \* roman  \* MERGEFORMAT </w:instrText>
    </w:r>
    <w:r w:rsidR="000F301D">
      <w:fldChar w:fldCharType="separate"/>
    </w:r>
    <w:r w:rsidR="000F301D">
      <w:rPr>
        <w:noProof/>
      </w:rPr>
      <w:t>iv</w:t>
    </w:r>
    <w:r w:rsidR="000F301D">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A38D8" w14:textId="77777777" w:rsidR="00265366" w:rsidRDefault="0026536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59D8E" w14:textId="2D337958" w:rsidR="006D641B" w:rsidRDefault="001A26BB" w:rsidP="000231E8">
    <w:pPr>
      <w:pStyle w:val="Footer"/>
      <w:jc w:val="right"/>
    </w:pPr>
    <w:fldSimple w:instr="STYLEREF  &quot;Heading 1 no TOC&quot;  \* MERGEFORMAT">
      <w:r w:rsidR="00C43C1D">
        <w:rPr>
          <w:noProof/>
        </w:rPr>
        <w:t>Contents</w:t>
      </w:r>
    </w:fldSimple>
    <w:r w:rsidR="006D641B">
      <w:t xml:space="preserve">  |</w:t>
    </w:r>
    <w:r w:rsidR="005F15D8">
      <w:t xml:space="preserve"> </w:t>
    </w:r>
    <w:r w:rsidR="006D641B">
      <w:t xml:space="preserve"> </w:t>
    </w:r>
    <w:r w:rsidR="006D641B">
      <w:rPr>
        <w:rStyle w:val="PageNumber"/>
      </w:rPr>
      <w:fldChar w:fldCharType="begin"/>
    </w:r>
    <w:r w:rsidR="006D641B">
      <w:rPr>
        <w:rStyle w:val="PageNumber"/>
      </w:rPr>
      <w:instrText xml:space="preserve"> PAGE </w:instrText>
    </w:r>
    <w:r w:rsidR="006D641B">
      <w:rPr>
        <w:rStyle w:val="PageNumber"/>
      </w:rPr>
      <w:fldChar w:fldCharType="separate"/>
    </w:r>
    <w:r w:rsidR="006D641B">
      <w:rPr>
        <w:rStyle w:val="PageNumber"/>
        <w:noProof/>
      </w:rPr>
      <w:t>i</w:t>
    </w:r>
    <w:r w:rsidR="006D641B">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BD39C" w14:textId="11550F50" w:rsidR="00877899" w:rsidRDefault="001A26BB" w:rsidP="000231E8">
    <w:pPr>
      <w:pStyle w:val="Footer"/>
      <w:jc w:val="right"/>
    </w:pPr>
    <w:fldSimple w:instr="STYLEREF  &quot;Heading 1 not numbered&quot;  \* MERGEFORMAT">
      <w:r w:rsidR="00C43C1D">
        <w:rPr>
          <w:noProof/>
        </w:rPr>
        <w:t>Abbreviations and terms</w:t>
      </w:r>
    </w:fldSimple>
    <w:r w:rsidR="00877899">
      <w:t xml:space="preserve">  |</w:t>
    </w:r>
    <w:r w:rsidR="00AD7797">
      <w:t xml:space="preserve"> </w:t>
    </w:r>
    <w:r w:rsidR="00877899">
      <w:t xml:space="preserve"> </w:t>
    </w:r>
    <w:r w:rsidR="00877899">
      <w:rPr>
        <w:rStyle w:val="PageNumber"/>
      </w:rPr>
      <w:fldChar w:fldCharType="begin"/>
    </w:r>
    <w:r w:rsidR="00877899">
      <w:rPr>
        <w:rStyle w:val="PageNumber"/>
      </w:rPr>
      <w:instrText xml:space="preserve"> PAGE </w:instrText>
    </w:r>
    <w:r w:rsidR="00877899">
      <w:rPr>
        <w:rStyle w:val="PageNumber"/>
      </w:rPr>
      <w:fldChar w:fldCharType="separate"/>
    </w:r>
    <w:r w:rsidR="00877899">
      <w:rPr>
        <w:rStyle w:val="PageNumber"/>
        <w:noProof/>
      </w:rPr>
      <w:t>i</w:t>
    </w:r>
    <w:r w:rsidR="00877899">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5E09A" w14:textId="274E2B56" w:rsidR="007403AC" w:rsidRDefault="007403AC">
    <w:pPr>
      <w:pStyle w:val="Footer"/>
    </w:pPr>
    <w:r>
      <w:fldChar w:fldCharType="begin"/>
    </w:r>
    <w:r>
      <w:instrText xml:space="preserve"> PAGE</w:instrText>
    </w:r>
    <w:r w:rsidR="003F58CD">
      <w:instrText xml:space="preserve"> </w:instrText>
    </w:r>
    <w:r>
      <w:fldChar w:fldCharType="separate"/>
    </w:r>
    <w:r>
      <w:rPr>
        <w:noProof/>
      </w:rPr>
      <w:t>iv</w:t>
    </w:r>
    <w:r>
      <w:fldChar w:fldCharType="end"/>
    </w:r>
    <w:r>
      <w:t xml:space="preserve"> | </w:t>
    </w:r>
    <w:sdt>
      <w:sdtPr>
        <w:alias w:val="Title"/>
        <w:tag w:val=""/>
        <w:id w:val="-1448387376"/>
        <w:placeholder>
          <w:docPart w:val="B1A52CE0F80D48F4925D23A635ED12EF"/>
        </w:placeholder>
        <w:dataBinding w:prefixMappings="xmlns:ns0='http://purl.org/dc/elements/1.1/' xmlns:ns1='http://schemas.openxmlformats.org/package/2006/metadata/core-properties' " w:xpath="/ns1:coreProperties[1]/ns0:title[1]" w:storeItemID="{6C3C8BC8-F283-45AE-878A-BAB7291924A1}"/>
        <w:text/>
      </w:sdtPr>
      <w:sdtContent>
        <w:r>
          <w:t>Commonwealth environmental water sustaining Murray–Darling Basin ecosystems: 10-year (2014–24) retrospective</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E99BA" w14:textId="162422D8" w:rsidR="005C35B0" w:rsidRDefault="001A26BB" w:rsidP="000231E8">
    <w:pPr>
      <w:pStyle w:val="Footer"/>
      <w:jc w:val="right"/>
    </w:pPr>
    <w:fldSimple w:instr="STYLEREF  &quot;Heading 1&quot;  \* MERGEFORMAT">
      <w:r w:rsidR="00C43C1D">
        <w:rPr>
          <w:noProof/>
        </w:rPr>
        <w:t>Informing adaptive management</w:t>
      </w:r>
    </w:fldSimple>
    <w:r w:rsidR="00281B81">
      <w:fldChar w:fldCharType="begin"/>
    </w:r>
    <w:r w:rsidR="00281B81">
      <w:fldChar w:fldCharType="separate"/>
    </w:r>
    <w:r w:rsidR="00F07439">
      <w:rPr>
        <w:noProof/>
      </w:rPr>
      <w:t>Environmental outcomes 2022–23</w:t>
    </w:r>
    <w:r w:rsidR="00281B81">
      <w:rPr>
        <w:noProof/>
      </w:rPr>
      <w:fldChar w:fldCharType="end"/>
    </w:r>
    <w:r w:rsidR="005C35B0">
      <w:t xml:space="preserve"> </w:t>
    </w:r>
    <w:r w:rsidR="00023595">
      <w:t xml:space="preserve"> </w:t>
    </w:r>
    <w:r w:rsidR="005C35B0">
      <w:t>|</w:t>
    </w:r>
    <w:r w:rsidR="00023595">
      <w:t xml:space="preserve"> </w:t>
    </w:r>
    <w:r w:rsidR="005C35B0">
      <w:t xml:space="preserve"> </w:t>
    </w:r>
    <w:r w:rsidR="005C35B0">
      <w:rPr>
        <w:rStyle w:val="PageNumber"/>
      </w:rPr>
      <w:fldChar w:fldCharType="begin"/>
    </w:r>
    <w:r w:rsidR="005C35B0">
      <w:rPr>
        <w:rStyle w:val="PageNumber"/>
      </w:rPr>
      <w:instrText xml:space="preserve"> PAGE </w:instrText>
    </w:r>
    <w:r w:rsidR="005C35B0">
      <w:rPr>
        <w:rStyle w:val="PageNumber"/>
      </w:rPr>
      <w:fldChar w:fldCharType="separate"/>
    </w:r>
    <w:r w:rsidR="005C35B0">
      <w:rPr>
        <w:rStyle w:val="PageNumber"/>
        <w:noProof/>
      </w:rPr>
      <w:t>i</w:t>
    </w:r>
    <w:r w:rsidR="005C35B0">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6C61B" w14:textId="2696DBD2" w:rsidR="00DC3D37" w:rsidRDefault="000C01AD" w:rsidP="000231E8">
    <w:pPr>
      <w:pStyle w:val="Footer"/>
      <w:jc w:val="right"/>
    </w:pPr>
    <w:r w:rsidRPr="00053727">
      <w:fldChar w:fldCharType="begin"/>
    </w:r>
    <w:r>
      <w:instrText xml:space="preserve"> STYLEREF  "Heading 9,Appendix Heading 1" \n  \* MERGEFORMAT </w:instrText>
    </w:r>
    <w:r w:rsidRPr="00053727">
      <w:fldChar w:fldCharType="separate"/>
    </w:r>
    <w:r w:rsidR="00C43C1D">
      <w:rPr>
        <w:noProof/>
      </w:rPr>
      <w:t>Appendix B</w:t>
    </w:r>
    <w:r w:rsidRPr="00053727">
      <w:fldChar w:fldCharType="end"/>
    </w:r>
    <w:r w:rsidR="002C0A56">
      <w:t xml:space="preserve"> </w:t>
    </w:r>
    <w:r w:rsidRPr="00053727">
      <w:fldChar w:fldCharType="begin"/>
    </w:r>
    <w:r>
      <w:instrText xml:space="preserve"> STYLEREF  "Heading 9,Appendix Heading 1"  \* MERGEFORMAT </w:instrText>
    </w:r>
    <w:r w:rsidRPr="00053727">
      <w:fldChar w:fldCharType="separate"/>
    </w:r>
    <w:r w:rsidR="00C43C1D">
      <w:rPr>
        <w:noProof/>
      </w:rPr>
      <w:t>Detailed outcomes table</w:t>
    </w:r>
    <w:r w:rsidRPr="00053727">
      <w:fldChar w:fldCharType="end"/>
    </w:r>
    <w:r w:rsidR="00DC3D37">
      <w:t xml:space="preserve">  |</w:t>
    </w:r>
    <w:r w:rsidR="005F15D8">
      <w:t xml:space="preserve"> </w:t>
    </w:r>
    <w:r w:rsidR="00DC3D37">
      <w:t xml:space="preserve"> </w:t>
    </w:r>
    <w:r w:rsidR="00DC3D37">
      <w:rPr>
        <w:rStyle w:val="PageNumber"/>
      </w:rPr>
      <w:fldChar w:fldCharType="begin"/>
    </w:r>
    <w:r w:rsidR="00DC3D37">
      <w:rPr>
        <w:rStyle w:val="PageNumber"/>
      </w:rPr>
      <w:instrText xml:space="preserve"> PAGE </w:instrText>
    </w:r>
    <w:r w:rsidR="00DC3D37">
      <w:rPr>
        <w:rStyle w:val="PageNumber"/>
      </w:rPr>
      <w:fldChar w:fldCharType="separate"/>
    </w:r>
    <w:r w:rsidR="00DC3D37">
      <w:rPr>
        <w:rStyle w:val="PageNumber"/>
        <w:noProof/>
      </w:rPr>
      <w:t>i</w:t>
    </w:r>
    <w:r w:rsidR="00DC3D37">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8B5F0" w14:textId="19301375" w:rsidR="005C35B0" w:rsidRPr="00DD7FCD" w:rsidRDefault="005C35B0" w:rsidP="00A06F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35D71A" w14:textId="77777777" w:rsidR="00BF1252" w:rsidRDefault="00BF1252">
      <w:r>
        <w:separator/>
      </w:r>
    </w:p>
  </w:footnote>
  <w:footnote w:type="continuationSeparator" w:id="0">
    <w:p w14:paraId="49B6CBAC" w14:textId="77777777" w:rsidR="00BF1252" w:rsidRDefault="00BF1252">
      <w:r>
        <w:continuationSeparator/>
      </w:r>
    </w:p>
    <w:p w14:paraId="04B0621A" w14:textId="77777777" w:rsidR="00BF1252" w:rsidRDefault="00BF1252"/>
  </w:footnote>
  <w:footnote w:type="continuationNotice" w:id="1">
    <w:p w14:paraId="68C9F9FF" w14:textId="77777777" w:rsidR="00BF1252" w:rsidRDefault="00BF1252"/>
    <w:p w14:paraId="278887E0" w14:textId="77777777" w:rsidR="00BF1252" w:rsidRDefault="00BF1252"/>
  </w:footnote>
  <w:footnote w:id="2">
    <w:p w14:paraId="67C5DB64" w14:textId="3D307DD4" w:rsidR="004B5136" w:rsidRDefault="004B5136" w:rsidP="00CC232D">
      <w:pPr>
        <w:pStyle w:val="FootnoteText"/>
      </w:pPr>
      <w:r>
        <w:rPr>
          <w:rStyle w:val="FootnoteReference"/>
        </w:rPr>
        <w:footnoteRef/>
      </w:r>
      <w:r>
        <w:t xml:space="preserve"> Reports </w:t>
      </w:r>
      <w:r w:rsidR="006451F4" w:rsidRPr="00EC1531">
        <w:t>available from the</w:t>
      </w:r>
      <w:r w:rsidR="00581BF7">
        <w:t xml:space="preserve"> Australian Department of Climate Change, Energy, the Environment and Water</w:t>
      </w:r>
      <w:r w:rsidR="00CD5200">
        <w:t>’s</w:t>
      </w:r>
      <w:r w:rsidR="006451F4">
        <w:t xml:space="preserve"> </w:t>
      </w:r>
      <w:hyperlink r:id="rId1" w:history="1">
        <w:r w:rsidR="006451F4" w:rsidRPr="00794C71">
          <w:rPr>
            <w:rStyle w:val="Hyperlink"/>
            <w:rFonts w:cs="Calibri Light"/>
          </w:rPr>
          <w:t>Flow-MER Basin-scale Project publications</w:t>
        </w:r>
      </w:hyperlink>
      <w:r w:rsidR="006451F4">
        <w:t xml:space="preserve"> </w:t>
      </w:r>
      <w:r w:rsidR="00CD5200">
        <w:t>web</w:t>
      </w:r>
      <w:r w:rsidR="006451F4">
        <w:t>page</w:t>
      </w:r>
      <w:r w:rsidR="005E4FC2" w:rsidRPr="00244943">
        <w:rPr>
          <w:color w:val="auto"/>
        </w:rPr>
        <w:t>.</w:t>
      </w:r>
    </w:p>
  </w:footnote>
  <w:footnote w:id="3">
    <w:p w14:paraId="2C52299D" w14:textId="085803BD" w:rsidR="00D93922" w:rsidRDefault="00D93922" w:rsidP="00CC232D">
      <w:pPr>
        <w:pStyle w:val="FootnoteText"/>
      </w:pPr>
      <w:r>
        <w:rPr>
          <w:rStyle w:val="FootnoteReference"/>
        </w:rPr>
        <w:footnoteRef/>
      </w:r>
      <w:r>
        <w:t xml:space="preserve"> Total runoff is calculated as total precipitation less losses </w:t>
      </w:r>
      <w:r w:rsidR="00174CFF">
        <w:t>from</w:t>
      </w:r>
      <w:r>
        <w:t xml:space="preserve"> evapotranspiration</w:t>
      </w:r>
      <w:r w:rsidR="00B31965">
        <w:t>. It</w:t>
      </w:r>
      <w:r>
        <w:t xml:space="preserve"> includes </w:t>
      </w:r>
      <w:r w:rsidR="00174CFF">
        <w:t>water flowing</w:t>
      </w:r>
      <w:r>
        <w:t xml:space="preserve"> over the land surface and through channels to reach a stream but also water that infiltrates the soil surface and travels by means of gravity toward a stream channel.</w:t>
      </w:r>
    </w:p>
  </w:footnote>
  <w:footnote w:id="4">
    <w:p w14:paraId="5A889CAA" w14:textId="35F0EAD1" w:rsidR="00904D0F" w:rsidRDefault="00904D0F" w:rsidP="00CC232D">
      <w:pPr>
        <w:pStyle w:val="FootnoteText"/>
      </w:pPr>
      <w:r>
        <w:rPr>
          <w:rStyle w:val="FootnoteReference"/>
        </w:rPr>
        <w:footnoteRef/>
      </w:r>
      <w:r>
        <w:t xml:space="preserve"> This report uses the Bureau of Meteorology’s Geofabric v3 river line mapping to categorise river ecosystems. The ANAE includes 4 additional river types to cater for gaps in the polygon mapping for rivers that are not used in the </w:t>
      </w:r>
      <w:r w:rsidR="00244943">
        <w:t>2023–24</w:t>
      </w:r>
      <w:r>
        <w:t xml:space="preserve"> evaluation but have contributed to totals in previous years.</w:t>
      </w:r>
    </w:p>
  </w:footnote>
  <w:footnote w:id="5">
    <w:p w14:paraId="6FC79B87" w14:textId="133110CA" w:rsidR="001718A7" w:rsidRDefault="001718A7" w:rsidP="00CC232D">
      <w:pPr>
        <w:pStyle w:val="FootnoteText"/>
      </w:pPr>
      <w:r>
        <w:rPr>
          <w:rStyle w:val="FootnoteReference"/>
        </w:rPr>
        <w:footnoteRef/>
      </w:r>
      <w:r>
        <w:t xml:space="preserve"> Total figures for the Basin, including the </w:t>
      </w:r>
      <w:r w:rsidR="007040AC" w:rsidRPr="007040AC">
        <w:t>Coorong, Lower Lakes and Murray Mouth</w:t>
      </w:r>
      <w:r>
        <w:t>, except where stated otherwise.</w:t>
      </w:r>
    </w:p>
  </w:footnote>
  <w:footnote w:id="6">
    <w:p w14:paraId="17574075" w14:textId="77777777" w:rsidR="0072552F" w:rsidRDefault="0072552F" w:rsidP="00CC232D">
      <w:pPr>
        <w:pStyle w:val="FootnoteText"/>
      </w:pPr>
      <w:r>
        <w:rPr>
          <w:rStyle w:val="FootnoteReference"/>
        </w:rPr>
        <w:footnoteRef/>
      </w:r>
      <w:r>
        <w:t xml:space="preserve"> These 12 floodplain types comprise 11 floodplain types upstream of the </w:t>
      </w:r>
      <w:r w:rsidRPr="007040AC">
        <w:t>Coorong, Lower Lakes and Murray Mouth</w:t>
      </w:r>
      <w:r w:rsidRPr="007040AC" w:rsidDel="007040AC">
        <w:t xml:space="preserve"> </w:t>
      </w:r>
      <w:r>
        <w:t>and one additional type (paperbark-dominated floodplain) adjacent to the Coorong.</w:t>
      </w:r>
    </w:p>
  </w:footnote>
  <w:footnote w:id="7">
    <w:p w14:paraId="4C4BB919" w14:textId="604D20CE" w:rsidR="002F55AF" w:rsidRDefault="002F55AF" w:rsidP="00CC232D">
      <w:pPr>
        <w:pStyle w:val="FootnoteText"/>
      </w:pPr>
      <w:r>
        <w:rPr>
          <w:rStyle w:val="FootnoteReference"/>
        </w:rPr>
        <w:footnoteRef/>
      </w:r>
      <w:r>
        <w:t xml:space="preserve"> </w:t>
      </w:r>
      <w:hyperlink r:id="rId2" w:history="1">
        <w:r w:rsidR="00A10492" w:rsidRPr="00215442">
          <w:rPr>
            <w:rStyle w:val="Hyperlink"/>
            <w:rFonts w:cs="Calibri Light"/>
          </w:rPr>
          <w:t>Convention on Wetlands of International Importance</w:t>
        </w:r>
      </w:hyperlink>
      <w:r w:rsidR="00A10492" w:rsidRPr="003576C7">
        <w:t xml:space="preserve"> (the Ramsar Convention 1971)</w:t>
      </w:r>
      <w:r w:rsidR="00272BC6">
        <w:t>.</w:t>
      </w:r>
    </w:p>
  </w:footnote>
  <w:footnote w:id="8">
    <w:p w14:paraId="6DD9A9CA" w14:textId="4D15E0CF" w:rsidR="004814E1" w:rsidRPr="00DA6E62" w:rsidRDefault="004814E1" w:rsidP="00CC232D">
      <w:pPr>
        <w:pStyle w:val="FootnoteText"/>
        <w:rPr>
          <w:szCs w:val="16"/>
        </w:rPr>
      </w:pPr>
      <w:r w:rsidRPr="00DA6E62">
        <w:rPr>
          <w:rStyle w:val="FootnoteReference"/>
          <w:szCs w:val="16"/>
        </w:rPr>
        <w:footnoteRef/>
      </w:r>
      <w:r w:rsidRPr="00DA6E62">
        <w:rPr>
          <w:szCs w:val="16"/>
        </w:rPr>
        <w:t xml:space="preserve"> </w:t>
      </w:r>
      <w:hyperlink r:id="rId3" w:history="1">
        <w:r w:rsidR="003B681F" w:rsidRPr="003A29E5">
          <w:rPr>
            <w:rStyle w:val="Hyperlink"/>
            <w:rFonts w:cs="Calibri Light"/>
            <w:i/>
            <w:iCs/>
          </w:rPr>
          <w:t>Waterbirds of the Murray–Darling Basin, 2017 Basin Plan Evaluation</w:t>
        </w:r>
      </w:hyperlink>
      <w:r w:rsidR="00996032" w:rsidRPr="003B681F">
        <w:t>,</w:t>
      </w:r>
      <w:r w:rsidRPr="003B681F">
        <w:t xml:space="preserve"> Murray–Darling Basin Authority. Canberra ACT</w:t>
      </w:r>
      <w:r w:rsidR="00A81BBE">
        <w:t>.</w:t>
      </w:r>
    </w:p>
  </w:footnote>
  <w:footnote w:id="9">
    <w:p w14:paraId="101D4F96" w14:textId="33941558" w:rsidR="00E85111" w:rsidRDefault="00E85111" w:rsidP="00CC232D">
      <w:pPr>
        <w:pStyle w:val="FootnoteText"/>
      </w:pPr>
      <w:r>
        <w:rPr>
          <w:rStyle w:val="FootnoteReference"/>
        </w:rPr>
        <w:footnoteRef/>
      </w:r>
      <w:r>
        <w:t xml:space="preserve"> </w:t>
      </w:r>
      <w:r w:rsidR="00593036" w:rsidRPr="003576C7">
        <w:t xml:space="preserve">Office of the NSW Chief Scientist </w:t>
      </w:r>
      <w:r w:rsidR="00DD7F4F">
        <w:t>and</w:t>
      </w:r>
      <w:r w:rsidR="00593036" w:rsidRPr="003576C7">
        <w:t xml:space="preserve"> Engineer (2023) </w:t>
      </w:r>
      <w:hyperlink r:id="rId4" w:history="1">
        <w:r w:rsidR="00593036" w:rsidRPr="00EA057B">
          <w:rPr>
            <w:rStyle w:val="Hyperlink"/>
            <w:rFonts w:cs="Calibri Light"/>
            <w:i/>
            <w:iCs/>
          </w:rPr>
          <w:t>Independent review into the 2023 fish deaths in the Darling–Baaka River at Menindee</w:t>
        </w:r>
      </w:hyperlink>
      <w:r w:rsidR="00EA057B">
        <w:t>.</w:t>
      </w:r>
    </w:p>
  </w:footnote>
  <w:footnote w:id="10">
    <w:p w14:paraId="1181A57F" w14:textId="608B4F23" w:rsidR="00326150" w:rsidRDefault="00326150" w:rsidP="00326150">
      <w:pPr>
        <w:pStyle w:val="FootnoteText"/>
      </w:pPr>
      <w:r>
        <w:rPr>
          <w:rStyle w:val="FootnoteReference"/>
        </w:rPr>
        <w:footnoteRef/>
      </w:r>
      <w:r>
        <w:t xml:space="preserve"> </w:t>
      </w:r>
      <w:r w:rsidRPr="00326150">
        <w:t>Ye Q, Giatas G, Bice C, Brookes J, Frahn, K, Furst D, Gibbs M, Nicol J, Oliver R, Zampatti B, Bucater L, Deane</w:t>
      </w:r>
      <w:r>
        <w:t xml:space="preserve"> </w:t>
      </w:r>
      <w:r w:rsidRPr="00326150">
        <w:t>D, Hipsey M, Huang P, Lorenz Z, Mills J, Shiel R, Zhai S (2025) Commonwealth Environmental Water</w:t>
      </w:r>
      <w:r>
        <w:t xml:space="preserve"> </w:t>
      </w:r>
      <w:r w:rsidRPr="00326150">
        <w:t>Office Monitoring, Evaluation and Research Program: Lower Murray 2023–24 technical report. Draft</w:t>
      </w:r>
      <w:r>
        <w:t xml:space="preserve"> </w:t>
      </w:r>
      <w:r w:rsidRPr="00326150">
        <w:t>report prepared for the C</w:t>
      </w:r>
      <w:r w:rsidR="006B7A8B">
        <w:t>EWO</w:t>
      </w:r>
      <w:r w:rsidRPr="00326150">
        <w:t xml:space="preserve"> by the South Australian</w:t>
      </w:r>
      <w:r>
        <w:t xml:space="preserve"> </w:t>
      </w:r>
      <w:r w:rsidRPr="00326150">
        <w:t>Research and Development Institute, Aquatic Sciences.</w:t>
      </w:r>
    </w:p>
  </w:footnote>
  <w:footnote w:id="11">
    <w:p w14:paraId="3B4EE857" w14:textId="4B734A72" w:rsidR="009161F0" w:rsidRDefault="009161F0">
      <w:pPr>
        <w:pStyle w:val="FootnoteText"/>
      </w:pPr>
      <w:r>
        <w:rPr>
          <w:rStyle w:val="FootnoteReference"/>
        </w:rPr>
        <w:footnoteRef/>
      </w:r>
      <w:r>
        <w:t xml:space="preserve"> </w:t>
      </w:r>
      <w:r w:rsidRPr="00A23825">
        <w:t>Higgisson W, Broadhurst B, Tschierschke A, Stocks J, van der Meulen D, Kerezsy A, Lenehan J, Thompson R</w:t>
      </w:r>
      <w:r w:rsidR="009F0C21">
        <w:t xml:space="preserve">, </w:t>
      </w:r>
      <w:r w:rsidRPr="00A23825">
        <w:t>Dyer</w:t>
      </w:r>
      <w:r w:rsidRPr="007D0D17">
        <w:t xml:space="preserve"> F (2024)</w:t>
      </w:r>
      <w:r w:rsidRPr="00A23825">
        <w:t xml:space="preserve"> Commonwealth Environmental Water </w:t>
      </w:r>
      <w:r>
        <w:t>Holder</w:t>
      </w:r>
      <w:r w:rsidRPr="00A23825">
        <w:t xml:space="preserve"> Monitoring, Evaluation and Research Program: Lachlan River system Selected Area 2023</w:t>
      </w:r>
      <w:r>
        <w:t>–</w:t>
      </w:r>
      <w:r w:rsidRPr="00A23825">
        <w:t>24 Monitoring, Evaluation and Research Program Summary Report. Commonwealth of Australia</w:t>
      </w:r>
      <w:r w:rsidR="009F0C21">
        <w:t>.</w:t>
      </w:r>
    </w:p>
  </w:footnote>
  <w:footnote w:id="12">
    <w:p w14:paraId="053D6186" w14:textId="1B3E8FE5" w:rsidR="003D47E0" w:rsidRDefault="003D47E0" w:rsidP="005821CB">
      <w:pPr>
        <w:pStyle w:val="DocumentTitle"/>
        <w:spacing w:before="0" w:after="120"/>
      </w:pPr>
      <w:r>
        <w:rPr>
          <w:rStyle w:val="FootnoteReference"/>
        </w:rPr>
        <w:footnoteRef/>
      </w:r>
      <w:r>
        <w:t xml:space="preserve"> </w:t>
      </w:r>
      <w:r w:rsidRPr="005821CB">
        <w:rPr>
          <w:rStyle w:val="FootnoteTextChar"/>
        </w:rPr>
        <w:t xml:space="preserve">Watts RJ, Bond N, Healy S, Liu X, McCasker N, Michie L, Siebers A, Thiem J, and Trethewie J (2022) Commonwealth Environmental Water Office Monitoring, Evaluation and Research Project: Edward/Kolety-Wakool Flow Selected Area Technical Report 2021-22.  Report prepared for </w:t>
      </w:r>
      <w:r w:rsidR="006B7A8B">
        <w:rPr>
          <w:rStyle w:val="FootnoteTextChar"/>
        </w:rPr>
        <w:t>the CEWO</w:t>
      </w:r>
      <w:r w:rsidRPr="005821CB">
        <w:rPr>
          <w:rStyle w:val="FootnoteTextChar"/>
        </w:rPr>
        <w:t>. Commonwealth of Australia.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D27C1" w14:textId="77777777" w:rsidR="00265366" w:rsidRDefault="0026536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6A004" w14:textId="6F27AE94" w:rsidR="00885E1D" w:rsidRDefault="00885E1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88062" w14:textId="60615A13" w:rsidR="00885E1D" w:rsidRPr="00732CAA" w:rsidRDefault="00885E1D" w:rsidP="00732CA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7671B" w14:textId="7065096E" w:rsidR="00885E1D" w:rsidRDefault="00885E1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AA569" w14:textId="7AD668E4" w:rsidR="00885E1D" w:rsidRDefault="00885E1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E5144" w14:textId="0E82FE93" w:rsidR="00885E1D" w:rsidRPr="00732CAA" w:rsidRDefault="00885E1D" w:rsidP="00732CA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1999A" w14:textId="11C983EA" w:rsidR="00885E1D" w:rsidRDefault="00885E1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CA8B9" w14:textId="3968D930" w:rsidR="005C35B0" w:rsidRDefault="005C35B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565B8" w14:textId="0660E3E0" w:rsidR="005C35B0" w:rsidRDefault="005C35B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C14E1" w14:textId="526CF7BC" w:rsidR="005C35B0" w:rsidRDefault="005C35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D2151" w14:textId="77777777" w:rsidR="00265366" w:rsidRDefault="0026536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AA281D" w14:paraId="7D599F37" w14:textId="77777777">
      <w:tc>
        <w:tcPr>
          <w:tcW w:w="3210" w:type="dxa"/>
        </w:tcPr>
        <w:p w14:paraId="732E1F65" w14:textId="77777777" w:rsidR="00AA281D" w:rsidRDefault="00AA281D" w:rsidP="00815F56">
          <w:pPr>
            <w:pStyle w:val="Header"/>
          </w:pPr>
        </w:p>
      </w:tc>
      <w:tc>
        <w:tcPr>
          <w:tcW w:w="3210" w:type="dxa"/>
        </w:tcPr>
        <w:p w14:paraId="4B774A05" w14:textId="77777777" w:rsidR="00AA281D" w:rsidRDefault="00AA281D" w:rsidP="00815F56">
          <w:pPr>
            <w:pStyle w:val="Header"/>
          </w:pPr>
        </w:p>
      </w:tc>
      <w:tc>
        <w:tcPr>
          <w:tcW w:w="3210" w:type="dxa"/>
        </w:tcPr>
        <w:p w14:paraId="3A5F840C" w14:textId="77777777" w:rsidR="00AA281D" w:rsidRDefault="00AA281D" w:rsidP="00815F56">
          <w:pPr>
            <w:pStyle w:val="Header"/>
          </w:pPr>
        </w:p>
      </w:tc>
    </w:tr>
  </w:tbl>
  <w:p w14:paraId="4537D27D" w14:textId="7B4E9CCB" w:rsidR="008F79F6" w:rsidRDefault="008F79F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15021" w14:textId="7BE68DDD" w:rsidR="00885E1D" w:rsidRDefault="00885E1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BF024" w14:textId="56DD517E" w:rsidR="00885E1D" w:rsidRPr="00732CAA" w:rsidRDefault="00885E1D" w:rsidP="00732CA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B6267" w14:textId="1BAAA0C6" w:rsidR="00885E1D" w:rsidRDefault="00885E1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1D525" w14:textId="347A4FA3" w:rsidR="00885E1D" w:rsidRDefault="00885E1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EAB9D" w14:textId="534DF2B6" w:rsidR="00885E1D" w:rsidRPr="00732CAA" w:rsidRDefault="00885E1D" w:rsidP="00732CA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2F7CC" w14:textId="038C3282" w:rsidR="00885E1D" w:rsidRDefault="00885E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51AC91E6"/>
    <w:lvl w:ilvl="0">
      <w:start w:val="1"/>
      <w:numFmt w:val="bullet"/>
      <w:pStyle w:val="ListBullet2"/>
      <w:lvlText w:val="–"/>
      <w:lvlJc w:val="left"/>
      <w:pPr>
        <w:ind w:left="360" w:hanging="360"/>
      </w:pPr>
      <w:rPr>
        <w:rFonts w:ascii="Feijoa Medium" w:hAnsi="Feijoa Medium" w:hint="default"/>
      </w:rPr>
    </w:lvl>
  </w:abstractNum>
  <w:abstractNum w:abstractNumId="3" w15:restartNumberingAfterBreak="0">
    <w:nsid w:val="FFFFFF88"/>
    <w:multiLevelType w:val="singleLevel"/>
    <w:tmpl w:val="AF54C46E"/>
    <w:lvl w:ilvl="0">
      <w:start w:val="1"/>
      <w:numFmt w:val="decimal"/>
      <w:pStyle w:val="ListBullet4"/>
      <w:lvlText w:val="%1."/>
      <w:lvlJc w:val="left"/>
      <w:pPr>
        <w:ind w:left="360" w:hanging="360"/>
      </w:pPr>
      <w:rPr>
        <w:rFonts w:cs="Times New Roman"/>
      </w:rPr>
    </w:lvl>
  </w:abstractNum>
  <w:abstractNum w:abstractNumId="4" w15:restartNumberingAfterBreak="0">
    <w:nsid w:val="FFFFFF89"/>
    <w:multiLevelType w:val="singleLevel"/>
    <w:tmpl w:val="4B48748A"/>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6" w15:restartNumberingAfterBreak="0">
    <w:nsid w:val="018C1658"/>
    <w:multiLevelType w:val="hybridMultilevel"/>
    <w:tmpl w:val="8FB0E45A"/>
    <w:lvl w:ilvl="0" w:tplc="1CF2E2E2">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1CA5F61"/>
    <w:multiLevelType w:val="hybridMultilevel"/>
    <w:tmpl w:val="AA74C5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32B3234"/>
    <w:multiLevelType w:val="hybridMultilevel"/>
    <w:tmpl w:val="6AB63F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4F5503B"/>
    <w:multiLevelType w:val="hybridMultilevel"/>
    <w:tmpl w:val="6C487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5D0311C"/>
    <w:multiLevelType w:val="hybridMultilevel"/>
    <w:tmpl w:val="6D1AF8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7B02BB3"/>
    <w:multiLevelType w:val="hybridMultilevel"/>
    <w:tmpl w:val="6E7E74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1149AC"/>
    <w:multiLevelType w:val="hybridMultilevel"/>
    <w:tmpl w:val="0BC4B5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02564E"/>
    <w:multiLevelType w:val="hybridMultilevel"/>
    <w:tmpl w:val="62F6D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5"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7"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8" w15:restartNumberingAfterBreak="0">
    <w:nsid w:val="2B940E67"/>
    <w:multiLevelType w:val="hybridMultilevel"/>
    <w:tmpl w:val="91EC73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CDA69B8"/>
    <w:multiLevelType w:val="hybridMultilevel"/>
    <w:tmpl w:val="0E0E9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FEC0128"/>
    <w:multiLevelType w:val="multilevel"/>
    <w:tmpl w:val="1B3AC4AC"/>
    <w:lvl w:ilvl="0">
      <w:start w:val="1"/>
      <w:numFmt w:val="bullet"/>
      <w:lvlText w:val=""/>
      <w:lvlJc w:val="left"/>
      <w:pPr>
        <w:ind w:left="454" w:hanging="22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1500C5A"/>
    <w:multiLevelType w:val="hybridMultilevel"/>
    <w:tmpl w:val="F91897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3" w15:restartNumberingAfterBreak="0">
    <w:nsid w:val="3DB464FD"/>
    <w:multiLevelType w:val="multilevel"/>
    <w:tmpl w:val="F62CB8A8"/>
    <w:lvl w:ilvl="0">
      <w:start w:val="1"/>
      <w:numFmt w:val="bullet"/>
      <w:lvlText w:val=""/>
      <w:lvlJc w:val="left"/>
      <w:pPr>
        <w:ind w:left="482" w:hanging="198"/>
      </w:pPr>
      <w:rPr>
        <w:rFonts w:ascii="Symbol" w:hAnsi="Symbol" w:hint="default"/>
      </w:rPr>
    </w:lvl>
    <w:lvl w:ilvl="1">
      <w:start w:val="1"/>
      <w:numFmt w:val="bullet"/>
      <w:lvlText w:val="o"/>
      <w:lvlJc w:val="left"/>
      <w:pPr>
        <w:ind w:left="1364" w:hanging="360"/>
      </w:pPr>
      <w:rPr>
        <w:rFonts w:ascii="Courier New" w:hAnsi="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hint="default"/>
      </w:rPr>
    </w:lvl>
    <w:lvl w:ilvl="8">
      <w:start w:val="1"/>
      <w:numFmt w:val="bullet"/>
      <w:lvlText w:val=""/>
      <w:lvlJc w:val="left"/>
      <w:pPr>
        <w:ind w:left="6404" w:hanging="360"/>
      </w:pPr>
      <w:rPr>
        <w:rFonts w:ascii="Wingdings" w:hAnsi="Wingdings" w:hint="default"/>
      </w:rPr>
    </w:lvl>
  </w:abstractNum>
  <w:abstractNum w:abstractNumId="24" w15:restartNumberingAfterBreak="0">
    <w:nsid w:val="3EA7459B"/>
    <w:multiLevelType w:val="multilevel"/>
    <w:tmpl w:val="002CF3BC"/>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5" w15:restartNumberingAfterBreak="0">
    <w:nsid w:val="400A01B7"/>
    <w:multiLevelType w:val="hybridMultilevel"/>
    <w:tmpl w:val="E9FAC0D0"/>
    <w:lvl w:ilvl="0" w:tplc="5DD4FC48">
      <w:start w:val="1"/>
      <w:numFmt w:val="bullet"/>
      <w:pStyle w:val="ListBullet1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7" w15:restartNumberingAfterBreak="0">
    <w:nsid w:val="50785A3C"/>
    <w:multiLevelType w:val="hybridMultilevel"/>
    <w:tmpl w:val="4FCA59B4"/>
    <w:lvl w:ilvl="0" w:tplc="FBF233AA">
      <w:start w:val="5"/>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0AC249C"/>
    <w:multiLevelType w:val="hybridMultilevel"/>
    <w:tmpl w:val="61D82F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23D2956"/>
    <w:multiLevelType w:val="hybridMultilevel"/>
    <w:tmpl w:val="0E6EF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9444BE6"/>
    <w:multiLevelType w:val="multilevel"/>
    <w:tmpl w:val="AEEE7BA2"/>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1"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2"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3" w15:restartNumberingAfterBreak="0">
    <w:nsid w:val="62EA6A2A"/>
    <w:multiLevelType w:val="multilevel"/>
    <w:tmpl w:val="A060330E"/>
    <w:lvl w:ilvl="0">
      <w:start w:val="1"/>
      <w:numFmt w:val="bullet"/>
      <w:lvlText w:val=""/>
      <w:lvlJc w:val="left"/>
      <w:pPr>
        <w:ind w:left="482" w:hanging="198"/>
      </w:pPr>
      <w:rPr>
        <w:rFonts w:ascii="Symbol" w:hAnsi="Symbol" w:hint="default"/>
      </w:rPr>
    </w:lvl>
    <w:lvl w:ilvl="1">
      <w:start w:val="1"/>
      <w:numFmt w:val="bullet"/>
      <w:lvlText w:val="–"/>
      <w:lvlJc w:val="left"/>
      <w:pPr>
        <w:ind w:left="680" w:hanging="198"/>
      </w:pPr>
      <w:rPr>
        <w:rFonts w:ascii="Arial" w:hAnsi="Arial" w:hint="default"/>
      </w:rPr>
    </w:lvl>
    <w:lvl w:ilvl="2">
      <w:start w:val="1"/>
      <w:numFmt w:val="bullet"/>
      <w:lvlText w:val=""/>
      <w:lvlJc w:val="left"/>
      <w:pPr>
        <w:ind w:left="879" w:hanging="199"/>
      </w:pPr>
      <w:rPr>
        <w:rFonts w:ascii="Symbol" w:hAnsi="Symbol"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4" w15:restartNumberingAfterBreak="0">
    <w:nsid w:val="66063429"/>
    <w:multiLevelType w:val="multilevel"/>
    <w:tmpl w:val="DE34131C"/>
    <w:lvl w:ilvl="0">
      <w:start w:val="1"/>
      <w:numFmt w:val="upperLetter"/>
      <w:pStyle w:val="AppendixHeading1base"/>
      <w:lvlText w:val="Appendix %1"/>
      <w:lvlJc w:val="left"/>
      <w:pPr>
        <w:ind w:left="1984" w:firstLine="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5" w15:restartNumberingAfterBreak="0">
    <w:nsid w:val="6AE7601C"/>
    <w:multiLevelType w:val="hybridMultilevel"/>
    <w:tmpl w:val="DEA26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D94075D"/>
    <w:multiLevelType w:val="hybridMultilevel"/>
    <w:tmpl w:val="6C6A7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E5B7A6D"/>
    <w:multiLevelType w:val="hybridMultilevel"/>
    <w:tmpl w:val="0BC86C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FA22621"/>
    <w:multiLevelType w:val="hybridMultilevel"/>
    <w:tmpl w:val="40CA1660"/>
    <w:lvl w:ilvl="0" w:tplc="AAD8CE58">
      <w:start w:val="1"/>
      <w:numFmt w:val="bullet"/>
      <w:lvlText w:val=""/>
      <w:lvlJc w:val="left"/>
      <w:pPr>
        <w:ind w:left="720" w:hanging="360"/>
      </w:pPr>
      <w:rPr>
        <w:rFonts w:ascii="Symbol" w:hAnsi="Symbol" w:hint="default"/>
      </w:rPr>
    </w:lvl>
    <w:lvl w:ilvl="1" w:tplc="AC40A7B6">
      <w:start w:val="1"/>
      <w:numFmt w:val="bullet"/>
      <w:lvlText w:val="o"/>
      <w:lvlJc w:val="left"/>
      <w:pPr>
        <w:ind w:left="1440" w:hanging="360"/>
      </w:pPr>
      <w:rPr>
        <w:rFonts w:ascii="Courier New" w:hAnsi="Courier New" w:hint="default"/>
      </w:rPr>
    </w:lvl>
    <w:lvl w:ilvl="2" w:tplc="946A1314">
      <w:start w:val="1"/>
      <w:numFmt w:val="bullet"/>
      <w:lvlText w:val=""/>
      <w:lvlJc w:val="left"/>
      <w:pPr>
        <w:ind w:left="2160" w:hanging="360"/>
      </w:pPr>
      <w:rPr>
        <w:rFonts w:ascii="Wingdings" w:hAnsi="Wingdings" w:hint="default"/>
      </w:rPr>
    </w:lvl>
    <w:lvl w:ilvl="3" w:tplc="3B20C972">
      <w:start w:val="1"/>
      <w:numFmt w:val="bullet"/>
      <w:lvlText w:val=""/>
      <w:lvlJc w:val="left"/>
      <w:pPr>
        <w:ind w:left="2880" w:hanging="360"/>
      </w:pPr>
      <w:rPr>
        <w:rFonts w:ascii="Symbol" w:hAnsi="Symbol" w:hint="default"/>
      </w:rPr>
    </w:lvl>
    <w:lvl w:ilvl="4" w:tplc="B9E06CDA">
      <w:start w:val="1"/>
      <w:numFmt w:val="bullet"/>
      <w:lvlText w:val="o"/>
      <w:lvlJc w:val="left"/>
      <w:pPr>
        <w:ind w:left="3600" w:hanging="360"/>
      </w:pPr>
      <w:rPr>
        <w:rFonts w:ascii="Courier New" w:hAnsi="Courier New" w:hint="default"/>
      </w:rPr>
    </w:lvl>
    <w:lvl w:ilvl="5" w:tplc="6EC6F9A6">
      <w:start w:val="1"/>
      <w:numFmt w:val="bullet"/>
      <w:lvlText w:val=""/>
      <w:lvlJc w:val="left"/>
      <w:pPr>
        <w:ind w:left="4320" w:hanging="360"/>
      </w:pPr>
      <w:rPr>
        <w:rFonts w:ascii="Wingdings" w:hAnsi="Wingdings" w:hint="default"/>
      </w:rPr>
    </w:lvl>
    <w:lvl w:ilvl="6" w:tplc="211C84E8">
      <w:start w:val="1"/>
      <w:numFmt w:val="bullet"/>
      <w:lvlText w:val=""/>
      <w:lvlJc w:val="left"/>
      <w:pPr>
        <w:ind w:left="5040" w:hanging="360"/>
      </w:pPr>
      <w:rPr>
        <w:rFonts w:ascii="Symbol" w:hAnsi="Symbol" w:hint="default"/>
      </w:rPr>
    </w:lvl>
    <w:lvl w:ilvl="7" w:tplc="1EA88082">
      <w:start w:val="1"/>
      <w:numFmt w:val="bullet"/>
      <w:lvlText w:val="o"/>
      <w:lvlJc w:val="left"/>
      <w:pPr>
        <w:ind w:left="5760" w:hanging="360"/>
      </w:pPr>
      <w:rPr>
        <w:rFonts w:ascii="Courier New" w:hAnsi="Courier New" w:hint="default"/>
      </w:rPr>
    </w:lvl>
    <w:lvl w:ilvl="8" w:tplc="700273E2">
      <w:start w:val="1"/>
      <w:numFmt w:val="bullet"/>
      <w:lvlText w:val=""/>
      <w:lvlJc w:val="left"/>
      <w:pPr>
        <w:ind w:left="6480" w:hanging="360"/>
      </w:pPr>
      <w:rPr>
        <w:rFonts w:ascii="Wingdings" w:hAnsi="Wingdings" w:hint="default"/>
      </w:rPr>
    </w:lvl>
  </w:abstractNum>
  <w:abstractNum w:abstractNumId="39" w15:restartNumberingAfterBreak="0">
    <w:nsid w:val="75395672"/>
    <w:multiLevelType w:val="hybridMultilevel"/>
    <w:tmpl w:val="5652D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B43B03"/>
    <w:multiLevelType w:val="hybridMultilevel"/>
    <w:tmpl w:val="29AC1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6707ED8"/>
    <w:multiLevelType w:val="hybridMultilevel"/>
    <w:tmpl w:val="0470AB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8982EB3"/>
    <w:multiLevelType w:val="hybridMultilevel"/>
    <w:tmpl w:val="7908B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8994E1B"/>
    <w:multiLevelType w:val="hybridMultilevel"/>
    <w:tmpl w:val="3F261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9353918">
    <w:abstractNumId w:val="38"/>
  </w:num>
  <w:num w:numId="2" w16cid:durableId="1211846899">
    <w:abstractNumId w:val="23"/>
  </w:num>
  <w:num w:numId="3" w16cid:durableId="1755973260">
    <w:abstractNumId w:val="20"/>
  </w:num>
  <w:num w:numId="4" w16cid:durableId="1963153317">
    <w:abstractNumId w:val="26"/>
  </w:num>
  <w:num w:numId="5" w16cid:durableId="2140293538">
    <w:abstractNumId w:val="16"/>
  </w:num>
  <w:num w:numId="6" w16cid:durableId="687290183">
    <w:abstractNumId w:val="15"/>
  </w:num>
  <w:num w:numId="7" w16cid:durableId="1253930567">
    <w:abstractNumId w:val="31"/>
  </w:num>
  <w:num w:numId="8" w16cid:durableId="809713718">
    <w:abstractNumId w:val="22"/>
  </w:num>
  <w:num w:numId="9" w16cid:durableId="114837540">
    <w:abstractNumId w:val="17"/>
  </w:num>
  <w:num w:numId="10" w16cid:durableId="578907056">
    <w:abstractNumId w:val="32"/>
  </w:num>
  <w:num w:numId="11" w16cid:durableId="544802109">
    <w:abstractNumId w:val="24"/>
  </w:num>
  <w:num w:numId="12" w16cid:durableId="353115367">
    <w:abstractNumId w:val="5"/>
  </w:num>
  <w:num w:numId="13" w16cid:durableId="941257025">
    <w:abstractNumId w:val="6"/>
  </w:num>
  <w:num w:numId="14" w16cid:durableId="1245187776">
    <w:abstractNumId w:val="30"/>
  </w:num>
  <w:num w:numId="15" w16cid:durableId="268245764">
    <w:abstractNumId w:val="24"/>
  </w:num>
  <w:num w:numId="16" w16cid:durableId="739867559">
    <w:abstractNumId w:val="34"/>
  </w:num>
  <w:num w:numId="17" w16cid:durableId="1960263228">
    <w:abstractNumId w:val="25"/>
  </w:num>
  <w:num w:numId="18" w16cid:durableId="1568803574">
    <w:abstractNumId w:val="3"/>
  </w:num>
  <w:num w:numId="19" w16cid:durableId="741950350">
    <w:abstractNumId w:val="2"/>
  </w:num>
  <w:num w:numId="20" w16cid:durableId="1100565242">
    <w:abstractNumId w:val="14"/>
  </w:num>
  <w:num w:numId="21" w16cid:durableId="342126315">
    <w:abstractNumId w:val="1"/>
  </w:num>
  <w:num w:numId="22" w16cid:durableId="240528832">
    <w:abstractNumId w:val="0"/>
  </w:num>
  <w:num w:numId="23" w16cid:durableId="479079420">
    <w:abstractNumId w:val="15"/>
  </w:num>
  <w:num w:numId="24" w16cid:durableId="375663663">
    <w:abstractNumId w:val="33"/>
  </w:num>
  <w:num w:numId="25" w16cid:durableId="1381781151">
    <w:abstractNumId w:val="39"/>
  </w:num>
  <w:num w:numId="26" w16cid:durableId="164170337">
    <w:abstractNumId w:val="4"/>
  </w:num>
  <w:num w:numId="27" w16cid:durableId="40517031">
    <w:abstractNumId w:val="41"/>
  </w:num>
  <w:num w:numId="28" w16cid:durableId="505828056">
    <w:abstractNumId w:val="27"/>
  </w:num>
  <w:num w:numId="29" w16cid:durableId="2127195272">
    <w:abstractNumId w:val="42"/>
  </w:num>
  <w:num w:numId="30" w16cid:durableId="691104511">
    <w:abstractNumId w:val="13"/>
  </w:num>
  <w:num w:numId="31" w16cid:durableId="433594382">
    <w:abstractNumId w:val="8"/>
  </w:num>
  <w:num w:numId="32" w16cid:durableId="1937253394">
    <w:abstractNumId w:val="36"/>
  </w:num>
  <w:num w:numId="33" w16cid:durableId="871190812">
    <w:abstractNumId w:val="37"/>
  </w:num>
  <w:num w:numId="34" w16cid:durableId="488643047">
    <w:abstractNumId w:val="43"/>
  </w:num>
  <w:num w:numId="35" w16cid:durableId="704329630">
    <w:abstractNumId w:val="40"/>
  </w:num>
  <w:num w:numId="36" w16cid:durableId="1791632419">
    <w:abstractNumId w:val="10"/>
  </w:num>
  <w:num w:numId="37" w16cid:durableId="961157250">
    <w:abstractNumId w:val="35"/>
  </w:num>
  <w:num w:numId="38" w16cid:durableId="863521304">
    <w:abstractNumId w:val="21"/>
  </w:num>
  <w:num w:numId="39" w16cid:durableId="284115263">
    <w:abstractNumId w:val="28"/>
  </w:num>
  <w:num w:numId="40" w16cid:durableId="20909894">
    <w:abstractNumId w:val="33"/>
  </w:num>
  <w:num w:numId="41" w16cid:durableId="669260631">
    <w:abstractNumId w:val="9"/>
  </w:num>
  <w:num w:numId="42" w16cid:durableId="1975600993">
    <w:abstractNumId w:val="11"/>
  </w:num>
  <w:num w:numId="43" w16cid:durableId="1234125274">
    <w:abstractNumId w:val="12"/>
  </w:num>
  <w:num w:numId="44" w16cid:durableId="984167788">
    <w:abstractNumId w:val="19"/>
  </w:num>
  <w:num w:numId="45" w16cid:durableId="1895461899">
    <w:abstractNumId w:val="18"/>
  </w:num>
  <w:num w:numId="46" w16cid:durableId="544021987">
    <w:abstractNumId w:val="29"/>
  </w:num>
  <w:num w:numId="47" w16cid:durableId="1108770710">
    <w:abstractNumId w:val="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ocumentProtection w:edit="comments" w:enforcement="0"/>
  <w:defaultTabStop w:val="720"/>
  <w:defaultTableStyle w:val="ListTable3-Accent2"/>
  <w:evenAndOddHeaders/>
  <w:drawingGridHorizontalSpacing w:val="100"/>
  <w:displayHorizontalDrawingGridEvery w:val="2"/>
  <w:characterSpacingControl w:val="doNotCompress"/>
  <w:hdrShapeDefaults>
    <o:shapedefaults v:ext="edit" spidmax="2050" style="mso-position-vertical-relative:page;v-text-anchor:bottom" fill="f" fillcolor="white" stroke="f">
      <v:fill color="white" on="f"/>
      <v:stroke on="f"/>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dgnword-docGUID" w:val="{6335D4EE-B559-474F-9773-B953D14E58FB}"/>
    <w:docVar w:name="dgnword-eventsink" w:val="1338883182640"/>
    <w:docVar w:name="EN.InstantFormat" w:val="&lt;ENInstantFormat&gt;&lt;Enabled&gt;0&lt;/Enabled&gt;&lt;ScanUnformatted&gt;1&lt;/ScanUnformatted&gt;&lt;ScanChanges&gt;1&lt;/ScanChanges&gt;&lt;Suspended&gt;0&lt;/Suspended&gt;&lt;/ENInstantFormat&gt;"/>
    <w:docVar w:name="EN.Layout" w:val="&lt;ENLayout&gt;&lt;Style&gt;Ec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FC6A95"/>
    <w:rsid w:val="0000004F"/>
    <w:rsid w:val="0000008A"/>
    <w:rsid w:val="000000C7"/>
    <w:rsid w:val="000000CC"/>
    <w:rsid w:val="00000126"/>
    <w:rsid w:val="00000282"/>
    <w:rsid w:val="000003B0"/>
    <w:rsid w:val="00000404"/>
    <w:rsid w:val="00000522"/>
    <w:rsid w:val="0000067E"/>
    <w:rsid w:val="0000068F"/>
    <w:rsid w:val="000006C4"/>
    <w:rsid w:val="00000759"/>
    <w:rsid w:val="0000084A"/>
    <w:rsid w:val="000008C7"/>
    <w:rsid w:val="0000093C"/>
    <w:rsid w:val="00000AF5"/>
    <w:rsid w:val="00000BD4"/>
    <w:rsid w:val="00000D68"/>
    <w:rsid w:val="00000E30"/>
    <w:rsid w:val="00000EEA"/>
    <w:rsid w:val="00000EEE"/>
    <w:rsid w:val="00000FDA"/>
    <w:rsid w:val="0000102F"/>
    <w:rsid w:val="00001037"/>
    <w:rsid w:val="00001104"/>
    <w:rsid w:val="00001149"/>
    <w:rsid w:val="00001395"/>
    <w:rsid w:val="000013C7"/>
    <w:rsid w:val="000013CF"/>
    <w:rsid w:val="000014E0"/>
    <w:rsid w:val="00001649"/>
    <w:rsid w:val="00001668"/>
    <w:rsid w:val="00001834"/>
    <w:rsid w:val="00001864"/>
    <w:rsid w:val="0000195D"/>
    <w:rsid w:val="000019D3"/>
    <w:rsid w:val="00001A25"/>
    <w:rsid w:val="00001A8B"/>
    <w:rsid w:val="00001BBE"/>
    <w:rsid w:val="00001CC2"/>
    <w:rsid w:val="00001D61"/>
    <w:rsid w:val="00001E16"/>
    <w:rsid w:val="00002049"/>
    <w:rsid w:val="00002111"/>
    <w:rsid w:val="0000218C"/>
    <w:rsid w:val="0000219F"/>
    <w:rsid w:val="000022C9"/>
    <w:rsid w:val="00002304"/>
    <w:rsid w:val="00002492"/>
    <w:rsid w:val="00002656"/>
    <w:rsid w:val="00002687"/>
    <w:rsid w:val="000026B4"/>
    <w:rsid w:val="000027B9"/>
    <w:rsid w:val="00002981"/>
    <w:rsid w:val="0000299A"/>
    <w:rsid w:val="000029D0"/>
    <w:rsid w:val="00002AA7"/>
    <w:rsid w:val="00002B4A"/>
    <w:rsid w:val="00002BB8"/>
    <w:rsid w:val="00002DC6"/>
    <w:rsid w:val="00002F5C"/>
    <w:rsid w:val="0000307B"/>
    <w:rsid w:val="000031E1"/>
    <w:rsid w:val="00003265"/>
    <w:rsid w:val="000033BF"/>
    <w:rsid w:val="00003455"/>
    <w:rsid w:val="0000363C"/>
    <w:rsid w:val="00003684"/>
    <w:rsid w:val="00003760"/>
    <w:rsid w:val="000037D7"/>
    <w:rsid w:val="00003977"/>
    <w:rsid w:val="000039A4"/>
    <w:rsid w:val="00003BC9"/>
    <w:rsid w:val="00003CF8"/>
    <w:rsid w:val="00003D02"/>
    <w:rsid w:val="00003DBC"/>
    <w:rsid w:val="00003E74"/>
    <w:rsid w:val="00003EF6"/>
    <w:rsid w:val="00003FED"/>
    <w:rsid w:val="00004209"/>
    <w:rsid w:val="00004237"/>
    <w:rsid w:val="0000438D"/>
    <w:rsid w:val="000043B0"/>
    <w:rsid w:val="000043B4"/>
    <w:rsid w:val="000046D9"/>
    <w:rsid w:val="00004739"/>
    <w:rsid w:val="0000488C"/>
    <w:rsid w:val="00004935"/>
    <w:rsid w:val="00004A0C"/>
    <w:rsid w:val="00004DF0"/>
    <w:rsid w:val="00004FAE"/>
    <w:rsid w:val="00005029"/>
    <w:rsid w:val="0000504D"/>
    <w:rsid w:val="000050A3"/>
    <w:rsid w:val="000050AE"/>
    <w:rsid w:val="000050AF"/>
    <w:rsid w:val="000051CB"/>
    <w:rsid w:val="000051F3"/>
    <w:rsid w:val="000052D9"/>
    <w:rsid w:val="0000538B"/>
    <w:rsid w:val="00005406"/>
    <w:rsid w:val="0000548D"/>
    <w:rsid w:val="00005546"/>
    <w:rsid w:val="00005788"/>
    <w:rsid w:val="0000579C"/>
    <w:rsid w:val="000057D4"/>
    <w:rsid w:val="00005801"/>
    <w:rsid w:val="00005C05"/>
    <w:rsid w:val="00005C6B"/>
    <w:rsid w:val="00005D6A"/>
    <w:rsid w:val="00005F42"/>
    <w:rsid w:val="0000607A"/>
    <w:rsid w:val="0000627F"/>
    <w:rsid w:val="0000630C"/>
    <w:rsid w:val="000063A3"/>
    <w:rsid w:val="000063DB"/>
    <w:rsid w:val="00006458"/>
    <w:rsid w:val="000064F3"/>
    <w:rsid w:val="0000652B"/>
    <w:rsid w:val="0000670B"/>
    <w:rsid w:val="000067A2"/>
    <w:rsid w:val="0000695E"/>
    <w:rsid w:val="000069D6"/>
    <w:rsid w:val="00006ACC"/>
    <w:rsid w:val="00006BAA"/>
    <w:rsid w:val="00006CD9"/>
    <w:rsid w:val="00006E9D"/>
    <w:rsid w:val="000070C9"/>
    <w:rsid w:val="000071A8"/>
    <w:rsid w:val="000073B0"/>
    <w:rsid w:val="000074BC"/>
    <w:rsid w:val="000074BD"/>
    <w:rsid w:val="0000751A"/>
    <w:rsid w:val="0000751D"/>
    <w:rsid w:val="00007582"/>
    <w:rsid w:val="00007617"/>
    <w:rsid w:val="00007637"/>
    <w:rsid w:val="000077AE"/>
    <w:rsid w:val="000077C6"/>
    <w:rsid w:val="000077EB"/>
    <w:rsid w:val="000078DE"/>
    <w:rsid w:val="00007966"/>
    <w:rsid w:val="00007A30"/>
    <w:rsid w:val="00007ACA"/>
    <w:rsid w:val="00007B3A"/>
    <w:rsid w:val="00007B3E"/>
    <w:rsid w:val="00007DF2"/>
    <w:rsid w:val="00007F47"/>
    <w:rsid w:val="0000FE68"/>
    <w:rsid w:val="00010003"/>
    <w:rsid w:val="00010032"/>
    <w:rsid w:val="00010097"/>
    <w:rsid w:val="00010129"/>
    <w:rsid w:val="00010198"/>
    <w:rsid w:val="000104D3"/>
    <w:rsid w:val="000105C6"/>
    <w:rsid w:val="00010631"/>
    <w:rsid w:val="000106CE"/>
    <w:rsid w:val="00010792"/>
    <w:rsid w:val="0001081A"/>
    <w:rsid w:val="0001088A"/>
    <w:rsid w:val="000108F1"/>
    <w:rsid w:val="00010966"/>
    <w:rsid w:val="000109FC"/>
    <w:rsid w:val="00010A45"/>
    <w:rsid w:val="00010A76"/>
    <w:rsid w:val="00010AB2"/>
    <w:rsid w:val="00010B9A"/>
    <w:rsid w:val="00010BB3"/>
    <w:rsid w:val="00010C90"/>
    <w:rsid w:val="00010D00"/>
    <w:rsid w:val="00010DFE"/>
    <w:rsid w:val="0001127A"/>
    <w:rsid w:val="00011402"/>
    <w:rsid w:val="00011435"/>
    <w:rsid w:val="000114E8"/>
    <w:rsid w:val="00011508"/>
    <w:rsid w:val="0001150E"/>
    <w:rsid w:val="00011520"/>
    <w:rsid w:val="0001161E"/>
    <w:rsid w:val="0001165E"/>
    <w:rsid w:val="000117DA"/>
    <w:rsid w:val="000117DD"/>
    <w:rsid w:val="00011881"/>
    <w:rsid w:val="00011C95"/>
    <w:rsid w:val="00011CD7"/>
    <w:rsid w:val="00011FC6"/>
    <w:rsid w:val="00011FEC"/>
    <w:rsid w:val="00012089"/>
    <w:rsid w:val="000120F3"/>
    <w:rsid w:val="000121F1"/>
    <w:rsid w:val="0001230A"/>
    <w:rsid w:val="00012346"/>
    <w:rsid w:val="00012553"/>
    <w:rsid w:val="000126EB"/>
    <w:rsid w:val="00012734"/>
    <w:rsid w:val="0001289A"/>
    <w:rsid w:val="000128BA"/>
    <w:rsid w:val="000128DA"/>
    <w:rsid w:val="00012978"/>
    <w:rsid w:val="00012B17"/>
    <w:rsid w:val="00012B4D"/>
    <w:rsid w:val="00012B9D"/>
    <w:rsid w:val="00012BBD"/>
    <w:rsid w:val="00012BDD"/>
    <w:rsid w:val="00012BF3"/>
    <w:rsid w:val="00012C5F"/>
    <w:rsid w:val="00012D51"/>
    <w:rsid w:val="00012E8B"/>
    <w:rsid w:val="00012EC6"/>
    <w:rsid w:val="00012FD1"/>
    <w:rsid w:val="00012FD3"/>
    <w:rsid w:val="0001304F"/>
    <w:rsid w:val="00013128"/>
    <w:rsid w:val="00013150"/>
    <w:rsid w:val="000131E1"/>
    <w:rsid w:val="0001321F"/>
    <w:rsid w:val="0001322B"/>
    <w:rsid w:val="000133C7"/>
    <w:rsid w:val="00013474"/>
    <w:rsid w:val="00013698"/>
    <w:rsid w:val="00013733"/>
    <w:rsid w:val="000139D7"/>
    <w:rsid w:val="00013A07"/>
    <w:rsid w:val="00013B4D"/>
    <w:rsid w:val="00013D5E"/>
    <w:rsid w:val="00013DE0"/>
    <w:rsid w:val="00013E45"/>
    <w:rsid w:val="00013EB8"/>
    <w:rsid w:val="00013F55"/>
    <w:rsid w:val="00013FF1"/>
    <w:rsid w:val="0001414B"/>
    <w:rsid w:val="0001418B"/>
    <w:rsid w:val="00014221"/>
    <w:rsid w:val="0001429C"/>
    <w:rsid w:val="000142CD"/>
    <w:rsid w:val="0001434D"/>
    <w:rsid w:val="0001442B"/>
    <w:rsid w:val="00014504"/>
    <w:rsid w:val="00014519"/>
    <w:rsid w:val="00014639"/>
    <w:rsid w:val="00014759"/>
    <w:rsid w:val="00014835"/>
    <w:rsid w:val="00014935"/>
    <w:rsid w:val="00014A23"/>
    <w:rsid w:val="00014AA1"/>
    <w:rsid w:val="00014ACB"/>
    <w:rsid w:val="00014B16"/>
    <w:rsid w:val="00014BBB"/>
    <w:rsid w:val="00014D1E"/>
    <w:rsid w:val="00014E12"/>
    <w:rsid w:val="00014EAE"/>
    <w:rsid w:val="00014EBE"/>
    <w:rsid w:val="00014FB8"/>
    <w:rsid w:val="00014FE3"/>
    <w:rsid w:val="0001509A"/>
    <w:rsid w:val="00015336"/>
    <w:rsid w:val="000154AC"/>
    <w:rsid w:val="00015521"/>
    <w:rsid w:val="0001564C"/>
    <w:rsid w:val="00015652"/>
    <w:rsid w:val="000158A0"/>
    <w:rsid w:val="00015A6A"/>
    <w:rsid w:val="00015B41"/>
    <w:rsid w:val="00015BEB"/>
    <w:rsid w:val="00015CF3"/>
    <w:rsid w:val="00015E82"/>
    <w:rsid w:val="00015E88"/>
    <w:rsid w:val="00015FA4"/>
    <w:rsid w:val="00016068"/>
    <w:rsid w:val="000160DD"/>
    <w:rsid w:val="000160FF"/>
    <w:rsid w:val="00016130"/>
    <w:rsid w:val="00016139"/>
    <w:rsid w:val="000161FD"/>
    <w:rsid w:val="0001625D"/>
    <w:rsid w:val="00016285"/>
    <w:rsid w:val="00016308"/>
    <w:rsid w:val="0001635C"/>
    <w:rsid w:val="00016387"/>
    <w:rsid w:val="0001640E"/>
    <w:rsid w:val="00016543"/>
    <w:rsid w:val="00016549"/>
    <w:rsid w:val="0001668B"/>
    <w:rsid w:val="0001675A"/>
    <w:rsid w:val="00016786"/>
    <w:rsid w:val="000168E7"/>
    <w:rsid w:val="000169B6"/>
    <w:rsid w:val="000169FA"/>
    <w:rsid w:val="00016B27"/>
    <w:rsid w:val="00016B85"/>
    <w:rsid w:val="00016CF8"/>
    <w:rsid w:val="00016D98"/>
    <w:rsid w:val="000170DA"/>
    <w:rsid w:val="000172EB"/>
    <w:rsid w:val="00017543"/>
    <w:rsid w:val="0001768E"/>
    <w:rsid w:val="00017719"/>
    <w:rsid w:val="00017753"/>
    <w:rsid w:val="0001775B"/>
    <w:rsid w:val="0001776A"/>
    <w:rsid w:val="00017779"/>
    <w:rsid w:val="00017800"/>
    <w:rsid w:val="00017825"/>
    <w:rsid w:val="000178B1"/>
    <w:rsid w:val="000178FB"/>
    <w:rsid w:val="00017AF1"/>
    <w:rsid w:val="00017B0D"/>
    <w:rsid w:val="00017C67"/>
    <w:rsid w:val="00017DF9"/>
    <w:rsid w:val="00017EA7"/>
    <w:rsid w:val="00017FD0"/>
    <w:rsid w:val="0002000D"/>
    <w:rsid w:val="000200B4"/>
    <w:rsid w:val="000201EC"/>
    <w:rsid w:val="0002029B"/>
    <w:rsid w:val="000202C8"/>
    <w:rsid w:val="0002036C"/>
    <w:rsid w:val="0002036F"/>
    <w:rsid w:val="000203DE"/>
    <w:rsid w:val="000204A8"/>
    <w:rsid w:val="000204B4"/>
    <w:rsid w:val="000204BC"/>
    <w:rsid w:val="00020559"/>
    <w:rsid w:val="000205EF"/>
    <w:rsid w:val="0002079C"/>
    <w:rsid w:val="00020954"/>
    <w:rsid w:val="000209B2"/>
    <w:rsid w:val="00020A3A"/>
    <w:rsid w:val="00020A53"/>
    <w:rsid w:val="00020AAB"/>
    <w:rsid w:val="00020B05"/>
    <w:rsid w:val="00020B31"/>
    <w:rsid w:val="00020C62"/>
    <w:rsid w:val="00020C86"/>
    <w:rsid w:val="00020D53"/>
    <w:rsid w:val="00020D73"/>
    <w:rsid w:val="00020E6F"/>
    <w:rsid w:val="00021031"/>
    <w:rsid w:val="00021094"/>
    <w:rsid w:val="000210F6"/>
    <w:rsid w:val="0002110D"/>
    <w:rsid w:val="00021215"/>
    <w:rsid w:val="00021312"/>
    <w:rsid w:val="000213B8"/>
    <w:rsid w:val="0002143E"/>
    <w:rsid w:val="0002146E"/>
    <w:rsid w:val="00021532"/>
    <w:rsid w:val="00021767"/>
    <w:rsid w:val="000217AC"/>
    <w:rsid w:val="00021811"/>
    <w:rsid w:val="00021852"/>
    <w:rsid w:val="00021906"/>
    <w:rsid w:val="0002191D"/>
    <w:rsid w:val="00021A81"/>
    <w:rsid w:val="00021BD0"/>
    <w:rsid w:val="00021F8A"/>
    <w:rsid w:val="00021FFA"/>
    <w:rsid w:val="000220CD"/>
    <w:rsid w:val="0002210B"/>
    <w:rsid w:val="0002216E"/>
    <w:rsid w:val="000222FB"/>
    <w:rsid w:val="00022445"/>
    <w:rsid w:val="00022474"/>
    <w:rsid w:val="000224A2"/>
    <w:rsid w:val="000224B4"/>
    <w:rsid w:val="0002251A"/>
    <w:rsid w:val="0002251F"/>
    <w:rsid w:val="00022527"/>
    <w:rsid w:val="00022544"/>
    <w:rsid w:val="000226D8"/>
    <w:rsid w:val="0002271B"/>
    <w:rsid w:val="00022730"/>
    <w:rsid w:val="00022764"/>
    <w:rsid w:val="000228FC"/>
    <w:rsid w:val="00022A5F"/>
    <w:rsid w:val="00022AB1"/>
    <w:rsid w:val="00022B37"/>
    <w:rsid w:val="00022C42"/>
    <w:rsid w:val="00022C47"/>
    <w:rsid w:val="00022CFC"/>
    <w:rsid w:val="00022E7A"/>
    <w:rsid w:val="00022E9F"/>
    <w:rsid w:val="00022F5D"/>
    <w:rsid w:val="00022FD0"/>
    <w:rsid w:val="0002310F"/>
    <w:rsid w:val="00023130"/>
    <w:rsid w:val="00023164"/>
    <w:rsid w:val="000231E8"/>
    <w:rsid w:val="0002329D"/>
    <w:rsid w:val="000234ED"/>
    <w:rsid w:val="00023538"/>
    <w:rsid w:val="00023595"/>
    <w:rsid w:val="0002367A"/>
    <w:rsid w:val="000236DD"/>
    <w:rsid w:val="00023741"/>
    <w:rsid w:val="0002376A"/>
    <w:rsid w:val="00023B93"/>
    <w:rsid w:val="00023CC3"/>
    <w:rsid w:val="00023D10"/>
    <w:rsid w:val="00023D70"/>
    <w:rsid w:val="00023D72"/>
    <w:rsid w:val="00023E09"/>
    <w:rsid w:val="00023F08"/>
    <w:rsid w:val="00023FC7"/>
    <w:rsid w:val="0002408D"/>
    <w:rsid w:val="0002414F"/>
    <w:rsid w:val="0002427F"/>
    <w:rsid w:val="00024409"/>
    <w:rsid w:val="000245C8"/>
    <w:rsid w:val="0002461B"/>
    <w:rsid w:val="00024692"/>
    <w:rsid w:val="000246FA"/>
    <w:rsid w:val="00024744"/>
    <w:rsid w:val="00024769"/>
    <w:rsid w:val="000247C9"/>
    <w:rsid w:val="0002483D"/>
    <w:rsid w:val="000249CB"/>
    <w:rsid w:val="000249D0"/>
    <w:rsid w:val="00024AA0"/>
    <w:rsid w:val="00024B25"/>
    <w:rsid w:val="00024CBF"/>
    <w:rsid w:val="00024CF0"/>
    <w:rsid w:val="00024E75"/>
    <w:rsid w:val="00024EE5"/>
    <w:rsid w:val="00024F17"/>
    <w:rsid w:val="00024F6E"/>
    <w:rsid w:val="0002506D"/>
    <w:rsid w:val="0002546D"/>
    <w:rsid w:val="00025912"/>
    <w:rsid w:val="0002593C"/>
    <w:rsid w:val="0002594D"/>
    <w:rsid w:val="000259A6"/>
    <w:rsid w:val="00025A6D"/>
    <w:rsid w:val="00025ACF"/>
    <w:rsid w:val="00025FD5"/>
    <w:rsid w:val="00025FD6"/>
    <w:rsid w:val="0002606C"/>
    <w:rsid w:val="00026127"/>
    <w:rsid w:val="00026143"/>
    <w:rsid w:val="000262C3"/>
    <w:rsid w:val="0002646D"/>
    <w:rsid w:val="00026611"/>
    <w:rsid w:val="0002670C"/>
    <w:rsid w:val="000267DE"/>
    <w:rsid w:val="0002686D"/>
    <w:rsid w:val="0002697F"/>
    <w:rsid w:val="00026980"/>
    <w:rsid w:val="000269AF"/>
    <w:rsid w:val="00026A5C"/>
    <w:rsid w:val="00026B62"/>
    <w:rsid w:val="00026BC8"/>
    <w:rsid w:val="00026D51"/>
    <w:rsid w:val="00026DBD"/>
    <w:rsid w:val="000271F8"/>
    <w:rsid w:val="00027213"/>
    <w:rsid w:val="00027258"/>
    <w:rsid w:val="0002731D"/>
    <w:rsid w:val="00027547"/>
    <w:rsid w:val="0002754F"/>
    <w:rsid w:val="000276ED"/>
    <w:rsid w:val="00027821"/>
    <w:rsid w:val="000279F5"/>
    <w:rsid w:val="000301D2"/>
    <w:rsid w:val="000301E4"/>
    <w:rsid w:val="00030230"/>
    <w:rsid w:val="000302A5"/>
    <w:rsid w:val="00030638"/>
    <w:rsid w:val="0003066F"/>
    <w:rsid w:val="000308FB"/>
    <w:rsid w:val="00030A49"/>
    <w:rsid w:val="00030AE6"/>
    <w:rsid w:val="00030D86"/>
    <w:rsid w:val="00030DA5"/>
    <w:rsid w:val="00030E0D"/>
    <w:rsid w:val="00030E9D"/>
    <w:rsid w:val="00030EBE"/>
    <w:rsid w:val="00030FAF"/>
    <w:rsid w:val="00031098"/>
    <w:rsid w:val="00031157"/>
    <w:rsid w:val="000311DC"/>
    <w:rsid w:val="0003122C"/>
    <w:rsid w:val="00031279"/>
    <w:rsid w:val="000312EA"/>
    <w:rsid w:val="00031434"/>
    <w:rsid w:val="0003148D"/>
    <w:rsid w:val="00031534"/>
    <w:rsid w:val="00031615"/>
    <w:rsid w:val="000316D4"/>
    <w:rsid w:val="000318EC"/>
    <w:rsid w:val="00031950"/>
    <w:rsid w:val="00031960"/>
    <w:rsid w:val="000319D3"/>
    <w:rsid w:val="000319EA"/>
    <w:rsid w:val="00031A96"/>
    <w:rsid w:val="00031AC0"/>
    <w:rsid w:val="00031B78"/>
    <w:rsid w:val="00031B7D"/>
    <w:rsid w:val="00031DED"/>
    <w:rsid w:val="00031DF0"/>
    <w:rsid w:val="00031FEA"/>
    <w:rsid w:val="00032172"/>
    <w:rsid w:val="0003217B"/>
    <w:rsid w:val="000321BD"/>
    <w:rsid w:val="000321DA"/>
    <w:rsid w:val="000322BE"/>
    <w:rsid w:val="0003236E"/>
    <w:rsid w:val="000324D4"/>
    <w:rsid w:val="000326F4"/>
    <w:rsid w:val="000327B8"/>
    <w:rsid w:val="000328FA"/>
    <w:rsid w:val="00032B47"/>
    <w:rsid w:val="00032C10"/>
    <w:rsid w:val="00032C19"/>
    <w:rsid w:val="00032D9D"/>
    <w:rsid w:val="00032DF3"/>
    <w:rsid w:val="00033042"/>
    <w:rsid w:val="0003310F"/>
    <w:rsid w:val="00033130"/>
    <w:rsid w:val="000331AB"/>
    <w:rsid w:val="000331D4"/>
    <w:rsid w:val="0003330C"/>
    <w:rsid w:val="0003330E"/>
    <w:rsid w:val="000333BE"/>
    <w:rsid w:val="000333E8"/>
    <w:rsid w:val="0003358E"/>
    <w:rsid w:val="000335C0"/>
    <w:rsid w:val="00033636"/>
    <w:rsid w:val="0003383C"/>
    <w:rsid w:val="00033853"/>
    <w:rsid w:val="00033A2E"/>
    <w:rsid w:val="00033BCE"/>
    <w:rsid w:val="00033BE0"/>
    <w:rsid w:val="00033CDF"/>
    <w:rsid w:val="00033DB1"/>
    <w:rsid w:val="00034041"/>
    <w:rsid w:val="0003414F"/>
    <w:rsid w:val="00034158"/>
    <w:rsid w:val="000341FC"/>
    <w:rsid w:val="00034244"/>
    <w:rsid w:val="000342AD"/>
    <w:rsid w:val="00034774"/>
    <w:rsid w:val="00034782"/>
    <w:rsid w:val="0003481D"/>
    <w:rsid w:val="000348F2"/>
    <w:rsid w:val="00034911"/>
    <w:rsid w:val="00034AEB"/>
    <w:rsid w:val="00034BB9"/>
    <w:rsid w:val="00034BE1"/>
    <w:rsid w:val="00034D8D"/>
    <w:rsid w:val="00034DD6"/>
    <w:rsid w:val="00034EC6"/>
    <w:rsid w:val="000350F8"/>
    <w:rsid w:val="000351B2"/>
    <w:rsid w:val="000351CD"/>
    <w:rsid w:val="0003525E"/>
    <w:rsid w:val="000352AB"/>
    <w:rsid w:val="00035382"/>
    <w:rsid w:val="0003558E"/>
    <w:rsid w:val="000355FD"/>
    <w:rsid w:val="00035609"/>
    <w:rsid w:val="00035687"/>
    <w:rsid w:val="000357C7"/>
    <w:rsid w:val="00035831"/>
    <w:rsid w:val="0003597D"/>
    <w:rsid w:val="0003598B"/>
    <w:rsid w:val="00035A6D"/>
    <w:rsid w:val="00035AE4"/>
    <w:rsid w:val="00035B08"/>
    <w:rsid w:val="00035CF0"/>
    <w:rsid w:val="00035D40"/>
    <w:rsid w:val="00035D5C"/>
    <w:rsid w:val="00035E7D"/>
    <w:rsid w:val="00035F64"/>
    <w:rsid w:val="000360D0"/>
    <w:rsid w:val="0003610D"/>
    <w:rsid w:val="0003627B"/>
    <w:rsid w:val="0003649D"/>
    <w:rsid w:val="0003658C"/>
    <w:rsid w:val="000366D1"/>
    <w:rsid w:val="00036794"/>
    <w:rsid w:val="000367B9"/>
    <w:rsid w:val="00036964"/>
    <w:rsid w:val="000369B8"/>
    <w:rsid w:val="00036D73"/>
    <w:rsid w:val="00036DF0"/>
    <w:rsid w:val="00036DF5"/>
    <w:rsid w:val="00036F3C"/>
    <w:rsid w:val="00037098"/>
    <w:rsid w:val="00037206"/>
    <w:rsid w:val="000373A0"/>
    <w:rsid w:val="000373AC"/>
    <w:rsid w:val="000373C1"/>
    <w:rsid w:val="000374AC"/>
    <w:rsid w:val="000374EE"/>
    <w:rsid w:val="0003765F"/>
    <w:rsid w:val="000376CF"/>
    <w:rsid w:val="0003770E"/>
    <w:rsid w:val="0003771F"/>
    <w:rsid w:val="00037724"/>
    <w:rsid w:val="00037964"/>
    <w:rsid w:val="00037C10"/>
    <w:rsid w:val="00037CF2"/>
    <w:rsid w:val="00037D50"/>
    <w:rsid w:val="00037DE2"/>
    <w:rsid w:val="00037F70"/>
    <w:rsid w:val="00040014"/>
    <w:rsid w:val="000400E6"/>
    <w:rsid w:val="00040238"/>
    <w:rsid w:val="00040285"/>
    <w:rsid w:val="00040317"/>
    <w:rsid w:val="00040322"/>
    <w:rsid w:val="00040557"/>
    <w:rsid w:val="0004060A"/>
    <w:rsid w:val="00040660"/>
    <w:rsid w:val="00040702"/>
    <w:rsid w:val="00040780"/>
    <w:rsid w:val="0004079A"/>
    <w:rsid w:val="00040A31"/>
    <w:rsid w:val="00040AD7"/>
    <w:rsid w:val="00040ADF"/>
    <w:rsid w:val="00040B06"/>
    <w:rsid w:val="00040B7C"/>
    <w:rsid w:val="00040BC0"/>
    <w:rsid w:val="00040C72"/>
    <w:rsid w:val="00040D6B"/>
    <w:rsid w:val="00040F76"/>
    <w:rsid w:val="00040F9D"/>
    <w:rsid w:val="00040FB2"/>
    <w:rsid w:val="00040FBA"/>
    <w:rsid w:val="00040FC5"/>
    <w:rsid w:val="0004103F"/>
    <w:rsid w:val="000410C4"/>
    <w:rsid w:val="0004120A"/>
    <w:rsid w:val="000412C4"/>
    <w:rsid w:val="0004132E"/>
    <w:rsid w:val="00041477"/>
    <w:rsid w:val="0004193A"/>
    <w:rsid w:val="00041B21"/>
    <w:rsid w:val="00041BAF"/>
    <w:rsid w:val="00041C30"/>
    <w:rsid w:val="00041CB3"/>
    <w:rsid w:val="00041E06"/>
    <w:rsid w:val="00041F28"/>
    <w:rsid w:val="0004214D"/>
    <w:rsid w:val="0004229E"/>
    <w:rsid w:val="000422C2"/>
    <w:rsid w:val="00042454"/>
    <w:rsid w:val="000424D4"/>
    <w:rsid w:val="0004275C"/>
    <w:rsid w:val="000427ED"/>
    <w:rsid w:val="0004287C"/>
    <w:rsid w:val="00042886"/>
    <w:rsid w:val="000429E6"/>
    <w:rsid w:val="00042A1A"/>
    <w:rsid w:val="00042AA3"/>
    <w:rsid w:val="00042AB2"/>
    <w:rsid w:val="00042AE7"/>
    <w:rsid w:val="00042B90"/>
    <w:rsid w:val="00042C86"/>
    <w:rsid w:val="00042CC8"/>
    <w:rsid w:val="00042CF2"/>
    <w:rsid w:val="00042CF7"/>
    <w:rsid w:val="00042D59"/>
    <w:rsid w:val="00042DCD"/>
    <w:rsid w:val="00042E63"/>
    <w:rsid w:val="000430EA"/>
    <w:rsid w:val="00043194"/>
    <w:rsid w:val="000431F1"/>
    <w:rsid w:val="000432B6"/>
    <w:rsid w:val="0004330E"/>
    <w:rsid w:val="0004334C"/>
    <w:rsid w:val="0004334E"/>
    <w:rsid w:val="000433B1"/>
    <w:rsid w:val="000433C2"/>
    <w:rsid w:val="000433F6"/>
    <w:rsid w:val="000435F0"/>
    <w:rsid w:val="00043600"/>
    <w:rsid w:val="0004365A"/>
    <w:rsid w:val="0004367F"/>
    <w:rsid w:val="00043682"/>
    <w:rsid w:val="000436C9"/>
    <w:rsid w:val="00043876"/>
    <w:rsid w:val="00043956"/>
    <w:rsid w:val="0004397E"/>
    <w:rsid w:val="00043A73"/>
    <w:rsid w:val="00043B5E"/>
    <w:rsid w:val="00043C30"/>
    <w:rsid w:val="00043C5E"/>
    <w:rsid w:val="00043C93"/>
    <w:rsid w:val="00043D15"/>
    <w:rsid w:val="00043DA4"/>
    <w:rsid w:val="00043E5C"/>
    <w:rsid w:val="00044070"/>
    <w:rsid w:val="0004410F"/>
    <w:rsid w:val="0004422C"/>
    <w:rsid w:val="00044284"/>
    <w:rsid w:val="000442C8"/>
    <w:rsid w:val="00044383"/>
    <w:rsid w:val="000443E1"/>
    <w:rsid w:val="000448B5"/>
    <w:rsid w:val="00044902"/>
    <w:rsid w:val="0004490D"/>
    <w:rsid w:val="00044C3F"/>
    <w:rsid w:val="00044E10"/>
    <w:rsid w:val="00044E55"/>
    <w:rsid w:val="00044FAE"/>
    <w:rsid w:val="0004527B"/>
    <w:rsid w:val="0004538D"/>
    <w:rsid w:val="000453E1"/>
    <w:rsid w:val="00045495"/>
    <w:rsid w:val="00045543"/>
    <w:rsid w:val="000455CA"/>
    <w:rsid w:val="000456AF"/>
    <w:rsid w:val="00045704"/>
    <w:rsid w:val="00045706"/>
    <w:rsid w:val="00045722"/>
    <w:rsid w:val="000457EB"/>
    <w:rsid w:val="000457FE"/>
    <w:rsid w:val="0004583F"/>
    <w:rsid w:val="0004584D"/>
    <w:rsid w:val="000458DD"/>
    <w:rsid w:val="0004594F"/>
    <w:rsid w:val="00045D41"/>
    <w:rsid w:val="00045DC2"/>
    <w:rsid w:val="00045DC9"/>
    <w:rsid w:val="00045E3C"/>
    <w:rsid w:val="00045E83"/>
    <w:rsid w:val="00045ECB"/>
    <w:rsid w:val="00045FCD"/>
    <w:rsid w:val="00045FD3"/>
    <w:rsid w:val="000460AE"/>
    <w:rsid w:val="000464BC"/>
    <w:rsid w:val="0004652C"/>
    <w:rsid w:val="00046533"/>
    <w:rsid w:val="00046724"/>
    <w:rsid w:val="0004684A"/>
    <w:rsid w:val="000468E9"/>
    <w:rsid w:val="00046A5F"/>
    <w:rsid w:val="00046AAB"/>
    <w:rsid w:val="00046AC9"/>
    <w:rsid w:val="00046C48"/>
    <w:rsid w:val="00046C55"/>
    <w:rsid w:val="00046F08"/>
    <w:rsid w:val="00046F61"/>
    <w:rsid w:val="00046F84"/>
    <w:rsid w:val="00046FE6"/>
    <w:rsid w:val="00047266"/>
    <w:rsid w:val="000473DF"/>
    <w:rsid w:val="00047452"/>
    <w:rsid w:val="0004747C"/>
    <w:rsid w:val="000474D5"/>
    <w:rsid w:val="000474FC"/>
    <w:rsid w:val="00047565"/>
    <w:rsid w:val="0004759D"/>
    <w:rsid w:val="0004760A"/>
    <w:rsid w:val="0004786D"/>
    <w:rsid w:val="0004788A"/>
    <w:rsid w:val="00047A0F"/>
    <w:rsid w:val="00047A87"/>
    <w:rsid w:val="00047C24"/>
    <w:rsid w:val="00047E1A"/>
    <w:rsid w:val="00047F49"/>
    <w:rsid w:val="00047F82"/>
    <w:rsid w:val="00050212"/>
    <w:rsid w:val="00050238"/>
    <w:rsid w:val="000503B6"/>
    <w:rsid w:val="000503D6"/>
    <w:rsid w:val="0005047E"/>
    <w:rsid w:val="0005048B"/>
    <w:rsid w:val="00050729"/>
    <w:rsid w:val="0005087F"/>
    <w:rsid w:val="000508C8"/>
    <w:rsid w:val="0005099A"/>
    <w:rsid w:val="00050A18"/>
    <w:rsid w:val="00050A75"/>
    <w:rsid w:val="00050B29"/>
    <w:rsid w:val="00050C11"/>
    <w:rsid w:val="00050E5A"/>
    <w:rsid w:val="00050ECB"/>
    <w:rsid w:val="00051051"/>
    <w:rsid w:val="000510AE"/>
    <w:rsid w:val="00051131"/>
    <w:rsid w:val="000511D5"/>
    <w:rsid w:val="00051219"/>
    <w:rsid w:val="00051372"/>
    <w:rsid w:val="0005137F"/>
    <w:rsid w:val="00051456"/>
    <w:rsid w:val="000514C2"/>
    <w:rsid w:val="00051502"/>
    <w:rsid w:val="00051599"/>
    <w:rsid w:val="000515BB"/>
    <w:rsid w:val="00051867"/>
    <w:rsid w:val="00051995"/>
    <w:rsid w:val="00051AF7"/>
    <w:rsid w:val="00051B00"/>
    <w:rsid w:val="00051B21"/>
    <w:rsid w:val="00051BDE"/>
    <w:rsid w:val="00051D22"/>
    <w:rsid w:val="00051D42"/>
    <w:rsid w:val="00051D43"/>
    <w:rsid w:val="00051D89"/>
    <w:rsid w:val="00051D97"/>
    <w:rsid w:val="00051E4E"/>
    <w:rsid w:val="00051EC7"/>
    <w:rsid w:val="000520EB"/>
    <w:rsid w:val="0005226F"/>
    <w:rsid w:val="000522F6"/>
    <w:rsid w:val="00052455"/>
    <w:rsid w:val="00052530"/>
    <w:rsid w:val="0005254D"/>
    <w:rsid w:val="0005255A"/>
    <w:rsid w:val="0005260F"/>
    <w:rsid w:val="00052627"/>
    <w:rsid w:val="00052683"/>
    <w:rsid w:val="00052B5A"/>
    <w:rsid w:val="00052FF5"/>
    <w:rsid w:val="0005305B"/>
    <w:rsid w:val="00053198"/>
    <w:rsid w:val="00053241"/>
    <w:rsid w:val="00053331"/>
    <w:rsid w:val="000533AE"/>
    <w:rsid w:val="00053461"/>
    <w:rsid w:val="00053578"/>
    <w:rsid w:val="0005359F"/>
    <w:rsid w:val="000535B5"/>
    <w:rsid w:val="0005371F"/>
    <w:rsid w:val="00053727"/>
    <w:rsid w:val="00053824"/>
    <w:rsid w:val="000538C0"/>
    <w:rsid w:val="000538DE"/>
    <w:rsid w:val="00053900"/>
    <w:rsid w:val="00053952"/>
    <w:rsid w:val="000539BC"/>
    <w:rsid w:val="00053A16"/>
    <w:rsid w:val="00053A45"/>
    <w:rsid w:val="00053A59"/>
    <w:rsid w:val="00053BB2"/>
    <w:rsid w:val="00053BD1"/>
    <w:rsid w:val="00053C06"/>
    <w:rsid w:val="00053E0A"/>
    <w:rsid w:val="00053E83"/>
    <w:rsid w:val="00053F2C"/>
    <w:rsid w:val="00053FB4"/>
    <w:rsid w:val="000540F0"/>
    <w:rsid w:val="00054229"/>
    <w:rsid w:val="000542E9"/>
    <w:rsid w:val="000543CD"/>
    <w:rsid w:val="0005449C"/>
    <w:rsid w:val="000544BE"/>
    <w:rsid w:val="000544C9"/>
    <w:rsid w:val="000544CA"/>
    <w:rsid w:val="00054588"/>
    <w:rsid w:val="000547A7"/>
    <w:rsid w:val="00054866"/>
    <w:rsid w:val="00054896"/>
    <w:rsid w:val="00054C8F"/>
    <w:rsid w:val="00054DA1"/>
    <w:rsid w:val="00055078"/>
    <w:rsid w:val="000550B2"/>
    <w:rsid w:val="00055170"/>
    <w:rsid w:val="00055204"/>
    <w:rsid w:val="00055246"/>
    <w:rsid w:val="0005530B"/>
    <w:rsid w:val="000557CD"/>
    <w:rsid w:val="000557F1"/>
    <w:rsid w:val="00055848"/>
    <w:rsid w:val="00055AAF"/>
    <w:rsid w:val="00055B6F"/>
    <w:rsid w:val="00055B79"/>
    <w:rsid w:val="00055C85"/>
    <w:rsid w:val="00055D3A"/>
    <w:rsid w:val="00055E5C"/>
    <w:rsid w:val="00055EBF"/>
    <w:rsid w:val="0005602C"/>
    <w:rsid w:val="00056059"/>
    <w:rsid w:val="00056087"/>
    <w:rsid w:val="0005612A"/>
    <w:rsid w:val="00056135"/>
    <w:rsid w:val="00056199"/>
    <w:rsid w:val="000562D1"/>
    <w:rsid w:val="000562D9"/>
    <w:rsid w:val="00056310"/>
    <w:rsid w:val="00056459"/>
    <w:rsid w:val="00056460"/>
    <w:rsid w:val="0005671D"/>
    <w:rsid w:val="000568BA"/>
    <w:rsid w:val="00056A66"/>
    <w:rsid w:val="00056AA3"/>
    <w:rsid w:val="00056B3E"/>
    <w:rsid w:val="00056BD9"/>
    <w:rsid w:val="00056C38"/>
    <w:rsid w:val="00056DBE"/>
    <w:rsid w:val="00056E0F"/>
    <w:rsid w:val="00056ED9"/>
    <w:rsid w:val="00056F8F"/>
    <w:rsid w:val="00056FA0"/>
    <w:rsid w:val="00056FD0"/>
    <w:rsid w:val="00057111"/>
    <w:rsid w:val="0005749B"/>
    <w:rsid w:val="000574D6"/>
    <w:rsid w:val="000575F6"/>
    <w:rsid w:val="0005760E"/>
    <w:rsid w:val="00057758"/>
    <w:rsid w:val="00057762"/>
    <w:rsid w:val="00057778"/>
    <w:rsid w:val="000577E3"/>
    <w:rsid w:val="00057B0A"/>
    <w:rsid w:val="00057B36"/>
    <w:rsid w:val="00057B5A"/>
    <w:rsid w:val="00057B83"/>
    <w:rsid w:val="00057CE7"/>
    <w:rsid w:val="00057D01"/>
    <w:rsid w:val="00057E07"/>
    <w:rsid w:val="00057E62"/>
    <w:rsid w:val="00057E68"/>
    <w:rsid w:val="00057F57"/>
    <w:rsid w:val="00060141"/>
    <w:rsid w:val="00060198"/>
    <w:rsid w:val="00060261"/>
    <w:rsid w:val="0006027F"/>
    <w:rsid w:val="00060337"/>
    <w:rsid w:val="0006059F"/>
    <w:rsid w:val="000605AA"/>
    <w:rsid w:val="000607DE"/>
    <w:rsid w:val="00060D6A"/>
    <w:rsid w:val="00060DCF"/>
    <w:rsid w:val="0006118F"/>
    <w:rsid w:val="00061235"/>
    <w:rsid w:val="00061270"/>
    <w:rsid w:val="000612F0"/>
    <w:rsid w:val="000613F9"/>
    <w:rsid w:val="0006149B"/>
    <w:rsid w:val="000614CC"/>
    <w:rsid w:val="0006156C"/>
    <w:rsid w:val="00061581"/>
    <w:rsid w:val="000615C0"/>
    <w:rsid w:val="0006162C"/>
    <w:rsid w:val="00061786"/>
    <w:rsid w:val="00061813"/>
    <w:rsid w:val="00061947"/>
    <w:rsid w:val="00061949"/>
    <w:rsid w:val="00061A2F"/>
    <w:rsid w:val="00061AA0"/>
    <w:rsid w:val="00061C0B"/>
    <w:rsid w:val="00061CC0"/>
    <w:rsid w:val="00061D76"/>
    <w:rsid w:val="00061E15"/>
    <w:rsid w:val="00061EF3"/>
    <w:rsid w:val="00061EFE"/>
    <w:rsid w:val="00061FB6"/>
    <w:rsid w:val="00062047"/>
    <w:rsid w:val="000620EC"/>
    <w:rsid w:val="00062173"/>
    <w:rsid w:val="00062204"/>
    <w:rsid w:val="000623B3"/>
    <w:rsid w:val="00062442"/>
    <w:rsid w:val="0006263E"/>
    <w:rsid w:val="000626F8"/>
    <w:rsid w:val="000628C8"/>
    <w:rsid w:val="000628DC"/>
    <w:rsid w:val="00062958"/>
    <w:rsid w:val="00062A41"/>
    <w:rsid w:val="00062DAB"/>
    <w:rsid w:val="00062E21"/>
    <w:rsid w:val="00062E56"/>
    <w:rsid w:val="00062FFA"/>
    <w:rsid w:val="0006302D"/>
    <w:rsid w:val="00063459"/>
    <w:rsid w:val="00063462"/>
    <w:rsid w:val="000634F6"/>
    <w:rsid w:val="000635A4"/>
    <w:rsid w:val="000635EE"/>
    <w:rsid w:val="00063603"/>
    <w:rsid w:val="00063616"/>
    <w:rsid w:val="00063712"/>
    <w:rsid w:val="000637C9"/>
    <w:rsid w:val="00063804"/>
    <w:rsid w:val="00063B6E"/>
    <w:rsid w:val="00063BDC"/>
    <w:rsid w:val="00063D1C"/>
    <w:rsid w:val="00063D50"/>
    <w:rsid w:val="00063ECE"/>
    <w:rsid w:val="00063ED1"/>
    <w:rsid w:val="00063F07"/>
    <w:rsid w:val="00063F1B"/>
    <w:rsid w:val="00063F79"/>
    <w:rsid w:val="000641E5"/>
    <w:rsid w:val="00064222"/>
    <w:rsid w:val="000642C0"/>
    <w:rsid w:val="000644D4"/>
    <w:rsid w:val="0006451B"/>
    <w:rsid w:val="000645D3"/>
    <w:rsid w:val="00064612"/>
    <w:rsid w:val="000646BD"/>
    <w:rsid w:val="00064726"/>
    <w:rsid w:val="0006472E"/>
    <w:rsid w:val="00064AA7"/>
    <w:rsid w:val="00064BF5"/>
    <w:rsid w:val="00064C02"/>
    <w:rsid w:val="00064C6B"/>
    <w:rsid w:val="00064D07"/>
    <w:rsid w:val="00064D37"/>
    <w:rsid w:val="00064FF7"/>
    <w:rsid w:val="00065147"/>
    <w:rsid w:val="00065260"/>
    <w:rsid w:val="0006529B"/>
    <w:rsid w:val="0006537B"/>
    <w:rsid w:val="000653BE"/>
    <w:rsid w:val="00065613"/>
    <w:rsid w:val="0006570A"/>
    <w:rsid w:val="000657D4"/>
    <w:rsid w:val="00065889"/>
    <w:rsid w:val="00065A95"/>
    <w:rsid w:val="00065ACC"/>
    <w:rsid w:val="00065BB0"/>
    <w:rsid w:val="00065BC7"/>
    <w:rsid w:val="00065D13"/>
    <w:rsid w:val="00065F48"/>
    <w:rsid w:val="00065F74"/>
    <w:rsid w:val="00065FA9"/>
    <w:rsid w:val="00065FDD"/>
    <w:rsid w:val="00065FE4"/>
    <w:rsid w:val="00065FF1"/>
    <w:rsid w:val="000660B6"/>
    <w:rsid w:val="000660F2"/>
    <w:rsid w:val="00066123"/>
    <w:rsid w:val="00066170"/>
    <w:rsid w:val="0006617E"/>
    <w:rsid w:val="00066181"/>
    <w:rsid w:val="0006618A"/>
    <w:rsid w:val="00066297"/>
    <w:rsid w:val="000662A0"/>
    <w:rsid w:val="00066354"/>
    <w:rsid w:val="000663D8"/>
    <w:rsid w:val="00066523"/>
    <w:rsid w:val="0006654E"/>
    <w:rsid w:val="0006655B"/>
    <w:rsid w:val="00066591"/>
    <w:rsid w:val="000666D5"/>
    <w:rsid w:val="00066715"/>
    <w:rsid w:val="000667A4"/>
    <w:rsid w:val="00066822"/>
    <w:rsid w:val="0006689D"/>
    <w:rsid w:val="000668F9"/>
    <w:rsid w:val="00066A34"/>
    <w:rsid w:val="00066A88"/>
    <w:rsid w:val="00066BFD"/>
    <w:rsid w:val="00066C4F"/>
    <w:rsid w:val="00066C56"/>
    <w:rsid w:val="00066DD4"/>
    <w:rsid w:val="00066EE8"/>
    <w:rsid w:val="0006709E"/>
    <w:rsid w:val="0006714A"/>
    <w:rsid w:val="0006715A"/>
    <w:rsid w:val="0006719F"/>
    <w:rsid w:val="0006724E"/>
    <w:rsid w:val="000674AF"/>
    <w:rsid w:val="000675D2"/>
    <w:rsid w:val="000675D5"/>
    <w:rsid w:val="00067639"/>
    <w:rsid w:val="000676B1"/>
    <w:rsid w:val="000677AE"/>
    <w:rsid w:val="00067943"/>
    <w:rsid w:val="000679BF"/>
    <w:rsid w:val="00067A38"/>
    <w:rsid w:val="00067A64"/>
    <w:rsid w:val="00067B31"/>
    <w:rsid w:val="00067BAF"/>
    <w:rsid w:val="00067C62"/>
    <w:rsid w:val="00067DDC"/>
    <w:rsid w:val="00067DE0"/>
    <w:rsid w:val="00067EC9"/>
    <w:rsid w:val="00067F4B"/>
    <w:rsid w:val="00067F6C"/>
    <w:rsid w:val="00070090"/>
    <w:rsid w:val="00070174"/>
    <w:rsid w:val="000701DC"/>
    <w:rsid w:val="000703CB"/>
    <w:rsid w:val="00070491"/>
    <w:rsid w:val="000704A3"/>
    <w:rsid w:val="00070529"/>
    <w:rsid w:val="00070573"/>
    <w:rsid w:val="00070657"/>
    <w:rsid w:val="0007098A"/>
    <w:rsid w:val="00070A54"/>
    <w:rsid w:val="00070A6D"/>
    <w:rsid w:val="00070C10"/>
    <w:rsid w:val="00070CA5"/>
    <w:rsid w:val="00070E32"/>
    <w:rsid w:val="00070E7F"/>
    <w:rsid w:val="00070EC1"/>
    <w:rsid w:val="00070F59"/>
    <w:rsid w:val="00071048"/>
    <w:rsid w:val="000710BA"/>
    <w:rsid w:val="00071261"/>
    <w:rsid w:val="000712E1"/>
    <w:rsid w:val="0007142F"/>
    <w:rsid w:val="00071433"/>
    <w:rsid w:val="00071492"/>
    <w:rsid w:val="00071497"/>
    <w:rsid w:val="000715B6"/>
    <w:rsid w:val="000715E3"/>
    <w:rsid w:val="000715F4"/>
    <w:rsid w:val="00071602"/>
    <w:rsid w:val="000717D4"/>
    <w:rsid w:val="000719BE"/>
    <w:rsid w:val="00071BDD"/>
    <w:rsid w:val="00071C05"/>
    <w:rsid w:val="00071DCE"/>
    <w:rsid w:val="00071DDE"/>
    <w:rsid w:val="00071E3C"/>
    <w:rsid w:val="00071E90"/>
    <w:rsid w:val="00072037"/>
    <w:rsid w:val="00072113"/>
    <w:rsid w:val="000721D2"/>
    <w:rsid w:val="0007222B"/>
    <w:rsid w:val="00072235"/>
    <w:rsid w:val="000726A1"/>
    <w:rsid w:val="00072715"/>
    <w:rsid w:val="000729A4"/>
    <w:rsid w:val="00072BE9"/>
    <w:rsid w:val="00072C0D"/>
    <w:rsid w:val="00072CC6"/>
    <w:rsid w:val="00072EB2"/>
    <w:rsid w:val="00072F5D"/>
    <w:rsid w:val="00072F8F"/>
    <w:rsid w:val="000730F1"/>
    <w:rsid w:val="0007319F"/>
    <w:rsid w:val="000731E2"/>
    <w:rsid w:val="00073292"/>
    <w:rsid w:val="00073365"/>
    <w:rsid w:val="0007363E"/>
    <w:rsid w:val="00073645"/>
    <w:rsid w:val="00073710"/>
    <w:rsid w:val="00073745"/>
    <w:rsid w:val="000737AA"/>
    <w:rsid w:val="0007381B"/>
    <w:rsid w:val="0007397F"/>
    <w:rsid w:val="000739CA"/>
    <w:rsid w:val="00073AF0"/>
    <w:rsid w:val="00073B1F"/>
    <w:rsid w:val="00073B91"/>
    <w:rsid w:val="00073BAE"/>
    <w:rsid w:val="00073DA5"/>
    <w:rsid w:val="00073EE1"/>
    <w:rsid w:val="00073F30"/>
    <w:rsid w:val="00074090"/>
    <w:rsid w:val="00074292"/>
    <w:rsid w:val="000742EE"/>
    <w:rsid w:val="00074326"/>
    <w:rsid w:val="00074375"/>
    <w:rsid w:val="0007460E"/>
    <w:rsid w:val="00074850"/>
    <w:rsid w:val="00074922"/>
    <w:rsid w:val="00074A18"/>
    <w:rsid w:val="00074B1C"/>
    <w:rsid w:val="00074B4C"/>
    <w:rsid w:val="00074B95"/>
    <w:rsid w:val="00074BD3"/>
    <w:rsid w:val="00074D8F"/>
    <w:rsid w:val="00074DFE"/>
    <w:rsid w:val="00074E2E"/>
    <w:rsid w:val="00074EDA"/>
    <w:rsid w:val="00074EDB"/>
    <w:rsid w:val="00074F11"/>
    <w:rsid w:val="00074FCA"/>
    <w:rsid w:val="00075024"/>
    <w:rsid w:val="00075070"/>
    <w:rsid w:val="0007514C"/>
    <w:rsid w:val="00075241"/>
    <w:rsid w:val="00075242"/>
    <w:rsid w:val="000752E5"/>
    <w:rsid w:val="00075437"/>
    <w:rsid w:val="0007545E"/>
    <w:rsid w:val="00075641"/>
    <w:rsid w:val="000756B1"/>
    <w:rsid w:val="000756FC"/>
    <w:rsid w:val="00075774"/>
    <w:rsid w:val="00075813"/>
    <w:rsid w:val="00075A26"/>
    <w:rsid w:val="00075ABA"/>
    <w:rsid w:val="00075B0B"/>
    <w:rsid w:val="00075CD9"/>
    <w:rsid w:val="00075CF4"/>
    <w:rsid w:val="00075CF5"/>
    <w:rsid w:val="00075E5A"/>
    <w:rsid w:val="00075F9F"/>
    <w:rsid w:val="00076175"/>
    <w:rsid w:val="00076213"/>
    <w:rsid w:val="000762DD"/>
    <w:rsid w:val="00076517"/>
    <w:rsid w:val="0007652E"/>
    <w:rsid w:val="00076533"/>
    <w:rsid w:val="0007670B"/>
    <w:rsid w:val="000768CD"/>
    <w:rsid w:val="000768FB"/>
    <w:rsid w:val="000769E2"/>
    <w:rsid w:val="00076ABE"/>
    <w:rsid w:val="00076C93"/>
    <w:rsid w:val="00076CD0"/>
    <w:rsid w:val="00076E03"/>
    <w:rsid w:val="00076EAE"/>
    <w:rsid w:val="00077037"/>
    <w:rsid w:val="0007704C"/>
    <w:rsid w:val="0007706C"/>
    <w:rsid w:val="000771A9"/>
    <w:rsid w:val="0007726A"/>
    <w:rsid w:val="000774A0"/>
    <w:rsid w:val="000774B9"/>
    <w:rsid w:val="000774EB"/>
    <w:rsid w:val="00077570"/>
    <w:rsid w:val="00077712"/>
    <w:rsid w:val="00077778"/>
    <w:rsid w:val="000777EB"/>
    <w:rsid w:val="00077805"/>
    <w:rsid w:val="0007796F"/>
    <w:rsid w:val="00077BF4"/>
    <w:rsid w:val="00077CAB"/>
    <w:rsid w:val="00077D80"/>
    <w:rsid w:val="00077E51"/>
    <w:rsid w:val="00077EBF"/>
    <w:rsid w:val="00077F52"/>
    <w:rsid w:val="00079E3C"/>
    <w:rsid w:val="00080045"/>
    <w:rsid w:val="00080092"/>
    <w:rsid w:val="000800F2"/>
    <w:rsid w:val="000801CD"/>
    <w:rsid w:val="00080240"/>
    <w:rsid w:val="00080450"/>
    <w:rsid w:val="00080524"/>
    <w:rsid w:val="000806E5"/>
    <w:rsid w:val="000807E7"/>
    <w:rsid w:val="00080858"/>
    <w:rsid w:val="000808CE"/>
    <w:rsid w:val="000808F7"/>
    <w:rsid w:val="000809EC"/>
    <w:rsid w:val="00080AAD"/>
    <w:rsid w:val="00080B93"/>
    <w:rsid w:val="00080C28"/>
    <w:rsid w:val="00080E1C"/>
    <w:rsid w:val="0008110D"/>
    <w:rsid w:val="0008117F"/>
    <w:rsid w:val="000811AC"/>
    <w:rsid w:val="000812E7"/>
    <w:rsid w:val="00081325"/>
    <w:rsid w:val="000813A6"/>
    <w:rsid w:val="000813E1"/>
    <w:rsid w:val="0008145B"/>
    <w:rsid w:val="00081488"/>
    <w:rsid w:val="000815C2"/>
    <w:rsid w:val="000815E0"/>
    <w:rsid w:val="00081820"/>
    <w:rsid w:val="00081827"/>
    <w:rsid w:val="00081AC4"/>
    <w:rsid w:val="00081B99"/>
    <w:rsid w:val="00081BDB"/>
    <w:rsid w:val="00081DB8"/>
    <w:rsid w:val="00081EB9"/>
    <w:rsid w:val="00081EDA"/>
    <w:rsid w:val="00082040"/>
    <w:rsid w:val="000820AB"/>
    <w:rsid w:val="00082103"/>
    <w:rsid w:val="0008229E"/>
    <w:rsid w:val="000823C4"/>
    <w:rsid w:val="00082422"/>
    <w:rsid w:val="00082428"/>
    <w:rsid w:val="0008243B"/>
    <w:rsid w:val="00082458"/>
    <w:rsid w:val="00082496"/>
    <w:rsid w:val="000824E4"/>
    <w:rsid w:val="000826D6"/>
    <w:rsid w:val="000827A7"/>
    <w:rsid w:val="000827FB"/>
    <w:rsid w:val="00082933"/>
    <w:rsid w:val="000829BE"/>
    <w:rsid w:val="000829FB"/>
    <w:rsid w:val="000829FC"/>
    <w:rsid w:val="00082A81"/>
    <w:rsid w:val="00082AE1"/>
    <w:rsid w:val="00082BC3"/>
    <w:rsid w:val="00082C26"/>
    <w:rsid w:val="00082D75"/>
    <w:rsid w:val="00082DDB"/>
    <w:rsid w:val="00082E1E"/>
    <w:rsid w:val="00082F9F"/>
    <w:rsid w:val="00083161"/>
    <w:rsid w:val="00083258"/>
    <w:rsid w:val="0008326A"/>
    <w:rsid w:val="00083294"/>
    <w:rsid w:val="000832D5"/>
    <w:rsid w:val="000835C3"/>
    <w:rsid w:val="0008370E"/>
    <w:rsid w:val="00083763"/>
    <w:rsid w:val="000839C2"/>
    <w:rsid w:val="00083A36"/>
    <w:rsid w:val="00083A43"/>
    <w:rsid w:val="00083A65"/>
    <w:rsid w:val="00083ACE"/>
    <w:rsid w:val="00083AD9"/>
    <w:rsid w:val="00083B1B"/>
    <w:rsid w:val="00083CBE"/>
    <w:rsid w:val="00083CE4"/>
    <w:rsid w:val="00083D6D"/>
    <w:rsid w:val="00083EF4"/>
    <w:rsid w:val="00083FBD"/>
    <w:rsid w:val="00083FDA"/>
    <w:rsid w:val="000840B9"/>
    <w:rsid w:val="00084148"/>
    <w:rsid w:val="000841C2"/>
    <w:rsid w:val="0008423B"/>
    <w:rsid w:val="0008433F"/>
    <w:rsid w:val="0008436E"/>
    <w:rsid w:val="00084454"/>
    <w:rsid w:val="00084481"/>
    <w:rsid w:val="0008448D"/>
    <w:rsid w:val="00084735"/>
    <w:rsid w:val="000847AD"/>
    <w:rsid w:val="000847CE"/>
    <w:rsid w:val="000848B6"/>
    <w:rsid w:val="00084994"/>
    <w:rsid w:val="00084B80"/>
    <w:rsid w:val="00084B9A"/>
    <w:rsid w:val="00084E87"/>
    <w:rsid w:val="00084ECC"/>
    <w:rsid w:val="00084F56"/>
    <w:rsid w:val="00084FBD"/>
    <w:rsid w:val="00084FF6"/>
    <w:rsid w:val="00084FFB"/>
    <w:rsid w:val="0008521D"/>
    <w:rsid w:val="00085303"/>
    <w:rsid w:val="0008547C"/>
    <w:rsid w:val="0008570A"/>
    <w:rsid w:val="0008570D"/>
    <w:rsid w:val="00085718"/>
    <w:rsid w:val="00085735"/>
    <w:rsid w:val="00085772"/>
    <w:rsid w:val="0008582B"/>
    <w:rsid w:val="00085CBD"/>
    <w:rsid w:val="00085CBE"/>
    <w:rsid w:val="00085CFC"/>
    <w:rsid w:val="00085D29"/>
    <w:rsid w:val="00085D82"/>
    <w:rsid w:val="00085DC0"/>
    <w:rsid w:val="00085E6F"/>
    <w:rsid w:val="00086495"/>
    <w:rsid w:val="0008661E"/>
    <w:rsid w:val="0008666A"/>
    <w:rsid w:val="0008677A"/>
    <w:rsid w:val="0008680D"/>
    <w:rsid w:val="00086AA6"/>
    <w:rsid w:val="00086B6F"/>
    <w:rsid w:val="00086C4A"/>
    <w:rsid w:val="00086C98"/>
    <w:rsid w:val="00086F2F"/>
    <w:rsid w:val="00086F3E"/>
    <w:rsid w:val="000871F2"/>
    <w:rsid w:val="00087242"/>
    <w:rsid w:val="00087245"/>
    <w:rsid w:val="00087364"/>
    <w:rsid w:val="00087424"/>
    <w:rsid w:val="00087481"/>
    <w:rsid w:val="00087746"/>
    <w:rsid w:val="00087A95"/>
    <w:rsid w:val="00087ADA"/>
    <w:rsid w:val="00087C6F"/>
    <w:rsid w:val="00087C7E"/>
    <w:rsid w:val="00087CA2"/>
    <w:rsid w:val="00087D2B"/>
    <w:rsid w:val="00087D66"/>
    <w:rsid w:val="00087EE3"/>
    <w:rsid w:val="00087F28"/>
    <w:rsid w:val="00087FA2"/>
    <w:rsid w:val="00087FBF"/>
    <w:rsid w:val="00090036"/>
    <w:rsid w:val="00090082"/>
    <w:rsid w:val="0009019A"/>
    <w:rsid w:val="00090325"/>
    <w:rsid w:val="000903A1"/>
    <w:rsid w:val="0009041C"/>
    <w:rsid w:val="000904E5"/>
    <w:rsid w:val="000904F2"/>
    <w:rsid w:val="00090541"/>
    <w:rsid w:val="000905CE"/>
    <w:rsid w:val="000906C9"/>
    <w:rsid w:val="000906F9"/>
    <w:rsid w:val="0009091A"/>
    <w:rsid w:val="00090A09"/>
    <w:rsid w:val="00090AD9"/>
    <w:rsid w:val="00090B4E"/>
    <w:rsid w:val="00090BDD"/>
    <w:rsid w:val="00090E36"/>
    <w:rsid w:val="00090E80"/>
    <w:rsid w:val="00091191"/>
    <w:rsid w:val="000912BA"/>
    <w:rsid w:val="000913A9"/>
    <w:rsid w:val="000913BE"/>
    <w:rsid w:val="00091505"/>
    <w:rsid w:val="0009150E"/>
    <w:rsid w:val="00091639"/>
    <w:rsid w:val="000916E9"/>
    <w:rsid w:val="000917B2"/>
    <w:rsid w:val="00091AEA"/>
    <w:rsid w:val="00091B4D"/>
    <w:rsid w:val="00091B85"/>
    <w:rsid w:val="00091C17"/>
    <w:rsid w:val="00091C68"/>
    <w:rsid w:val="00091E60"/>
    <w:rsid w:val="0009224B"/>
    <w:rsid w:val="00092365"/>
    <w:rsid w:val="000923E9"/>
    <w:rsid w:val="000924D6"/>
    <w:rsid w:val="0009250E"/>
    <w:rsid w:val="00092798"/>
    <w:rsid w:val="0009285B"/>
    <w:rsid w:val="00092946"/>
    <w:rsid w:val="00092ADA"/>
    <w:rsid w:val="00092CEC"/>
    <w:rsid w:val="00092DB0"/>
    <w:rsid w:val="00092DE0"/>
    <w:rsid w:val="00092E6F"/>
    <w:rsid w:val="00092F5A"/>
    <w:rsid w:val="00092FBF"/>
    <w:rsid w:val="000931FF"/>
    <w:rsid w:val="00093289"/>
    <w:rsid w:val="000933EC"/>
    <w:rsid w:val="00093416"/>
    <w:rsid w:val="00093417"/>
    <w:rsid w:val="00093440"/>
    <w:rsid w:val="000934D8"/>
    <w:rsid w:val="000935B4"/>
    <w:rsid w:val="000935C8"/>
    <w:rsid w:val="00093678"/>
    <w:rsid w:val="00093711"/>
    <w:rsid w:val="00093898"/>
    <w:rsid w:val="000938D3"/>
    <w:rsid w:val="00093A22"/>
    <w:rsid w:val="00093A7C"/>
    <w:rsid w:val="00093C1C"/>
    <w:rsid w:val="00093D82"/>
    <w:rsid w:val="00094094"/>
    <w:rsid w:val="00094098"/>
    <w:rsid w:val="000944B7"/>
    <w:rsid w:val="00094527"/>
    <w:rsid w:val="00094693"/>
    <w:rsid w:val="0009473F"/>
    <w:rsid w:val="00094B95"/>
    <w:rsid w:val="00094BA3"/>
    <w:rsid w:val="00094D62"/>
    <w:rsid w:val="00094DB8"/>
    <w:rsid w:val="000950F6"/>
    <w:rsid w:val="00095143"/>
    <w:rsid w:val="000951D1"/>
    <w:rsid w:val="000951D4"/>
    <w:rsid w:val="00095282"/>
    <w:rsid w:val="000952A9"/>
    <w:rsid w:val="00095345"/>
    <w:rsid w:val="000954FF"/>
    <w:rsid w:val="00095511"/>
    <w:rsid w:val="00095597"/>
    <w:rsid w:val="000955B7"/>
    <w:rsid w:val="0009569E"/>
    <w:rsid w:val="000956D2"/>
    <w:rsid w:val="00095900"/>
    <w:rsid w:val="00095D58"/>
    <w:rsid w:val="00095E99"/>
    <w:rsid w:val="00095EF0"/>
    <w:rsid w:val="000960E4"/>
    <w:rsid w:val="0009613A"/>
    <w:rsid w:val="000961DA"/>
    <w:rsid w:val="000961E0"/>
    <w:rsid w:val="00096239"/>
    <w:rsid w:val="0009623F"/>
    <w:rsid w:val="000962F2"/>
    <w:rsid w:val="000964F6"/>
    <w:rsid w:val="0009667F"/>
    <w:rsid w:val="0009677F"/>
    <w:rsid w:val="00096911"/>
    <w:rsid w:val="0009695B"/>
    <w:rsid w:val="000969E8"/>
    <w:rsid w:val="00096A11"/>
    <w:rsid w:val="00096A55"/>
    <w:rsid w:val="00096B9B"/>
    <w:rsid w:val="00096D47"/>
    <w:rsid w:val="00096D4B"/>
    <w:rsid w:val="00096EA1"/>
    <w:rsid w:val="00096EA9"/>
    <w:rsid w:val="00097027"/>
    <w:rsid w:val="000970B9"/>
    <w:rsid w:val="00097260"/>
    <w:rsid w:val="0009726C"/>
    <w:rsid w:val="000972A7"/>
    <w:rsid w:val="00097348"/>
    <w:rsid w:val="00097350"/>
    <w:rsid w:val="00097370"/>
    <w:rsid w:val="000973AF"/>
    <w:rsid w:val="000974CA"/>
    <w:rsid w:val="0009759C"/>
    <w:rsid w:val="000978FB"/>
    <w:rsid w:val="000979AD"/>
    <w:rsid w:val="000979D1"/>
    <w:rsid w:val="00097AB6"/>
    <w:rsid w:val="00097AE9"/>
    <w:rsid w:val="00097B2E"/>
    <w:rsid w:val="00097B41"/>
    <w:rsid w:val="00097C91"/>
    <w:rsid w:val="00097CB0"/>
    <w:rsid w:val="00097E7F"/>
    <w:rsid w:val="00097E97"/>
    <w:rsid w:val="00097EB1"/>
    <w:rsid w:val="000A01FE"/>
    <w:rsid w:val="000A0374"/>
    <w:rsid w:val="000A046A"/>
    <w:rsid w:val="000A0667"/>
    <w:rsid w:val="000A0672"/>
    <w:rsid w:val="000A081D"/>
    <w:rsid w:val="000A0828"/>
    <w:rsid w:val="000A08EC"/>
    <w:rsid w:val="000A097C"/>
    <w:rsid w:val="000A0997"/>
    <w:rsid w:val="000A0B55"/>
    <w:rsid w:val="000A0C41"/>
    <w:rsid w:val="000A0CD6"/>
    <w:rsid w:val="000A0CDB"/>
    <w:rsid w:val="000A0EBD"/>
    <w:rsid w:val="000A0F0E"/>
    <w:rsid w:val="000A0F28"/>
    <w:rsid w:val="000A0FEB"/>
    <w:rsid w:val="000A100C"/>
    <w:rsid w:val="000A1043"/>
    <w:rsid w:val="000A119C"/>
    <w:rsid w:val="000A11D2"/>
    <w:rsid w:val="000A1206"/>
    <w:rsid w:val="000A1215"/>
    <w:rsid w:val="000A126B"/>
    <w:rsid w:val="000A12F8"/>
    <w:rsid w:val="000A1394"/>
    <w:rsid w:val="000A14AF"/>
    <w:rsid w:val="000A1669"/>
    <w:rsid w:val="000A170F"/>
    <w:rsid w:val="000A1A28"/>
    <w:rsid w:val="000A1B17"/>
    <w:rsid w:val="000A1B22"/>
    <w:rsid w:val="000A1BCC"/>
    <w:rsid w:val="000A1C13"/>
    <w:rsid w:val="000A1C1D"/>
    <w:rsid w:val="000A1CBA"/>
    <w:rsid w:val="000A1CBE"/>
    <w:rsid w:val="000A1D63"/>
    <w:rsid w:val="000A1D66"/>
    <w:rsid w:val="000A1DB8"/>
    <w:rsid w:val="000A1DF6"/>
    <w:rsid w:val="000A1EFC"/>
    <w:rsid w:val="000A2039"/>
    <w:rsid w:val="000A20F4"/>
    <w:rsid w:val="000A21EF"/>
    <w:rsid w:val="000A2234"/>
    <w:rsid w:val="000A24EC"/>
    <w:rsid w:val="000A255E"/>
    <w:rsid w:val="000A2890"/>
    <w:rsid w:val="000A295D"/>
    <w:rsid w:val="000A29F1"/>
    <w:rsid w:val="000A2AF4"/>
    <w:rsid w:val="000A2B09"/>
    <w:rsid w:val="000A2B14"/>
    <w:rsid w:val="000A30D7"/>
    <w:rsid w:val="000A3225"/>
    <w:rsid w:val="000A326F"/>
    <w:rsid w:val="000A32CD"/>
    <w:rsid w:val="000A32E5"/>
    <w:rsid w:val="000A340A"/>
    <w:rsid w:val="000A3490"/>
    <w:rsid w:val="000A3517"/>
    <w:rsid w:val="000A35A6"/>
    <w:rsid w:val="000A36FA"/>
    <w:rsid w:val="000A373D"/>
    <w:rsid w:val="000A38AA"/>
    <w:rsid w:val="000A39BF"/>
    <w:rsid w:val="000A3A9A"/>
    <w:rsid w:val="000A3B54"/>
    <w:rsid w:val="000A3C31"/>
    <w:rsid w:val="000A3C3C"/>
    <w:rsid w:val="000A3DE3"/>
    <w:rsid w:val="000A3EA2"/>
    <w:rsid w:val="000A3EFE"/>
    <w:rsid w:val="000A3FB9"/>
    <w:rsid w:val="000A400F"/>
    <w:rsid w:val="000A41E0"/>
    <w:rsid w:val="000A4204"/>
    <w:rsid w:val="000A42E2"/>
    <w:rsid w:val="000A442E"/>
    <w:rsid w:val="000A4473"/>
    <w:rsid w:val="000A44B4"/>
    <w:rsid w:val="000A44CE"/>
    <w:rsid w:val="000A487D"/>
    <w:rsid w:val="000A48C8"/>
    <w:rsid w:val="000A4978"/>
    <w:rsid w:val="000A4F39"/>
    <w:rsid w:val="000A4F7A"/>
    <w:rsid w:val="000A4FD0"/>
    <w:rsid w:val="000A5090"/>
    <w:rsid w:val="000A50D8"/>
    <w:rsid w:val="000A50F2"/>
    <w:rsid w:val="000A515E"/>
    <w:rsid w:val="000A5189"/>
    <w:rsid w:val="000A5229"/>
    <w:rsid w:val="000A5239"/>
    <w:rsid w:val="000A52C3"/>
    <w:rsid w:val="000A548C"/>
    <w:rsid w:val="000A5595"/>
    <w:rsid w:val="000A5619"/>
    <w:rsid w:val="000A5794"/>
    <w:rsid w:val="000A5923"/>
    <w:rsid w:val="000A59F7"/>
    <w:rsid w:val="000A5C6A"/>
    <w:rsid w:val="000A5CBD"/>
    <w:rsid w:val="000A5D2F"/>
    <w:rsid w:val="000A5E69"/>
    <w:rsid w:val="000A5F2F"/>
    <w:rsid w:val="000A6004"/>
    <w:rsid w:val="000A6112"/>
    <w:rsid w:val="000A6129"/>
    <w:rsid w:val="000A61C4"/>
    <w:rsid w:val="000A6320"/>
    <w:rsid w:val="000A63EC"/>
    <w:rsid w:val="000A6424"/>
    <w:rsid w:val="000A65B5"/>
    <w:rsid w:val="000A6651"/>
    <w:rsid w:val="000A6675"/>
    <w:rsid w:val="000A670A"/>
    <w:rsid w:val="000A6774"/>
    <w:rsid w:val="000A67DC"/>
    <w:rsid w:val="000A6810"/>
    <w:rsid w:val="000A6852"/>
    <w:rsid w:val="000A693B"/>
    <w:rsid w:val="000A699F"/>
    <w:rsid w:val="000A6A9F"/>
    <w:rsid w:val="000A6AE5"/>
    <w:rsid w:val="000A6AF0"/>
    <w:rsid w:val="000A6E77"/>
    <w:rsid w:val="000A6F40"/>
    <w:rsid w:val="000A6FD8"/>
    <w:rsid w:val="000A7009"/>
    <w:rsid w:val="000A700F"/>
    <w:rsid w:val="000A709D"/>
    <w:rsid w:val="000A7132"/>
    <w:rsid w:val="000A7315"/>
    <w:rsid w:val="000A7361"/>
    <w:rsid w:val="000A73FE"/>
    <w:rsid w:val="000A754D"/>
    <w:rsid w:val="000A757A"/>
    <w:rsid w:val="000A758D"/>
    <w:rsid w:val="000A75DE"/>
    <w:rsid w:val="000A7610"/>
    <w:rsid w:val="000A76E0"/>
    <w:rsid w:val="000A782B"/>
    <w:rsid w:val="000A78F7"/>
    <w:rsid w:val="000A79C1"/>
    <w:rsid w:val="000A7BA3"/>
    <w:rsid w:val="000A7BA9"/>
    <w:rsid w:val="000A7BBC"/>
    <w:rsid w:val="000A7D70"/>
    <w:rsid w:val="000A7DCF"/>
    <w:rsid w:val="000A7FC9"/>
    <w:rsid w:val="000B0067"/>
    <w:rsid w:val="000B0078"/>
    <w:rsid w:val="000B00FC"/>
    <w:rsid w:val="000B0197"/>
    <w:rsid w:val="000B037F"/>
    <w:rsid w:val="000B05A2"/>
    <w:rsid w:val="000B06CC"/>
    <w:rsid w:val="000B0788"/>
    <w:rsid w:val="000B07C9"/>
    <w:rsid w:val="000B0951"/>
    <w:rsid w:val="000B0A3D"/>
    <w:rsid w:val="000B0A44"/>
    <w:rsid w:val="000B0A88"/>
    <w:rsid w:val="000B0A90"/>
    <w:rsid w:val="000B0AD8"/>
    <w:rsid w:val="000B0D89"/>
    <w:rsid w:val="000B0E24"/>
    <w:rsid w:val="000B0F54"/>
    <w:rsid w:val="000B0FC2"/>
    <w:rsid w:val="000B1079"/>
    <w:rsid w:val="000B111C"/>
    <w:rsid w:val="000B1183"/>
    <w:rsid w:val="000B1223"/>
    <w:rsid w:val="000B1341"/>
    <w:rsid w:val="000B1470"/>
    <w:rsid w:val="000B16B8"/>
    <w:rsid w:val="000B171D"/>
    <w:rsid w:val="000B17A4"/>
    <w:rsid w:val="000B1813"/>
    <w:rsid w:val="000B1A1E"/>
    <w:rsid w:val="000B1A40"/>
    <w:rsid w:val="000B1C58"/>
    <w:rsid w:val="000B1CB2"/>
    <w:rsid w:val="000B1E3C"/>
    <w:rsid w:val="000B2156"/>
    <w:rsid w:val="000B2176"/>
    <w:rsid w:val="000B2188"/>
    <w:rsid w:val="000B218F"/>
    <w:rsid w:val="000B21B2"/>
    <w:rsid w:val="000B2245"/>
    <w:rsid w:val="000B224A"/>
    <w:rsid w:val="000B2389"/>
    <w:rsid w:val="000B24A0"/>
    <w:rsid w:val="000B25C2"/>
    <w:rsid w:val="000B292B"/>
    <w:rsid w:val="000B2A07"/>
    <w:rsid w:val="000B2BB9"/>
    <w:rsid w:val="000B2BFF"/>
    <w:rsid w:val="000B2DDB"/>
    <w:rsid w:val="000B2DF2"/>
    <w:rsid w:val="000B2E78"/>
    <w:rsid w:val="000B2EA4"/>
    <w:rsid w:val="000B2EA9"/>
    <w:rsid w:val="000B2EF3"/>
    <w:rsid w:val="000B3078"/>
    <w:rsid w:val="000B3161"/>
    <w:rsid w:val="000B3321"/>
    <w:rsid w:val="000B3486"/>
    <w:rsid w:val="000B3649"/>
    <w:rsid w:val="000B365C"/>
    <w:rsid w:val="000B387D"/>
    <w:rsid w:val="000B38D3"/>
    <w:rsid w:val="000B3B39"/>
    <w:rsid w:val="000B3B8E"/>
    <w:rsid w:val="000B3C84"/>
    <w:rsid w:val="000B3C97"/>
    <w:rsid w:val="000B3D9F"/>
    <w:rsid w:val="000B3F35"/>
    <w:rsid w:val="000B40A1"/>
    <w:rsid w:val="000B40F1"/>
    <w:rsid w:val="000B4230"/>
    <w:rsid w:val="000B430E"/>
    <w:rsid w:val="000B4407"/>
    <w:rsid w:val="000B456E"/>
    <w:rsid w:val="000B4666"/>
    <w:rsid w:val="000B46C6"/>
    <w:rsid w:val="000B48EE"/>
    <w:rsid w:val="000B495C"/>
    <w:rsid w:val="000B49C7"/>
    <w:rsid w:val="000B4B2A"/>
    <w:rsid w:val="000B4B5F"/>
    <w:rsid w:val="000B4BB4"/>
    <w:rsid w:val="000B4C95"/>
    <w:rsid w:val="000B4EF6"/>
    <w:rsid w:val="000B4F4A"/>
    <w:rsid w:val="000B5121"/>
    <w:rsid w:val="000B5151"/>
    <w:rsid w:val="000B5169"/>
    <w:rsid w:val="000B51C5"/>
    <w:rsid w:val="000B5282"/>
    <w:rsid w:val="000B532F"/>
    <w:rsid w:val="000B5387"/>
    <w:rsid w:val="000B5643"/>
    <w:rsid w:val="000B58CE"/>
    <w:rsid w:val="000B5A0E"/>
    <w:rsid w:val="000B5A24"/>
    <w:rsid w:val="000B5D00"/>
    <w:rsid w:val="000B5E5C"/>
    <w:rsid w:val="000B6211"/>
    <w:rsid w:val="000B62EF"/>
    <w:rsid w:val="000B6305"/>
    <w:rsid w:val="000B6348"/>
    <w:rsid w:val="000B634C"/>
    <w:rsid w:val="000B644C"/>
    <w:rsid w:val="000B6523"/>
    <w:rsid w:val="000B6558"/>
    <w:rsid w:val="000B65B6"/>
    <w:rsid w:val="000B65BD"/>
    <w:rsid w:val="000B668E"/>
    <w:rsid w:val="000B670D"/>
    <w:rsid w:val="000B6951"/>
    <w:rsid w:val="000B6BB1"/>
    <w:rsid w:val="000B6BB5"/>
    <w:rsid w:val="000B6E25"/>
    <w:rsid w:val="000B6F5E"/>
    <w:rsid w:val="000B702F"/>
    <w:rsid w:val="000B7032"/>
    <w:rsid w:val="000B70D3"/>
    <w:rsid w:val="000B7175"/>
    <w:rsid w:val="000B72AC"/>
    <w:rsid w:val="000B72E7"/>
    <w:rsid w:val="000B7342"/>
    <w:rsid w:val="000B7369"/>
    <w:rsid w:val="000B73AA"/>
    <w:rsid w:val="000B73EA"/>
    <w:rsid w:val="000B75CB"/>
    <w:rsid w:val="000B77B7"/>
    <w:rsid w:val="000B7870"/>
    <w:rsid w:val="000B7A3D"/>
    <w:rsid w:val="000B7F58"/>
    <w:rsid w:val="000B7FC6"/>
    <w:rsid w:val="000C0019"/>
    <w:rsid w:val="000C00EA"/>
    <w:rsid w:val="000C014A"/>
    <w:rsid w:val="000C01AD"/>
    <w:rsid w:val="000C02C0"/>
    <w:rsid w:val="000C02C1"/>
    <w:rsid w:val="000C0379"/>
    <w:rsid w:val="000C038F"/>
    <w:rsid w:val="000C03A4"/>
    <w:rsid w:val="000C05F1"/>
    <w:rsid w:val="000C06A8"/>
    <w:rsid w:val="000C078E"/>
    <w:rsid w:val="000C0940"/>
    <w:rsid w:val="000C0B7F"/>
    <w:rsid w:val="000C0C02"/>
    <w:rsid w:val="000C0CE4"/>
    <w:rsid w:val="000C0D11"/>
    <w:rsid w:val="000C0E41"/>
    <w:rsid w:val="000C0E7B"/>
    <w:rsid w:val="000C0E8B"/>
    <w:rsid w:val="000C100F"/>
    <w:rsid w:val="000C106F"/>
    <w:rsid w:val="000C1093"/>
    <w:rsid w:val="000C1176"/>
    <w:rsid w:val="000C12BE"/>
    <w:rsid w:val="000C12CA"/>
    <w:rsid w:val="000C1364"/>
    <w:rsid w:val="000C13FF"/>
    <w:rsid w:val="000C154A"/>
    <w:rsid w:val="000C156F"/>
    <w:rsid w:val="000C1650"/>
    <w:rsid w:val="000C1719"/>
    <w:rsid w:val="000C177F"/>
    <w:rsid w:val="000C17E6"/>
    <w:rsid w:val="000C1842"/>
    <w:rsid w:val="000C19F5"/>
    <w:rsid w:val="000C1BBD"/>
    <w:rsid w:val="000C1C8A"/>
    <w:rsid w:val="000C1C94"/>
    <w:rsid w:val="000C1CEB"/>
    <w:rsid w:val="000C1EB2"/>
    <w:rsid w:val="000C1EEB"/>
    <w:rsid w:val="000C21A0"/>
    <w:rsid w:val="000C223C"/>
    <w:rsid w:val="000C2315"/>
    <w:rsid w:val="000C2390"/>
    <w:rsid w:val="000C252E"/>
    <w:rsid w:val="000C2533"/>
    <w:rsid w:val="000C28FE"/>
    <w:rsid w:val="000C2B29"/>
    <w:rsid w:val="000C2D97"/>
    <w:rsid w:val="000C2DFB"/>
    <w:rsid w:val="000C2F19"/>
    <w:rsid w:val="000C2F78"/>
    <w:rsid w:val="000C2FA5"/>
    <w:rsid w:val="000C30E1"/>
    <w:rsid w:val="000C312B"/>
    <w:rsid w:val="000C32F7"/>
    <w:rsid w:val="000C346A"/>
    <w:rsid w:val="000C3535"/>
    <w:rsid w:val="000C36C8"/>
    <w:rsid w:val="000C36E2"/>
    <w:rsid w:val="000C37F6"/>
    <w:rsid w:val="000C3A05"/>
    <w:rsid w:val="000C3BA4"/>
    <w:rsid w:val="000C3C4F"/>
    <w:rsid w:val="000C3D85"/>
    <w:rsid w:val="000C3D8D"/>
    <w:rsid w:val="000C3E66"/>
    <w:rsid w:val="000C3E8C"/>
    <w:rsid w:val="000C3EC7"/>
    <w:rsid w:val="000C4026"/>
    <w:rsid w:val="000C4028"/>
    <w:rsid w:val="000C403F"/>
    <w:rsid w:val="000C4051"/>
    <w:rsid w:val="000C40B7"/>
    <w:rsid w:val="000C4179"/>
    <w:rsid w:val="000C42DF"/>
    <w:rsid w:val="000C4300"/>
    <w:rsid w:val="000C43BD"/>
    <w:rsid w:val="000C44D1"/>
    <w:rsid w:val="000C4565"/>
    <w:rsid w:val="000C4630"/>
    <w:rsid w:val="000C47A3"/>
    <w:rsid w:val="000C48E9"/>
    <w:rsid w:val="000C4B8B"/>
    <w:rsid w:val="000C4C0B"/>
    <w:rsid w:val="000C4C76"/>
    <w:rsid w:val="000C4C88"/>
    <w:rsid w:val="000C4E32"/>
    <w:rsid w:val="000C5037"/>
    <w:rsid w:val="000C50FB"/>
    <w:rsid w:val="000C5108"/>
    <w:rsid w:val="000C5205"/>
    <w:rsid w:val="000C5210"/>
    <w:rsid w:val="000C52F7"/>
    <w:rsid w:val="000C5523"/>
    <w:rsid w:val="000C553A"/>
    <w:rsid w:val="000C563E"/>
    <w:rsid w:val="000C57E2"/>
    <w:rsid w:val="000C5815"/>
    <w:rsid w:val="000C5820"/>
    <w:rsid w:val="000C583C"/>
    <w:rsid w:val="000C5856"/>
    <w:rsid w:val="000C589A"/>
    <w:rsid w:val="000C589F"/>
    <w:rsid w:val="000C58F2"/>
    <w:rsid w:val="000C5A72"/>
    <w:rsid w:val="000C5ACD"/>
    <w:rsid w:val="000C5B9B"/>
    <w:rsid w:val="000C5C1B"/>
    <w:rsid w:val="000C5CF0"/>
    <w:rsid w:val="000C5DE1"/>
    <w:rsid w:val="000C5DF4"/>
    <w:rsid w:val="000C5FF2"/>
    <w:rsid w:val="000C610A"/>
    <w:rsid w:val="000C61C0"/>
    <w:rsid w:val="000C624F"/>
    <w:rsid w:val="000C62D1"/>
    <w:rsid w:val="000C644C"/>
    <w:rsid w:val="000C651D"/>
    <w:rsid w:val="000C6652"/>
    <w:rsid w:val="000C6723"/>
    <w:rsid w:val="000C674F"/>
    <w:rsid w:val="000C6AC2"/>
    <w:rsid w:val="000C6ADD"/>
    <w:rsid w:val="000C6AE1"/>
    <w:rsid w:val="000C6AFB"/>
    <w:rsid w:val="000C6B6C"/>
    <w:rsid w:val="000C6C6A"/>
    <w:rsid w:val="000C6C77"/>
    <w:rsid w:val="000C6E32"/>
    <w:rsid w:val="000C6F48"/>
    <w:rsid w:val="000C6FA5"/>
    <w:rsid w:val="000C7139"/>
    <w:rsid w:val="000C715A"/>
    <w:rsid w:val="000C7253"/>
    <w:rsid w:val="000C73A8"/>
    <w:rsid w:val="000C7453"/>
    <w:rsid w:val="000C7545"/>
    <w:rsid w:val="000C7699"/>
    <w:rsid w:val="000C76A4"/>
    <w:rsid w:val="000C7726"/>
    <w:rsid w:val="000C773D"/>
    <w:rsid w:val="000C7760"/>
    <w:rsid w:val="000C7765"/>
    <w:rsid w:val="000C77C8"/>
    <w:rsid w:val="000C7869"/>
    <w:rsid w:val="000C79E0"/>
    <w:rsid w:val="000C79FE"/>
    <w:rsid w:val="000C7A9B"/>
    <w:rsid w:val="000C7AF8"/>
    <w:rsid w:val="000C7BA1"/>
    <w:rsid w:val="000C7C49"/>
    <w:rsid w:val="000C7CCF"/>
    <w:rsid w:val="000C7CE4"/>
    <w:rsid w:val="000C7D15"/>
    <w:rsid w:val="000C7D44"/>
    <w:rsid w:val="000C7D46"/>
    <w:rsid w:val="000D007D"/>
    <w:rsid w:val="000D0273"/>
    <w:rsid w:val="000D0298"/>
    <w:rsid w:val="000D02A1"/>
    <w:rsid w:val="000D0542"/>
    <w:rsid w:val="000D05BE"/>
    <w:rsid w:val="000D05C2"/>
    <w:rsid w:val="000D0737"/>
    <w:rsid w:val="000D075E"/>
    <w:rsid w:val="000D078C"/>
    <w:rsid w:val="000D07D1"/>
    <w:rsid w:val="000D0A35"/>
    <w:rsid w:val="000D0BFF"/>
    <w:rsid w:val="000D0C26"/>
    <w:rsid w:val="000D0D07"/>
    <w:rsid w:val="000D0E64"/>
    <w:rsid w:val="000D0EF6"/>
    <w:rsid w:val="000D10F3"/>
    <w:rsid w:val="000D1226"/>
    <w:rsid w:val="000D1297"/>
    <w:rsid w:val="000D12E0"/>
    <w:rsid w:val="000D1368"/>
    <w:rsid w:val="000D15AD"/>
    <w:rsid w:val="000D161E"/>
    <w:rsid w:val="000D1627"/>
    <w:rsid w:val="000D1634"/>
    <w:rsid w:val="000D1784"/>
    <w:rsid w:val="000D19DE"/>
    <w:rsid w:val="000D1A4E"/>
    <w:rsid w:val="000D1A58"/>
    <w:rsid w:val="000D1D7C"/>
    <w:rsid w:val="000D1F66"/>
    <w:rsid w:val="000D2070"/>
    <w:rsid w:val="000D2169"/>
    <w:rsid w:val="000D21A6"/>
    <w:rsid w:val="000D21B8"/>
    <w:rsid w:val="000D22A2"/>
    <w:rsid w:val="000D2324"/>
    <w:rsid w:val="000D23C2"/>
    <w:rsid w:val="000D2626"/>
    <w:rsid w:val="000D2691"/>
    <w:rsid w:val="000D2698"/>
    <w:rsid w:val="000D26A1"/>
    <w:rsid w:val="000D26B1"/>
    <w:rsid w:val="000D26E5"/>
    <w:rsid w:val="000D289C"/>
    <w:rsid w:val="000D2C94"/>
    <w:rsid w:val="000D2CF9"/>
    <w:rsid w:val="000D2D32"/>
    <w:rsid w:val="000D2DCA"/>
    <w:rsid w:val="000D2E2C"/>
    <w:rsid w:val="000D2EB2"/>
    <w:rsid w:val="000D2F47"/>
    <w:rsid w:val="000D2F6F"/>
    <w:rsid w:val="000D2FEE"/>
    <w:rsid w:val="000D31CB"/>
    <w:rsid w:val="000D31DA"/>
    <w:rsid w:val="000D321A"/>
    <w:rsid w:val="000D32C8"/>
    <w:rsid w:val="000D34B2"/>
    <w:rsid w:val="000D3588"/>
    <w:rsid w:val="000D37F8"/>
    <w:rsid w:val="000D38DB"/>
    <w:rsid w:val="000D3B71"/>
    <w:rsid w:val="000D3BE2"/>
    <w:rsid w:val="000D3C30"/>
    <w:rsid w:val="000D3CD6"/>
    <w:rsid w:val="000D3D22"/>
    <w:rsid w:val="000D3E9E"/>
    <w:rsid w:val="000D3F72"/>
    <w:rsid w:val="000D3F98"/>
    <w:rsid w:val="000D3FFF"/>
    <w:rsid w:val="000D4012"/>
    <w:rsid w:val="000D436B"/>
    <w:rsid w:val="000D4449"/>
    <w:rsid w:val="000D4485"/>
    <w:rsid w:val="000D456B"/>
    <w:rsid w:val="000D45CA"/>
    <w:rsid w:val="000D45D1"/>
    <w:rsid w:val="000D4758"/>
    <w:rsid w:val="000D47F5"/>
    <w:rsid w:val="000D491A"/>
    <w:rsid w:val="000D4A18"/>
    <w:rsid w:val="000D4CC5"/>
    <w:rsid w:val="000D4EA8"/>
    <w:rsid w:val="000D5114"/>
    <w:rsid w:val="000D520D"/>
    <w:rsid w:val="000D524A"/>
    <w:rsid w:val="000D5269"/>
    <w:rsid w:val="000D539D"/>
    <w:rsid w:val="000D5401"/>
    <w:rsid w:val="000D5437"/>
    <w:rsid w:val="000D546E"/>
    <w:rsid w:val="000D57ED"/>
    <w:rsid w:val="000D5840"/>
    <w:rsid w:val="000D596E"/>
    <w:rsid w:val="000D5A6D"/>
    <w:rsid w:val="000D5ABA"/>
    <w:rsid w:val="000D5B3A"/>
    <w:rsid w:val="000D5C43"/>
    <w:rsid w:val="000D5C8B"/>
    <w:rsid w:val="000D5CFA"/>
    <w:rsid w:val="000D5D62"/>
    <w:rsid w:val="000D5E04"/>
    <w:rsid w:val="000D5E3A"/>
    <w:rsid w:val="000D5E8E"/>
    <w:rsid w:val="000D5F23"/>
    <w:rsid w:val="000D5F36"/>
    <w:rsid w:val="000D5FC3"/>
    <w:rsid w:val="000D602F"/>
    <w:rsid w:val="000D6141"/>
    <w:rsid w:val="000D61AA"/>
    <w:rsid w:val="000D623A"/>
    <w:rsid w:val="000D6284"/>
    <w:rsid w:val="000D63A6"/>
    <w:rsid w:val="000D6482"/>
    <w:rsid w:val="000D6485"/>
    <w:rsid w:val="000D6598"/>
    <w:rsid w:val="000D65A4"/>
    <w:rsid w:val="000D67F1"/>
    <w:rsid w:val="000D68C1"/>
    <w:rsid w:val="000D6A13"/>
    <w:rsid w:val="000D6A7F"/>
    <w:rsid w:val="000D6BAC"/>
    <w:rsid w:val="000D6BB2"/>
    <w:rsid w:val="000D6C27"/>
    <w:rsid w:val="000D6D2F"/>
    <w:rsid w:val="000D6EC0"/>
    <w:rsid w:val="000D6FE9"/>
    <w:rsid w:val="000D70C4"/>
    <w:rsid w:val="000D716D"/>
    <w:rsid w:val="000D7201"/>
    <w:rsid w:val="000D7484"/>
    <w:rsid w:val="000D74FE"/>
    <w:rsid w:val="000D75E4"/>
    <w:rsid w:val="000D75E5"/>
    <w:rsid w:val="000D7655"/>
    <w:rsid w:val="000D7699"/>
    <w:rsid w:val="000D76A0"/>
    <w:rsid w:val="000D772E"/>
    <w:rsid w:val="000D7732"/>
    <w:rsid w:val="000D7741"/>
    <w:rsid w:val="000D77BD"/>
    <w:rsid w:val="000D79FA"/>
    <w:rsid w:val="000D7AA0"/>
    <w:rsid w:val="000D7B22"/>
    <w:rsid w:val="000D7B5F"/>
    <w:rsid w:val="000D7C04"/>
    <w:rsid w:val="000D7CD7"/>
    <w:rsid w:val="000D7DBB"/>
    <w:rsid w:val="000D7E7F"/>
    <w:rsid w:val="000D7EB4"/>
    <w:rsid w:val="000D7EE5"/>
    <w:rsid w:val="000D7F30"/>
    <w:rsid w:val="000D7F84"/>
    <w:rsid w:val="000D7FC6"/>
    <w:rsid w:val="000D7FD0"/>
    <w:rsid w:val="000E01B0"/>
    <w:rsid w:val="000E01FB"/>
    <w:rsid w:val="000E029A"/>
    <w:rsid w:val="000E032A"/>
    <w:rsid w:val="000E0411"/>
    <w:rsid w:val="000E041C"/>
    <w:rsid w:val="000E04AD"/>
    <w:rsid w:val="000E055C"/>
    <w:rsid w:val="000E0777"/>
    <w:rsid w:val="000E0813"/>
    <w:rsid w:val="000E0B35"/>
    <w:rsid w:val="000E0CBC"/>
    <w:rsid w:val="000E0D88"/>
    <w:rsid w:val="000E104B"/>
    <w:rsid w:val="000E10F5"/>
    <w:rsid w:val="000E12DA"/>
    <w:rsid w:val="000E1305"/>
    <w:rsid w:val="000E1331"/>
    <w:rsid w:val="000E13CA"/>
    <w:rsid w:val="000E1444"/>
    <w:rsid w:val="000E1890"/>
    <w:rsid w:val="000E18A1"/>
    <w:rsid w:val="000E18B7"/>
    <w:rsid w:val="000E19A6"/>
    <w:rsid w:val="000E1B56"/>
    <w:rsid w:val="000E1B5F"/>
    <w:rsid w:val="000E1CC7"/>
    <w:rsid w:val="000E1CCD"/>
    <w:rsid w:val="000E1CF3"/>
    <w:rsid w:val="000E1E17"/>
    <w:rsid w:val="000E1EEA"/>
    <w:rsid w:val="000E1F2D"/>
    <w:rsid w:val="000E2030"/>
    <w:rsid w:val="000E2066"/>
    <w:rsid w:val="000E224C"/>
    <w:rsid w:val="000E23BE"/>
    <w:rsid w:val="000E240E"/>
    <w:rsid w:val="000E2422"/>
    <w:rsid w:val="000E24BB"/>
    <w:rsid w:val="000E24D8"/>
    <w:rsid w:val="000E2507"/>
    <w:rsid w:val="000E2592"/>
    <w:rsid w:val="000E26BE"/>
    <w:rsid w:val="000E27BF"/>
    <w:rsid w:val="000E28C2"/>
    <w:rsid w:val="000E28E7"/>
    <w:rsid w:val="000E2944"/>
    <w:rsid w:val="000E2A67"/>
    <w:rsid w:val="000E2A6D"/>
    <w:rsid w:val="000E2A7E"/>
    <w:rsid w:val="000E2C45"/>
    <w:rsid w:val="000E2C7D"/>
    <w:rsid w:val="000E2F8C"/>
    <w:rsid w:val="000E301F"/>
    <w:rsid w:val="000E31DD"/>
    <w:rsid w:val="000E32E2"/>
    <w:rsid w:val="000E3320"/>
    <w:rsid w:val="000E33A3"/>
    <w:rsid w:val="000E33F7"/>
    <w:rsid w:val="000E3446"/>
    <w:rsid w:val="000E345A"/>
    <w:rsid w:val="000E352D"/>
    <w:rsid w:val="000E3716"/>
    <w:rsid w:val="000E372C"/>
    <w:rsid w:val="000E3818"/>
    <w:rsid w:val="000E394B"/>
    <w:rsid w:val="000E39DF"/>
    <w:rsid w:val="000E3B54"/>
    <w:rsid w:val="000E3C2A"/>
    <w:rsid w:val="000E3CFD"/>
    <w:rsid w:val="000E3DEA"/>
    <w:rsid w:val="000E3EDF"/>
    <w:rsid w:val="000E4301"/>
    <w:rsid w:val="000E433D"/>
    <w:rsid w:val="000E43FF"/>
    <w:rsid w:val="000E45C6"/>
    <w:rsid w:val="000E4765"/>
    <w:rsid w:val="000E47CA"/>
    <w:rsid w:val="000E4902"/>
    <w:rsid w:val="000E49B3"/>
    <w:rsid w:val="000E4A24"/>
    <w:rsid w:val="000E4AB1"/>
    <w:rsid w:val="000E4AD0"/>
    <w:rsid w:val="000E4AD8"/>
    <w:rsid w:val="000E4B4C"/>
    <w:rsid w:val="000E4BA0"/>
    <w:rsid w:val="000E4CE5"/>
    <w:rsid w:val="000E4D7B"/>
    <w:rsid w:val="000E514A"/>
    <w:rsid w:val="000E51C8"/>
    <w:rsid w:val="000E524D"/>
    <w:rsid w:val="000E5295"/>
    <w:rsid w:val="000E52A5"/>
    <w:rsid w:val="000E5337"/>
    <w:rsid w:val="000E5439"/>
    <w:rsid w:val="000E54D9"/>
    <w:rsid w:val="000E5597"/>
    <w:rsid w:val="000E5697"/>
    <w:rsid w:val="000E57B3"/>
    <w:rsid w:val="000E5813"/>
    <w:rsid w:val="000E584D"/>
    <w:rsid w:val="000E599F"/>
    <w:rsid w:val="000E59C3"/>
    <w:rsid w:val="000E59C4"/>
    <w:rsid w:val="000E5A8B"/>
    <w:rsid w:val="000E5AB3"/>
    <w:rsid w:val="000E5B84"/>
    <w:rsid w:val="000E5BE5"/>
    <w:rsid w:val="000E5CBE"/>
    <w:rsid w:val="000E5CE0"/>
    <w:rsid w:val="000E5DA4"/>
    <w:rsid w:val="000E5E43"/>
    <w:rsid w:val="000E5EB2"/>
    <w:rsid w:val="000E61B9"/>
    <w:rsid w:val="000E61E1"/>
    <w:rsid w:val="000E6213"/>
    <w:rsid w:val="000E6338"/>
    <w:rsid w:val="000E63E5"/>
    <w:rsid w:val="000E6466"/>
    <w:rsid w:val="000E65B2"/>
    <w:rsid w:val="000E65E7"/>
    <w:rsid w:val="000E6A6B"/>
    <w:rsid w:val="000E6A9F"/>
    <w:rsid w:val="000E6B99"/>
    <w:rsid w:val="000E6D31"/>
    <w:rsid w:val="000E6DDF"/>
    <w:rsid w:val="000E6FAC"/>
    <w:rsid w:val="000E7111"/>
    <w:rsid w:val="000E73DC"/>
    <w:rsid w:val="000E75A8"/>
    <w:rsid w:val="000E75C5"/>
    <w:rsid w:val="000E7643"/>
    <w:rsid w:val="000E7653"/>
    <w:rsid w:val="000E76D2"/>
    <w:rsid w:val="000E7871"/>
    <w:rsid w:val="000E79AA"/>
    <w:rsid w:val="000E7AC0"/>
    <w:rsid w:val="000E7AD7"/>
    <w:rsid w:val="000E7B27"/>
    <w:rsid w:val="000E7E87"/>
    <w:rsid w:val="000E7F65"/>
    <w:rsid w:val="000F0214"/>
    <w:rsid w:val="000F033F"/>
    <w:rsid w:val="000F0424"/>
    <w:rsid w:val="000F0465"/>
    <w:rsid w:val="000F04D6"/>
    <w:rsid w:val="000F0526"/>
    <w:rsid w:val="000F05E5"/>
    <w:rsid w:val="000F0687"/>
    <w:rsid w:val="000F070B"/>
    <w:rsid w:val="000F0775"/>
    <w:rsid w:val="000F07E9"/>
    <w:rsid w:val="000F093A"/>
    <w:rsid w:val="000F09C3"/>
    <w:rsid w:val="000F09C9"/>
    <w:rsid w:val="000F0CDE"/>
    <w:rsid w:val="000F0D2C"/>
    <w:rsid w:val="000F0F23"/>
    <w:rsid w:val="000F0FAD"/>
    <w:rsid w:val="000F11CD"/>
    <w:rsid w:val="000F11E9"/>
    <w:rsid w:val="000F1282"/>
    <w:rsid w:val="000F137B"/>
    <w:rsid w:val="000F13A1"/>
    <w:rsid w:val="000F1460"/>
    <w:rsid w:val="000F146A"/>
    <w:rsid w:val="000F1527"/>
    <w:rsid w:val="000F1550"/>
    <w:rsid w:val="000F15CC"/>
    <w:rsid w:val="000F178A"/>
    <w:rsid w:val="000F17F5"/>
    <w:rsid w:val="000F185B"/>
    <w:rsid w:val="000F18EB"/>
    <w:rsid w:val="000F19CD"/>
    <w:rsid w:val="000F1A51"/>
    <w:rsid w:val="000F1C50"/>
    <w:rsid w:val="000F1C9E"/>
    <w:rsid w:val="000F1DA8"/>
    <w:rsid w:val="000F1EC3"/>
    <w:rsid w:val="000F1FE4"/>
    <w:rsid w:val="000F20CB"/>
    <w:rsid w:val="000F2110"/>
    <w:rsid w:val="000F2181"/>
    <w:rsid w:val="000F21E1"/>
    <w:rsid w:val="000F21EB"/>
    <w:rsid w:val="000F244C"/>
    <w:rsid w:val="000F24F0"/>
    <w:rsid w:val="000F2559"/>
    <w:rsid w:val="000F2684"/>
    <w:rsid w:val="000F2808"/>
    <w:rsid w:val="000F286B"/>
    <w:rsid w:val="000F28CA"/>
    <w:rsid w:val="000F2A4D"/>
    <w:rsid w:val="000F2B12"/>
    <w:rsid w:val="000F2C27"/>
    <w:rsid w:val="000F2C7E"/>
    <w:rsid w:val="000F2E8C"/>
    <w:rsid w:val="000F2F0B"/>
    <w:rsid w:val="000F301D"/>
    <w:rsid w:val="000F308B"/>
    <w:rsid w:val="000F315A"/>
    <w:rsid w:val="000F31D3"/>
    <w:rsid w:val="000F33B6"/>
    <w:rsid w:val="000F33C6"/>
    <w:rsid w:val="000F3410"/>
    <w:rsid w:val="000F3477"/>
    <w:rsid w:val="000F348D"/>
    <w:rsid w:val="000F360C"/>
    <w:rsid w:val="000F36BA"/>
    <w:rsid w:val="000F36C6"/>
    <w:rsid w:val="000F36F8"/>
    <w:rsid w:val="000F373C"/>
    <w:rsid w:val="000F379C"/>
    <w:rsid w:val="000F37E0"/>
    <w:rsid w:val="000F3822"/>
    <w:rsid w:val="000F39DF"/>
    <w:rsid w:val="000F3A58"/>
    <w:rsid w:val="000F3AC6"/>
    <w:rsid w:val="000F3C85"/>
    <w:rsid w:val="000F3E90"/>
    <w:rsid w:val="000F3F5B"/>
    <w:rsid w:val="000F410D"/>
    <w:rsid w:val="000F413C"/>
    <w:rsid w:val="000F419A"/>
    <w:rsid w:val="000F42FA"/>
    <w:rsid w:val="000F430F"/>
    <w:rsid w:val="000F4311"/>
    <w:rsid w:val="000F4334"/>
    <w:rsid w:val="000F43E8"/>
    <w:rsid w:val="000F4424"/>
    <w:rsid w:val="000F459C"/>
    <w:rsid w:val="000F46C5"/>
    <w:rsid w:val="000F46D6"/>
    <w:rsid w:val="000F480A"/>
    <w:rsid w:val="000F4ABD"/>
    <w:rsid w:val="000F4B0D"/>
    <w:rsid w:val="000F4C00"/>
    <w:rsid w:val="000F4D07"/>
    <w:rsid w:val="000F4D4C"/>
    <w:rsid w:val="000F4EAE"/>
    <w:rsid w:val="000F4FAA"/>
    <w:rsid w:val="000F5132"/>
    <w:rsid w:val="000F518E"/>
    <w:rsid w:val="000F51AB"/>
    <w:rsid w:val="000F54AD"/>
    <w:rsid w:val="000F5736"/>
    <w:rsid w:val="000F5802"/>
    <w:rsid w:val="000F5834"/>
    <w:rsid w:val="000F5890"/>
    <w:rsid w:val="000F58BF"/>
    <w:rsid w:val="000F58F6"/>
    <w:rsid w:val="000F5A34"/>
    <w:rsid w:val="000F5A8A"/>
    <w:rsid w:val="000F5AAA"/>
    <w:rsid w:val="000F5AB5"/>
    <w:rsid w:val="000F5AC5"/>
    <w:rsid w:val="000F5B8F"/>
    <w:rsid w:val="000F5C73"/>
    <w:rsid w:val="000F5DBF"/>
    <w:rsid w:val="000F5E1A"/>
    <w:rsid w:val="000F5FE2"/>
    <w:rsid w:val="000F601D"/>
    <w:rsid w:val="000F6154"/>
    <w:rsid w:val="000F6259"/>
    <w:rsid w:val="000F625C"/>
    <w:rsid w:val="000F6290"/>
    <w:rsid w:val="000F63DE"/>
    <w:rsid w:val="000F647D"/>
    <w:rsid w:val="000F6506"/>
    <w:rsid w:val="000F6722"/>
    <w:rsid w:val="000F6873"/>
    <w:rsid w:val="000F6883"/>
    <w:rsid w:val="000F6894"/>
    <w:rsid w:val="000F6951"/>
    <w:rsid w:val="000F6D13"/>
    <w:rsid w:val="000F6F92"/>
    <w:rsid w:val="000F6F95"/>
    <w:rsid w:val="000F6F9E"/>
    <w:rsid w:val="000F71C5"/>
    <w:rsid w:val="000F72B0"/>
    <w:rsid w:val="000F730F"/>
    <w:rsid w:val="000F7366"/>
    <w:rsid w:val="000F73AB"/>
    <w:rsid w:val="000F73EE"/>
    <w:rsid w:val="000F740B"/>
    <w:rsid w:val="000F7427"/>
    <w:rsid w:val="000F7745"/>
    <w:rsid w:val="000F77E9"/>
    <w:rsid w:val="000F7B0A"/>
    <w:rsid w:val="000F7EF4"/>
    <w:rsid w:val="000F7F14"/>
    <w:rsid w:val="00100065"/>
    <w:rsid w:val="001002AC"/>
    <w:rsid w:val="001002BD"/>
    <w:rsid w:val="00100580"/>
    <w:rsid w:val="001006F5"/>
    <w:rsid w:val="0010079C"/>
    <w:rsid w:val="00100823"/>
    <w:rsid w:val="00100929"/>
    <w:rsid w:val="0010093C"/>
    <w:rsid w:val="00100AEA"/>
    <w:rsid w:val="00100C2E"/>
    <w:rsid w:val="00100E93"/>
    <w:rsid w:val="00100EBE"/>
    <w:rsid w:val="00100EE8"/>
    <w:rsid w:val="00100F9B"/>
    <w:rsid w:val="00100FC7"/>
    <w:rsid w:val="00100FF6"/>
    <w:rsid w:val="001010B4"/>
    <w:rsid w:val="001010DC"/>
    <w:rsid w:val="0010111D"/>
    <w:rsid w:val="00101256"/>
    <w:rsid w:val="001012AA"/>
    <w:rsid w:val="0010136F"/>
    <w:rsid w:val="0010137C"/>
    <w:rsid w:val="0010156A"/>
    <w:rsid w:val="00101795"/>
    <w:rsid w:val="00101877"/>
    <w:rsid w:val="001018FB"/>
    <w:rsid w:val="00101A2A"/>
    <w:rsid w:val="00101A91"/>
    <w:rsid w:val="00101AD4"/>
    <w:rsid w:val="00101C49"/>
    <w:rsid w:val="00101C83"/>
    <w:rsid w:val="00101DF6"/>
    <w:rsid w:val="00101E06"/>
    <w:rsid w:val="0010209E"/>
    <w:rsid w:val="001020E3"/>
    <w:rsid w:val="0010219C"/>
    <w:rsid w:val="001021B2"/>
    <w:rsid w:val="001022A7"/>
    <w:rsid w:val="0010230E"/>
    <w:rsid w:val="00102311"/>
    <w:rsid w:val="001023C0"/>
    <w:rsid w:val="00102511"/>
    <w:rsid w:val="00102575"/>
    <w:rsid w:val="001026F6"/>
    <w:rsid w:val="0010277F"/>
    <w:rsid w:val="00102899"/>
    <w:rsid w:val="00102971"/>
    <w:rsid w:val="00102986"/>
    <w:rsid w:val="00102C0A"/>
    <w:rsid w:val="00102D41"/>
    <w:rsid w:val="00102D97"/>
    <w:rsid w:val="00102FF2"/>
    <w:rsid w:val="00103037"/>
    <w:rsid w:val="0010326D"/>
    <w:rsid w:val="00103313"/>
    <w:rsid w:val="00103492"/>
    <w:rsid w:val="001034CA"/>
    <w:rsid w:val="001035C5"/>
    <w:rsid w:val="0010367E"/>
    <w:rsid w:val="0010376A"/>
    <w:rsid w:val="001038A7"/>
    <w:rsid w:val="001039CC"/>
    <w:rsid w:val="00103A18"/>
    <w:rsid w:val="00103A81"/>
    <w:rsid w:val="00103CDC"/>
    <w:rsid w:val="00103D4F"/>
    <w:rsid w:val="00103D92"/>
    <w:rsid w:val="00103EA1"/>
    <w:rsid w:val="0010408A"/>
    <w:rsid w:val="0010420B"/>
    <w:rsid w:val="001043CE"/>
    <w:rsid w:val="00104442"/>
    <w:rsid w:val="00104469"/>
    <w:rsid w:val="001044B3"/>
    <w:rsid w:val="001045AD"/>
    <w:rsid w:val="00104705"/>
    <w:rsid w:val="001047D8"/>
    <w:rsid w:val="001047ED"/>
    <w:rsid w:val="0010490B"/>
    <w:rsid w:val="00104BB6"/>
    <w:rsid w:val="00104BC5"/>
    <w:rsid w:val="00104BC8"/>
    <w:rsid w:val="00104C51"/>
    <w:rsid w:val="00104D06"/>
    <w:rsid w:val="00104F23"/>
    <w:rsid w:val="00104FBD"/>
    <w:rsid w:val="00105064"/>
    <w:rsid w:val="0010508A"/>
    <w:rsid w:val="001050B3"/>
    <w:rsid w:val="0010516C"/>
    <w:rsid w:val="001051A2"/>
    <w:rsid w:val="001051D3"/>
    <w:rsid w:val="00105402"/>
    <w:rsid w:val="0010558C"/>
    <w:rsid w:val="00105768"/>
    <w:rsid w:val="001057F2"/>
    <w:rsid w:val="001059CB"/>
    <w:rsid w:val="00105AAF"/>
    <w:rsid w:val="00105ABE"/>
    <w:rsid w:val="00105B76"/>
    <w:rsid w:val="00105B98"/>
    <w:rsid w:val="00105C09"/>
    <w:rsid w:val="00105CD1"/>
    <w:rsid w:val="00105CDF"/>
    <w:rsid w:val="00105D30"/>
    <w:rsid w:val="0010608B"/>
    <w:rsid w:val="00106138"/>
    <w:rsid w:val="001064B6"/>
    <w:rsid w:val="00106592"/>
    <w:rsid w:val="001065CC"/>
    <w:rsid w:val="00106618"/>
    <w:rsid w:val="0010665D"/>
    <w:rsid w:val="00106755"/>
    <w:rsid w:val="0010679B"/>
    <w:rsid w:val="001067F0"/>
    <w:rsid w:val="001068EC"/>
    <w:rsid w:val="001068F3"/>
    <w:rsid w:val="001068F9"/>
    <w:rsid w:val="00106962"/>
    <w:rsid w:val="00106AB4"/>
    <w:rsid w:val="00106AF2"/>
    <w:rsid w:val="00106B9E"/>
    <w:rsid w:val="00106CEA"/>
    <w:rsid w:val="00106D57"/>
    <w:rsid w:val="00106D7E"/>
    <w:rsid w:val="00106DEE"/>
    <w:rsid w:val="00106FAC"/>
    <w:rsid w:val="00106FE5"/>
    <w:rsid w:val="00107011"/>
    <w:rsid w:val="00107038"/>
    <w:rsid w:val="001071ED"/>
    <w:rsid w:val="001073B9"/>
    <w:rsid w:val="0010751D"/>
    <w:rsid w:val="00107570"/>
    <w:rsid w:val="0010764A"/>
    <w:rsid w:val="001077EB"/>
    <w:rsid w:val="00107862"/>
    <w:rsid w:val="00107C01"/>
    <w:rsid w:val="00107C80"/>
    <w:rsid w:val="00107DB3"/>
    <w:rsid w:val="00107EDB"/>
    <w:rsid w:val="00107EE7"/>
    <w:rsid w:val="001100D4"/>
    <w:rsid w:val="0011015D"/>
    <w:rsid w:val="00110458"/>
    <w:rsid w:val="00110578"/>
    <w:rsid w:val="001105A9"/>
    <w:rsid w:val="001105F8"/>
    <w:rsid w:val="00110615"/>
    <w:rsid w:val="00110663"/>
    <w:rsid w:val="001107DA"/>
    <w:rsid w:val="00110812"/>
    <w:rsid w:val="00110BCA"/>
    <w:rsid w:val="00110C27"/>
    <w:rsid w:val="00110DF1"/>
    <w:rsid w:val="00110EAA"/>
    <w:rsid w:val="001110E3"/>
    <w:rsid w:val="00111170"/>
    <w:rsid w:val="0011118A"/>
    <w:rsid w:val="00111254"/>
    <w:rsid w:val="0011137C"/>
    <w:rsid w:val="00111459"/>
    <w:rsid w:val="001114BA"/>
    <w:rsid w:val="00111558"/>
    <w:rsid w:val="001115C8"/>
    <w:rsid w:val="001116F0"/>
    <w:rsid w:val="001117AB"/>
    <w:rsid w:val="001117F3"/>
    <w:rsid w:val="0011182F"/>
    <w:rsid w:val="00111842"/>
    <w:rsid w:val="001118F2"/>
    <w:rsid w:val="00111938"/>
    <w:rsid w:val="00111A33"/>
    <w:rsid w:val="00111B59"/>
    <w:rsid w:val="00111E38"/>
    <w:rsid w:val="00111EDD"/>
    <w:rsid w:val="00111F83"/>
    <w:rsid w:val="00111F8A"/>
    <w:rsid w:val="00111FA6"/>
    <w:rsid w:val="00111FC4"/>
    <w:rsid w:val="00112090"/>
    <w:rsid w:val="001120D0"/>
    <w:rsid w:val="00112191"/>
    <w:rsid w:val="001122A4"/>
    <w:rsid w:val="00112449"/>
    <w:rsid w:val="001124F1"/>
    <w:rsid w:val="00112682"/>
    <w:rsid w:val="001126DA"/>
    <w:rsid w:val="00112767"/>
    <w:rsid w:val="001127DC"/>
    <w:rsid w:val="0011285F"/>
    <w:rsid w:val="0011288A"/>
    <w:rsid w:val="001129D4"/>
    <w:rsid w:val="00112BD6"/>
    <w:rsid w:val="00112C07"/>
    <w:rsid w:val="00112DE6"/>
    <w:rsid w:val="00112DF0"/>
    <w:rsid w:val="00112E80"/>
    <w:rsid w:val="00112EC7"/>
    <w:rsid w:val="00112FAA"/>
    <w:rsid w:val="0011314A"/>
    <w:rsid w:val="0011338C"/>
    <w:rsid w:val="0011346D"/>
    <w:rsid w:val="001134E0"/>
    <w:rsid w:val="001135B2"/>
    <w:rsid w:val="001135E3"/>
    <w:rsid w:val="001135EA"/>
    <w:rsid w:val="00113606"/>
    <w:rsid w:val="00113620"/>
    <w:rsid w:val="0011365E"/>
    <w:rsid w:val="00113669"/>
    <w:rsid w:val="00113699"/>
    <w:rsid w:val="001137A5"/>
    <w:rsid w:val="001137DC"/>
    <w:rsid w:val="0011389A"/>
    <w:rsid w:val="001138F7"/>
    <w:rsid w:val="00113AE6"/>
    <w:rsid w:val="00113B4D"/>
    <w:rsid w:val="00113BBF"/>
    <w:rsid w:val="00113DB3"/>
    <w:rsid w:val="00113E5A"/>
    <w:rsid w:val="00113E8B"/>
    <w:rsid w:val="00113EC1"/>
    <w:rsid w:val="00113FC9"/>
    <w:rsid w:val="0011429C"/>
    <w:rsid w:val="001142B4"/>
    <w:rsid w:val="00114346"/>
    <w:rsid w:val="001143F7"/>
    <w:rsid w:val="0011448B"/>
    <w:rsid w:val="00114517"/>
    <w:rsid w:val="0011456B"/>
    <w:rsid w:val="00114601"/>
    <w:rsid w:val="0011468D"/>
    <w:rsid w:val="001146D3"/>
    <w:rsid w:val="0011470B"/>
    <w:rsid w:val="0011474B"/>
    <w:rsid w:val="001147FA"/>
    <w:rsid w:val="0011492A"/>
    <w:rsid w:val="001149B5"/>
    <w:rsid w:val="00114A29"/>
    <w:rsid w:val="00114A9A"/>
    <w:rsid w:val="00114B30"/>
    <w:rsid w:val="00114B4E"/>
    <w:rsid w:val="00114B63"/>
    <w:rsid w:val="00114DCD"/>
    <w:rsid w:val="00114EBF"/>
    <w:rsid w:val="00115046"/>
    <w:rsid w:val="001150B6"/>
    <w:rsid w:val="00115111"/>
    <w:rsid w:val="00115140"/>
    <w:rsid w:val="00115163"/>
    <w:rsid w:val="001152E8"/>
    <w:rsid w:val="001153CA"/>
    <w:rsid w:val="00115405"/>
    <w:rsid w:val="001154C5"/>
    <w:rsid w:val="0011555D"/>
    <w:rsid w:val="001158BB"/>
    <w:rsid w:val="00115A4A"/>
    <w:rsid w:val="00115A75"/>
    <w:rsid w:val="00115AF3"/>
    <w:rsid w:val="00115B42"/>
    <w:rsid w:val="00115B9B"/>
    <w:rsid w:val="00115CEA"/>
    <w:rsid w:val="00115D83"/>
    <w:rsid w:val="00115DBF"/>
    <w:rsid w:val="00115F09"/>
    <w:rsid w:val="0011610C"/>
    <w:rsid w:val="00116125"/>
    <w:rsid w:val="00116171"/>
    <w:rsid w:val="00116262"/>
    <w:rsid w:val="00116402"/>
    <w:rsid w:val="00116436"/>
    <w:rsid w:val="00116561"/>
    <w:rsid w:val="0011656B"/>
    <w:rsid w:val="00116655"/>
    <w:rsid w:val="001166C3"/>
    <w:rsid w:val="00116787"/>
    <w:rsid w:val="0011682D"/>
    <w:rsid w:val="001168B1"/>
    <w:rsid w:val="00116A36"/>
    <w:rsid w:val="00116AAE"/>
    <w:rsid w:val="00116C3E"/>
    <w:rsid w:val="00116CF8"/>
    <w:rsid w:val="00116E9D"/>
    <w:rsid w:val="00116FE4"/>
    <w:rsid w:val="00116FEF"/>
    <w:rsid w:val="00117010"/>
    <w:rsid w:val="001170D9"/>
    <w:rsid w:val="00117258"/>
    <w:rsid w:val="001172BE"/>
    <w:rsid w:val="0011732D"/>
    <w:rsid w:val="001174CC"/>
    <w:rsid w:val="00117627"/>
    <w:rsid w:val="0011770B"/>
    <w:rsid w:val="00117869"/>
    <w:rsid w:val="00117885"/>
    <w:rsid w:val="00117957"/>
    <w:rsid w:val="00117A9D"/>
    <w:rsid w:val="00117B32"/>
    <w:rsid w:val="00117B8D"/>
    <w:rsid w:val="00117CDB"/>
    <w:rsid w:val="00117D96"/>
    <w:rsid w:val="00117D9B"/>
    <w:rsid w:val="00117E59"/>
    <w:rsid w:val="00120032"/>
    <w:rsid w:val="00120088"/>
    <w:rsid w:val="001200E5"/>
    <w:rsid w:val="0012018D"/>
    <w:rsid w:val="00120224"/>
    <w:rsid w:val="0012040D"/>
    <w:rsid w:val="001204CC"/>
    <w:rsid w:val="0012055D"/>
    <w:rsid w:val="00120802"/>
    <w:rsid w:val="001208FD"/>
    <w:rsid w:val="001209BE"/>
    <w:rsid w:val="00120A5D"/>
    <w:rsid w:val="00120BB4"/>
    <w:rsid w:val="00120F38"/>
    <w:rsid w:val="00120F89"/>
    <w:rsid w:val="00120F91"/>
    <w:rsid w:val="00120FC8"/>
    <w:rsid w:val="0012102F"/>
    <w:rsid w:val="00121072"/>
    <w:rsid w:val="0012126F"/>
    <w:rsid w:val="0012127A"/>
    <w:rsid w:val="001216E4"/>
    <w:rsid w:val="001216E5"/>
    <w:rsid w:val="0012170B"/>
    <w:rsid w:val="0012172C"/>
    <w:rsid w:val="0012182C"/>
    <w:rsid w:val="0012183F"/>
    <w:rsid w:val="001219A8"/>
    <w:rsid w:val="00121C0F"/>
    <w:rsid w:val="00121C1D"/>
    <w:rsid w:val="00121C76"/>
    <w:rsid w:val="00121CFC"/>
    <w:rsid w:val="00121DF0"/>
    <w:rsid w:val="00121E0C"/>
    <w:rsid w:val="00121F70"/>
    <w:rsid w:val="0012201E"/>
    <w:rsid w:val="00122055"/>
    <w:rsid w:val="00122190"/>
    <w:rsid w:val="001221C9"/>
    <w:rsid w:val="00122258"/>
    <w:rsid w:val="00122283"/>
    <w:rsid w:val="0012237D"/>
    <w:rsid w:val="00122459"/>
    <w:rsid w:val="001224A7"/>
    <w:rsid w:val="001226A9"/>
    <w:rsid w:val="0012270D"/>
    <w:rsid w:val="00122758"/>
    <w:rsid w:val="001227B0"/>
    <w:rsid w:val="00122873"/>
    <w:rsid w:val="001229D8"/>
    <w:rsid w:val="00122A94"/>
    <w:rsid w:val="00122B37"/>
    <w:rsid w:val="00122C71"/>
    <w:rsid w:val="00122CA2"/>
    <w:rsid w:val="00122CB6"/>
    <w:rsid w:val="00122CC3"/>
    <w:rsid w:val="00122D48"/>
    <w:rsid w:val="00122D80"/>
    <w:rsid w:val="00122E07"/>
    <w:rsid w:val="00122E0C"/>
    <w:rsid w:val="00122E4D"/>
    <w:rsid w:val="00122F23"/>
    <w:rsid w:val="001232DA"/>
    <w:rsid w:val="001232DB"/>
    <w:rsid w:val="001235D0"/>
    <w:rsid w:val="0012364E"/>
    <w:rsid w:val="001236A8"/>
    <w:rsid w:val="001237A0"/>
    <w:rsid w:val="001237E0"/>
    <w:rsid w:val="001238C0"/>
    <w:rsid w:val="001238EF"/>
    <w:rsid w:val="001239A8"/>
    <w:rsid w:val="00123BCC"/>
    <w:rsid w:val="00123C80"/>
    <w:rsid w:val="00123E24"/>
    <w:rsid w:val="00123E4D"/>
    <w:rsid w:val="00123EA3"/>
    <w:rsid w:val="00123F38"/>
    <w:rsid w:val="00123F72"/>
    <w:rsid w:val="00123F86"/>
    <w:rsid w:val="00123F91"/>
    <w:rsid w:val="00123FD7"/>
    <w:rsid w:val="00124019"/>
    <w:rsid w:val="00124183"/>
    <w:rsid w:val="001241D4"/>
    <w:rsid w:val="00124322"/>
    <w:rsid w:val="001243D8"/>
    <w:rsid w:val="0012446A"/>
    <w:rsid w:val="0012449C"/>
    <w:rsid w:val="00124722"/>
    <w:rsid w:val="001248A7"/>
    <w:rsid w:val="0012490E"/>
    <w:rsid w:val="001249CC"/>
    <w:rsid w:val="00124DB5"/>
    <w:rsid w:val="00124DE4"/>
    <w:rsid w:val="00124E99"/>
    <w:rsid w:val="00124EB0"/>
    <w:rsid w:val="00124F18"/>
    <w:rsid w:val="00124FB0"/>
    <w:rsid w:val="00125036"/>
    <w:rsid w:val="00125061"/>
    <w:rsid w:val="00125077"/>
    <w:rsid w:val="00125292"/>
    <w:rsid w:val="0012531A"/>
    <w:rsid w:val="0012533B"/>
    <w:rsid w:val="001253F3"/>
    <w:rsid w:val="001254F8"/>
    <w:rsid w:val="0012555E"/>
    <w:rsid w:val="001255EB"/>
    <w:rsid w:val="00125659"/>
    <w:rsid w:val="0012568D"/>
    <w:rsid w:val="00125697"/>
    <w:rsid w:val="0012586A"/>
    <w:rsid w:val="00125873"/>
    <w:rsid w:val="001258A8"/>
    <w:rsid w:val="001259D4"/>
    <w:rsid w:val="00125A23"/>
    <w:rsid w:val="00125B53"/>
    <w:rsid w:val="00125B8B"/>
    <w:rsid w:val="00125BB2"/>
    <w:rsid w:val="00125C2C"/>
    <w:rsid w:val="00125D20"/>
    <w:rsid w:val="00125D3F"/>
    <w:rsid w:val="00125E32"/>
    <w:rsid w:val="001263E6"/>
    <w:rsid w:val="00126546"/>
    <w:rsid w:val="0012664B"/>
    <w:rsid w:val="00126681"/>
    <w:rsid w:val="0012692D"/>
    <w:rsid w:val="001269D4"/>
    <w:rsid w:val="00126A22"/>
    <w:rsid w:val="00126A2B"/>
    <w:rsid w:val="00126C26"/>
    <w:rsid w:val="00126C95"/>
    <w:rsid w:val="00126CDC"/>
    <w:rsid w:val="00126EC1"/>
    <w:rsid w:val="00126FC3"/>
    <w:rsid w:val="00127017"/>
    <w:rsid w:val="0012701E"/>
    <w:rsid w:val="001271A4"/>
    <w:rsid w:val="001272DD"/>
    <w:rsid w:val="001273A3"/>
    <w:rsid w:val="001275EE"/>
    <w:rsid w:val="0012785D"/>
    <w:rsid w:val="0012787D"/>
    <w:rsid w:val="001278C6"/>
    <w:rsid w:val="00127973"/>
    <w:rsid w:val="00127A60"/>
    <w:rsid w:val="00127BAE"/>
    <w:rsid w:val="00127D59"/>
    <w:rsid w:val="00130062"/>
    <w:rsid w:val="001301E4"/>
    <w:rsid w:val="001302A3"/>
    <w:rsid w:val="001302C8"/>
    <w:rsid w:val="00130354"/>
    <w:rsid w:val="0013043C"/>
    <w:rsid w:val="00130450"/>
    <w:rsid w:val="001304CD"/>
    <w:rsid w:val="00130511"/>
    <w:rsid w:val="0013054B"/>
    <w:rsid w:val="001305C7"/>
    <w:rsid w:val="0013061C"/>
    <w:rsid w:val="001306EA"/>
    <w:rsid w:val="0013075F"/>
    <w:rsid w:val="00130871"/>
    <w:rsid w:val="0013089B"/>
    <w:rsid w:val="00130A6A"/>
    <w:rsid w:val="00130AA6"/>
    <w:rsid w:val="00130B94"/>
    <w:rsid w:val="00130BEF"/>
    <w:rsid w:val="00130CC8"/>
    <w:rsid w:val="00130CFC"/>
    <w:rsid w:val="00130D23"/>
    <w:rsid w:val="00130D8B"/>
    <w:rsid w:val="00130DAD"/>
    <w:rsid w:val="00130E77"/>
    <w:rsid w:val="00130EC5"/>
    <w:rsid w:val="001313E4"/>
    <w:rsid w:val="001316B0"/>
    <w:rsid w:val="001316B8"/>
    <w:rsid w:val="0013180A"/>
    <w:rsid w:val="0013186C"/>
    <w:rsid w:val="00131881"/>
    <w:rsid w:val="00131A83"/>
    <w:rsid w:val="00131AC9"/>
    <w:rsid w:val="00131B72"/>
    <w:rsid w:val="00131BFC"/>
    <w:rsid w:val="00131C0E"/>
    <w:rsid w:val="00131EA5"/>
    <w:rsid w:val="00131F5B"/>
    <w:rsid w:val="00132039"/>
    <w:rsid w:val="001320A8"/>
    <w:rsid w:val="001320D0"/>
    <w:rsid w:val="001321DD"/>
    <w:rsid w:val="0013221C"/>
    <w:rsid w:val="00132444"/>
    <w:rsid w:val="001326FA"/>
    <w:rsid w:val="00132710"/>
    <w:rsid w:val="00132722"/>
    <w:rsid w:val="0013291C"/>
    <w:rsid w:val="00132997"/>
    <w:rsid w:val="001329FC"/>
    <w:rsid w:val="00132A88"/>
    <w:rsid w:val="00132ACC"/>
    <w:rsid w:val="00132C9B"/>
    <w:rsid w:val="00132D6D"/>
    <w:rsid w:val="00132DEA"/>
    <w:rsid w:val="00132E57"/>
    <w:rsid w:val="00132F51"/>
    <w:rsid w:val="00132F54"/>
    <w:rsid w:val="00132F76"/>
    <w:rsid w:val="00132F9A"/>
    <w:rsid w:val="00132FB7"/>
    <w:rsid w:val="00132FCB"/>
    <w:rsid w:val="00132FE3"/>
    <w:rsid w:val="0013312D"/>
    <w:rsid w:val="00133259"/>
    <w:rsid w:val="001332A0"/>
    <w:rsid w:val="0013336D"/>
    <w:rsid w:val="001333C2"/>
    <w:rsid w:val="001333F9"/>
    <w:rsid w:val="00133511"/>
    <w:rsid w:val="00133549"/>
    <w:rsid w:val="0013365F"/>
    <w:rsid w:val="00133732"/>
    <w:rsid w:val="00133766"/>
    <w:rsid w:val="00133773"/>
    <w:rsid w:val="0013379E"/>
    <w:rsid w:val="00133802"/>
    <w:rsid w:val="0013384F"/>
    <w:rsid w:val="0013385D"/>
    <w:rsid w:val="00133872"/>
    <w:rsid w:val="00133891"/>
    <w:rsid w:val="001338C3"/>
    <w:rsid w:val="00133AFC"/>
    <w:rsid w:val="00133C82"/>
    <w:rsid w:val="00133DED"/>
    <w:rsid w:val="001340AF"/>
    <w:rsid w:val="001340C5"/>
    <w:rsid w:val="0013420D"/>
    <w:rsid w:val="00134272"/>
    <w:rsid w:val="001345DA"/>
    <w:rsid w:val="0013465D"/>
    <w:rsid w:val="001346A6"/>
    <w:rsid w:val="001347F4"/>
    <w:rsid w:val="00134847"/>
    <w:rsid w:val="001349C0"/>
    <w:rsid w:val="00134A19"/>
    <w:rsid w:val="00134C27"/>
    <w:rsid w:val="00134C5E"/>
    <w:rsid w:val="00134CA6"/>
    <w:rsid w:val="00134E35"/>
    <w:rsid w:val="00134E6B"/>
    <w:rsid w:val="00134EA8"/>
    <w:rsid w:val="00134EDA"/>
    <w:rsid w:val="00134FC3"/>
    <w:rsid w:val="00134FDD"/>
    <w:rsid w:val="00135038"/>
    <w:rsid w:val="00135052"/>
    <w:rsid w:val="001350C1"/>
    <w:rsid w:val="001351BD"/>
    <w:rsid w:val="001352DB"/>
    <w:rsid w:val="00135303"/>
    <w:rsid w:val="00135378"/>
    <w:rsid w:val="00135478"/>
    <w:rsid w:val="00135548"/>
    <w:rsid w:val="001356AF"/>
    <w:rsid w:val="0013584E"/>
    <w:rsid w:val="00135A78"/>
    <w:rsid w:val="00135B03"/>
    <w:rsid w:val="00135B85"/>
    <w:rsid w:val="00135B89"/>
    <w:rsid w:val="00135BB5"/>
    <w:rsid w:val="00135BB9"/>
    <w:rsid w:val="00135E1E"/>
    <w:rsid w:val="00135F01"/>
    <w:rsid w:val="001360BE"/>
    <w:rsid w:val="001360FE"/>
    <w:rsid w:val="001362D8"/>
    <w:rsid w:val="00136336"/>
    <w:rsid w:val="0013643C"/>
    <w:rsid w:val="001365ED"/>
    <w:rsid w:val="001366A8"/>
    <w:rsid w:val="001366DC"/>
    <w:rsid w:val="001367C8"/>
    <w:rsid w:val="0013692D"/>
    <w:rsid w:val="00136AC6"/>
    <w:rsid w:val="00136B12"/>
    <w:rsid w:val="00136B7F"/>
    <w:rsid w:val="00136BC9"/>
    <w:rsid w:val="00136BD5"/>
    <w:rsid w:val="00136C02"/>
    <w:rsid w:val="00136C0F"/>
    <w:rsid w:val="00136CEE"/>
    <w:rsid w:val="00136DBC"/>
    <w:rsid w:val="00136DDD"/>
    <w:rsid w:val="00136EC0"/>
    <w:rsid w:val="00136EFB"/>
    <w:rsid w:val="0013701F"/>
    <w:rsid w:val="00137081"/>
    <w:rsid w:val="001371B5"/>
    <w:rsid w:val="001372AD"/>
    <w:rsid w:val="001372C8"/>
    <w:rsid w:val="00137311"/>
    <w:rsid w:val="001373B1"/>
    <w:rsid w:val="00137400"/>
    <w:rsid w:val="0013743F"/>
    <w:rsid w:val="00137695"/>
    <w:rsid w:val="001377C6"/>
    <w:rsid w:val="0013783E"/>
    <w:rsid w:val="001379C8"/>
    <w:rsid w:val="00137A50"/>
    <w:rsid w:val="00137B17"/>
    <w:rsid w:val="00137B41"/>
    <w:rsid w:val="00137B7E"/>
    <w:rsid w:val="00137BE0"/>
    <w:rsid w:val="00137BE5"/>
    <w:rsid w:val="00137C8D"/>
    <w:rsid w:val="00137CF4"/>
    <w:rsid w:val="00137E88"/>
    <w:rsid w:val="00137F99"/>
    <w:rsid w:val="00137FCF"/>
    <w:rsid w:val="00140157"/>
    <w:rsid w:val="00140248"/>
    <w:rsid w:val="001403D7"/>
    <w:rsid w:val="00140502"/>
    <w:rsid w:val="001406CE"/>
    <w:rsid w:val="001406E7"/>
    <w:rsid w:val="00140761"/>
    <w:rsid w:val="00140771"/>
    <w:rsid w:val="00140894"/>
    <w:rsid w:val="0014098D"/>
    <w:rsid w:val="00140B84"/>
    <w:rsid w:val="00140C75"/>
    <w:rsid w:val="00140DE8"/>
    <w:rsid w:val="00140EC1"/>
    <w:rsid w:val="00140ED5"/>
    <w:rsid w:val="00140F5F"/>
    <w:rsid w:val="00141109"/>
    <w:rsid w:val="00141242"/>
    <w:rsid w:val="001412BE"/>
    <w:rsid w:val="00141550"/>
    <w:rsid w:val="0014159C"/>
    <w:rsid w:val="00141A2C"/>
    <w:rsid w:val="00141A5B"/>
    <w:rsid w:val="00141AD0"/>
    <w:rsid w:val="00141B3A"/>
    <w:rsid w:val="00141B4C"/>
    <w:rsid w:val="00141C18"/>
    <w:rsid w:val="00141D5A"/>
    <w:rsid w:val="00141DA3"/>
    <w:rsid w:val="00141FDA"/>
    <w:rsid w:val="001420B7"/>
    <w:rsid w:val="0014247F"/>
    <w:rsid w:val="001425D1"/>
    <w:rsid w:val="001426A3"/>
    <w:rsid w:val="001426DC"/>
    <w:rsid w:val="001427DB"/>
    <w:rsid w:val="001429F2"/>
    <w:rsid w:val="00142A5A"/>
    <w:rsid w:val="00142AD0"/>
    <w:rsid w:val="00142ADD"/>
    <w:rsid w:val="00142AFB"/>
    <w:rsid w:val="00142B70"/>
    <w:rsid w:val="00142B8B"/>
    <w:rsid w:val="00142BAE"/>
    <w:rsid w:val="00142CA6"/>
    <w:rsid w:val="00142DB3"/>
    <w:rsid w:val="00142E67"/>
    <w:rsid w:val="00142F00"/>
    <w:rsid w:val="00142FB0"/>
    <w:rsid w:val="0014331A"/>
    <w:rsid w:val="001433F1"/>
    <w:rsid w:val="00143561"/>
    <w:rsid w:val="00143592"/>
    <w:rsid w:val="001436CD"/>
    <w:rsid w:val="0014373F"/>
    <w:rsid w:val="001437B7"/>
    <w:rsid w:val="001437CD"/>
    <w:rsid w:val="0014382F"/>
    <w:rsid w:val="00143991"/>
    <w:rsid w:val="001439DA"/>
    <w:rsid w:val="00143A1D"/>
    <w:rsid w:val="00143A5B"/>
    <w:rsid w:val="00143A9E"/>
    <w:rsid w:val="00143D00"/>
    <w:rsid w:val="00143E2F"/>
    <w:rsid w:val="00144006"/>
    <w:rsid w:val="0014400E"/>
    <w:rsid w:val="001440EF"/>
    <w:rsid w:val="001441E4"/>
    <w:rsid w:val="00144294"/>
    <w:rsid w:val="00144331"/>
    <w:rsid w:val="00144453"/>
    <w:rsid w:val="0014449E"/>
    <w:rsid w:val="00144668"/>
    <w:rsid w:val="001446ED"/>
    <w:rsid w:val="0014478C"/>
    <w:rsid w:val="00144857"/>
    <w:rsid w:val="00144A40"/>
    <w:rsid w:val="00144A71"/>
    <w:rsid w:val="00144A80"/>
    <w:rsid w:val="00144D06"/>
    <w:rsid w:val="00144D09"/>
    <w:rsid w:val="0014507F"/>
    <w:rsid w:val="00145088"/>
    <w:rsid w:val="001451FD"/>
    <w:rsid w:val="001452C7"/>
    <w:rsid w:val="00145356"/>
    <w:rsid w:val="00145477"/>
    <w:rsid w:val="00145537"/>
    <w:rsid w:val="00145554"/>
    <w:rsid w:val="00145566"/>
    <w:rsid w:val="00145576"/>
    <w:rsid w:val="0014566F"/>
    <w:rsid w:val="00145766"/>
    <w:rsid w:val="001457D5"/>
    <w:rsid w:val="001457FA"/>
    <w:rsid w:val="00145901"/>
    <w:rsid w:val="00145956"/>
    <w:rsid w:val="00145A28"/>
    <w:rsid w:val="00145ABE"/>
    <w:rsid w:val="00145CC1"/>
    <w:rsid w:val="00145CDD"/>
    <w:rsid w:val="00145EC5"/>
    <w:rsid w:val="00145EC7"/>
    <w:rsid w:val="00145F8E"/>
    <w:rsid w:val="00145FCB"/>
    <w:rsid w:val="00145FCF"/>
    <w:rsid w:val="00146039"/>
    <w:rsid w:val="001460F1"/>
    <w:rsid w:val="001460F9"/>
    <w:rsid w:val="00146240"/>
    <w:rsid w:val="001462C4"/>
    <w:rsid w:val="00146335"/>
    <w:rsid w:val="00146380"/>
    <w:rsid w:val="001463BF"/>
    <w:rsid w:val="0014657D"/>
    <w:rsid w:val="001465EB"/>
    <w:rsid w:val="001465F9"/>
    <w:rsid w:val="001466BC"/>
    <w:rsid w:val="00146700"/>
    <w:rsid w:val="00146999"/>
    <w:rsid w:val="00146C17"/>
    <w:rsid w:val="00146C4A"/>
    <w:rsid w:val="00146DB4"/>
    <w:rsid w:val="00146E2A"/>
    <w:rsid w:val="00146E61"/>
    <w:rsid w:val="00146E6E"/>
    <w:rsid w:val="00146EC9"/>
    <w:rsid w:val="00146F54"/>
    <w:rsid w:val="00147102"/>
    <w:rsid w:val="0014729D"/>
    <w:rsid w:val="00147485"/>
    <w:rsid w:val="001474AA"/>
    <w:rsid w:val="001474DF"/>
    <w:rsid w:val="0014756A"/>
    <w:rsid w:val="0014756B"/>
    <w:rsid w:val="0014759E"/>
    <w:rsid w:val="00147602"/>
    <w:rsid w:val="001476AE"/>
    <w:rsid w:val="001476CD"/>
    <w:rsid w:val="00147778"/>
    <w:rsid w:val="00147A09"/>
    <w:rsid w:val="00147A92"/>
    <w:rsid w:val="00147AE9"/>
    <w:rsid w:val="00147CF4"/>
    <w:rsid w:val="00147D39"/>
    <w:rsid w:val="00147DCE"/>
    <w:rsid w:val="0015009C"/>
    <w:rsid w:val="00150193"/>
    <w:rsid w:val="0015033B"/>
    <w:rsid w:val="00150413"/>
    <w:rsid w:val="0015045B"/>
    <w:rsid w:val="0015048F"/>
    <w:rsid w:val="00150515"/>
    <w:rsid w:val="0015084F"/>
    <w:rsid w:val="00150B51"/>
    <w:rsid w:val="00150B82"/>
    <w:rsid w:val="00150C34"/>
    <w:rsid w:val="00150D80"/>
    <w:rsid w:val="00150DD5"/>
    <w:rsid w:val="00150FA0"/>
    <w:rsid w:val="001510B8"/>
    <w:rsid w:val="00151143"/>
    <w:rsid w:val="00151159"/>
    <w:rsid w:val="001511B0"/>
    <w:rsid w:val="001513CF"/>
    <w:rsid w:val="00151416"/>
    <w:rsid w:val="0015151E"/>
    <w:rsid w:val="001517F9"/>
    <w:rsid w:val="00151968"/>
    <w:rsid w:val="001519EB"/>
    <w:rsid w:val="00151A29"/>
    <w:rsid w:val="00151A62"/>
    <w:rsid w:val="00151BCD"/>
    <w:rsid w:val="00151BE9"/>
    <w:rsid w:val="00151BF0"/>
    <w:rsid w:val="00151DFD"/>
    <w:rsid w:val="00151E5E"/>
    <w:rsid w:val="00151EB1"/>
    <w:rsid w:val="00151FE7"/>
    <w:rsid w:val="00152014"/>
    <w:rsid w:val="00152040"/>
    <w:rsid w:val="0015206E"/>
    <w:rsid w:val="001520AE"/>
    <w:rsid w:val="00152138"/>
    <w:rsid w:val="00152182"/>
    <w:rsid w:val="00152263"/>
    <w:rsid w:val="001522C6"/>
    <w:rsid w:val="00152330"/>
    <w:rsid w:val="00152620"/>
    <w:rsid w:val="0015268D"/>
    <w:rsid w:val="001526E2"/>
    <w:rsid w:val="0015289B"/>
    <w:rsid w:val="001528A0"/>
    <w:rsid w:val="001528CA"/>
    <w:rsid w:val="00152A21"/>
    <w:rsid w:val="00152AD4"/>
    <w:rsid w:val="00152AE8"/>
    <w:rsid w:val="00152BD5"/>
    <w:rsid w:val="00152BE4"/>
    <w:rsid w:val="00152D40"/>
    <w:rsid w:val="00153186"/>
    <w:rsid w:val="001532B8"/>
    <w:rsid w:val="001532DB"/>
    <w:rsid w:val="00153300"/>
    <w:rsid w:val="00153512"/>
    <w:rsid w:val="001535F7"/>
    <w:rsid w:val="0015374E"/>
    <w:rsid w:val="0015378E"/>
    <w:rsid w:val="001537B2"/>
    <w:rsid w:val="00153802"/>
    <w:rsid w:val="00153864"/>
    <w:rsid w:val="00153917"/>
    <w:rsid w:val="001539A1"/>
    <w:rsid w:val="001539EE"/>
    <w:rsid w:val="00153BE9"/>
    <w:rsid w:val="00153C4A"/>
    <w:rsid w:val="00153FA0"/>
    <w:rsid w:val="00153FDF"/>
    <w:rsid w:val="00154168"/>
    <w:rsid w:val="0015429A"/>
    <w:rsid w:val="00154318"/>
    <w:rsid w:val="00154360"/>
    <w:rsid w:val="001543B8"/>
    <w:rsid w:val="0015440B"/>
    <w:rsid w:val="00154541"/>
    <w:rsid w:val="00154837"/>
    <w:rsid w:val="001548E2"/>
    <w:rsid w:val="00154991"/>
    <w:rsid w:val="00154A1D"/>
    <w:rsid w:val="00154A49"/>
    <w:rsid w:val="00154A8B"/>
    <w:rsid w:val="00154BA3"/>
    <w:rsid w:val="00154BB7"/>
    <w:rsid w:val="00154CBF"/>
    <w:rsid w:val="00154D18"/>
    <w:rsid w:val="00154DB5"/>
    <w:rsid w:val="00154E0D"/>
    <w:rsid w:val="00154E23"/>
    <w:rsid w:val="00154EAA"/>
    <w:rsid w:val="00154F84"/>
    <w:rsid w:val="0015506E"/>
    <w:rsid w:val="001551C0"/>
    <w:rsid w:val="001551E1"/>
    <w:rsid w:val="001551F9"/>
    <w:rsid w:val="001551FE"/>
    <w:rsid w:val="001552A7"/>
    <w:rsid w:val="001552CD"/>
    <w:rsid w:val="00155440"/>
    <w:rsid w:val="0015553B"/>
    <w:rsid w:val="00155564"/>
    <w:rsid w:val="00155598"/>
    <w:rsid w:val="0015572F"/>
    <w:rsid w:val="00155848"/>
    <w:rsid w:val="00155901"/>
    <w:rsid w:val="001559D5"/>
    <w:rsid w:val="00155ABC"/>
    <w:rsid w:val="00155B02"/>
    <w:rsid w:val="00155BC5"/>
    <w:rsid w:val="00155CE4"/>
    <w:rsid w:val="00155F53"/>
    <w:rsid w:val="0015605C"/>
    <w:rsid w:val="001560DE"/>
    <w:rsid w:val="00156113"/>
    <w:rsid w:val="00156154"/>
    <w:rsid w:val="001562FA"/>
    <w:rsid w:val="001563CA"/>
    <w:rsid w:val="001563CC"/>
    <w:rsid w:val="00156479"/>
    <w:rsid w:val="00156630"/>
    <w:rsid w:val="001566CB"/>
    <w:rsid w:val="00156705"/>
    <w:rsid w:val="00156851"/>
    <w:rsid w:val="00156987"/>
    <w:rsid w:val="001569C1"/>
    <w:rsid w:val="00156AA2"/>
    <w:rsid w:val="00156B96"/>
    <w:rsid w:val="00156BB5"/>
    <w:rsid w:val="00156C65"/>
    <w:rsid w:val="00156DF4"/>
    <w:rsid w:val="00156FEE"/>
    <w:rsid w:val="00157131"/>
    <w:rsid w:val="0015743C"/>
    <w:rsid w:val="00157707"/>
    <w:rsid w:val="0015770E"/>
    <w:rsid w:val="0015776D"/>
    <w:rsid w:val="00157941"/>
    <w:rsid w:val="00157A27"/>
    <w:rsid w:val="00157A87"/>
    <w:rsid w:val="00157AAE"/>
    <w:rsid w:val="00157BF9"/>
    <w:rsid w:val="00157CD4"/>
    <w:rsid w:val="00157D5D"/>
    <w:rsid w:val="00157EA8"/>
    <w:rsid w:val="00157EC1"/>
    <w:rsid w:val="00157EED"/>
    <w:rsid w:val="00157FD4"/>
    <w:rsid w:val="0016000C"/>
    <w:rsid w:val="00160176"/>
    <w:rsid w:val="0016022C"/>
    <w:rsid w:val="0016038D"/>
    <w:rsid w:val="001604A6"/>
    <w:rsid w:val="00160769"/>
    <w:rsid w:val="0016079C"/>
    <w:rsid w:val="001609A7"/>
    <w:rsid w:val="00160A73"/>
    <w:rsid w:val="00160AF3"/>
    <w:rsid w:val="00160B5B"/>
    <w:rsid w:val="00160B75"/>
    <w:rsid w:val="00160BF7"/>
    <w:rsid w:val="00160C8D"/>
    <w:rsid w:val="00160C8E"/>
    <w:rsid w:val="00160CA0"/>
    <w:rsid w:val="00160D94"/>
    <w:rsid w:val="00160DF5"/>
    <w:rsid w:val="00160E95"/>
    <w:rsid w:val="00160FB3"/>
    <w:rsid w:val="00160FD5"/>
    <w:rsid w:val="0016100A"/>
    <w:rsid w:val="00161263"/>
    <w:rsid w:val="0016135A"/>
    <w:rsid w:val="0016148F"/>
    <w:rsid w:val="00161555"/>
    <w:rsid w:val="001615ED"/>
    <w:rsid w:val="001617CB"/>
    <w:rsid w:val="001618AE"/>
    <w:rsid w:val="001618B0"/>
    <w:rsid w:val="001618B3"/>
    <w:rsid w:val="001618F6"/>
    <w:rsid w:val="0016192D"/>
    <w:rsid w:val="00161A87"/>
    <w:rsid w:val="00161BB6"/>
    <w:rsid w:val="00161BF0"/>
    <w:rsid w:val="00161E20"/>
    <w:rsid w:val="00161EEC"/>
    <w:rsid w:val="00161EF1"/>
    <w:rsid w:val="00162008"/>
    <w:rsid w:val="0016229F"/>
    <w:rsid w:val="001622A8"/>
    <w:rsid w:val="001622F0"/>
    <w:rsid w:val="00162413"/>
    <w:rsid w:val="0016251E"/>
    <w:rsid w:val="0016296C"/>
    <w:rsid w:val="00162A4A"/>
    <w:rsid w:val="00162A71"/>
    <w:rsid w:val="00162C34"/>
    <w:rsid w:val="00162D92"/>
    <w:rsid w:val="00162DD1"/>
    <w:rsid w:val="00162FF9"/>
    <w:rsid w:val="00163189"/>
    <w:rsid w:val="00163278"/>
    <w:rsid w:val="001632F9"/>
    <w:rsid w:val="001633ED"/>
    <w:rsid w:val="0016348C"/>
    <w:rsid w:val="0016354D"/>
    <w:rsid w:val="001635D7"/>
    <w:rsid w:val="0016364B"/>
    <w:rsid w:val="001638BB"/>
    <w:rsid w:val="001638D4"/>
    <w:rsid w:val="00163B18"/>
    <w:rsid w:val="00163B4B"/>
    <w:rsid w:val="00163B51"/>
    <w:rsid w:val="00163B6F"/>
    <w:rsid w:val="00163C2C"/>
    <w:rsid w:val="00163D6B"/>
    <w:rsid w:val="00163E61"/>
    <w:rsid w:val="00163EF6"/>
    <w:rsid w:val="0016419B"/>
    <w:rsid w:val="001641CF"/>
    <w:rsid w:val="001643E3"/>
    <w:rsid w:val="00164455"/>
    <w:rsid w:val="00164569"/>
    <w:rsid w:val="001645F2"/>
    <w:rsid w:val="001646CD"/>
    <w:rsid w:val="00164788"/>
    <w:rsid w:val="00164892"/>
    <w:rsid w:val="001648EE"/>
    <w:rsid w:val="0016494F"/>
    <w:rsid w:val="00164973"/>
    <w:rsid w:val="00164B7B"/>
    <w:rsid w:val="00164C18"/>
    <w:rsid w:val="00164CD4"/>
    <w:rsid w:val="00164CFA"/>
    <w:rsid w:val="00164D58"/>
    <w:rsid w:val="00164E3E"/>
    <w:rsid w:val="00164F88"/>
    <w:rsid w:val="00164F97"/>
    <w:rsid w:val="00165012"/>
    <w:rsid w:val="00165284"/>
    <w:rsid w:val="00165348"/>
    <w:rsid w:val="0016548A"/>
    <w:rsid w:val="00165530"/>
    <w:rsid w:val="00165543"/>
    <w:rsid w:val="0016556F"/>
    <w:rsid w:val="00165762"/>
    <w:rsid w:val="00165812"/>
    <w:rsid w:val="00165872"/>
    <w:rsid w:val="0016588B"/>
    <w:rsid w:val="00165AF1"/>
    <w:rsid w:val="00165BCA"/>
    <w:rsid w:val="00165BDA"/>
    <w:rsid w:val="00165CE6"/>
    <w:rsid w:val="00165CF8"/>
    <w:rsid w:val="00165D22"/>
    <w:rsid w:val="00165DD6"/>
    <w:rsid w:val="00166009"/>
    <w:rsid w:val="001661B5"/>
    <w:rsid w:val="001661EE"/>
    <w:rsid w:val="0016626D"/>
    <w:rsid w:val="0016641C"/>
    <w:rsid w:val="001667A5"/>
    <w:rsid w:val="001667F1"/>
    <w:rsid w:val="001668C9"/>
    <w:rsid w:val="00166AF8"/>
    <w:rsid w:val="00166B6E"/>
    <w:rsid w:val="00166C8B"/>
    <w:rsid w:val="00166F71"/>
    <w:rsid w:val="00166FFA"/>
    <w:rsid w:val="001670C6"/>
    <w:rsid w:val="00167102"/>
    <w:rsid w:val="0016718F"/>
    <w:rsid w:val="001671C7"/>
    <w:rsid w:val="0016721A"/>
    <w:rsid w:val="001674FE"/>
    <w:rsid w:val="001675CA"/>
    <w:rsid w:val="00167658"/>
    <w:rsid w:val="0016776E"/>
    <w:rsid w:val="00167806"/>
    <w:rsid w:val="001678FE"/>
    <w:rsid w:val="0016790E"/>
    <w:rsid w:val="00167A05"/>
    <w:rsid w:val="00167A0B"/>
    <w:rsid w:val="00167A17"/>
    <w:rsid w:val="00167A52"/>
    <w:rsid w:val="00167BB0"/>
    <w:rsid w:val="00167EFB"/>
    <w:rsid w:val="00167F82"/>
    <w:rsid w:val="00167FD5"/>
    <w:rsid w:val="00170024"/>
    <w:rsid w:val="001700FA"/>
    <w:rsid w:val="001703AB"/>
    <w:rsid w:val="001703F9"/>
    <w:rsid w:val="00170511"/>
    <w:rsid w:val="001705EB"/>
    <w:rsid w:val="001706EB"/>
    <w:rsid w:val="001708B3"/>
    <w:rsid w:val="00170911"/>
    <w:rsid w:val="00170939"/>
    <w:rsid w:val="00170A10"/>
    <w:rsid w:val="00170AF5"/>
    <w:rsid w:val="00170B45"/>
    <w:rsid w:val="00170CB8"/>
    <w:rsid w:val="00170D3F"/>
    <w:rsid w:val="00170E45"/>
    <w:rsid w:val="00170F6C"/>
    <w:rsid w:val="001711FE"/>
    <w:rsid w:val="001712FD"/>
    <w:rsid w:val="0017145D"/>
    <w:rsid w:val="001714CC"/>
    <w:rsid w:val="001717BB"/>
    <w:rsid w:val="001718A7"/>
    <w:rsid w:val="00171AAA"/>
    <w:rsid w:val="00171CF5"/>
    <w:rsid w:val="00171D14"/>
    <w:rsid w:val="00171D4A"/>
    <w:rsid w:val="00171D8C"/>
    <w:rsid w:val="00171DAC"/>
    <w:rsid w:val="00171FA5"/>
    <w:rsid w:val="00171FC8"/>
    <w:rsid w:val="001722AA"/>
    <w:rsid w:val="0017235E"/>
    <w:rsid w:val="001723A0"/>
    <w:rsid w:val="001723C0"/>
    <w:rsid w:val="00172528"/>
    <w:rsid w:val="00172635"/>
    <w:rsid w:val="001727B0"/>
    <w:rsid w:val="0017282E"/>
    <w:rsid w:val="00172851"/>
    <w:rsid w:val="001729BB"/>
    <w:rsid w:val="001729C2"/>
    <w:rsid w:val="00172B44"/>
    <w:rsid w:val="00172B5E"/>
    <w:rsid w:val="00172B6C"/>
    <w:rsid w:val="00172BE8"/>
    <w:rsid w:val="00172C1F"/>
    <w:rsid w:val="00172D53"/>
    <w:rsid w:val="00172DB7"/>
    <w:rsid w:val="00173051"/>
    <w:rsid w:val="0017311B"/>
    <w:rsid w:val="001731D9"/>
    <w:rsid w:val="00173325"/>
    <w:rsid w:val="001733C5"/>
    <w:rsid w:val="00173451"/>
    <w:rsid w:val="0017348B"/>
    <w:rsid w:val="001734DE"/>
    <w:rsid w:val="001736E3"/>
    <w:rsid w:val="00173A06"/>
    <w:rsid w:val="00173B0E"/>
    <w:rsid w:val="00173BD3"/>
    <w:rsid w:val="00173C4D"/>
    <w:rsid w:val="00173D15"/>
    <w:rsid w:val="00173D54"/>
    <w:rsid w:val="00173EBF"/>
    <w:rsid w:val="00173FAD"/>
    <w:rsid w:val="0017401E"/>
    <w:rsid w:val="001740DB"/>
    <w:rsid w:val="00174286"/>
    <w:rsid w:val="00174287"/>
    <w:rsid w:val="00174532"/>
    <w:rsid w:val="001745B9"/>
    <w:rsid w:val="0017474B"/>
    <w:rsid w:val="00174A49"/>
    <w:rsid w:val="00174C41"/>
    <w:rsid w:val="00174CFF"/>
    <w:rsid w:val="00174D44"/>
    <w:rsid w:val="00174D88"/>
    <w:rsid w:val="00174EA2"/>
    <w:rsid w:val="00174EFB"/>
    <w:rsid w:val="00174F8E"/>
    <w:rsid w:val="00175006"/>
    <w:rsid w:val="0017503A"/>
    <w:rsid w:val="00175080"/>
    <w:rsid w:val="00175083"/>
    <w:rsid w:val="001750D0"/>
    <w:rsid w:val="001750D2"/>
    <w:rsid w:val="0017525B"/>
    <w:rsid w:val="00175388"/>
    <w:rsid w:val="0017559E"/>
    <w:rsid w:val="001755F2"/>
    <w:rsid w:val="00175650"/>
    <w:rsid w:val="001756FC"/>
    <w:rsid w:val="00175734"/>
    <w:rsid w:val="00175954"/>
    <w:rsid w:val="00175A03"/>
    <w:rsid w:val="00175AC2"/>
    <w:rsid w:val="00175B3C"/>
    <w:rsid w:val="00175C55"/>
    <w:rsid w:val="00175C90"/>
    <w:rsid w:val="00175C99"/>
    <w:rsid w:val="00175D6C"/>
    <w:rsid w:val="00175FED"/>
    <w:rsid w:val="001760E4"/>
    <w:rsid w:val="001763F7"/>
    <w:rsid w:val="0017650B"/>
    <w:rsid w:val="00176539"/>
    <w:rsid w:val="001765D4"/>
    <w:rsid w:val="0017674F"/>
    <w:rsid w:val="001767B8"/>
    <w:rsid w:val="00176926"/>
    <w:rsid w:val="001769A0"/>
    <w:rsid w:val="00176BE2"/>
    <w:rsid w:val="00176DBA"/>
    <w:rsid w:val="00176E11"/>
    <w:rsid w:val="00176F17"/>
    <w:rsid w:val="00176F50"/>
    <w:rsid w:val="001770BA"/>
    <w:rsid w:val="001770C8"/>
    <w:rsid w:val="00177138"/>
    <w:rsid w:val="001771B7"/>
    <w:rsid w:val="0017721F"/>
    <w:rsid w:val="00177270"/>
    <w:rsid w:val="001772D6"/>
    <w:rsid w:val="0017741C"/>
    <w:rsid w:val="001774D4"/>
    <w:rsid w:val="001774D6"/>
    <w:rsid w:val="0017758B"/>
    <w:rsid w:val="00177938"/>
    <w:rsid w:val="00177A04"/>
    <w:rsid w:val="00177A4A"/>
    <w:rsid w:val="00177AB8"/>
    <w:rsid w:val="00177B85"/>
    <w:rsid w:val="00177E17"/>
    <w:rsid w:val="00177EF6"/>
    <w:rsid w:val="00177FDF"/>
    <w:rsid w:val="00180013"/>
    <w:rsid w:val="00180250"/>
    <w:rsid w:val="001803EF"/>
    <w:rsid w:val="001804E1"/>
    <w:rsid w:val="00180542"/>
    <w:rsid w:val="001805D0"/>
    <w:rsid w:val="001806FB"/>
    <w:rsid w:val="00180A69"/>
    <w:rsid w:val="00180A98"/>
    <w:rsid w:val="00180C7A"/>
    <w:rsid w:val="00180CE7"/>
    <w:rsid w:val="00180E66"/>
    <w:rsid w:val="00180F4F"/>
    <w:rsid w:val="00180FA2"/>
    <w:rsid w:val="00181137"/>
    <w:rsid w:val="00181240"/>
    <w:rsid w:val="00181635"/>
    <w:rsid w:val="001817BD"/>
    <w:rsid w:val="001817C2"/>
    <w:rsid w:val="00181807"/>
    <w:rsid w:val="00181835"/>
    <w:rsid w:val="0018188A"/>
    <w:rsid w:val="00181A65"/>
    <w:rsid w:val="00181B9D"/>
    <w:rsid w:val="00181D5C"/>
    <w:rsid w:val="00181D9A"/>
    <w:rsid w:val="00181DD3"/>
    <w:rsid w:val="00181DF2"/>
    <w:rsid w:val="00181E66"/>
    <w:rsid w:val="00181FC9"/>
    <w:rsid w:val="00181FD5"/>
    <w:rsid w:val="00182001"/>
    <w:rsid w:val="0018219A"/>
    <w:rsid w:val="001821F9"/>
    <w:rsid w:val="00182270"/>
    <w:rsid w:val="0018264C"/>
    <w:rsid w:val="00182814"/>
    <w:rsid w:val="001828D1"/>
    <w:rsid w:val="001829F4"/>
    <w:rsid w:val="00182A74"/>
    <w:rsid w:val="00182BB5"/>
    <w:rsid w:val="00182BEE"/>
    <w:rsid w:val="00182CD4"/>
    <w:rsid w:val="00182E00"/>
    <w:rsid w:val="00182E21"/>
    <w:rsid w:val="00182E61"/>
    <w:rsid w:val="0018312D"/>
    <w:rsid w:val="00183284"/>
    <w:rsid w:val="00183286"/>
    <w:rsid w:val="00183455"/>
    <w:rsid w:val="00183626"/>
    <w:rsid w:val="001837E8"/>
    <w:rsid w:val="001837F8"/>
    <w:rsid w:val="001838B1"/>
    <w:rsid w:val="00183A82"/>
    <w:rsid w:val="00183BF2"/>
    <w:rsid w:val="00183E5D"/>
    <w:rsid w:val="00184049"/>
    <w:rsid w:val="001842A6"/>
    <w:rsid w:val="001842A7"/>
    <w:rsid w:val="00184439"/>
    <w:rsid w:val="0018445F"/>
    <w:rsid w:val="00184465"/>
    <w:rsid w:val="0018449B"/>
    <w:rsid w:val="0018463E"/>
    <w:rsid w:val="001848A1"/>
    <w:rsid w:val="001848F6"/>
    <w:rsid w:val="00184ADD"/>
    <w:rsid w:val="00184B4D"/>
    <w:rsid w:val="00184BF6"/>
    <w:rsid w:val="00184CF1"/>
    <w:rsid w:val="00184D0A"/>
    <w:rsid w:val="00184E72"/>
    <w:rsid w:val="00184EF3"/>
    <w:rsid w:val="00184F1C"/>
    <w:rsid w:val="00184FE7"/>
    <w:rsid w:val="00185099"/>
    <w:rsid w:val="001850CB"/>
    <w:rsid w:val="001851A0"/>
    <w:rsid w:val="0018537C"/>
    <w:rsid w:val="0018558A"/>
    <w:rsid w:val="0018563A"/>
    <w:rsid w:val="001856E0"/>
    <w:rsid w:val="00185719"/>
    <w:rsid w:val="00185774"/>
    <w:rsid w:val="0018591A"/>
    <w:rsid w:val="00185982"/>
    <w:rsid w:val="00185D29"/>
    <w:rsid w:val="00185D62"/>
    <w:rsid w:val="00185DA6"/>
    <w:rsid w:val="00185DCA"/>
    <w:rsid w:val="00185E83"/>
    <w:rsid w:val="00185F84"/>
    <w:rsid w:val="00185FDD"/>
    <w:rsid w:val="0018611B"/>
    <w:rsid w:val="00186181"/>
    <w:rsid w:val="001861BE"/>
    <w:rsid w:val="001861F8"/>
    <w:rsid w:val="00186464"/>
    <w:rsid w:val="001864BF"/>
    <w:rsid w:val="001864DB"/>
    <w:rsid w:val="00186566"/>
    <w:rsid w:val="001866A5"/>
    <w:rsid w:val="001866B1"/>
    <w:rsid w:val="00186796"/>
    <w:rsid w:val="00186808"/>
    <w:rsid w:val="00186987"/>
    <w:rsid w:val="00186988"/>
    <w:rsid w:val="001869A7"/>
    <w:rsid w:val="00186AC5"/>
    <w:rsid w:val="00186CE5"/>
    <w:rsid w:val="00186EDD"/>
    <w:rsid w:val="00186F69"/>
    <w:rsid w:val="0018702D"/>
    <w:rsid w:val="00187056"/>
    <w:rsid w:val="00187060"/>
    <w:rsid w:val="001871DF"/>
    <w:rsid w:val="00187208"/>
    <w:rsid w:val="00187241"/>
    <w:rsid w:val="00187501"/>
    <w:rsid w:val="0018756E"/>
    <w:rsid w:val="0018761C"/>
    <w:rsid w:val="001876AF"/>
    <w:rsid w:val="001877EF"/>
    <w:rsid w:val="001878D9"/>
    <w:rsid w:val="001879ED"/>
    <w:rsid w:val="00187C7D"/>
    <w:rsid w:val="00187CDE"/>
    <w:rsid w:val="00187D28"/>
    <w:rsid w:val="00187DF8"/>
    <w:rsid w:val="00187E5F"/>
    <w:rsid w:val="00187E88"/>
    <w:rsid w:val="00187F7D"/>
    <w:rsid w:val="00190090"/>
    <w:rsid w:val="00190118"/>
    <w:rsid w:val="00190415"/>
    <w:rsid w:val="001904D3"/>
    <w:rsid w:val="0019056C"/>
    <w:rsid w:val="0019059A"/>
    <w:rsid w:val="001905F7"/>
    <w:rsid w:val="00190608"/>
    <w:rsid w:val="00190701"/>
    <w:rsid w:val="001908F1"/>
    <w:rsid w:val="001908F3"/>
    <w:rsid w:val="00190C3A"/>
    <w:rsid w:val="00190C7B"/>
    <w:rsid w:val="00190D7A"/>
    <w:rsid w:val="00190E0B"/>
    <w:rsid w:val="00190F08"/>
    <w:rsid w:val="00190F16"/>
    <w:rsid w:val="00190FD1"/>
    <w:rsid w:val="001912C6"/>
    <w:rsid w:val="0019139D"/>
    <w:rsid w:val="001913F7"/>
    <w:rsid w:val="00191504"/>
    <w:rsid w:val="001915DC"/>
    <w:rsid w:val="00191676"/>
    <w:rsid w:val="001917C4"/>
    <w:rsid w:val="001918D5"/>
    <w:rsid w:val="001918D6"/>
    <w:rsid w:val="001919C3"/>
    <w:rsid w:val="001919EB"/>
    <w:rsid w:val="00191B70"/>
    <w:rsid w:val="00191D8A"/>
    <w:rsid w:val="00191FB4"/>
    <w:rsid w:val="00191FCA"/>
    <w:rsid w:val="0019205E"/>
    <w:rsid w:val="00192068"/>
    <w:rsid w:val="001926E0"/>
    <w:rsid w:val="0019270D"/>
    <w:rsid w:val="00192727"/>
    <w:rsid w:val="00192801"/>
    <w:rsid w:val="00192899"/>
    <w:rsid w:val="00192948"/>
    <w:rsid w:val="00192982"/>
    <w:rsid w:val="00192A27"/>
    <w:rsid w:val="00192AB9"/>
    <w:rsid w:val="00192D17"/>
    <w:rsid w:val="00192E59"/>
    <w:rsid w:val="00192F10"/>
    <w:rsid w:val="00192F33"/>
    <w:rsid w:val="00192F64"/>
    <w:rsid w:val="0019307A"/>
    <w:rsid w:val="001930E8"/>
    <w:rsid w:val="00193162"/>
    <w:rsid w:val="0019320C"/>
    <w:rsid w:val="0019323C"/>
    <w:rsid w:val="0019332E"/>
    <w:rsid w:val="0019336E"/>
    <w:rsid w:val="0019353B"/>
    <w:rsid w:val="0019356A"/>
    <w:rsid w:val="00193587"/>
    <w:rsid w:val="00193609"/>
    <w:rsid w:val="0019366D"/>
    <w:rsid w:val="001936DD"/>
    <w:rsid w:val="00193937"/>
    <w:rsid w:val="00193A2C"/>
    <w:rsid w:val="00193B0C"/>
    <w:rsid w:val="00193B29"/>
    <w:rsid w:val="00193B62"/>
    <w:rsid w:val="00193C31"/>
    <w:rsid w:val="00193DAA"/>
    <w:rsid w:val="00193E11"/>
    <w:rsid w:val="00193E9C"/>
    <w:rsid w:val="00193EF2"/>
    <w:rsid w:val="00194040"/>
    <w:rsid w:val="0019410D"/>
    <w:rsid w:val="00194354"/>
    <w:rsid w:val="00194453"/>
    <w:rsid w:val="00194482"/>
    <w:rsid w:val="00194485"/>
    <w:rsid w:val="00194542"/>
    <w:rsid w:val="001945E0"/>
    <w:rsid w:val="0019466A"/>
    <w:rsid w:val="001946EA"/>
    <w:rsid w:val="001947AE"/>
    <w:rsid w:val="0019493A"/>
    <w:rsid w:val="001949D2"/>
    <w:rsid w:val="001949EE"/>
    <w:rsid w:val="00194A69"/>
    <w:rsid w:val="00194AA3"/>
    <w:rsid w:val="00194AD1"/>
    <w:rsid w:val="00194C21"/>
    <w:rsid w:val="00194D92"/>
    <w:rsid w:val="00194E16"/>
    <w:rsid w:val="00194E8D"/>
    <w:rsid w:val="00194F51"/>
    <w:rsid w:val="00194F57"/>
    <w:rsid w:val="00195036"/>
    <w:rsid w:val="00195301"/>
    <w:rsid w:val="001953E2"/>
    <w:rsid w:val="00195506"/>
    <w:rsid w:val="00195538"/>
    <w:rsid w:val="00195668"/>
    <w:rsid w:val="00195696"/>
    <w:rsid w:val="001956EF"/>
    <w:rsid w:val="001957B6"/>
    <w:rsid w:val="0019586D"/>
    <w:rsid w:val="0019586E"/>
    <w:rsid w:val="00195887"/>
    <w:rsid w:val="00195ADF"/>
    <w:rsid w:val="00195B33"/>
    <w:rsid w:val="00195BB9"/>
    <w:rsid w:val="00195CF7"/>
    <w:rsid w:val="00195D26"/>
    <w:rsid w:val="00195D50"/>
    <w:rsid w:val="00195D65"/>
    <w:rsid w:val="00195E14"/>
    <w:rsid w:val="00195E7D"/>
    <w:rsid w:val="00195F1E"/>
    <w:rsid w:val="00196100"/>
    <w:rsid w:val="00196146"/>
    <w:rsid w:val="00196147"/>
    <w:rsid w:val="001961ED"/>
    <w:rsid w:val="00196308"/>
    <w:rsid w:val="0019645F"/>
    <w:rsid w:val="00196594"/>
    <w:rsid w:val="00196608"/>
    <w:rsid w:val="001966E9"/>
    <w:rsid w:val="0019686D"/>
    <w:rsid w:val="00196A57"/>
    <w:rsid w:val="00196A7D"/>
    <w:rsid w:val="00196B12"/>
    <w:rsid w:val="00196B93"/>
    <w:rsid w:val="00196D86"/>
    <w:rsid w:val="00196DC8"/>
    <w:rsid w:val="00196E2B"/>
    <w:rsid w:val="00196F9F"/>
    <w:rsid w:val="00197085"/>
    <w:rsid w:val="001970C6"/>
    <w:rsid w:val="001971FB"/>
    <w:rsid w:val="0019722A"/>
    <w:rsid w:val="00197471"/>
    <w:rsid w:val="001974AA"/>
    <w:rsid w:val="001975A6"/>
    <w:rsid w:val="001975EF"/>
    <w:rsid w:val="001976DD"/>
    <w:rsid w:val="00197940"/>
    <w:rsid w:val="00197A25"/>
    <w:rsid w:val="00197A41"/>
    <w:rsid w:val="00197AD3"/>
    <w:rsid w:val="00197C89"/>
    <w:rsid w:val="00197D66"/>
    <w:rsid w:val="00197DB1"/>
    <w:rsid w:val="00197EA2"/>
    <w:rsid w:val="001A00F3"/>
    <w:rsid w:val="001A01A5"/>
    <w:rsid w:val="001A01FB"/>
    <w:rsid w:val="001A0219"/>
    <w:rsid w:val="001A02D4"/>
    <w:rsid w:val="001A0387"/>
    <w:rsid w:val="001A04C1"/>
    <w:rsid w:val="001A0531"/>
    <w:rsid w:val="001A06EF"/>
    <w:rsid w:val="001A073D"/>
    <w:rsid w:val="001A0855"/>
    <w:rsid w:val="001A08D2"/>
    <w:rsid w:val="001A0907"/>
    <w:rsid w:val="001A095E"/>
    <w:rsid w:val="001A0AA7"/>
    <w:rsid w:val="001A0B97"/>
    <w:rsid w:val="001A0BAB"/>
    <w:rsid w:val="001A0CAC"/>
    <w:rsid w:val="001A0E1A"/>
    <w:rsid w:val="001A1005"/>
    <w:rsid w:val="001A1020"/>
    <w:rsid w:val="001A135D"/>
    <w:rsid w:val="001A13F8"/>
    <w:rsid w:val="001A14CF"/>
    <w:rsid w:val="001A17B8"/>
    <w:rsid w:val="001A17F8"/>
    <w:rsid w:val="001A180B"/>
    <w:rsid w:val="001A1A71"/>
    <w:rsid w:val="001A1C38"/>
    <w:rsid w:val="001A1C53"/>
    <w:rsid w:val="001A1CDF"/>
    <w:rsid w:val="001A1DCF"/>
    <w:rsid w:val="001A1DD8"/>
    <w:rsid w:val="001A1E64"/>
    <w:rsid w:val="001A20AF"/>
    <w:rsid w:val="001A218E"/>
    <w:rsid w:val="001A21F1"/>
    <w:rsid w:val="001A22B0"/>
    <w:rsid w:val="001A241B"/>
    <w:rsid w:val="001A24C3"/>
    <w:rsid w:val="001A252B"/>
    <w:rsid w:val="001A263A"/>
    <w:rsid w:val="001A26BB"/>
    <w:rsid w:val="001A293D"/>
    <w:rsid w:val="001A2958"/>
    <w:rsid w:val="001A2A4D"/>
    <w:rsid w:val="001A2A7E"/>
    <w:rsid w:val="001A2AFA"/>
    <w:rsid w:val="001A2B11"/>
    <w:rsid w:val="001A2B31"/>
    <w:rsid w:val="001A2B86"/>
    <w:rsid w:val="001A2CA7"/>
    <w:rsid w:val="001A2EC6"/>
    <w:rsid w:val="001A2F61"/>
    <w:rsid w:val="001A300D"/>
    <w:rsid w:val="001A305F"/>
    <w:rsid w:val="001A3062"/>
    <w:rsid w:val="001A30BD"/>
    <w:rsid w:val="001A30D4"/>
    <w:rsid w:val="001A314E"/>
    <w:rsid w:val="001A3243"/>
    <w:rsid w:val="001A32AD"/>
    <w:rsid w:val="001A3365"/>
    <w:rsid w:val="001A33A1"/>
    <w:rsid w:val="001A341A"/>
    <w:rsid w:val="001A349F"/>
    <w:rsid w:val="001A3639"/>
    <w:rsid w:val="001A36F9"/>
    <w:rsid w:val="001A377A"/>
    <w:rsid w:val="001A37ED"/>
    <w:rsid w:val="001A3858"/>
    <w:rsid w:val="001A3A8A"/>
    <w:rsid w:val="001A3B31"/>
    <w:rsid w:val="001A3B48"/>
    <w:rsid w:val="001A3B8B"/>
    <w:rsid w:val="001A3DEB"/>
    <w:rsid w:val="001A3E7B"/>
    <w:rsid w:val="001A3EC4"/>
    <w:rsid w:val="001A3FD9"/>
    <w:rsid w:val="001A414C"/>
    <w:rsid w:val="001A4157"/>
    <w:rsid w:val="001A4193"/>
    <w:rsid w:val="001A45E5"/>
    <w:rsid w:val="001A46F1"/>
    <w:rsid w:val="001A4716"/>
    <w:rsid w:val="001A47B2"/>
    <w:rsid w:val="001A48C7"/>
    <w:rsid w:val="001A4F30"/>
    <w:rsid w:val="001A4F7A"/>
    <w:rsid w:val="001A501E"/>
    <w:rsid w:val="001A50A7"/>
    <w:rsid w:val="001A52BB"/>
    <w:rsid w:val="001A576A"/>
    <w:rsid w:val="001A5871"/>
    <w:rsid w:val="001A58F4"/>
    <w:rsid w:val="001A59D7"/>
    <w:rsid w:val="001A5A63"/>
    <w:rsid w:val="001A5AB3"/>
    <w:rsid w:val="001A5B5B"/>
    <w:rsid w:val="001A5C2D"/>
    <w:rsid w:val="001A5C31"/>
    <w:rsid w:val="001A5C32"/>
    <w:rsid w:val="001A5CDA"/>
    <w:rsid w:val="001A5D6F"/>
    <w:rsid w:val="001A5D7F"/>
    <w:rsid w:val="001A5E29"/>
    <w:rsid w:val="001A5EA6"/>
    <w:rsid w:val="001A5F75"/>
    <w:rsid w:val="001A600A"/>
    <w:rsid w:val="001A6065"/>
    <w:rsid w:val="001A61CF"/>
    <w:rsid w:val="001A62FA"/>
    <w:rsid w:val="001A6426"/>
    <w:rsid w:val="001A6461"/>
    <w:rsid w:val="001A64C9"/>
    <w:rsid w:val="001A64E8"/>
    <w:rsid w:val="001A65B0"/>
    <w:rsid w:val="001A665F"/>
    <w:rsid w:val="001A66CB"/>
    <w:rsid w:val="001A67B6"/>
    <w:rsid w:val="001A6A65"/>
    <w:rsid w:val="001A6AAB"/>
    <w:rsid w:val="001A6B1B"/>
    <w:rsid w:val="001A6C0B"/>
    <w:rsid w:val="001A6DC1"/>
    <w:rsid w:val="001A6EC1"/>
    <w:rsid w:val="001A707D"/>
    <w:rsid w:val="001A70FC"/>
    <w:rsid w:val="001A71C4"/>
    <w:rsid w:val="001A742D"/>
    <w:rsid w:val="001A74DF"/>
    <w:rsid w:val="001A750D"/>
    <w:rsid w:val="001A77C8"/>
    <w:rsid w:val="001A78CC"/>
    <w:rsid w:val="001A7A49"/>
    <w:rsid w:val="001A7BE3"/>
    <w:rsid w:val="001A7BFF"/>
    <w:rsid w:val="001A7C53"/>
    <w:rsid w:val="001A7DAF"/>
    <w:rsid w:val="001A7FBA"/>
    <w:rsid w:val="001A8719"/>
    <w:rsid w:val="001B0071"/>
    <w:rsid w:val="001B007C"/>
    <w:rsid w:val="001B0081"/>
    <w:rsid w:val="001B00A0"/>
    <w:rsid w:val="001B0133"/>
    <w:rsid w:val="001B0169"/>
    <w:rsid w:val="001B0181"/>
    <w:rsid w:val="001B0265"/>
    <w:rsid w:val="001B0417"/>
    <w:rsid w:val="001B0441"/>
    <w:rsid w:val="001B0596"/>
    <w:rsid w:val="001B065B"/>
    <w:rsid w:val="001B0665"/>
    <w:rsid w:val="001B076D"/>
    <w:rsid w:val="001B0A7C"/>
    <w:rsid w:val="001B0D22"/>
    <w:rsid w:val="001B0D4A"/>
    <w:rsid w:val="001B0ED5"/>
    <w:rsid w:val="001B0FA4"/>
    <w:rsid w:val="001B0FAE"/>
    <w:rsid w:val="001B0FDB"/>
    <w:rsid w:val="001B1056"/>
    <w:rsid w:val="001B1125"/>
    <w:rsid w:val="001B12B0"/>
    <w:rsid w:val="001B12ED"/>
    <w:rsid w:val="001B135E"/>
    <w:rsid w:val="001B1388"/>
    <w:rsid w:val="001B1390"/>
    <w:rsid w:val="001B1453"/>
    <w:rsid w:val="001B16C8"/>
    <w:rsid w:val="001B16E7"/>
    <w:rsid w:val="001B177C"/>
    <w:rsid w:val="001B178D"/>
    <w:rsid w:val="001B1794"/>
    <w:rsid w:val="001B1867"/>
    <w:rsid w:val="001B1951"/>
    <w:rsid w:val="001B198E"/>
    <w:rsid w:val="001B19EC"/>
    <w:rsid w:val="001B1A6C"/>
    <w:rsid w:val="001B1D73"/>
    <w:rsid w:val="001B1DB3"/>
    <w:rsid w:val="001B1E03"/>
    <w:rsid w:val="001B1F87"/>
    <w:rsid w:val="001B2192"/>
    <w:rsid w:val="001B233E"/>
    <w:rsid w:val="001B2347"/>
    <w:rsid w:val="001B2388"/>
    <w:rsid w:val="001B23ED"/>
    <w:rsid w:val="001B2901"/>
    <w:rsid w:val="001B2947"/>
    <w:rsid w:val="001B2C0A"/>
    <w:rsid w:val="001B2C0C"/>
    <w:rsid w:val="001B2C10"/>
    <w:rsid w:val="001B2C6D"/>
    <w:rsid w:val="001B2CF4"/>
    <w:rsid w:val="001B2D0D"/>
    <w:rsid w:val="001B2D75"/>
    <w:rsid w:val="001B2DE9"/>
    <w:rsid w:val="001B2ED3"/>
    <w:rsid w:val="001B2F05"/>
    <w:rsid w:val="001B2F42"/>
    <w:rsid w:val="001B2F8C"/>
    <w:rsid w:val="001B2F9E"/>
    <w:rsid w:val="001B3368"/>
    <w:rsid w:val="001B34A5"/>
    <w:rsid w:val="001B34DE"/>
    <w:rsid w:val="001B3561"/>
    <w:rsid w:val="001B35EF"/>
    <w:rsid w:val="001B35FA"/>
    <w:rsid w:val="001B3720"/>
    <w:rsid w:val="001B38E6"/>
    <w:rsid w:val="001B3A47"/>
    <w:rsid w:val="001B3A5E"/>
    <w:rsid w:val="001B3B53"/>
    <w:rsid w:val="001B3B9D"/>
    <w:rsid w:val="001B3C3E"/>
    <w:rsid w:val="001B3D1C"/>
    <w:rsid w:val="001B3E27"/>
    <w:rsid w:val="001B3E69"/>
    <w:rsid w:val="001B3EAF"/>
    <w:rsid w:val="001B3EF6"/>
    <w:rsid w:val="001B3F49"/>
    <w:rsid w:val="001B4020"/>
    <w:rsid w:val="001B4162"/>
    <w:rsid w:val="001B455D"/>
    <w:rsid w:val="001B473B"/>
    <w:rsid w:val="001B47B6"/>
    <w:rsid w:val="001B480F"/>
    <w:rsid w:val="001B4988"/>
    <w:rsid w:val="001B4A75"/>
    <w:rsid w:val="001B4B26"/>
    <w:rsid w:val="001B4B42"/>
    <w:rsid w:val="001B4C0A"/>
    <w:rsid w:val="001B4CB6"/>
    <w:rsid w:val="001B4CCB"/>
    <w:rsid w:val="001B4E53"/>
    <w:rsid w:val="001B4F6D"/>
    <w:rsid w:val="001B505E"/>
    <w:rsid w:val="001B525B"/>
    <w:rsid w:val="001B52C0"/>
    <w:rsid w:val="001B5472"/>
    <w:rsid w:val="001B54D3"/>
    <w:rsid w:val="001B55F1"/>
    <w:rsid w:val="001B5623"/>
    <w:rsid w:val="001B5668"/>
    <w:rsid w:val="001B576A"/>
    <w:rsid w:val="001B5865"/>
    <w:rsid w:val="001B587C"/>
    <w:rsid w:val="001B58A4"/>
    <w:rsid w:val="001B5A8F"/>
    <w:rsid w:val="001B5CD4"/>
    <w:rsid w:val="001B5D3C"/>
    <w:rsid w:val="001B5E31"/>
    <w:rsid w:val="001B61C1"/>
    <w:rsid w:val="001B61CA"/>
    <w:rsid w:val="001B6285"/>
    <w:rsid w:val="001B63AC"/>
    <w:rsid w:val="001B63C6"/>
    <w:rsid w:val="001B6402"/>
    <w:rsid w:val="001B644D"/>
    <w:rsid w:val="001B65F3"/>
    <w:rsid w:val="001B66D2"/>
    <w:rsid w:val="001B6790"/>
    <w:rsid w:val="001B681D"/>
    <w:rsid w:val="001B6922"/>
    <w:rsid w:val="001B695D"/>
    <w:rsid w:val="001B6991"/>
    <w:rsid w:val="001B69DF"/>
    <w:rsid w:val="001B6A67"/>
    <w:rsid w:val="001B6AEA"/>
    <w:rsid w:val="001B6B6B"/>
    <w:rsid w:val="001B6C5E"/>
    <w:rsid w:val="001B6CB5"/>
    <w:rsid w:val="001B6EB1"/>
    <w:rsid w:val="001B6F20"/>
    <w:rsid w:val="001B6F2B"/>
    <w:rsid w:val="001B6FF2"/>
    <w:rsid w:val="001B7271"/>
    <w:rsid w:val="001B72AA"/>
    <w:rsid w:val="001B7479"/>
    <w:rsid w:val="001B76BC"/>
    <w:rsid w:val="001B7732"/>
    <w:rsid w:val="001B79B8"/>
    <w:rsid w:val="001B79DA"/>
    <w:rsid w:val="001B7A23"/>
    <w:rsid w:val="001B7A46"/>
    <w:rsid w:val="001B7A55"/>
    <w:rsid w:val="001B7A91"/>
    <w:rsid w:val="001B7AB9"/>
    <w:rsid w:val="001B7B85"/>
    <w:rsid w:val="001B7BF3"/>
    <w:rsid w:val="001B7C68"/>
    <w:rsid w:val="001B7C7B"/>
    <w:rsid w:val="001B7DC2"/>
    <w:rsid w:val="001B7E22"/>
    <w:rsid w:val="001B7E64"/>
    <w:rsid w:val="001C0058"/>
    <w:rsid w:val="001C0394"/>
    <w:rsid w:val="001C0550"/>
    <w:rsid w:val="001C0654"/>
    <w:rsid w:val="001C0771"/>
    <w:rsid w:val="001C07F5"/>
    <w:rsid w:val="001C096A"/>
    <w:rsid w:val="001C0BEA"/>
    <w:rsid w:val="001C0C75"/>
    <w:rsid w:val="001C0CB3"/>
    <w:rsid w:val="001C0D84"/>
    <w:rsid w:val="001C0E57"/>
    <w:rsid w:val="001C0EED"/>
    <w:rsid w:val="001C0FAE"/>
    <w:rsid w:val="001C1021"/>
    <w:rsid w:val="001C108C"/>
    <w:rsid w:val="001C10C2"/>
    <w:rsid w:val="001C116F"/>
    <w:rsid w:val="001C117F"/>
    <w:rsid w:val="001C11C6"/>
    <w:rsid w:val="001C1231"/>
    <w:rsid w:val="001C12DB"/>
    <w:rsid w:val="001C141B"/>
    <w:rsid w:val="001C15E2"/>
    <w:rsid w:val="001C17D7"/>
    <w:rsid w:val="001C1806"/>
    <w:rsid w:val="001C187B"/>
    <w:rsid w:val="001C1961"/>
    <w:rsid w:val="001C19CC"/>
    <w:rsid w:val="001C1AC3"/>
    <w:rsid w:val="001C1C07"/>
    <w:rsid w:val="001C1DF1"/>
    <w:rsid w:val="001C1E5D"/>
    <w:rsid w:val="001C1ED8"/>
    <w:rsid w:val="001C1EF1"/>
    <w:rsid w:val="001C1F13"/>
    <w:rsid w:val="001C1FAB"/>
    <w:rsid w:val="001C1FE1"/>
    <w:rsid w:val="001C1FE4"/>
    <w:rsid w:val="001C200B"/>
    <w:rsid w:val="001C2115"/>
    <w:rsid w:val="001C214F"/>
    <w:rsid w:val="001C21A0"/>
    <w:rsid w:val="001C22A8"/>
    <w:rsid w:val="001C22D1"/>
    <w:rsid w:val="001C2331"/>
    <w:rsid w:val="001C2517"/>
    <w:rsid w:val="001C2538"/>
    <w:rsid w:val="001C25CA"/>
    <w:rsid w:val="001C26D1"/>
    <w:rsid w:val="001C2706"/>
    <w:rsid w:val="001C275A"/>
    <w:rsid w:val="001C278F"/>
    <w:rsid w:val="001C2BA5"/>
    <w:rsid w:val="001C2C04"/>
    <w:rsid w:val="001C2C16"/>
    <w:rsid w:val="001C2C46"/>
    <w:rsid w:val="001C2C85"/>
    <w:rsid w:val="001C2DA0"/>
    <w:rsid w:val="001C2EBA"/>
    <w:rsid w:val="001C2F3A"/>
    <w:rsid w:val="001C2F55"/>
    <w:rsid w:val="001C2F7D"/>
    <w:rsid w:val="001C3137"/>
    <w:rsid w:val="001C315D"/>
    <w:rsid w:val="001C34C0"/>
    <w:rsid w:val="001C35F5"/>
    <w:rsid w:val="001C3610"/>
    <w:rsid w:val="001C3629"/>
    <w:rsid w:val="001C3679"/>
    <w:rsid w:val="001C3738"/>
    <w:rsid w:val="001C388F"/>
    <w:rsid w:val="001C3D2A"/>
    <w:rsid w:val="001C3D5A"/>
    <w:rsid w:val="001C3D9F"/>
    <w:rsid w:val="001C3DA4"/>
    <w:rsid w:val="001C3EEF"/>
    <w:rsid w:val="001C4069"/>
    <w:rsid w:val="001C4257"/>
    <w:rsid w:val="001C42A2"/>
    <w:rsid w:val="001C42E0"/>
    <w:rsid w:val="001C42E8"/>
    <w:rsid w:val="001C4676"/>
    <w:rsid w:val="001C4740"/>
    <w:rsid w:val="001C49B8"/>
    <w:rsid w:val="001C4B9D"/>
    <w:rsid w:val="001C4C27"/>
    <w:rsid w:val="001C4C55"/>
    <w:rsid w:val="001C4C8A"/>
    <w:rsid w:val="001C4D73"/>
    <w:rsid w:val="001C4E8C"/>
    <w:rsid w:val="001C4EB4"/>
    <w:rsid w:val="001C4EF1"/>
    <w:rsid w:val="001C4F61"/>
    <w:rsid w:val="001C4FFD"/>
    <w:rsid w:val="001C50AA"/>
    <w:rsid w:val="001C50B6"/>
    <w:rsid w:val="001C5207"/>
    <w:rsid w:val="001C5296"/>
    <w:rsid w:val="001C52CE"/>
    <w:rsid w:val="001C52FA"/>
    <w:rsid w:val="001C53B5"/>
    <w:rsid w:val="001C53D9"/>
    <w:rsid w:val="001C53EE"/>
    <w:rsid w:val="001C540A"/>
    <w:rsid w:val="001C5481"/>
    <w:rsid w:val="001C54E6"/>
    <w:rsid w:val="001C5525"/>
    <w:rsid w:val="001C5664"/>
    <w:rsid w:val="001C56ED"/>
    <w:rsid w:val="001C5714"/>
    <w:rsid w:val="001C5799"/>
    <w:rsid w:val="001C57F0"/>
    <w:rsid w:val="001C596E"/>
    <w:rsid w:val="001C59DA"/>
    <w:rsid w:val="001C5A5D"/>
    <w:rsid w:val="001C5CA5"/>
    <w:rsid w:val="001C5CC6"/>
    <w:rsid w:val="001C5CDE"/>
    <w:rsid w:val="001C5CFE"/>
    <w:rsid w:val="001C5D2A"/>
    <w:rsid w:val="001C5F85"/>
    <w:rsid w:val="001C608B"/>
    <w:rsid w:val="001C609B"/>
    <w:rsid w:val="001C61A6"/>
    <w:rsid w:val="001C6309"/>
    <w:rsid w:val="001C6336"/>
    <w:rsid w:val="001C639C"/>
    <w:rsid w:val="001C6445"/>
    <w:rsid w:val="001C646B"/>
    <w:rsid w:val="001C663B"/>
    <w:rsid w:val="001C683E"/>
    <w:rsid w:val="001C6940"/>
    <w:rsid w:val="001C6962"/>
    <w:rsid w:val="001C69C3"/>
    <w:rsid w:val="001C6A4E"/>
    <w:rsid w:val="001C6B0C"/>
    <w:rsid w:val="001C6CF9"/>
    <w:rsid w:val="001C6D27"/>
    <w:rsid w:val="001C6D40"/>
    <w:rsid w:val="001C6D4E"/>
    <w:rsid w:val="001C6D75"/>
    <w:rsid w:val="001C6E88"/>
    <w:rsid w:val="001C7044"/>
    <w:rsid w:val="001C7090"/>
    <w:rsid w:val="001C729B"/>
    <w:rsid w:val="001C7322"/>
    <w:rsid w:val="001C74BA"/>
    <w:rsid w:val="001C7762"/>
    <w:rsid w:val="001C77A8"/>
    <w:rsid w:val="001C792F"/>
    <w:rsid w:val="001C79C8"/>
    <w:rsid w:val="001C79EA"/>
    <w:rsid w:val="001C7BDE"/>
    <w:rsid w:val="001C7C2C"/>
    <w:rsid w:val="001C7CC2"/>
    <w:rsid w:val="001C7EA1"/>
    <w:rsid w:val="001C7F44"/>
    <w:rsid w:val="001D0066"/>
    <w:rsid w:val="001D02ED"/>
    <w:rsid w:val="001D0337"/>
    <w:rsid w:val="001D0455"/>
    <w:rsid w:val="001D06ED"/>
    <w:rsid w:val="001D0900"/>
    <w:rsid w:val="001D09F6"/>
    <w:rsid w:val="001D0A45"/>
    <w:rsid w:val="001D0B72"/>
    <w:rsid w:val="001D0D1C"/>
    <w:rsid w:val="001D0D25"/>
    <w:rsid w:val="001D0D5A"/>
    <w:rsid w:val="001D0F55"/>
    <w:rsid w:val="001D1081"/>
    <w:rsid w:val="001D1185"/>
    <w:rsid w:val="001D1359"/>
    <w:rsid w:val="001D1412"/>
    <w:rsid w:val="001D14C3"/>
    <w:rsid w:val="001D14D4"/>
    <w:rsid w:val="001D1626"/>
    <w:rsid w:val="001D1675"/>
    <w:rsid w:val="001D1B45"/>
    <w:rsid w:val="001D1C37"/>
    <w:rsid w:val="001D1E5E"/>
    <w:rsid w:val="001D1EE5"/>
    <w:rsid w:val="001D2172"/>
    <w:rsid w:val="001D223D"/>
    <w:rsid w:val="001D2253"/>
    <w:rsid w:val="001D2261"/>
    <w:rsid w:val="001D2266"/>
    <w:rsid w:val="001D230B"/>
    <w:rsid w:val="001D2375"/>
    <w:rsid w:val="001D2410"/>
    <w:rsid w:val="001D24B0"/>
    <w:rsid w:val="001D24C4"/>
    <w:rsid w:val="001D2528"/>
    <w:rsid w:val="001D2554"/>
    <w:rsid w:val="001D25CA"/>
    <w:rsid w:val="001D2600"/>
    <w:rsid w:val="001D275C"/>
    <w:rsid w:val="001D28CA"/>
    <w:rsid w:val="001D28EF"/>
    <w:rsid w:val="001D2AA0"/>
    <w:rsid w:val="001D2AF1"/>
    <w:rsid w:val="001D2B01"/>
    <w:rsid w:val="001D2B8A"/>
    <w:rsid w:val="001D2C78"/>
    <w:rsid w:val="001D2F04"/>
    <w:rsid w:val="001D2F42"/>
    <w:rsid w:val="001D3140"/>
    <w:rsid w:val="001D3206"/>
    <w:rsid w:val="001D3256"/>
    <w:rsid w:val="001D339C"/>
    <w:rsid w:val="001D33E3"/>
    <w:rsid w:val="001D3416"/>
    <w:rsid w:val="001D367E"/>
    <w:rsid w:val="001D36DC"/>
    <w:rsid w:val="001D3745"/>
    <w:rsid w:val="001D383D"/>
    <w:rsid w:val="001D388A"/>
    <w:rsid w:val="001D3947"/>
    <w:rsid w:val="001D3ACB"/>
    <w:rsid w:val="001D3B9A"/>
    <w:rsid w:val="001D3BA9"/>
    <w:rsid w:val="001D3CE1"/>
    <w:rsid w:val="001D4039"/>
    <w:rsid w:val="001D41E7"/>
    <w:rsid w:val="001D4494"/>
    <w:rsid w:val="001D4595"/>
    <w:rsid w:val="001D4747"/>
    <w:rsid w:val="001D4933"/>
    <w:rsid w:val="001D4B5B"/>
    <w:rsid w:val="001D4D59"/>
    <w:rsid w:val="001D4E20"/>
    <w:rsid w:val="001D4F1F"/>
    <w:rsid w:val="001D5034"/>
    <w:rsid w:val="001D526D"/>
    <w:rsid w:val="001D52A7"/>
    <w:rsid w:val="001D5426"/>
    <w:rsid w:val="001D5575"/>
    <w:rsid w:val="001D5642"/>
    <w:rsid w:val="001D56A8"/>
    <w:rsid w:val="001D56B8"/>
    <w:rsid w:val="001D56BC"/>
    <w:rsid w:val="001D57B2"/>
    <w:rsid w:val="001D583F"/>
    <w:rsid w:val="001D591A"/>
    <w:rsid w:val="001D597B"/>
    <w:rsid w:val="001D5ABE"/>
    <w:rsid w:val="001D5AE7"/>
    <w:rsid w:val="001D5BEB"/>
    <w:rsid w:val="001D5C3F"/>
    <w:rsid w:val="001D5CD8"/>
    <w:rsid w:val="001D5E13"/>
    <w:rsid w:val="001D5FE8"/>
    <w:rsid w:val="001D5FF6"/>
    <w:rsid w:val="001D60A9"/>
    <w:rsid w:val="001D6102"/>
    <w:rsid w:val="001D6129"/>
    <w:rsid w:val="001D614D"/>
    <w:rsid w:val="001D65A9"/>
    <w:rsid w:val="001D665A"/>
    <w:rsid w:val="001D66DA"/>
    <w:rsid w:val="001D689F"/>
    <w:rsid w:val="001D6C95"/>
    <w:rsid w:val="001D6F1F"/>
    <w:rsid w:val="001D713C"/>
    <w:rsid w:val="001D71ED"/>
    <w:rsid w:val="001D71FF"/>
    <w:rsid w:val="001D72E4"/>
    <w:rsid w:val="001D7401"/>
    <w:rsid w:val="001D7413"/>
    <w:rsid w:val="001D74FB"/>
    <w:rsid w:val="001D7537"/>
    <w:rsid w:val="001D76B6"/>
    <w:rsid w:val="001D7806"/>
    <w:rsid w:val="001D780A"/>
    <w:rsid w:val="001D792D"/>
    <w:rsid w:val="001D7932"/>
    <w:rsid w:val="001D79F3"/>
    <w:rsid w:val="001D7A60"/>
    <w:rsid w:val="001D7A85"/>
    <w:rsid w:val="001D7AD6"/>
    <w:rsid w:val="001D7D2C"/>
    <w:rsid w:val="001D7D82"/>
    <w:rsid w:val="001D7E83"/>
    <w:rsid w:val="001D7EA1"/>
    <w:rsid w:val="001E0047"/>
    <w:rsid w:val="001E034C"/>
    <w:rsid w:val="001E03F3"/>
    <w:rsid w:val="001E052B"/>
    <w:rsid w:val="001E0547"/>
    <w:rsid w:val="001E06A0"/>
    <w:rsid w:val="001E0797"/>
    <w:rsid w:val="001E0825"/>
    <w:rsid w:val="001E08AE"/>
    <w:rsid w:val="001E0B74"/>
    <w:rsid w:val="001E0BB6"/>
    <w:rsid w:val="001E0CB5"/>
    <w:rsid w:val="001E0D5C"/>
    <w:rsid w:val="001E10B1"/>
    <w:rsid w:val="001E10BD"/>
    <w:rsid w:val="001E112B"/>
    <w:rsid w:val="001E1149"/>
    <w:rsid w:val="001E11ED"/>
    <w:rsid w:val="001E1480"/>
    <w:rsid w:val="001E1706"/>
    <w:rsid w:val="001E1715"/>
    <w:rsid w:val="001E181C"/>
    <w:rsid w:val="001E181E"/>
    <w:rsid w:val="001E1862"/>
    <w:rsid w:val="001E1889"/>
    <w:rsid w:val="001E1895"/>
    <w:rsid w:val="001E1A1C"/>
    <w:rsid w:val="001E1C3C"/>
    <w:rsid w:val="001E1C4A"/>
    <w:rsid w:val="001E1EF3"/>
    <w:rsid w:val="001E1FA8"/>
    <w:rsid w:val="001E1FB7"/>
    <w:rsid w:val="001E2178"/>
    <w:rsid w:val="001E2205"/>
    <w:rsid w:val="001E222B"/>
    <w:rsid w:val="001E22BA"/>
    <w:rsid w:val="001E2372"/>
    <w:rsid w:val="001E23EE"/>
    <w:rsid w:val="001E2509"/>
    <w:rsid w:val="001E274F"/>
    <w:rsid w:val="001E2769"/>
    <w:rsid w:val="001E27EC"/>
    <w:rsid w:val="001E2994"/>
    <w:rsid w:val="001E2BD5"/>
    <w:rsid w:val="001E2C8B"/>
    <w:rsid w:val="001E2CD0"/>
    <w:rsid w:val="001E2CF9"/>
    <w:rsid w:val="001E2D97"/>
    <w:rsid w:val="001E2E20"/>
    <w:rsid w:val="001E2E96"/>
    <w:rsid w:val="001E2EF6"/>
    <w:rsid w:val="001E2F68"/>
    <w:rsid w:val="001E2FEE"/>
    <w:rsid w:val="001E30E8"/>
    <w:rsid w:val="001E310C"/>
    <w:rsid w:val="001E3136"/>
    <w:rsid w:val="001E3150"/>
    <w:rsid w:val="001E3386"/>
    <w:rsid w:val="001E3547"/>
    <w:rsid w:val="001E357D"/>
    <w:rsid w:val="001E35F8"/>
    <w:rsid w:val="001E365B"/>
    <w:rsid w:val="001E374D"/>
    <w:rsid w:val="001E388B"/>
    <w:rsid w:val="001E3BD8"/>
    <w:rsid w:val="001E3D21"/>
    <w:rsid w:val="001E3E18"/>
    <w:rsid w:val="001E3E2E"/>
    <w:rsid w:val="001E3EC2"/>
    <w:rsid w:val="001E3FE8"/>
    <w:rsid w:val="001E4129"/>
    <w:rsid w:val="001E4184"/>
    <w:rsid w:val="001E41AB"/>
    <w:rsid w:val="001E41B5"/>
    <w:rsid w:val="001E4414"/>
    <w:rsid w:val="001E4474"/>
    <w:rsid w:val="001E44C3"/>
    <w:rsid w:val="001E456A"/>
    <w:rsid w:val="001E45E3"/>
    <w:rsid w:val="001E45EB"/>
    <w:rsid w:val="001E475A"/>
    <w:rsid w:val="001E47D9"/>
    <w:rsid w:val="001E47DC"/>
    <w:rsid w:val="001E48FE"/>
    <w:rsid w:val="001E4993"/>
    <w:rsid w:val="001E49FC"/>
    <w:rsid w:val="001E4AC0"/>
    <w:rsid w:val="001E4AC2"/>
    <w:rsid w:val="001E4B41"/>
    <w:rsid w:val="001E4BF1"/>
    <w:rsid w:val="001E4C59"/>
    <w:rsid w:val="001E4C8D"/>
    <w:rsid w:val="001E4CB6"/>
    <w:rsid w:val="001E4EB2"/>
    <w:rsid w:val="001E4F9C"/>
    <w:rsid w:val="001E5097"/>
    <w:rsid w:val="001E511C"/>
    <w:rsid w:val="001E52CB"/>
    <w:rsid w:val="001E531C"/>
    <w:rsid w:val="001E552C"/>
    <w:rsid w:val="001E55D6"/>
    <w:rsid w:val="001E5617"/>
    <w:rsid w:val="001E565B"/>
    <w:rsid w:val="001E56CD"/>
    <w:rsid w:val="001E596E"/>
    <w:rsid w:val="001E59CC"/>
    <w:rsid w:val="001E5A1A"/>
    <w:rsid w:val="001E5A3A"/>
    <w:rsid w:val="001E5A93"/>
    <w:rsid w:val="001E5D85"/>
    <w:rsid w:val="001E5E0E"/>
    <w:rsid w:val="001E6146"/>
    <w:rsid w:val="001E62A9"/>
    <w:rsid w:val="001E63A4"/>
    <w:rsid w:val="001E6511"/>
    <w:rsid w:val="001E653B"/>
    <w:rsid w:val="001E6570"/>
    <w:rsid w:val="001E657F"/>
    <w:rsid w:val="001E660C"/>
    <w:rsid w:val="001E664C"/>
    <w:rsid w:val="001E664D"/>
    <w:rsid w:val="001E670D"/>
    <w:rsid w:val="001E6853"/>
    <w:rsid w:val="001E698E"/>
    <w:rsid w:val="001E6A57"/>
    <w:rsid w:val="001E6A82"/>
    <w:rsid w:val="001E6A8F"/>
    <w:rsid w:val="001E6B48"/>
    <w:rsid w:val="001E6B55"/>
    <w:rsid w:val="001E6C5D"/>
    <w:rsid w:val="001E6CC9"/>
    <w:rsid w:val="001E6F25"/>
    <w:rsid w:val="001E7179"/>
    <w:rsid w:val="001E7189"/>
    <w:rsid w:val="001E71E1"/>
    <w:rsid w:val="001E7213"/>
    <w:rsid w:val="001E7300"/>
    <w:rsid w:val="001E7330"/>
    <w:rsid w:val="001E7565"/>
    <w:rsid w:val="001E7648"/>
    <w:rsid w:val="001E7729"/>
    <w:rsid w:val="001E7737"/>
    <w:rsid w:val="001E7749"/>
    <w:rsid w:val="001E77E8"/>
    <w:rsid w:val="001E7868"/>
    <w:rsid w:val="001E78D3"/>
    <w:rsid w:val="001E7A1B"/>
    <w:rsid w:val="001E7AC7"/>
    <w:rsid w:val="001E7C0B"/>
    <w:rsid w:val="001E7D0D"/>
    <w:rsid w:val="001E7DEA"/>
    <w:rsid w:val="001E7E96"/>
    <w:rsid w:val="001F0074"/>
    <w:rsid w:val="001F00B0"/>
    <w:rsid w:val="001F00EE"/>
    <w:rsid w:val="001F0178"/>
    <w:rsid w:val="001F0448"/>
    <w:rsid w:val="001F04C8"/>
    <w:rsid w:val="001F0553"/>
    <w:rsid w:val="001F060D"/>
    <w:rsid w:val="001F09AC"/>
    <w:rsid w:val="001F0A77"/>
    <w:rsid w:val="001F0A9F"/>
    <w:rsid w:val="001F0B12"/>
    <w:rsid w:val="001F0D2C"/>
    <w:rsid w:val="001F0FE4"/>
    <w:rsid w:val="001F0FFE"/>
    <w:rsid w:val="001F1118"/>
    <w:rsid w:val="001F1216"/>
    <w:rsid w:val="001F1440"/>
    <w:rsid w:val="001F14AD"/>
    <w:rsid w:val="001F1502"/>
    <w:rsid w:val="001F1554"/>
    <w:rsid w:val="001F15DB"/>
    <w:rsid w:val="001F162F"/>
    <w:rsid w:val="001F1741"/>
    <w:rsid w:val="001F1B18"/>
    <w:rsid w:val="001F1BE0"/>
    <w:rsid w:val="001F1C3A"/>
    <w:rsid w:val="001F1E2B"/>
    <w:rsid w:val="001F1F39"/>
    <w:rsid w:val="001F1FE6"/>
    <w:rsid w:val="001F20DD"/>
    <w:rsid w:val="001F21CD"/>
    <w:rsid w:val="001F223C"/>
    <w:rsid w:val="001F2346"/>
    <w:rsid w:val="001F248B"/>
    <w:rsid w:val="001F2555"/>
    <w:rsid w:val="001F257B"/>
    <w:rsid w:val="001F28BA"/>
    <w:rsid w:val="001F2991"/>
    <w:rsid w:val="001F2A4D"/>
    <w:rsid w:val="001F2B01"/>
    <w:rsid w:val="001F2C7A"/>
    <w:rsid w:val="001F2CAD"/>
    <w:rsid w:val="001F2D29"/>
    <w:rsid w:val="001F2D4C"/>
    <w:rsid w:val="001F2DB9"/>
    <w:rsid w:val="001F2E4E"/>
    <w:rsid w:val="001F2F3B"/>
    <w:rsid w:val="001F2F57"/>
    <w:rsid w:val="001F2F95"/>
    <w:rsid w:val="001F325F"/>
    <w:rsid w:val="001F348D"/>
    <w:rsid w:val="001F356B"/>
    <w:rsid w:val="001F3676"/>
    <w:rsid w:val="001F3781"/>
    <w:rsid w:val="001F37A6"/>
    <w:rsid w:val="001F3810"/>
    <w:rsid w:val="001F3B69"/>
    <w:rsid w:val="001F3C64"/>
    <w:rsid w:val="001F3D79"/>
    <w:rsid w:val="001F3DC4"/>
    <w:rsid w:val="001F3F8D"/>
    <w:rsid w:val="001F3F9B"/>
    <w:rsid w:val="001F3FF1"/>
    <w:rsid w:val="001F4059"/>
    <w:rsid w:val="001F412D"/>
    <w:rsid w:val="001F415A"/>
    <w:rsid w:val="001F4213"/>
    <w:rsid w:val="001F4267"/>
    <w:rsid w:val="001F4350"/>
    <w:rsid w:val="001F4368"/>
    <w:rsid w:val="001F43E5"/>
    <w:rsid w:val="001F44DD"/>
    <w:rsid w:val="001F456A"/>
    <w:rsid w:val="001F465E"/>
    <w:rsid w:val="001F475D"/>
    <w:rsid w:val="001F4A0D"/>
    <w:rsid w:val="001F4D13"/>
    <w:rsid w:val="001F5134"/>
    <w:rsid w:val="001F5135"/>
    <w:rsid w:val="001F57F0"/>
    <w:rsid w:val="001F594B"/>
    <w:rsid w:val="001F5975"/>
    <w:rsid w:val="001F5A78"/>
    <w:rsid w:val="001F5A8D"/>
    <w:rsid w:val="001F5BF7"/>
    <w:rsid w:val="001F5EAF"/>
    <w:rsid w:val="001F5EFF"/>
    <w:rsid w:val="001F5FBB"/>
    <w:rsid w:val="001F6078"/>
    <w:rsid w:val="001F60B4"/>
    <w:rsid w:val="001F6149"/>
    <w:rsid w:val="001F619D"/>
    <w:rsid w:val="001F61E2"/>
    <w:rsid w:val="001F6288"/>
    <w:rsid w:val="001F62ED"/>
    <w:rsid w:val="001F63EF"/>
    <w:rsid w:val="001F6525"/>
    <w:rsid w:val="001F6549"/>
    <w:rsid w:val="001F666C"/>
    <w:rsid w:val="001F670F"/>
    <w:rsid w:val="001F6835"/>
    <w:rsid w:val="001F68DB"/>
    <w:rsid w:val="001F6A55"/>
    <w:rsid w:val="001F6AF4"/>
    <w:rsid w:val="001F6C84"/>
    <w:rsid w:val="001F6E95"/>
    <w:rsid w:val="001F6F28"/>
    <w:rsid w:val="001F7072"/>
    <w:rsid w:val="001F7230"/>
    <w:rsid w:val="001F724B"/>
    <w:rsid w:val="001F7398"/>
    <w:rsid w:val="001F7509"/>
    <w:rsid w:val="001F75B0"/>
    <w:rsid w:val="001F7665"/>
    <w:rsid w:val="001F76DA"/>
    <w:rsid w:val="001F784A"/>
    <w:rsid w:val="001F79C5"/>
    <w:rsid w:val="001F7A33"/>
    <w:rsid w:val="001F7B4C"/>
    <w:rsid w:val="001F7CF2"/>
    <w:rsid w:val="001F7D00"/>
    <w:rsid w:val="001F7D1A"/>
    <w:rsid w:val="001F7D65"/>
    <w:rsid w:val="001F7DB6"/>
    <w:rsid w:val="001F7E64"/>
    <w:rsid w:val="001F7E90"/>
    <w:rsid w:val="001F7EEE"/>
    <w:rsid w:val="002001B0"/>
    <w:rsid w:val="002001C2"/>
    <w:rsid w:val="00200240"/>
    <w:rsid w:val="002002B7"/>
    <w:rsid w:val="00200339"/>
    <w:rsid w:val="0020034E"/>
    <w:rsid w:val="00200411"/>
    <w:rsid w:val="00200491"/>
    <w:rsid w:val="002004AC"/>
    <w:rsid w:val="0020051B"/>
    <w:rsid w:val="0020058A"/>
    <w:rsid w:val="0020069F"/>
    <w:rsid w:val="002006DE"/>
    <w:rsid w:val="002007C7"/>
    <w:rsid w:val="00200922"/>
    <w:rsid w:val="0020093D"/>
    <w:rsid w:val="00200A74"/>
    <w:rsid w:val="00200C51"/>
    <w:rsid w:val="00200CDF"/>
    <w:rsid w:val="00200D45"/>
    <w:rsid w:val="00200D5C"/>
    <w:rsid w:val="00200D7A"/>
    <w:rsid w:val="002012E2"/>
    <w:rsid w:val="002013E9"/>
    <w:rsid w:val="00201578"/>
    <w:rsid w:val="0020163B"/>
    <w:rsid w:val="002016E5"/>
    <w:rsid w:val="00201721"/>
    <w:rsid w:val="00201B5D"/>
    <w:rsid w:val="00201C06"/>
    <w:rsid w:val="00201C70"/>
    <w:rsid w:val="00201C92"/>
    <w:rsid w:val="00201DFC"/>
    <w:rsid w:val="002021A2"/>
    <w:rsid w:val="002022B1"/>
    <w:rsid w:val="0020233D"/>
    <w:rsid w:val="002023B0"/>
    <w:rsid w:val="00202405"/>
    <w:rsid w:val="00202490"/>
    <w:rsid w:val="002025FC"/>
    <w:rsid w:val="002026BD"/>
    <w:rsid w:val="00202718"/>
    <w:rsid w:val="00202795"/>
    <w:rsid w:val="002027B5"/>
    <w:rsid w:val="00202938"/>
    <w:rsid w:val="00202BB9"/>
    <w:rsid w:val="00202C90"/>
    <w:rsid w:val="00202F2E"/>
    <w:rsid w:val="00202F7B"/>
    <w:rsid w:val="002030D5"/>
    <w:rsid w:val="00203488"/>
    <w:rsid w:val="002034A5"/>
    <w:rsid w:val="0020368A"/>
    <w:rsid w:val="002037F9"/>
    <w:rsid w:val="00203810"/>
    <w:rsid w:val="002038FF"/>
    <w:rsid w:val="00203B2D"/>
    <w:rsid w:val="00203C80"/>
    <w:rsid w:val="00203D9B"/>
    <w:rsid w:val="00203E31"/>
    <w:rsid w:val="00203EF6"/>
    <w:rsid w:val="00203F62"/>
    <w:rsid w:val="00203FB0"/>
    <w:rsid w:val="002041C4"/>
    <w:rsid w:val="002041F5"/>
    <w:rsid w:val="00204267"/>
    <w:rsid w:val="002044B2"/>
    <w:rsid w:val="002044CB"/>
    <w:rsid w:val="00204576"/>
    <w:rsid w:val="00204586"/>
    <w:rsid w:val="00204938"/>
    <w:rsid w:val="0020493D"/>
    <w:rsid w:val="00204A3C"/>
    <w:rsid w:val="00204CA6"/>
    <w:rsid w:val="00204CD9"/>
    <w:rsid w:val="00204CE5"/>
    <w:rsid w:val="00204D24"/>
    <w:rsid w:val="00204EAB"/>
    <w:rsid w:val="00204EFE"/>
    <w:rsid w:val="002050C3"/>
    <w:rsid w:val="00205230"/>
    <w:rsid w:val="002052A0"/>
    <w:rsid w:val="002052FB"/>
    <w:rsid w:val="0020549F"/>
    <w:rsid w:val="002054DD"/>
    <w:rsid w:val="002054F3"/>
    <w:rsid w:val="00205604"/>
    <w:rsid w:val="002056C9"/>
    <w:rsid w:val="00205721"/>
    <w:rsid w:val="0020594A"/>
    <w:rsid w:val="00205BA5"/>
    <w:rsid w:val="00205D1C"/>
    <w:rsid w:val="00205E0C"/>
    <w:rsid w:val="00205FB0"/>
    <w:rsid w:val="002060CF"/>
    <w:rsid w:val="002061C1"/>
    <w:rsid w:val="00206321"/>
    <w:rsid w:val="0020637A"/>
    <w:rsid w:val="00206442"/>
    <w:rsid w:val="0020647F"/>
    <w:rsid w:val="00206637"/>
    <w:rsid w:val="002068A9"/>
    <w:rsid w:val="002068FC"/>
    <w:rsid w:val="002069BE"/>
    <w:rsid w:val="00206BF4"/>
    <w:rsid w:val="00206DBA"/>
    <w:rsid w:val="00206E9F"/>
    <w:rsid w:val="00206F6D"/>
    <w:rsid w:val="00207117"/>
    <w:rsid w:val="00207127"/>
    <w:rsid w:val="0020717F"/>
    <w:rsid w:val="002071A5"/>
    <w:rsid w:val="002072E1"/>
    <w:rsid w:val="0020756B"/>
    <w:rsid w:val="00207633"/>
    <w:rsid w:val="0020767B"/>
    <w:rsid w:val="002076FD"/>
    <w:rsid w:val="0020771D"/>
    <w:rsid w:val="002077FA"/>
    <w:rsid w:val="0020788B"/>
    <w:rsid w:val="00207AF9"/>
    <w:rsid w:val="00207B19"/>
    <w:rsid w:val="00207DB0"/>
    <w:rsid w:val="00207EE3"/>
    <w:rsid w:val="0021010B"/>
    <w:rsid w:val="002101A4"/>
    <w:rsid w:val="00210230"/>
    <w:rsid w:val="00210342"/>
    <w:rsid w:val="00210412"/>
    <w:rsid w:val="0021043B"/>
    <w:rsid w:val="00210630"/>
    <w:rsid w:val="002107F4"/>
    <w:rsid w:val="002109F9"/>
    <w:rsid w:val="00210B7D"/>
    <w:rsid w:val="00210BFE"/>
    <w:rsid w:val="00210C28"/>
    <w:rsid w:val="00210EDD"/>
    <w:rsid w:val="00210EEA"/>
    <w:rsid w:val="00210EEB"/>
    <w:rsid w:val="00211201"/>
    <w:rsid w:val="00211202"/>
    <w:rsid w:val="002112A8"/>
    <w:rsid w:val="002112BB"/>
    <w:rsid w:val="0021149D"/>
    <w:rsid w:val="002114BC"/>
    <w:rsid w:val="002115AC"/>
    <w:rsid w:val="0021169D"/>
    <w:rsid w:val="00211797"/>
    <w:rsid w:val="00211871"/>
    <w:rsid w:val="00211902"/>
    <w:rsid w:val="002119F6"/>
    <w:rsid w:val="00211B56"/>
    <w:rsid w:val="00211B5C"/>
    <w:rsid w:val="00211CAB"/>
    <w:rsid w:val="00211CDB"/>
    <w:rsid w:val="00211D16"/>
    <w:rsid w:val="00211D56"/>
    <w:rsid w:val="00211E20"/>
    <w:rsid w:val="00211F16"/>
    <w:rsid w:val="00212007"/>
    <w:rsid w:val="00212047"/>
    <w:rsid w:val="0021222B"/>
    <w:rsid w:val="00212245"/>
    <w:rsid w:val="00212390"/>
    <w:rsid w:val="002124DA"/>
    <w:rsid w:val="00212885"/>
    <w:rsid w:val="00212902"/>
    <w:rsid w:val="00212965"/>
    <w:rsid w:val="002129D2"/>
    <w:rsid w:val="00212A0C"/>
    <w:rsid w:val="00212A0F"/>
    <w:rsid w:val="00212A13"/>
    <w:rsid w:val="00212CCB"/>
    <w:rsid w:val="00212DA0"/>
    <w:rsid w:val="00212E5A"/>
    <w:rsid w:val="00212E6B"/>
    <w:rsid w:val="00212EB0"/>
    <w:rsid w:val="00212EBC"/>
    <w:rsid w:val="00212EF4"/>
    <w:rsid w:val="00212F63"/>
    <w:rsid w:val="00212FCB"/>
    <w:rsid w:val="00212FEA"/>
    <w:rsid w:val="00213125"/>
    <w:rsid w:val="002131B7"/>
    <w:rsid w:val="00213256"/>
    <w:rsid w:val="002132C1"/>
    <w:rsid w:val="0021338E"/>
    <w:rsid w:val="002133B4"/>
    <w:rsid w:val="0021349C"/>
    <w:rsid w:val="0021356B"/>
    <w:rsid w:val="002136CC"/>
    <w:rsid w:val="0021379A"/>
    <w:rsid w:val="002137D2"/>
    <w:rsid w:val="00213B1B"/>
    <w:rsid w:val="00213D30"/>
    <w:rsid w:val="00213F56"/>
    <w:rsid w:val="00213F63"/>
    <w:rsid w:val="00214103"/>
    <w:rsid w:val="0021415A"/>
    <w:rsid w:val="00214178"/>
    <w:rsid w:val="00214254"/>
    <w:rsid w:val="00214257"/>
    <w:rsid w:val="002142E4"/>
    <w:rsid w:val="002143A7"/>
    <w:rsid w:val="00214407"/>
    <w:rsid w:val="00214440"/>
    <w:rsid w:val="002144B1"/>
    <w:rsid w:val="002146DD"/>
    <w:rsid w:val="0021472E"/>
    <w:rsid w:val="0021475E"/>
    <w:rsid w:val="00214815"/>
    <w:rsid w:val="0021494A"/>
    <w:rsid w:val="00214B1E"/>
    <w:rsid w:val="00214B54"/>
    <w:rsid w:val="00214CE3"/>
    <w:rsid w:val="00214FA0"/>
    <w:rsid w:val="00215086"/>
    <w:rsid w:val="00215132"/>
    <w:rsid w:val="002152D3"/>
    <w:rsid w:val="00215442"/>
    <w:rsid w:val="002154A2"/>
    <w:rsid w:val="00215504"/>
    <w:rsid w:val="002155AE"/>
    <w:rsid w:val="00215604"/>
    <w:rsid w:val="0021564A"/>
    <w:rsid w:val="0021568A"/>
    <w:rsid w:val="002156C8"/>
    <w:rsid w:val="00215767"/>
    <w:rsid w:val="00215843"/>
    <w:rsid w:val="0021592A"/>
    <w:rsid w:val="00215BBC"/>
    <w:rsid w:val="00215D09"/>
    <w:rsid w:val="00215EED"/>
    <w:rsid w:val="00216066"/>
    <w:rsid w:val="00216186"/>
    <w:rsid w:val="00216212"/>
    <w:rsid w:val="0021625E"/>
    <w:rsid w:val="0021626C"/>
    <w:rsid w:val="002162D1"/>
    <w:rsid w:val="002164DB"/>
    <w:rsid w:val="0021653A"/>
    <w:rsid w:val="002167C1"/>
    <w:rsid w:val="002167DD"/>
    <w:rsid w:val="00216805"/>
    <w:rsid w:val="00216814"/>
    <w:rsid w:val="002169D4"/>
    <w:rsid w:val="00216A18"/>
    <w:rsid w:val="00216AD5"/>
    <w:rsid w:val="00216B52"/>
    <w:rsid w:val="00216C70"/>
    <w:rsid w:val="00216D35"/>
    <w:rsid w:val="00216FED"/>
    <w:rsid w:val="00217007"/>
    <w:rsid w:val="00217242"/>
    <w:rsid w:val="00217429"/>
    <w:rsid w:val="0021744F"/>
    <w:rsid w:val="0021747F"/>
    <w:rsid w:val="0021763E"/>
    <w:rsid w:val="00217685"/>
    <w:rsid w:val="00217863"/>
    <w:rsid w:val="00217A8B"/>
    <w:rsid w:val="00217BC8"/>
    <w:rsid w:val="00217F53"/>
    <w:rsid w:val="00217F75"/>
    <w:rsid w:val="00217F8A"/>
    <w:rsid w:val="002200DF"/>
    <w:rsid w:val="00220225"/>
    <w:rsid w:val="0022027D"/>
    <w:rsid w:val="0022052E"/>
    <w:rsid w:val="00220613"/>
    <w:rsid w:val="00220858"/>
    <w:rsid w:val="002209D5"/>
    <w:rsid w:val="00220BCB"/>
    <w:rsid w:val="00220DE7"/>
    <w:rsid w:val="00220E16"/>
    <w:rsid w:val="00220F5C"/>
    <w:rsid w:val="00220FB3"/>
    <w:rsid w:val="002211B3"/>
    <w:rsid w:val="0022124D"/>
    <w:rsid w:val="002212FB"/>
    <w:rsid w:val="00221332"/>
    <w:rsid w:val="0022141E"/>
    <w:rsid w:val="0022147F"/>
    <w:rsid w:val="00221528"/>
    <w:rsid w:val="00221A8F"/>
    <w:rsid w:val="00221AA0"/>
    <w:rsid w:val="00221D5A"/>
    <w:rsid w:val="00221DC5"/>
    <w:rsid w:val="00221E9A"/>
    <w:rsid w:val="00221EA0"/>
    <w:rsid w:val="002222DC"/>
    <w:rsid w:val="002224EF"/>
    <w:rsid w:val="0022269B"/>
    <w:rsid w:val="002226EC"/>
    <w:rsid w:val="002227AD"/>
    <w:rsid w:val="002227E4"/>
    <w:rsid w:val="00222836"/>
    <w:rsid w:val="0022287F"/>
    <w:rsid w:val="00222882"/>
    <w:rsid w:val="00222905"/>
    <w:rsid w:val="0022296B"/>
    <w:rsid w:val="00222B31"/>
    <w:rsid w:val="00222C7A"/>
    <w:rsid w:val="00222CAD"/>
    <w:rsid w:val="00222DCB"/>
    <w:rsid w:val="00222E4F"/>
    <w:rsid w:val="00222F0B"/>
    <w:rsid w:val="00222F24"/>
    <w:rsid w:val="002230D7"/>
    <w:rsid w:val="0022320E"/>
    <w:rsid w:val="00223217"/>
    <w:rsid w:val="0022328A"/>
    <w:rsid w:val="0022333C"/>
    <w:rsid w:val="0022343C"/>
    <w:rsid w:val="0022348C"/>
    <w:rsid w:val="0022356F"/>
    <w:rsid w:val="002235A7"/>
    <w:rsid w:val="002235B7"/>
    <w:rsid w:val="002235D7"/>
    <w:rsid w:val="002235F8"/>
    <w:rsid w:val="002236AE"/>
    <w:rsid w:val="002239AE"/>
    <w:rsid w:val="00223A06"/>
    <w:rsid w:val="00223A0C"/>
    <w:rsid w:val="00223A4A"/>
    <w:rsid w:val="00223A4F"/>
    <w:rsid w:val="00223AA7"/>
    <w:rsid w:val="00223D43"/>
    <w:rsid w:val="00223DF2"/>
    <w:rsid w:val="00223E5F"/>
    <w:rsid w:val="00223F89"/>
    <w:rsid w:val="002241F0"/>
    <w:rsid w:val="002241F3"/>
    <w:rsid w:val="00224248"/>
    <w:rsid w:val="00224297"/>
    <w:rsid w:val="0022431B"/>
    <w:rsid w:val="002247A1"/>
    <w:rsid w:val="002247BC"/>
    <w:rsid w:val="00224953"/>
    <w:rsid w:val="002249AD"/>
    <w:rsid w:val="002249B2"/>
    <w:rsid w:val="00224AF6"/>
    <w:rsid w:val="00224C9A"/>
    <w:rsid w:val="00224D56"/>
    <w:rsid w:val="00224E9A"/>
    <w:rsid w:val="00224F5A"/>
    <w:rsid w:val="0022505D"/>
    <w:rsid w:val="0022510F"/>
    <w:rsid w:val="002252E3"/>
    <w:rsid w:val="002254A0"/>
    <w:rsid w:val="002254EC"/>
    <w:rsid w:val="002254F0"/>
    <w:rsid w:val="0022554A"/>
    <w:rsid w:val="0022557B"/>
    <w:rsid w:val="0022560F"/>
    <w:rsid w:val="002256CA"/>
    <w:rsid w:val="00225734"/>
    <w:rsid w:val="0022599C"/>
    <w:rsid w:val="00225A2D"/>
    <w:rsid w:val="00225A3F"/>
    <w:rsid w:val="00225B30"/>
    <w:rsid w:val="00225B61"/>
    <w:rsid w:val="00225BE5"/>
    <w:rsid w:val="00225CAB"/>
    <w:rsid w:val="00225D8C"/>
    <w:rsid w:val="00225E26"/>
    <w:rsid w:val="00225EB4"/>
    <w:rsid w:val="00225FA0"/>
    <w:rsid w:val="00225FB6"/>
    <w:rsid w:val="002260FA"/>
    <w:rsid w:val="00226174"/>
    <w:rsid w:val="00226213"/>
    <w:rsid w:val="00226413"/>
    <w:rsid w:val="002264D9"/>
    <w:rsid w:val="002265F6"/>
    <w:rsid w:val="00226600"/>
    <w:rsid w:val="0022667E"/>
    <w:rsid w:val="0022678A"/>
    <w:rsid w:val="002267CF"/>
    <w:rsid w:val="00226A34"/>
    <w:rsid w:val="00226C76"/>
    <w:rsid w:val="00226CDA"/>
    <w:rsid w:val="00226D6E"/>
    <w:rsid w:val="00226DE0"/>
    <w:rsid w:val="00226E38"/>
    <w:rsid w:val="00226F10"/>
    <w:rsid w:val="00226F66"/>
    <w:rsid w:val="00227199"/>
    <w:rsid w:val="0022723F"/>
    <w:rsid w:val="002272ED"/>
    <w:rsid w:val="0022742A"/>
    <w:rsid w:val="002274EC"/>
    <w:rsid w:val="002274F9"/>
    <w:rsid w:val="00227674"/>
    <w:rsid w:val="0022779E"/>
    <w:rsid w:val="00227866"/>
    <w:rsid w:val="00227942"/>
    <w:rsid w:val="00227A4F"/>
    <w:rsid w:val="00227A8F"/>
    <w:rsid w:val="00227AA4"/>
    <w:rsid w:val="00227B9E"/>
    <w:rsid w:val="00227DA8"/>
    <w:rsid w:val="00227EFC"/>
    <w:rsid w:val="00230004"/>
    <w:rsid w:val="0023001C"/>
    <w:rsid w:val="002300BC"/>
    <w:rsid w:val="002300C9"/>
    <w:rsid w:val="0023026F"/>
    <w:rsid w:val="0023042B"/>
    <w:rsid w:val="00230506"/>
    <w:rsid w:val="0023057F"/>
    <w:rsid w:val="002305A5"/>
    <w:rsid w:val="002305CA"/>
    <w:rsid w:val="00230667"/>
    <w:rsid w:val="002307CC"/>
    <w:rsid w:val="0023091D"/>
    <w:rsid w:val="00230943"/>
    <w:rsid w:val="00230A02"/>
    <w:rsid w:val="00230AEA"/>
    <w:rsid w:val="00230BB1"/>
    <w:rsid w:val="00230CB4"/>
    <w:rsid w:val="00230E05"/>
    <w:rsid w:val="002311F1"/>
    <w:rsid w:val="002311F6"/>
    <w:rsid w:val="00231338"/>
    <w:rsid w:val="00231448"/>
    <w:rsid w:val="0023144A"/>
    <w:rsid w:val="002314DE"/>
    <w:rsid w:val="002315B9"/>
    <w:rsid w:val="00231680"/>
    <w:rsid w:val="002316A8"/>
    <w:rsid w:val="002316AF"/>
    <w:rsid w:val="002316CF"/>
    <w:rsid w:val="002316FF"/>
    <w:rsid w:val="00231789"/>
    <w:rsid w:val="00231829"/>
    <w:rsid w:val="00231A4B"/>
    <w:rsid w:val="00231A67"/>
    <w:rsid w:val="00231C63"/>
    <w:rsid w:val="00231D06"/>
    <w:rsid w:val="00231E3A"/>
    <w:rsid w:val="00231EA2"/>
    <w:rsid w:val="002320A2"/>
    <w:rsid w:val="00232106"/>
    <w:rsid w:val="002321BA"/>
    <w:rsid w:val="00232435"/>
    <w:rsid w:val="0023254E"/>
    <w:rsid w:val="002327E5"/>
    <w:rsid w:val="00232811"/>
    <w:rsid w:val="00232A11"/>
    <w:rsid w:val="00232ADB"/>
    <w:rsid w:val="00232AF3"/>
    <w:rsid w:val="00232B56"/>
    <w:rsid w:val="00232D82"/>
    <w:rsid w:val="00232DF6"/>
    <w:rsid w:val="00232E62"/>
    <w:rsid w:val="00233011"/>
    <w:rsid w:val="002330EA"/>
    <w:rsid w:val="002330EB"/>
    <w:rsid w:val="00233177"/>
    <w:rsid w:val="00233274"/>
    <w:rsid w:val="00233338"/>
    <w:rsid w:val="002334EC"/>
    <w:rsid w:val="002336CD"/>
    <w:rsid w:val="00233753"/>
    <w:rsid w:val="00233CD0"/>
    <w:rsid w:val="0023415B"/>
    <w:rsid w:val="002341D5"/>
    <w:rsid w:val="0023436E"/>
    <w:rsid w:val="00234445"/>
    <w:rsid w:val="00234561"/>
    <w:rsid w:val="00234642"/>
    <w:rsid w:val="0023480C"/>
    <w:rsid w:val="002348BA"/>
    <w:rsid w:val="0023492E"/>
    <w:rsid w:val="00234941"/>
    <w:rsid w:val="00234A86"/>
    <w:rsid w:val="00234A9F"/>
    <w:rsid w:val="00234AEB"/>
    <w:rsid w:val="00234C70"/>
    <w:rsid w:val="00234D40"/>
    <w:rsid w:val="00234D4A"/>
    <w:rsid w:val="00234FC0"/>
    <w:rsid w:val="00235041"/>
    <w:rsid w:val="0023518A"/>
    <w:rsid w:val="00235370"/>
    <w:rsid w:val="0023575A"/>
    <w:rsid w:val="00235881"/>
    <w:rsid w:val="00235935"/>
    <w:rsid w:val="00235A8B"/>
    <w:rsid w:val="00235ADD"/>
    <w:rsid w:val="00235B8B"/>
    <w:rsid w:val="00235C80"/>
    <w:rsid w:val="00235C92"/>
    <w:rsid w:val="00235CFF"/>
    <w:rsid w:val="00235EA2"/>
    <w:rsid w:val="0023600D"/>
    <w:rsid w:val="002360A1"/>
    <w:rsid w:val="00236175"/>
    <w:rsid w:val="002361C3"/>
    <w:rsid w:val="002363EC"/>
    <w:rsid w:val="00236497"/>
    <w:rsid w:val="00236614"/>
    <w:rsid w:val="0023665E"/>
    <w:rsid w:val="00236691"/>
    <w:rsid w:val="002369FC"/>
    <w:rsid w:val="00236ADA"/>
    <w:rsid w:val="00236B25"/>
    <w:rsid w:val="00236B27"/>
    <w:rsid w:val="00236B4E"/>
    <w:rsid w:val="00236B93"/>
    <w:rsid w:val="00236BB9"/>
    <w:rsid w:val="00236C33"/>
    <w:rsid w:val="00236C56"/>
    <w:rsid w:val="00236D7F"/>
    <w:rsid w:val="00236EFE"/>
    <w:rsid w:val="00236F45"/>
    <w:rsid w:val="00237051"/>
    <w:rsid w:val="002373BB"/>
    <w:rsid w:val="00237492"/>
    <w:rsid w:val="00237616"/>
    <w:rsid w:val="002379A2"/>
    <w:rsid w:val="002379E1"/>
    <w:rsid w:val="00237A70"/>
    <w:rsid w:val="00237B18"/>
    <w:rsid w:val="00237C30"/>
    <w:rsid w:val="00237C8F"/>
    <w:rsid w:val="00237D4A"/>
    <w:rsid w:val="00237EE6"/>
    <w:rsid w:val="00240075"/>
    <w:rsid w:val="0024023E"/>
    <w:rsid w:val="00240330"/>
    <w:rsid w:val="00240372"/>
    <w:rsid w:val="002404D5"/>
    <w:rsid w:val="00240528"/>
    <w:rsid w:val="00240551"/>
    <w:rsid w:val="002405AD"/>
    <w:rsid w:val="002406A8"/>
    <w:rsid w:val="002406A9"/>
    <w:rsid w:val="002406C2"/>
    <w:rsid w:val="0024084C"/>
    <w:rsid w:val="0024087F"/>
    <w:rsid w:val="002408D7"/>
    <w:rsid w:val="002408DF"/>
    <w:rsid w:val="00240E6A"/>
    <w:rsid w:val="00240E92"/>
    <w:rsid w:val="00240EAF"/>
    <w:rsid w:val="00240FC9"/>
    <w:rsid w:val="00241007"/>
    <w:rsid w:val="002410E8"/>
    <w:rsid w:val="00241113"/>
    <w:rsid w:val="0024142F"/>
    <w:rsid w:val="002414EC"/>
    <w:rsid w:val="00241564"/>
    <w:rsid w:val="002416B2"/>
    <w:rsid w:val="0024181C"/>
    <w:rsid w:val="002418DA"/>
    <w:rsid w:val="00241900"/>
    <w:rsid w:val="00241986"/>
    <w:rsid w:val="00241BAC"/>
    <w:rsid w:val="00241C90"/>
    <w:rsid w:val="00241CE6"/>
    <w:rsid w:val="00241F1E"/>
    <w:rsid w:val="0024201D"/>
    <w:rsid w:val="002420AD"/>
    <w:rsid w:val="002421F2"/>
    <w:rsid w:val="0024225B"/>
    <w:rsid w:val="002422DA"/>
    <w:rsid w:val="0024235B"/>
    <w:rsid w:val="00242372"/>
    <w:rsid w:val="00242458"/>
    <w:rsid w:val="002424A2"/>
    <w:rsid w:val="00242AFF"/>
    <w:rsid w:val="00242C1A"/>
    <w:rsid w:val="00242C7B"/>
    <w:rsid w:val="00242CCC"/>
    <w:rsid w:val="00242D0A"/>
    <w:rsid w:val="00242D40"/>
    <w:rsid w:val="00242D7F"/>
    <w:rsid w:val="00242EE0"/>
    <w:rsid w:val="0024302E"/>
    <w:rsid w:val="00243124"/>
    <w:rsid w:val="002431CD"/>
    <w:rsid w:val="002432F6"/>
    <w:rsid w:val="00243307"/>
    <w:rsid w:val="002433A4"/>
    <w:rsid w:val="002433BE"/>
    <w:rsid w:val="00243430"/>
    <w:rsid w:val="00243433"/>
    <w:rsid w:val="002434D3"/>
    <w:rsid w:val="00243522"/>
    <w:rsid w:val="002436CF"/>
    <w:rsid w:val="00243704"/>
    <w:rsid w:val="002437A2"/>
    <w:rsid w:val="00243878"/>
    <w:rsid w:val="00243959"/>
    <w:rsid w:val="00243A90"/>
    <w:rsid w:val="00243ACA"/>
    <w:rsid w:val="00243B6E"/>
    <w:rsid w:val="00243C14"/>
    <w:rsid w:val="00243CD3"/>
    <w:rsid w:val="00243D86"/>
    <w:rsid w:val="00243DC8"/>
    <w:rsid w:val="00243DF9"/>
    <w:rsid w:val="002440A4"/>
    <w:rsid w:val="0024410D"/>
    <w:rsid w:val="002441B4"/>
    <w:rsid w:val="002442DD"/>
    <w:rsid w:val="002443F8"/>
    <w:rsid w:val="00244437"/>
    <w:rsid w:val="0024457E"/>
    <w:rsid w:val="00244593"/>
    <w:rsid w:val="002445A3"/>
    <w:rsid w:val="002445CB"/>
    <w:rsid w:val="002446B7"/>
    <w:rsid w:val="0024470A"/>
    <w:rsid w:val="002448E1"/>
    <w:rsid w:val="00244943"/>
    <w:rsid w:val="00244956"/>
    <w:rsid w:val="0024498B"/>
    <w:rsid w:val="00244A6C"/>
    <w:rsid w:val="00244B24"/>
    <w:rsid w:val="00244BD1"/>
    <w:rsid w:val="00244C15"/>
    <w:rsid w:val="00245018"/>
    <w:rsid w:val="002450A1"/>
    <w:rsid w:val="0024512E"/>
    <w:rsid w:val="002452F9"/>
    <w:rsid w:val="002453C4"/>
    <w:rsid w:val="00245573"/>
    <w:rsid w:val="0024567F"/>
    <w:rsid w:val="00245719"/>
    <w:rsid w:val="0024577A"/>
    <w:rsid w:val="00245909"/>
    <w:rsid w:val="00245A22"/>
    <w:rsid w:val="00245A5F"/>
    <w:rsid w:val="00245A7C"/>
    <w:rsid w:val="00245C0A"/>
    <w:rsid w:val="00245E3C"/>
    <w:rsid w:val="00245F0B"/>
    <w:rsid w:val="002460B0"/>
    <w:rsid w:val="002464B2"/>
    <w:rsid w:val="0024654D"/>
    <w:rsid w:val="00246552"/>
    <w:rsid w:val="002465C9"/>
    <w:rsid w:val="00246882"/>
    <w:rsid w:val="002469CA"/>
    <w:rsid w:val="002469FF"/>
    <w:rsid w:val="00246B42"/>
    <w:rsid w:val="00246BD2"/>
    <w:rsid w:val="00246C62"/>
    <w:rsid w:val="00246F89"/>
    <w:rsid w:val="00246FA3"/>
    <w:rsid w:val="002470D6"/>
    <w:rsid w:val="00247528"/>
    <w:rsid w:val="00247546"/>
    <w:rsid w:val="00247564"/>
    <w:rsid w:val="0024766A"/>
    <w:rsid w:val="002476C8"/>
    <w:rsid w:val="002476E2"/>
    <w:rsid w:val="00247851"/>
    <w:rsid w:val="00247854"/>
    <w:rsid w:val="0024790C"/>
    <w:rsid w:val="002479C5"/>
    <w:rsid w:val="002479F2"/>
    <w:rsid w:val="00247B26"/>
    <w:rsid w:val="00247B42"/>
    <w:rsid w:val="00247C93"/>
    <w:rsid w:val="00247D67"/>
    <w:rsid w:val="00247E1B"/>
    <w:rsid w:val="00247FAF"/>
    <w:rsid w:val="00247FEA"/>
    <w:rsid w:val="0025003D"/>
    <w:rsid w:val="00250046"/>
    <w:rsid w:val="00250237"/>
    <w:rsid w:val="00250288"/>
    <w:rsid w:val="0025050F"/>
    <w:rsid w:val="00250548"/>
    <w:rsid w:val="00250644"/>
    <w:rsid w:val="0025069B"/>
    <w:rsid w:val="00250713"/>
    <w:rsid w:val="00250726"/>
    <w:rsid w:val="00250783"/>
    <w:rsid w:val="002507D8"/>
    <w:rsid w:val="002508E7"/>
    <w:rsid w:val="002509B2"/>
    <w:rsid w:val="00250ADD"/>
    <w:rsid w:val="00250CC5"/>
    <w:rsid w:val="00250CFC"/>
    <w:rsid w:val="00250D40"/>
    <w:rsid w:val="00250E2D"/>
    <w:rsid w:val="002510A7"/>
    <w:rsid w:val="00251109"/>
    <w:rsid w:val="002511D0"/>
    <w:rsid w:val="002511E8"/>
    <w:rsid w:val="0025122A"/>
    <w:rsid w:val="002512ED"/>
    <w:rsid w:val="00251361"/>
    <w:rsid w:val="002513FE"/>
    <w:rsid w:val="00251546"/>
    <w:rsid w:val="00251606"/>
    <w:rsid w:val="002516CE"/>
    <w:rsid w:val="00251754"/>
    <w:rsid w:val="0025177C"/>
    <w:rsid w:val="002517EB"/>
    <w:rsid w:val="00251847"/>
    <w:rsid w:val="0025190C"/>
    <w:rsid w:val="00251977"/>
    <w:rsid w:val="0025199B"/>
    <w:rsid w:val="00251A52"/>
    <w:rsid w:val="00251A98"/>
    <w:rsid w:val="00251AAF"/>
    <w:rsid w:val="00251AE3"/>
    <w:rsid w:val="00251C13"/>
    <w:rsid w:val="00251CD1"/>
    <w:rsid w:val="00251D53"/>
    <w:rsid w:val="00251D6F"/>
    <w:rsid w:val="00251DCF"/>
    <w:rsid w:val="00251DDE"/>
    <w:rsid w:val="00251EED"/>
    <w:rsid w:val="002520D4"/>
    <w:rsid w:val="00252263"/>
    <w:rsid w:val="0025228B"/>
    <w:rsid w:val="0025246D"/>
    <w:rsid w:val="002524A7"/>
    <w:rsid w:val="002524AD"/>
    <w:rsid w:val="002524C5"/>
    <w:rsid w:val="002524D7"/>
    <w:rsid w:val="00252572"/>
    <w:rsid w:val="0025266B"/>
    <w:rsid w:val="002527D0"/>
    <w:rsid w:val="0025280E"/>
    <w:rsid w:val="00252816"/>
    <w:rsid w:val="00252938"/>
    <w:rsid w:val="002529B5"/>
    <w:rsid w:val="00252A1C"/>
    <w:rsid w:val="00252AD5"/>
    <w:rsid w:val="00252B37"/>
    <w:rsid w:val="00252B9E"/>
    <w:rsid w:val="00252C0E"/>
    <w:rsid w:val="00252C2F"/>
    <w:rsid w:val="00252C95"/>
    <w:rsid w:val="00252CBB"/>
    <w:rsid w:val="00252F4B"/>
    <w:rsid w:val="00252F87"/>
    <w:rsid w:val="002532BF"/>
    <w:rsid w:val="0025336F"/>
    <w:rsid w:val="0025363C"/>
    <w:rsid w:val="00253697"/>
    <w:rsid w:val="002537B5"/>
    <w:rsid w:val="00253821"/>
    <w:rsid w:val="002538C4"/>
    <w:rsid w:val="002538E7"/>
    <w:rsid w:val="002538F1"/>
    <w:rsid w:val="00253B99"/>
    <w:rsid w:val="00253D5B"/>
    <w:rsid w:val="00253FED"/>
    <w:rsid w:val="002541D1"/>
    <w:rsid w:val="0025423D"/>
    <w:rsid w:val="002543A3"/>
    <w:rsid w:val="002544EA"/>
    <w:rsid w:val="00254518"/>
    <w:rsid w:val="002545A3"/>
    <w:rsid w:val="0025465E"/>
    <w:rsid w:val="00254698"/>
    <w:rsid w:val="002546D4"/>
    <w:rsid w:val="00254781"/>
    <w:rsid w:val="002547FC"/>
    <w:rsid w:val="00254827"/>
    <w:rsid w:val="00254A4D"/>
    <w:rsid w:val="00254B00"/>
    <w:rsid w:val="00254DF5"/>
    <w:rsid w:val="0025525D"/>
    <w:rsid w:val="00255482"/>
    <w:rsid w:val="00255617"/>
    <w:rsid w:val="00255674"/>
    <w:rsid w:val="00255811"/>
    <w:rsid w:val="002559B7"/>
    <w:rsid w:val="002559E6"/>
    <w:rsid w:val="00255A2F"/>
    <w:rsid w:val="00255B09"/>
    <w:rsid w:val="00255C5B"/>
    <w:rsid w:val="00255CAE"/>
    <w:rsid w:val="00255CF7"/>
    <w:rsid w:val="00255E12"/>
    <w:rsid w:val="00255EE7"/>
    <w:rsid w:val="00255F01"/>
    <w:rsid w:val="00255F7D"/>
    <w:rsid w:val="00256230"/>
    <w:rsid w:val="00256237"/>
    <w:rsid w:val="00256304"/>
    <w:rsid w:val="002563D8"/>
    <w:rsid w:val="00256502"/>
    <w:rsid w:val="00256505"/>
    <w:rsid w:val="002565C9"/>
    <w:rsid w:val="002566D3"/>
    <w:rsid w:val="00256904"/>
    <w:rsid w:val="00256AE7"/>
    <w:rsid w:val="00256C8C"/>
    <w:rsid w:val="00256CAD"/>
    <w:rsid w:val="00256DD2"/>
    <w:rsid w:val="00256E2A"/>
    <w:rsid w:val="00256E8C"/>
    <w:rsid w:val="00257055"/>
    <w:rsid w:val="00257100"/>
    <w:rsid w:val="00257287"/>
    <w:rsid w:val="00257373"/>
    <w:rsid w:val="00257398"/>
    <w:rsid w:val="00257415"/>
    <w:rsid w:val="0025761F"/>
    <w:rsid w:val="002576B8"/>
    <w:rsid w:val="00257789"/>
    <w:rsid w:val="002579B2"/>
    <w:rsid w:val="00257A12"/>
    <w:rsid w:val="00257A2C"/>
    <w:rsid w:val="00257A77"/>
    <w:rsid w:val="00257AD9"/>
    <w:rsid w:val="00257BB4"/>
    <w:rsid w:val="00257BC6"/>
    <w:rsid w:val="00257C36"/>
    <w:rsid w:val="00257CA0"/>
    <w:rsid w:val="00257CF2"/>
    <w:rsid w:val="00257D42"/>
    <w:rsid w:val="00257E04"/>
    <w:rsid w:val="00260221"/>
    <w:rsid w:val="002602A7"/>
    <w:rsid w:val="002602DD"/>
    <w:rsid w:val="002604A2"/>
    <w:rsid w:val="00260554"/>
    <w:rsid w:val="002605C4"/>
    <w:rsid w:val="0026066C"/>
    <w:rsid w:val="0026067C"/>
    <w:rsid w:val="00260865"/>
    <w:rsid w:val="00260919"/>
    <w:rsid w:val="00260C54"/>
    <w:rsid w:val="00260CC9"/>
    <w:rsid w:val="00260DE1"/>
    <w:rsid w:val="00260ED4"/>
    <w:rsid w:val="00260F20"/>
    <w:rsid w:val="00261031"/>
    <w:rsid w:val="00261034"/>
    <w:rsid w:val="00261157"/>
    <w:rsid w:val="00261180"/>
    <w:rsid w:val="00261210"/>
    <w:rsid w:val="0026122C"/>
    <w:rsid w:val="002612B6"/>
    <w:rsid w:val="002612DD"/>
    <w:rsid w:val="0026141B"/>
    <w:rsid w:val="0026146F"/>
    <w:rsid w:val="00261474"/>
    <w:rsid w:val="00261479"/>
    <w:rsid w:val="00261660"/>
    <w:rsid w:val="0026194A"/>
    <w:rsid w:val="00261A82"/>
    <w:rsid w:val="00261AA2"/>
    <w:rsid w:val="00261C20"/>
    <w:rsid w:val="00261C96"/>
    <w:rsid w:val="00261CC4"/>
    <w:rsid w:val="00261CFE"/>
    <w:rsid w:val="00261E0D"/>
    <w:rsid w:val="00261E74"/>
    <w:rsid w:val="00261F92"/>
    <w:rsid w:val="00262172"/>
    <w:rsid w:val="00262256"/>
    <w:rsid w:val="00262392"/>
    <w:rsid w:val="002624B9"/>
    <w:rsid w:val="00262525"/>
    <w:rsid w:val="002625E1"/>
    <w:rsid w:val="00262677"/>
    <w:rsid w:val="002626F0"/>
    <w:rsid w:val="0026279A"/>
    <w:rsid w:val="002627A9"/>
    <w:rsid w:val="00262A06"/>
    <w:rsid w:val="00262B31"/>
    <w:rsid w:val="00262B3E"/>
    <w:rsid w:val="00262CFD"/>
    <w:rsid w:val="0026302D"/>
    <w:rsid w:val="00263040"/>
    <w:rsid w:val="00263047"/>
    <w:rsid w:val="002630BA"/>
    <w:rsid w:val="00263289"/>
    <w:rsid w:val="002632F7"/>
    <w:rsid w:val="00263365"/>
    <w:rsid w:val="0026355B"/>
    <w:rsid w:val="002635D3"/>
    <w:rsid w:val="00263676"/>
    <w:rsid w:val="002637A5"/>
    <w:rsid w:val="0026381D"/>
    <w:rsid w:val="00263827"/>
    <w:rsid w:val="002638E6"/>
    <w:rsid w:val="00263908"/>
    <w:rsid w:val="002639B2"/>
    <w:rsid w:val="00263A58"/>
    <w:rsid w:val="00263C3A"/>
    <w:rsid w:val="00263C9E"/>
    <w:rsid w:val="00263CB5"/>
    <w:rsid w:val="00263D18"/>
    <w:rsid w:val="00263E36"/>
    <w:rsid w:val="00263F6E"/>
    <w:rsid w:val="00264118"/>
    <w:rsid w:val="002641D2"/>
    <w:rsid w:val="0026436B"/>
    <w:rsid w:val="00264528"/>
    <w:rsid w:val="0026456B"/>
    <w:rsid w:val="0026457F"/>
    <w:rsid w:val="0026459B"/>
    <w:rsid w:val="0026472D"/>
    <w:rsid w:val="00264830"/>
    <w:rsid w:val="00264940"/>
    <w:rsid w:val="00264A48"/>
    <w:rsid w:val="00264BDB"/>
    <w:rsid w:val="00264DF3"/>
    <w:rsid w:val="00264EFA"/>
    <w:rsid w:val="002650CB"/>
    <w:rsid w:val="0026511A"/>
    <w:rsid w:val="00265139"/>
    <w:rsid w:val="0026514C"/>
    <w:rsid w:val="002651B1"/>
    <w:rsid w:val="0026521E"/>
    <w:rsid w:val="00265249"/>
    <w:rsid w:val="00265298"/>
    <w:rsid w:val="00265366"/>
    <w:rsid w:val="002653F4"/>
    <w:rsid w:val="0026555F"/>
    <w:rsid w:val="0026565D"/>
    <w:rsid w:val="00265813"/>
    <w:rsid w:val="00265936"/>
    <w:rsid w:val="0026595E"/>
    <w:rsid w:val="0026599B"/>
    <w:rsid w:val="00265AD9"/>
    <w:rsid w:val="00265C0C"/>
    <w:rsid w:val="00265D85"/>
    <w:rsid w:val="00265DA1"/>
    <w:rsid w:val="00265DAB"/>
    <w:rsid w:val="00265E59"/>
    <w:rsid w:val="00265EC2"/>
    <w:rsid w:val="00265F12"/>
    <w:rsid w:val="00265F63"/>
    <w:rsid w:val="00265FA3"/>
    <w:rsid w:val="00265FB4"/>
    <w:rsid w:val="00266054"/>
    <w:rsid w:val="0026614A"/>
    <w:rsid w:val="0026617C"/>
    <w:rsid w:val="002662A6"/>
    <w:rsid w:val="0026636A"/>
    <w:rsid w:val="002664BE"/>
    <w:rsid w:val="002664C1"/>
    <w:rsid w:val="002665EC"/>
    <w:rsid w:val="002666EC"/>
    <w:rsid w:val="00266966"/>
    <w:rsid w:val="002669FD"/>
    <w:rsid w:val="00266A20"/>
    <w:rsid w:val="00266A62"/>
    <w:rsid w:val="00266BCF"/>
    <w:rsid w:val="00266CDE"/>
    <w:rsid w:val="00266D4B"/>
    <w:rsid w:val="00266EE0"/>
    <w:rsid w:val="00267036"/>
    <w:rsid w:val="002670BE"/>
    <w:rsid w:val="002670F2"/>
    <w:rsid w:val="0026713F"/>
    <w:rsid w:val="0026722E"/>
    <w:rsid w:val="0026733E"/>
    <w:rsid w:val="00267364"/>
    <w:rsid w:val="00267386"/>
    <w:rsid w:val="0026739B"/>
    <w:rsid w:val="0026765C"/>
    <w:rsid w:val="00267689"/>
    <w:rsid w:val="0026771B"/>
    <w:rsid w:val="00267750"/>
    <w:rsid w:val="0026779D"/>
    <w:rsid w:val="002677D6"/>
    <w:rsid w:val="00267856"/>
    <w:rsid w:val="00267921"/>
    <w:rsid w:val="00267A9E"/>
    <w:rsid w:val="00267C30"/>
    <w:rsid w:val="00267DAB"/>
    <w:rsid w:val="00267E71"/>
    <w:rsid w:val="002701EB"/>
    <w:rsid w:val="00270540"/>
    <w:rsid w:val="0027057B"/>
    <w:rsid w:val="002706B7"/>
    <w:rsid w:val="002706DE"/>
    <w:rsid w:val="0027083C"/>
    <w:rsid w:val="002708C8"/>
    <w:rsid w:val="002708F4"/>
    <w:rsid w:val="002709C2"/>
    <w:rsid w:val="002709E8"/>
    <w:rsid w:val="00270A48"/>
    <w:rsid w:val="00270B26"/>
    <w:rsid w:val="00270E0E"/>
    <w:rsid w:val="00271071"/>
    <w:rsid w:val="00271088"/>
    <w:rsid w:val="0027108C"/>
    <w:rsid w:val="002710EA"/>
    <w:rsid w:val="002712C8"/>
    <w:rsid w:val="002712F6"/>
    <w:rsid w:val="002714F4"/>
    <w:rsid w:val="00271509"/>
    <w:rsid w:val="00271518"/>
    <w:rsid w:val="002715B2"/>
    <w:rsid w:val="00271784"/>
    <w:rsid w:val="0027184B"/>
    <w:rsid w:val="00271A28"/>
    <w:rsid w:val="00271A57"/>
    <w:rsid w:val="00271CE4"/>
    <w:rsid w:val="00271DE0"/>
    <w:rsid w:val="00271FE8"/>
    <w:rsid w:val="0027204E"/>
    <w:rsid w:val="00272062"/>
    <w:rsid w:val="002720CB"/>
    <w:rsid w:val="00272287"/>
    <w:rsid w:val="0027229F"/>
    <w:rsid w:val="00272623"/>
    <w:rsid w:val="002726D2"/>
    <w:rsid w:val="002726DA"/>
    <w:rsid w:val="002726FF"/>
    <w:rsid w:val="0027272F"/>
    <w:rsid w:val="002727AB"/>
    <w:rsid w:val="002728AA"/>
    <w:rsid w:val="00272923"/>
    <w:rsid w:val="00272941"/>
    <w:rsid w:val="00272A63"/>
    <w:rsid w:val="00272ACA"/>
    <w:rsid w:val="00272AE2"/>
    <w:rsid w:val="00272BC6"/>
    <w:rsid w:val="00272BD5"/>
    <w:rsid w:val="00272C2E"/>
    <w:rsid w:val="0027307B"/>
    <w:rsid w:val="002730A4"/>
    <w:rsid w:val="002730CC"/>
    <w:rsid w:val="0027317D"/>
    <w:rsid w:val="00273290"/>
    <w:rsid w:val="002732D8"/>
    <w:rsid w:val="00273394"/>
    <w:rsid w:val="002733B7"/>
    <w:rsid w:val="0027357D"/>
    <w:rsid w:val="002736AD"/>
    <w:rsid w:val="0027370E"/>
    <w:rsid w:val="0027375B"/>
    <w:rsid w:val="002737CC"/>
    <w:rsid w:val="0027392A"/>
    <w:rsid w:val="00273A31"/>
    <w:rsid w:val="00273A5D"/>
    <w:rsid w:val="00273A70"/>
    <w:rsid w:val="00273B7A"/>
    <w:rsid w:val="00273CE1"/>
    <w:rsid w:val="00273F25"/>
    <w:rsid w:val="002741E1"/>
    <w:rsid w:val="00274373"/>
    <w:rsid w:val="00274483"/>
    <w:rsid w:val="00274610"/>
    <w:rsid w:val="0027461D"/>
    <w:rsid w:val="002746B6"/>
    <w:rsid w:val="002746D0"/>
    <w:rsid w:val="0027473E"/>
    <w:rsid w:val="00274815"/>
    <w:rsid w:val="00274852"/>
    <w:rsid w:val="0027485E"/>
    <w:rsid w:val="00274A59"/>
    <w:rsid w:val="00274B4C"/>
    <w:rsid w:val="00274CA3"/>
    <w:rsid w:val="00274D7A"/>
    <w:rsid w:val="00274DF1"/>
    <w:rsid w:val="00274E4D"/>
    <w:rsid w:val="00274F94"/>
    <w:rsid w:val="00274FE4"/>
    <w:rsid w:val="00274FEA"/>
    <w:rsid w:val="002750E7"/>
    <w:rsid w:val="002750EC"/>
    <w:rsid w:val="00275112"/>
    <w:rsid w:val="00275334"/>
    <w:rsid w:val="0027537A"/>
    <w:rsid w:val="0027537E"/>
    <w:rsid w:val="002753A0"/>
    <w:rsid w:val="00275487"/>
    <w:rsid w:val="00275667"/>
    <w:rsid w:val="002756B8"/>
    <w:rsid w:val="00275750"/>
    <w:rsid w:val="0027582D"/>
    <w:rsid w:val="00275919"/>
    <w:rsid w:val="00275941"/>
    <w:rsid w:val="0027599B"/>
    <w:rsid w:val="00275B42"/>
    <w:rsid w:val="00275BED"/>
    <w:rsid w:val="00275CCA"/>
    <w:rsid w:val="00275DEA"/>
    <w:rsid w:val="00276071"/>
    <w:rsid w:val="00276119"/>
    <w:rsid w:val="0027626C"/>
    <w:rsid w:val="0027628C"/>
    <w:rsid w:val="002763E0"/>
    <w:rsid w:val="00276422"/>
    <w:rsid w:val="002764CB"/>
    <w:rsid w:val="00276535"/>
    <w:rsid w:val="00276658"/>
    <w:rsid w:val="002766EE"/>
    <w:rsid w:val="002766FD"/>
    <w:rsid w:val="0027685A"/>
    <w:rsid w:val="00276DD9"/>
    <w:rsid w:val="00276E3E"/>
    <w:rsid w:val="00276E83"/>
    <w:rsid w:val="00276EDF"/>
    <w:rsid w:val="00276FE6"/>
    <w:rsid w:val="00277240"/>
    <w:rsid w:val="002772C3"/>
    <w:rsid w:val="002773A8"/>
    <w:rsid w:val="002773B6"/>
    <w:rsid w:val="002773CE"/>
    <w:rsid w:val="002774B3"/>
    <w:rsid w:val="00277582"/>
    <w:rsid w:val="002775F4"/>
    <w:rsid w:val="00277610"/>
    <w:rsid w:val="00277790"/>
    <w:rsid w:val="0027781C"/>
    <w:rsid w:val="002779B2"/>
    <w:rsid w:val="00277A23"/>
    <w:rsid w:val="00277A95"/>
    <w:rsid w:val="00277B66"/>
    <w:rsid w:val="00277BBA"/>
    <w:rsid w:val="00277C4A"/>
    <w:rsid w:val="00277D0B"/>
    <w:rsid w:val="00277D3E"/>
    <w:rsid w:val="00277D73"/>
    <w:rsid w:val="00277D93"/>
    <w:rsid w:val="00277DD0"/>
    <w:rsid w:val="00277DD5"/>
    <w:rsid w:val="002801D0"/>
    <w:rsid w:val="002802CD"/>
    <w:rsid w:val="00280323"/>
    <w:rsid w:val="002803C1"/>
    <w:rsid w:val="00280541"/>
    <w:rsid w:val="00280586"/>
    <w:rsid w:val="002805D5"/>
    <w:rsid w:val="00280622"/>
    <w:rsid w:val="0028066C"/>
    <w:rsid w:val="00280782"/>
    <w:rsid w:val="00280A6D"/>
    <w:rsid w:val="00280C87"/>
    <w:rsid w:val="00280E11"/>
    <w:rsid w:val="00280E4B"/>
    <w:rsid w:val="00281025"/>
    <w:rsid w:val="0028113C"/>
    <w:rsid w:val="002811C6"/>
    <w:rsid w:val="00281395"/>
    <w:rsid w:val="002813A3"/>
    <w:rsid w:val="002815E8"/>
    <w:rsid w:val="00281758"/>
    <w:rsid w:val="002818DB"/>
    <w:rsid w:val="00281915"/>
    <w:rsid w:val="00281A28"/>
    <w:rsid w:val="00281A99"/>
    <w:rsid w:val="00281B0A"/>
    <w:rsid w:val="00281B81"/>
    <w:rsid w:val="00281D2F"/>
    <w:rsid w:val="00281DC6"/>
    <w:rsid w:val="00281EA4"/>
    <w:rsid w:val="00281F03"/>
    <w:rsid w:val="00281F24"/>
    <w:rsid w:val="00281F5D"/>
    <w:rsid w:val="00281F93"/>
    <w:rsid w:val="00281FA0"/>
    <w:rsid w:val="00282142"/>
    <w:rsid w:val="00282165"/>
    <w:rsid w:val="00282222"/>
    <w:rsid w:val="0028224C"/>
    <w:rsid w:val="0028227C"/>
    <w:rsid w:val="002822D6"/>
    <w:rsid w:val="002822E4"/>
    <w:rsid w:val="00282333"/>
    <w:rsid w:val="00282440"/>
    <w:rsid w:val="0028278F"/>
    <w:rsid w:val="0028284D"/>
    <w:rsid w:val="002829AA"/>
    <w:rsid w:val="00282A1D"/>
    <w:rsid w:val="00282A45"/>
    <w:rsid w:val="00282B0E"/>
    <w:rsid w:val="00282BB8"/>
    <w:rsid w:val="00282BE9"/>
    <w:rsid w:val="00282C68"/>
    <w:rsid w:val="00282C86"/>
    <w:rsid w:val="00282CAA"/>
    <w:rsid w:val="00282D70"/>
    <w:rsid w:val="00282E2B"/>
    <w:rsid w:val="00282F18"/>
    <w:rsid w:val="00283035"/>
    <w:rsid w:val="00283073"/>
    <w:rsid w:val="00283177"/>
    <w:rsid w:val="00283183"/>
    <w:rsid w:val="00283193"/>
    <w:rsid w:val="002832EB"/>
    <w:rsid w:val="002832FF"/>
    <w:rsid w:val="00283309"/>
    <w:rsid w:val="00283442"/>
    <w:rsid w:val="0028358C"/>
    <w:rsid w:val="0028371A"/>
    <w:rsid w:val="002837E4"/>
    <w:rsid w:val="002837F1"/>
    <w:rsid w:val="00283800"/>
    <w:rsid w:val="00283850"/>
    <w:rsid w:val="0028391C"/>
    <w:rsid w:val="00283946"/>
    <w:rsid w:val="002839A5"/>
    <w:rsid w:val="00283CEE"/>
    <w:rsid w:val="00283E1B"/>
    <w:rsid w:val="00283F96"/>
    <w:rsid w:val="00284153"/>
    <w:rsid w:val="002841E7"/>
    <w:rsid w:val="002842BC"/>
    <w:rsid w:val="00284356"/>
    <w:rsid w:val="002843A7"/>
    <w:rsid w:val="00284416"/>
    <w:rsid w:val="00284520"/>
    <w:rsid w:val="00284530"/>
    <w:rsid w:val="00284531"/>
    <w:rsid w:val="00284637"/>
    <w:rsid w:val="002846A0"/>
    <w:rsid w:val="002847DC"/>
    <w:rsid w:val="002847E0"/>
    <w:rsid w:val="0028485E"/>
    <w:rsid w:val="002848B1"/>
    <w:rsid w:val="002848BD"/>
    <w:rsid w:val="002848ED"/>
    <w:rsid w:val="00284953"/>
    <w:rsid w:val="00284B44"/>
    <w:rsid w:val="00284BC1"/>
    <w:rsid w:val="00284CBB"/>
    <w:rsid w:val="00284CDD"/>
    <w:rsid w:val="00284D29"/>
    <w:rsid w:val="00284D94"/>
    <w:rsid w:val="00284EC1"/>
    <w:rsid w:val="00285059"/>
    <w:rsid w:val="002851CB"/>
    <w:rsid w:val="00285232"/>
    <w:rsid w:val="002852DB"/>
    <w:rsid w:val="00285605"/>
    <w:rsid w:val="00285643"/>
    <w:rsid w:val="0028571F"/>
    <w:rsid w:val="002857B7"/>
    <w:rsid w:val="002858AB"/>
    <w:rsid w:val="00285B02"/>
    <w:rsid w:val="00285B03"/>
    <w:rsid w:val="00285B4B"/>
    <w:rsid w:val="00285B54"/>
    <w:rsid w:val="00285D6A"/>
    <w:rsid w:val="00285D83"/>
    <w:rsid w:val="00285E0A"/>
    <w:rsid w:val="00285F27"/>
    <w:rsid w:val="00286154"/>
    <w:rsid w:val="00286180"/>
    <w:rsid w:val="002862D2"/>
    <w:rsid w:val="00286486"/>
    <w:rsid w:val="00286576"/>
    <w:rsid w:val="002865F8"/>
    <w:rsid w:val="00286763"/>
    <w:rsid w:val="0028685E"/>
    <w:rsid w:val="00286874"/>
    <w:rsid w:val="00286940"/>
    <w:rsid w:val="0028697D"/>
    <w:rsid w:val="00286A1D"/>
    <w:rsid w:val="00286A84"/>
    <w:rsid w:val="00286AC2"/>
    <w:rsid w:val="00286D16"/>
    <w:rsid w:val="00286DF4"/>
    <w:rsid w:val="0028717A"/>
    <w:rsid w:val="002871BB"/>
    <w:rsid w:val="00287355"/>
    <w:rsid w:val="002873E9"/>
    <w:rsid w:val="0028750B"/>
    <w:rsid w:val="0028754C"/>
    <w:rsid w:val="0028756B"/>
    <w:rsid w:val="002876A6"/>
    <w:rsid w:val="002876F9"/>
    <w:rsid w:val="0028770B"/>
    <w:rsid w:val="002877A9"/>
    <w:rsid w:val="002879A5"/>
    <w:rsid w:val="00287A7D"/>
    <w:rsid w:val="00287B9B"/>
    <w:rsid w:val="00287C94"/>
    <w:rsid w:val="00287CF5"/>
    <w:rsid w:val="00287FBB"/>
    <w:rsid w:val="00287FCE"/>
    <w:rsid w:val="002900DA"/>
    <w:rsid w:val="002901FD"/>
    <w:rsid w:val="0029026E"/>
    <w:rsid w:val="0029033A"/>
    <w:rsid w:val="0029036C"/>
    <w:rsid w:val="002904AD"/>
    <w:rsid w:val="00290501"/>
    <w:rsid w:val="00290553"/>
    <w:rsid w:val="002906CC"/>
    <w:rsid w:val="0029086E"/>
    <w:rsid w:val="00290881"/>
    <w:rsid w:val="00290A1D"/>
    <w:rsid w:val="00290A41"/>
    <w:rsid w:val="00291185"/>
    <w:rsid w:val="002911E5"/>
    <w:rsid w:val="00291337"/>
    <w:rsid w:val="0029140D"/>
    <w:rsid w:val="002914EE"/>
    <w:rsid w:val="002916DD"/>
    <w:rsid w:val="002917C6"/>
    <w:rsid w:val="0029199F"/>
    <w:rsid w:val="00291B90"/>
    <w:rsid w:val="00291BD8"/>
    <w:rsid w:val="00291C0E"/>
    <w:rsid w:val="00291D4C"/>
    <w:rsid w:val="00291DAB"/>
    <w:rsid w:val="00291E44"/>
    <w:rsid w:val="00291E4D"/>
    <w:rsid w:val="00291E8A"/>
    <w:rsid w:val="00291F67"/>
    <w:rsid w:val="00292034"/>
    <w:rsid w:val="0029217F"/>
    <w:rsid w:val="0029229B"/>
    <w:rsid w:val="00292426"/>
    <w:rsid w:val="00292463"/>
    <w:rsid w:val="002924BC"/>
    <w:rsid w:val="00292A1B"/>
    <w:rsid w:val="00292A70"/>
    <w:rsid w:val="00292BC3"/>
    <w:rsid w:val="00292C34"/>
    <w:rsid w:val="00292C72"/>
    <w:rsid w:val="00292D71"/>
    <w:rsid w:val="00292E55"/>
    <w:rsid w:val="00292E67"/>
    <w:rsid w:val="00293015"/>
    <w:rsid w:val="00293055"/>
    <w:rsid w:val="00293057"/>
    <w:rsid w:val="0029326B"/>
    <w:rsid w:val="0029362F"/>
    <w:rsid w:val="0029366E"/>
    <w:rsid w:val="0029371B"/>
    <w:rsid w:val="00293742"/>
    <w:rsid w:val="002938A5"/>
    <w:rsid w:val="002938A6"/>
    <w:rsid w:val="00293A75"/>
    <w:rsid w:val="00293AC7"/>
    <w:rsid w:val="00293B83"/>
    <w:rsid w:val="00293C35"/>
    <w:rsid w:val="00293C4D"/>
    <w:rsid w:val="00293CB4"/>
    <w:rsid w:val="00293D72"/>
    <w:rsid w:val="00293DE5"/>
    <w:rsid w:val="00293EB0"/>
    <w:rsid w:val="00293FA2"/>
    <w:rsid w:val="002940FE"/>
    <w:rsid w:val="0029428B"/>
    <w:rsid w:val="002942AD"/>
    <w:rsid w:val="002944D1"/>
    <w:rsid w:val="00294611"/>
    <w:rsid w:val="00294741"/>
    <w:rsid w:val="00294765"/>
    <w:rsid w:val="00294905"/>
    <w:rsid w:val="00294933"/>
    <w:rsid w:val="00294961"/>
    <w:rsid w:val="00294BE9"/>
    <w:rsid w:val="00294C3E"/>
    <w:rsid w:val="00295144"/>
    <w:rsid w:val="002951BD"/>
    <w:rsid w:val="002951D3"/>
    <w:rsid w:val="002951F5"/>
    <w:rsid w:val="0029531C"/>
    <w:rsid w:val="002953B1"/>
    <w:rsid w:val="002953C7"/>
    <w:rsid w:val="002953FD"/>
    <w:rsid w:val="002954DB"/>
    <w:rsid w:val="00295505"/>
    <w:rsid w:val="0029551C"/>
    <w:rsid w:val="00295699"/>
    <w:rsid w:val="0029581F"/>
    <w:rsid w:val="0029584D"/>
    <w:rsid w:val="00295B5E"/>
    <w:rsid w:val="00295B7D"/>
    <w:rsid w:val="00295D01"/>
    <w:rsid w:val="00295D1C"/>
    <w:rsid w:val="00295E62"/>
    <w:rsid w:val="00295FDF"/>
    <w:rsid w:val="002960A7"/>
    <w:rsid w:val="00296161"/>
    <w:rsid w:val="0029628F"/>
    <w:rsid w:val="00296328"/>
    <w:rsid w:val="002963B6"/>
    <w:rsid w:val="00296675"/>
    <w:rsid w:val="00296B20"/>
    <w:rsid w:val="00296BB0"/>
    <w:rsid w:val="00296C65"/>
    <w:rsid w:val="00296C9A"/>
    <w:rsid w:val="00296CB7"/>
    <w:rsid w:val="00296D3E"/>
    <w:rsid w:val="00296DC8"/>
    <w:rsid w:val="00296FCE"/>
    <w:rsid w:val="0029703B"/>
    <w:rsid w:val="002970AF"/>
    <w:rsid w:val="002970D0"/>
    <w:rsid w:val="0029716F"/>
    <w:rsid w:val="002972D0"/>
    <w:rsid w:val="002973CF"/>
    <w:rsid w:val="00297534"/>
    <w:rsid w:val="00297670"/>
    <w:rsid w:val="002976FD"/>
    <w:rsid w:val="00297819"/>
    <w:rsid w:val="00297832"/>
    <w:rsid w:val="002978B3"/>
    <w:rsid w:val="00297A4F"/>
    <w:rsid w:val="00297C2C"/>
    <w:rsid w:val="002A000A"/>
    <w:rsid w:val="002A022A"/>
    <w:rsid w:val="002A02BF"/>
    <w:rsid w:val="002A02D1"/>
    <w:rsid w:val="002A02E0"/>
    <w:rsid w:val="002A0315"/>
    <w:rsid w:val="002A03BB"/>
    <w:rsid w:val="002A03C5"/>
    <w:rsid w:val="002A0412"/>
    <w:rsid w:val="002A0490"/>
    <w:rsid w:val="002A0553"/>
    <w:rsid w:val="002A05C6"/>
    <w:rsid w:val="002A0703"/>
    <w:rsid w:val="002A074D"/>
    <w:rsid w:val="002A0819"/>
    <w:rsid w:val="002A0998"/>
    <w:rsid w:val="002A0A1B"/>
    <w:rsid w:val="002A0A84"/>
    <w:rsid w:val="002A0BB1"/>
    <w:rsid w:val="002A0C56"/>
    <w:rsid w:val="002A0C90"/>
    <w:rsid w:val="002A0E3F"/>
    <w:rsid w:val="002A0E6F"/>
    <w:rsid w:val="002A0E97"/>
    <w:rsid w:val="002A10ED"/>
    <w:rsid w:val="002A1926"/>
    <w:rsid w:val="002A1A3B"/>
    <w:rsid w:val="002A1C8E"/>
    <w:rsid w:val="002A1CB2"/>
    <w:rsid w:val="002A1E98"/>
    <w:rsid w:val="002A1FF0"/>
    <w:rsid w:val="002A1FFF"/>
    <w:rsid w:val="002A2192"/>
    <w:rsid w:val="002A2564"/>
    <w:rsid w:val="002A260A"/>
    <w:rsid w:val="002A26AB"/>
    <w:rsid w:val="002A26FB"/>
    <w:rsid w:val="002A270A"/>
    <w:rsid w:val="002A27FD"/>
    <w:rsid w:val="002A28C1"/>
    <w:rsid w:val="002A2AE1"/>
    <w:rsid w:val="002A3065"/>
    <w:rsid w:val="002A308B"/>
    <w:rsid w:val="002A310D"/>
    <w:rsid w:val="002A3188"/>
    <w:rsid w:val="002A326A"/>
    <w:rsid w:val="002A32DB"/>
    <w:rsid w:val="002A33B8"/>
    <w:rsid w:val="002A33F0"/>
    <w:rsid w:val="002A3468"/>
    <w:rsid w:val="002A353F"/>
    <w:rsid w:val="002A35AE"/>
    <w:rsid w:val="002A36D9"/>
    <w:rsid w:val="002A3728"/>
    <w:rsid w:val="002A3983"/>
    <w:rsid w:val="002A3A17"/>
    <w:rsid w:val="002A3A5A"/>
    <w:rsid w:val="002A3B3C"/>
    <w:rsid w:val="002A3B6A"/>
    <w:rsid w:val="002A3D95"/>
    <w:rsid w:val="002A3E78"/>
    <w:rsid w:val="002A403A"/>
    <w:rsid w:val="002A41E9"/>
    <w:rsid w:val="002A42B4"/>
    <w:rsid w:val="002A4510"/>
    <w:rsid w:val="002A4584"/>
    <w:rsid w:val="002A470F"/>
    <w:rsid w:val="002A474E"/>
    <w:rsid w:val="002A476C"/>
    <w:rsid w:val="002A47CC"/>
    <w:rsid w:val="002A47DB"/>
    <w:rsid w:val="002A4918"/>
    <w:rsid w:val="002A4933"/>
    <w:rsid w:val="002A49DC"/>
    <w:rsid w:val="002A4B1B"/>
    <w:rsid w:val="002A4C12"/>
    <w:rsid w:val="002A4C22"/>
    <w:rsid w:val="002A4ECF"/>
    <w:rsid w:val="002A5009"/>
    <w:rsid w:val="002A5089"/>
    <w:rsid w:val="002A5222"/>
    <w:rsid w:val="002A53A8"/>
    <w:rsid w:val="002A561E"/>
    <w:rsid w:val="002A56C7"/>
    <w:rsid w:val="002A56EE"/>
    <w:rsid w:val="002A577A"/>
    <w:rsid w:val="002A58AA"/>
    <w:rsid w:val="002A5A15"/>
    <w:rsid w:val="002A5A18"/>
    <w:rsid w:val="002A5C40"/>
    <w:rsid w:val="002A5D8F"/>
    <w:rsid w:val="002A5DCA"/>
    <w:rsid w:val="002A5E99"/>
    <w:rsid w:val="002A5F42"/>
    <w:rsid w:val="002A6017"/>
    <w:rsid w:val="002A6268"/>
    <w:rsid w:val="002A629A"/>
    <w:rsid w:val="002A64C7"/>
    <w:rsid w:val="002A658F"/>
    <w:rsid w:val="002A673A"/>
    <w:rsid w:val="002A682C"/>
    <w:rsid w:val="002A693F"/>
    <w:rsid w:val="002A698D"/>
    <w:rsid w:val="002A6A53"/>
    <w:rsid w:val="002A6A57"/>
    <w:rsid w:val="002A6B4B"/>
    <w:rsid w:val="002A6C90"/>
    <w:rsid w:val="002A6EC1"/>
    <w:rsid w:val="002A6ED6"/>
    <w:rsid w:val="002A6FE2"/>
    <w:rsid w:val="002A6FF2"/>
    <w:rsid w:val="002A7045"/>
    <w:rsid w:val="002A70E6"/>
    <w:rsid w:val="002A712B"/>
    <w:rsid w:val="002A721D"/>
    <w:rsid w:val="002A7395"/>
    <w:rsid w:val="002A7484"/>
    <w:rsid w:val="002A7531"/>
    <w:rsid w:val="002A754A"/>
    <w:rsid w:val="002A7631"/>
    <w:rsid w:val="002A7703"/>
    <w:rsid w:val="002A79F5"/>
    <w:rsid w:val="002A7A1D"/>
    <w:rsid w:val="002A7A7A"/>
    <w:rsid w:val="002A7B3D"/>
    <w:rsid w:val="002A7B59"/>
    <w:rsid w:val="002A7D95"/>
    <w:rsid w:val="002A7D98"/>
    <w:rsid w:val="002A7FD7"/>
    <w:rsid w:val="002B0446"/>
    <w:rsid w:val="002B04AC"/>
    <w:rsid w:val="002B05DB"/>
    <w:rsid w:val="002B05FD"/>
    <w:rsid w:val="002B0669"/>
    <w:rsid w:val="002B078F"/>
    <w:rsid w:val="002B091B"/>
    <w:rsid w:val="002B0A2B"/>
    <w:rsid w:val="002B0A58"/>
    <w:rsid w:val="002B0ABF"/>
    <w:rsid w:val="002B0B76"/>
    <w:rsid w:val="002B0B83"/>
    <w:rsid w:val="002B0BF9"/>
    <w:rsid w:val="002B0C1D"/>
    <w:rsid w:val="002B0CCB"/>
    <w:rsid w:val="002B0D50"/>
    <w:rsid w:val="002B0D72"/>
    <w:rsid w:val="002B0DB0"/>
    <w:rsid w:val="002B0DBD"/>
    <w:rsid w:val="002B0E6B"/>
    <w:rsid w:val="002B0ECE"/>
    <w:rsid w:val="002B1061"/>
    <w:rsid w:val="002B1104"/>
    <w:rsid w:val="002B1241"/>
    <w:rsid w:val="002B127D"/>
    <w:rsid w:val="002B138D"/>
    <w:rsid w:val="002B140F"/>
    <w:rsid w:val="002B14B1"/>
    <w:rsid w:val="002B162F"/>
    <w:rsid w:val="002B1763"/>
    <w:rsid w:val="002B1825"/>
    <w:rsid w:val="002B1A40"/>
    <w:rsid w:val="002B1A96"/>
    <w:rsid w:val="002B1AB8"/>
    <w:rsid w:val="002B1D0F"/>
    <w:rsid w:val="002B1D67"/>
    <w:rsid w:val="002B1F7B"/>
    <w:rsid w:val="002B209A"/>
    <w:rsid w:val="002B2233"/>
    <w:rsid w:val="002B2299"/>
    <w:rsid w:val="002B23BD"/>
    <w:rsid w:val="002B2572"/>
    <w:rsid w:val="002B2701"/>
    <w:rsid w:val="002B2722"/>
    <w:rsid w:val="002B2952"/>
    <w:rsid w:val="002B2A12"/>
    <w:rsid w:val="002B2B59"/>
    <w:rsid w:val="002B2BEA"/>
    <w:rsid w:val="002B2C15"/>
    <w:rsid w:val="002B2CAF"/>
    <w:rsid w:val="002B2D76"/>
    <w:rsid w:val="002B2E72"/>
    <w:rsid w:val="002B2FA6"/>
    <w:rsid w:val="002B2FFF"/>
    <w:rsid w:val="002B32DF"/>
    <w:rsid w:val="002B3328"/>
    <w:rsid w:val="002B33BE"/>
    <w:rsid w:val="002B34DF"/>
    <w:rsid w:val="002B35FE"/>
    <w:rsid w:val="002B3892"/>
    <w:rsid w:val="002B38E6"/>
    <w:rsid w:val="002B3947"/>
    <w:rsid w:val="002B39BD"/>
    <w:rsid w:val="002B3A78"/>
    <w:rsid w:val="002B3B5C"/>
    <w:rsid w:val="002B3CA8"/>
    <w:rsid w:val="002B3E6E"/>
    <w:rsid w:val="002B3F1E"/>
    <w:rsid w:val="002B3F37"/>
    <w:rsid w:val="002B3FE7"/>
    <w:rsid w:val="002B3FF0"/>
    <w:rsid w:val="002B40EF"/>
    <w:rsid w:val="002B41E5"/>
    <w:rsid w:val="002B4227"/>
    <w:rsid w:val="002B4380"/>
    <w:rsid w:val="002B439C"/>
    <w:rsid w:val="002B43D3"/>
    <w:rsid w:val="002B442B"/>
    <w:rsid w:val="002B448D"/>
    <w:rsid w:val="002B449C"/>
    <w:rsid w:val="002B44A7"/>
    <w:rsid w:val="002B4524"/>
    <w:rsid w:val="002B45AE"/>
    <w:rsid w:val="002B46C9"/>
    <w:rsid w:val="002B470E"/>
    <w:rsid w:val="002B47D6"/>
    <w:rsid w:val="002B47E8"/>
    <w:rsid w:val="002B496D"/>
    <w:rsid w:val="002B4AE8"/>
    <w:rsid w:val="002B4AF4"/>
    <w:rsid w:val="002B4C26"/>
    <w:rsid w:val="002B4D17"/>
    <w:rsid w:val="002B4DD9"/>
    <w:rsid w:val="002B50C8"/>
    <w:rsid w:val="002B524B"/>
    <w:rsid w:val="002B530D"/>
    <w:rsid w:val="002B538E"/>
    <w:rsid w:val="002B54AF"/>
    <w:rsid w:val="002B56FF"/>
    <w:rsid w:val="002B5893"/>
    <w:rsid w:val="002B58E3"/>
    <w:rsid w:val="002B595A"/>
    <w:rsid w:val="002B595E"/>
    <w:rsid w:val="002B5B47"/>
    <w:rsid w:val="002B5CFE"/>
    <w:rsid w:val="002B5D5F"/>
    <w:rsid w:val="002B5EA6"/>
    <w:rsid w:val="002B5F57"/>
    <w:rsid w:val="002B5F5F"/>
    <w:rsid w:val="002B5F94"/>
    <w:rsid w:val="002B6071"/>
    <w:rsid w:val="002B615F"/>
    <w:rsid w:val="002B6274"/>
    <w:rsid w:val="002B628C"/>
    <w:rsid w:val="002B629B"/>
    <w:rsid w:val="002B62A1"/>
    <w:rsid w:val="002B63B4"/>
    <w:rsid w:val="002B63FC"/>
    <w:rsid w:val="002B6455"/>
    <w:rsid w:val="002B6496"/>
    <w:rsid w:val="002B6572"/>
    <w:rsid w:val="002B670B"/>
    <w:rsid w:val="002B682A"/>
    <w:rsid w:val="002B69D6"/>
    <w:rsid w:val="002B69F4"/>
    <w:rsid w:val="002B6A28"/>
    <w:rsid w:val="002B6B99"/>
    <w:rsid w:val="002B6C5A"/>
    <w:rsid w:val="002B6C73"/>
    <w:rsid w:val="002B6CE6"/>
    <w:rsid w:val="002B6EBD"/>
    <w:rsid w:val="002B6ED2"/>
    <w:rsid w:val="002B6F9C"/>
    <w:rsid w:val="002B7047"/>
    <w:rsid w:val="002B71CA"/>
    <w:rsid w:val="002B720E"/>
    <w:rsid w:val="002B7262"/>
    <w:rsid w:val="002B72B6"/>
    <w:rsid w:val="002B732F"/>
    <w:rsid w:val="002B7476"/>
    <w:rsid w:val="002B78A1"/>
    <w:rsid w:val="002B79C6"/>
    <w:rsid w:val="002B7AA6"/>
    <w:rsid w:val="002B7ADC"/>
    <w:rsid w:val="002B7D99"/>
    <w:rsid w:val="002B7E9F"/>
    <w:rsid w:val="002B7F08"/>
    <w:rsid w:val="002C0143"/>
    <w:rsid w:val="002C0281"/>
    <w:rsid w:val="002C02FB"/>
    <w:rsid w:val="002C0451"/>
    <w:rsid w:val="002C04DF"/>
    <w:rsid w:val="002C05BD"/>
    <w:rsid w:val="002C06DC"/>
    <w:rsid w:val="002C0728"/>
    <w:rsid w:val="002C0757"/>
    <w:rsid w:val="002C07FB"/>
    <w:rsid w:val="002C082A"/>
    <w:rsid w:val="002C08F5"/>
    <w:rsid w:val="002C0909"/>
    <w:rsid w:val="002C0955"/>
    <w:rsid w:val="002C0A56"/>
    <w:rsid w:val="002C0B8C"/>
    <w:rsid w:val="002C0C63"/>
    <w:rsid w:val="002C0D33"/>
    <w:rsid w:val="002C0D71"/>
    <w:rsid w:val="002C0DBB"/>
    <w:rsid w:val="002C0E19"/>
    <w:rsid w:val="002C0FAA"/>
    <w:rsid w:val="002C1023"/>
    <w:rsid w:val="002C105B"/>
    <w:rsid w:val="002C10BB"/>
    <w:rsid w:val="002C11BF"/>
    <w:rsid w:val="002C11C0"/>
    <w:rsid w:val="002C1418"/>
    <w:rsid w:val="002C1466"/>
    <w:rsid w:val="002C15A3"/>
    <w:rsid w:val="002C15F9"/>
    <w:rsid w:val="002C16E3"/>
    <w:rsid w:val="002C1789"/>
    <w:rsid w:val="002C1802"/>
    <w:rsid w:val="002C18CD"/>
    <w:rsid w:val="002C1971"/>
    <w:rsid w:val="002C1A18"/>
    <w:rsid w:val="002C1B45"/>
    <w:rsid w:val="002C1BE0"/>
    <w:rsid w:val="002C1C31"/>
    <w:rsid w:val="002C1CFA"/>
    <w:rsid w:val="002C1D40"/>
    <w:rsid w:val="002C1DD5"/>
    <w:rsid w:val="002C1E7B"/>
    <w:rsid w:val="002C1EC3"/>
    <w:rsid w:val="002C2151"/>
    <w:rsid w:val="002C2160"/>
    <w:rsid w:val="002C2274"/>
    <w:rsid w:val="002C22DE"/>
    <w:rsid w:val="002C23C6"/>
    <w:rsid w:val="002C2769"/>
    <w:rsid w:val="002C27AD"/>
    <w:rsid w:val="002C27F8"/>
    <w:rsid w:val="002C2BC3"/>
    <w:rsid w:val="002C2C9E"/>
    <w:rsid w:val="002C2D56"/>
    <w:rsid w:val="002C2DC9"/>
    <w:rsid w:val="002C2E6F"/>
    <w:rsid w:val="002C301F"/>
    <w:rsid w:val="002C308C"/>
    <w:rsid w:val="002C30D6"/>
    <w:rsid w:val="002C30FC"/>
    <w:rsid w:val="002C32BD"/>
    <w:rsid w:val="002C33CE"/>
    <w:rsid w:val="002C3597"/>
    <w:rsid w:val="002C35D6"/>
    <w:rsid w:val="002C3725"/>
    <w:rsid w:val="002C394A"/>
    <w:rsid w:val="002C3A80"/>
    <w:rsid w:val="002C3A8D"/>
    <w:rsid w:val="002C3A95"/>
    <w:rsid w:val="002C3C26"/>
    <w:rsid w:val="002C3C57"/>
    <w:rsid w:val="002C3E8E"/>
    <w:rsid w:val="002C3F5F"/>
    <w:rsid w:val="002C3FC7"/>
    <w:rsid w:val="002C40F5"/>
    <w:rsid w:val="002C413D"/>
    <w:rsid w:val="002C431F"/>
    <w:rsid w:val="002C4544"/>
    <w:rsid w:val="002C47B6"/>
    <w:rsid w:val="002C47F4"/>
    <w:rsid w:val="002C4AC9"/>
    <w:rsid w:val="002C4B16"/>
    <w:rsid w:val="002C4E8C"/>
    <w:rsid w:val="002C4F77"/>
    <w:rsid w:val="002C50B0"/>
    <w:rsid w:val="002C50BD"/>
    <w:rsid w:val="002C51B5"/>
    <w:rsid w:val="002C5228"/>
    <w:rsid w:val="002C5384"/>
    <w:rsid w:val="002C53BD"/>
    <w:rsid w:val="002C54A6"/>
    <w:rsid w:val="002C550B"/>
    <w:rsid w:val="002C5597"/>
    <w:rsid w:val="002C57B5"/>
    <w:rsid w:val="002C57DF"/>
    <w:rsid w:val="002C5938"/>
    <w:rsid w:val="002C59FC"/>
    <w:rsid w:val="002C5A0A"/>
    <w:rsid w:val="002C5B4D"/>
    <w:rsid w:val="002C5CE7"/>
    <w:rsid w:val="002C5F25"/>
    <w:rsid w:val="002C5F3B"/>
    <w:rsid w:val="002C6018"/>
    <w:rsid w:val="002C60B8"/>
    <w:rsid w:val="002C6245"/>
    <w:rsid w:val="002C62D0"/>
    <w:rsid w:val="002C6376"/>
    <w:rsid w:val="002C6429"/>
    <w:rsid w:val="002C6452"/>
    <w:rsid w:val="002C6464"/>
    <w:rsid w:val="002C664F"/>
    <w:rsid w:val="002C67A5"/>
    <w:rsid w:val="002C6944"/>
    <w:rsid w:val="002C6A7D"/>
    <w:rsid w:val="002C6B45"/>
    <w:rsid w:val="002C6C95"/>
    <w:rsid w:val="002C6CED"/>
    <w:rsid w:val="002C6D4A"/>
    <w:rsid w:val="002C6D88"/>
    <w:rsid w:val="002C6DAE"/>
    <w:rsid w:val="002C6EAC"/>
    <w:rsid w:val="002C6F23"/>
    <w:rsid w:val="002C6FE1"/>
    <w:rsid w:val="002C7060"/>
    <w:rsid w:val="002C7063"/>
    <w:rsid w:val="002C736A"/>
    <w:rsid w:val="002C739C"/>
    <w:rsid w:val="002C73AF"/>
    <w:rsid w:val="002C74D5"/>
    <w:rsid w:val="002C756E"/>
    <w:rsid w:val="002C758B"/>
    <w:rsid w:val="002C75D4"/>
    <w:rsid w:val="002C771C"/>
    <w:rsid w:val="002C77FD"/>
    <w:rsid w:val="002C7955"/>
    <w:rsid w:val="002C7A8C"/>
    <w:rsid w:val="002C7B2C"/>
    <w:rsid w:val="002C7EF7"/>
    <w:rsid w:val="002C7F49"/>
    <w:rsid w:val="002C7FA3"/>
    <w:rsid w:val="002D0237"/>
    <w:rsid w:val="002D0329"/>
    <w:rsid w:val="002D0418"/>
    <w:rsid w:val="002D0464"/>
    <w:rsid w:val="002D04EC"/>
    <w:rsid w:val="002D0647"/>
    <w:rsid w:val="002D08FD"/>
    <w:rsid w:val="002D0A2A"/>
    <w:rsid w:val="002D0A61"/>
    <w:rsid w:val="002D0ADA"/>
    <w:rsid w:val="002D0B30"/>
    <w:rsid w:val="002D0B41"/>
    <w:rsid w:val="002D0B57"/>
    <w:rsid w:val="002D0E3D"/>
    <w:rsid w:val="002D0E7D"/>
    <w:rsid w:val="002D0F06"/>
    <w:rsid w:val="002D0F93"/>
    <w:rsid w:val="002D0FBC"/>
    <w:rsid w:val="002D107C"/>
    <w:rsid w:val="002D10FA"/>
    <w:rsid w:val="002D118A"/>
    <w:rsid w:val="002D1193"/>
    <w:rsid w:val="002D138E"/>
    <w:rsid w:val="002D13E9"/>
    <w:rsid w:val="002D15F5"/>
    <w:rsid w:val="002D1648"/>
    <w:rsid w:val="002D16F0"/>
    <w:rsid w:val="002D16F2"/>
    <w:rsid w:val="002D19CD"/>
    <w:rsid w:val="002D19D7"/>
    <w:rsid w:val="002D1A84"/>
    <w:rsid w:val="002D1AB8"/>
    <w:rsid w:val="002D1C98"/>
    <w:rsid w:val="002D1CB3"/>
    <w:rsid w:val="002D1CB5"/>
    <w:rsid w:val="002D1CC3"/>
    <w:rsid w:val="002D1D44"/>
    <w:rsid w:val="002D20C8"/>
    <w:rsid w:val="002D2143"/>
    <w:rsid w:val="002D2147"/>
    <w:rsid w:val="002D215A"/>
    <w:rsid w:val="002D21FE"/>
    <w:rsid w:val="002D22BE"/>
    <w:rsid w:val="002D2323"/>
    <w:rsid w:val="002D2525"/>
    <w:rsid w:val="002D258D"/>
    <w:rsid w:val="002D263E"/>
    <w:rsid w:val="002D2655"/>
    <w:rsid w:val="002D273C"/>
    <w:rsid w:val="002D27AD"/>
    <w:rsid w:val="002D2A41"/>
    <w:rsid w:val="002D2AB7"/>
    <w:rsid w:val="002D2ABF"/>
    <w:rsid w:val="002D2BD4"/>
    <w:rsid w:val="002D2D5E"/>
    <w:rsid w:val="002D2D6A"/>
    <w:rsid w:val="002D2DB5"/>
    <w:rsid w:val="002D2E3C"/>
    <w:rsid w:val="002D2F83"/>
    <w:rsid w:val="002D3045"/>
    <w:rsid w:val="002D308B"/>
    <w:rsid w:val="002D31CA"/>
    <w:rsid w:val="002D3225"/>
    <w:rsid w:val="002D3293"/>
    <w:rsid w:val="002D32E0"/>
    <w:rsid w:val="002D33F5"/>
    <w:rsid w:val="002D352F"/>
    <w:rsid w:val="002D35C8"/>
    <w:rsid w:val="002D3667"/>
    <w:rsid w:val="002D39A3"/>
    <w:rsid w:val="002D3A55"/>
    <w:rsid w:val="002D3ADD"/>
    <w:rsid w:val="002D3B03"/>
    <w:rsid w:val="002D3CBF"/>
    <w:rsid w:val="002D3CCF"/>
    <w:rsid w:val="002D3E49"/>
    <w:rsid w:val="002D405D"/>
    <w:rsid w:val="002D412A"/>
    <w:rsid w:val="002D4132"/>
    <w:rsid w:val="002D4189"/>
    <w:rsid w:val="002D4386"/>
    <w:rsid w:val="002D438E"/>
    <w:rsid w:val="002D4613"/>
    <w:rsid w:val="002D4739"/>
    <w:rsid w:val="002D4931"/>
    <w:rsid w:val="002D4C7F"/>
    <w:rsid w:val="002D4EA3"/>
    <w:rsid w:val="002D4EFA"/>
    <w:rsid w:val="002D50AC"/>
    <w:rsid w:val="002D51E4"/>
    <w:rsid w:val="002D52C2"/>
    <w:rsid w:val="002D52F4"/>
    <w:rsid w:val="002D539F"/>
    <w:rsid w:val="002D53E6"/>
    <w:rsid w:val="002D55A0"/>
    <w:rsid w:val="002D56DA"/>
    <w:rsid w:val="002D578D"/>
    <w:rsid w:val="002D583F"/>
    <w:rsid w:val="002D5AE2"/>
    <w:rsid w:val="002D5BC5"/>
    <w:rsid w:val="002D5D61"/>
    <w:rsid w:val="002D5DF4"/>
    <w:rsid w:val="002D5E5E"/>
    <w:rsid w:val="002D5EEF"/>
    <w:rsid w:val="002D5F0C"/>
    <w:rsid w:val="002D5F20"/>
    <w:rsid w:val="002D5F93"/>
    <w:rsid w:val="002D60B3"/>
    <w:rsid w:val="002D613F"/>
    <w:rsid w:val="002D61E9"/>
    <w:rsid w:val="002D61ED"/>
    <w:rsid w:val="002D6244"/>
    <w:rsid w:val="002D63C5"/>
    <w:rsid w:val="002D641F"/>
    <w:rsid w:val="002D676C"/>
    <w:rsid w:val="002D677E"/>
    <w:rsid w:val="002D67DF"/>
    <w:rsid w:val="002D6867"/>
    <w:rsid w:val="002D686D"/>
    <w:rsid w:val="002D688F"/>
    <w:rsid w:val="002D6927"/>
    <w:rsid w:val="002D6973"/>
    <w:rsid w:val="002D6A00"/>
    <w:rsid w:val="002D6A48"/>
    <w:rsid w:val="002D6BC7"/>
    <w:rsid w:val="002D6BD3"/>
    <w:rsid w:val="002D6C30"/>
    <w:rsid w:val="002D6E1B"/>
    <w:rsid w:val="002D6F03"/>
    <w:rsid w:val="002D6F1A"/>
    <w:rsid w:val="002D6F4A"/>
    <w:rsid w:val="002D70EC"/>
    <w:rsid w:val="002D714D"/>
    <w:rsid w:val="002D71E8"/>
    <w:rsid w:val="002D7234"/>
    <w:rsid w:val="002D734F"/>
    <w:rsid w:val="002D748E"/>
    <w:rsid w:val="002D753D"/>
    <w:rsid w:val="002D75EC"/>
    <w:rsid w:val="002D76F1"/>
    <w:rsid w:val="002D776E"/>
    <w:rsid w:val="002D78AA"/>
    <w:rsid w:val="002D78D8"/>
    <w:rsid w:val="002D79B6"/>
    <w:rsid w:val="002D7A57"/>
    <w:rsid w:val="002D7B86"/>
    <w:rsid w:val="002D7E2E"/>
    <w:rsid w:val="002D7F5A"/>
    <w:rsid w:val="002D7FC8"/>
    <w:rsid w:val="002E00BA"/>
    <w:rsid w:val="002E0409"/>
    <w:rsid w:val="002E0435"/>
    <w:rsid w:val="002E083B"/>
    <w:rsid w:val="002E08AC"/>
    <w:rsid w:val="002E08B4"/>
    <w:rsid w:val="002E098E"/>
    <w:rsid w:val="002E0C1E"/>
    <w:rsid w:val="002E0D03"/>
    <w:rsid w:val="002E0DE9"/>
    <w:rsid w:val="002E0E94"/>
    <w:rsid w:val="002E0EFB"/>
    <w:rsid w:val="002E10CC"/>
    <w:rsid w:val="002E11E5"/>
    <w:rsid w:val="002E11E9"/>
    <w:rsid w:val="002E12AF"/>
    <w:rsid w:val="002E139D"/>
    <w:rsid w:val="002E1586"/>
    <w:rsid w:val="002E15B4"/>
    <w:rsid w:val="002E15D8"/>
    <w:rsid w:val="002E16D2"/>
    <w:rsid w:val="002E1B30"/>
    <w:rsid w:val="002E1BE0"/>
    <w:rsid w:val="002E1CF2"/>
    <w:rsid w:val="002E1F41"/>
    <w:rsid w:val="002E2042"/>
    <w:rsid w:val="002E214B"/>
    <w:rsid w:val="002E2203"/>
    <w:rsid w:val="002E22F6"/>
    <w:rsid w:val="002E2362"/>
    <w:rsid w:val="002E27AD"/>
    <w:rsid w:val="002E284C"/>
    <w:rsid w:val="002E294B"/>
    <w:rsid w:val="002E2A3E"/>
    <w:rsid w:val="002E2FC4"/>
    <w:rsid w:val="002E2FC5"/>
    <w:rsid w:val="002E3001"/>
    <w:rsid w:val="002E3077"/>
    <w:rsid w:val="002E3089"/>
    <w:rsid w:val="002E31C3"/>
    <w:rsid w:val="002E32F5"/>
    <w:rsid w:val="002E3314"/>
    <w:rsid w:val="002E3457"/>
    <w:rsid w:val="002E34B3"/>
    <w:rsid w:val="002E3605"/>
    <w:rsid w:val="002E3648"/>
    <w:rsid w:val="002E3651"/>
    <w:rsid w:val="002E379E"/>
    <w:rsid w:val="002E3908"/>
    <w:rsid w:val="002E39F5"/>
    <w:rsid w:val="002E3A6B"/>
    <w:rsid w:val="002E3ADF"/>
    <w:rsid w:val="002E3B33"/>
    <w:rsid w:val="002E3B84"/>
    <w:rsid w:val="002E3BB0"/>
    <w:rsid w:val="002E3BB1"/>
    <w:rsid w:val="002E3D0E"/>
    <w:rsid w:val="002E3EA5"/>
    <w:rsid w:val="002E3F36"/>
    <w:rsid w:val="002E400E"/>
    <w:rsid w:val="002E4128"/>
    <w:rsid w:val="002E412A"/>
    <w:rsid w:val="002E4166"/>
    <w:rsid w:val="002E41CB"/>
    <w:rsid w:val="002E41E5"/>
    <w:rsid w:val="002E4248"/>
    <w:rsid w:val="002E42F8"/>
    <w:rsid w:val="002E4357"/>
    <w:rsid w:val="002E442B"/>
    <w:rsid w:val="002E4548"/>
    <w:rsid w:val="002E4679"/>
    <w:rsid w:val="002E46F4"/>
    <w:rsid w:val="002E47A1"/>
    <w:rsid w:val="002E4936"/>
    <w:rsid w:val="002E497B"/>
    <w:rsid w:val="002E49BD"/>
    <w:rsid w:val="002E49CB"/>
    <w:rsid w:val="002E4C93"/>
    <w:rsid w:val="002E4CCE"/>
    <w:rsid w:val="002E4D7F"/>
    <w:rsid w:val="002E4EB9"/>
    <w:rsid w:val="002E4F4E"/>
    <w:rsid w:val="002E4FEA"/>
    <w:rsid w:val="002E5230"/>
    <w:rsid w:val="002E52E3"/>
    <w:rsid w:val="002E52F1"/>
    <w:rsid w:val="002E540A"/>
    <w:rsid w:val="002E568D"/>
    <w:rsid w:val="002E570B"/>
    <w:rsid w:val="002E5755"/>
    <w:rsid w:val="002E5766"/>
    <w:rsid w:val="002E5787"/>
    <w:rsid w:val="002E580A"/>
    <w:rsid w:val="002E584B"/>
    <w:rsid w:val="002E596B"/>
    <w:rsid w:val="002E596C"/>
    <w:rsid w:val="002E59A5"/>
    <w:rsid w:val="002E59CB"/>
    <w:rsid w:val="002E5BA9"/>
    <w:rsid w:val="002E5C03"/>
    <w:rsid w:val="002E5C58"/>
    <w:rsid w:val="002E5D68"/>
    <w:rsid w:val="002E5E14"/>
    <w:rsid w:val="002E608A"/>
    <w:rsid w:val="002E6234"/>
    <w:rsid w:val="002E659B"/>
    <w:rsid w:val="002E6611"/>
    <w:rsid w:val="002E6619"/>
    <w:rsid w:val="002E66A4"/>
    <w:rsid w:val="002E6800"/>
    <w:rsid w:val="002E697E"/>
    <w:rsid w:val="002E6A2B"/>
    <w:rsid w:val="002E6B12"/>
    <w:rsid w:val="002E6BC7"/>
    <w:rsid w:val="002E6C8B"/>
    <w:rsid w:val="002E6C9B"/>
    <w:rsid w:val="002E6D85"/>
    <w:rsid w:val="002E6E2A"/>
    <w:rsid w:val="002E6E61"/>
    <w:rsid w:val="002E6FE6"/>
    <w:rsid w:val="002E7036"/>
    <w:rsid w:val="002E719E"/>
    <w:rsid w:val="002E7317"/>
    <w:rsid w:val="002E73A3"/>
    <w:rsid w:val="002E74AC"/>
    <w:rsid w:val="002E74FB"/>
    <w:rsid w:val="002E755E"/>
    <w:rsid w:val="002E7AB1"/>
    <w:rsid w:val="002E7AF0"/>
    <w:rsid w:val="002E7B3E"/>
    <w:rsid w:val="002E7BB6"/>
    <w:rsid w:val="002E7BCF"/>
    <w:rsid w:val="002E7C75"/>
    <w:rsid w:val="002E7CB0"/>
    <w:rsid w:val="002E7D43"/>
    <w:rsid w:val="002E7DC9"/>
    <w:rsid w:val="002E7E39"/>
    <w:rsid w:val="002E7E4E"/>
    <w:rsid w:val="002E7EC3"/>
    <w:rsid w:val="002F0049"/>
    <w:rsid w:val="002F0071"/>
    <w:rsid w:val="002F01F9"/>
    <w:rsid w:val="002F0388"/>
    <w:rsid w:val="002F0394"/>
    <w:rsid w:val="002F0443"/>
    <w:rsid w:val="002F0454"/>
    <w:rsid w:val="002F046F"/>
    <w:rsid w:val="002F0526"/>
    <w:rsid w:val="002F0546"/>
    <w:rsid w:val="002F0579"/>
    <w:rsid w:val="002F0591"/>
    <w:rsid w:val="002F05B6"/>
    <w:rsid w:val="002F0640"/>
    <w:rsid w:val="002F06CC"/>
    <w:rsid w:val="002F0736"/>
    <w:rsid w:val="002F0786"/>
    <w:rsid w:val="002F0962"/>
    <w:rsid w:val="002F0B66"/>
    <w:rsid w:val="002F0BCB"/>
    <w:rsid w:val="002F0CE3"/>
    <w:rsid w:val="002F0D86"/>
    <w:rsid w:val="002F0E35"/>
    <w:rsid w:val="002F1014"/>
    <w:rsid w:val="002F1068"/>
    <w:rsid w:val="002F115A"/>
    <w:rsid w:val="002F121C"/>
    <w:rsid w:val="002F1283"/>
    <w:rsid w:val="002F12F1"/>
    <w:rsid w:val="002F1337"/>
    <w:rsid w:val="002F1417"/>
    <w:rsid w:val="002F1564"/>
    <w:rsid w:val="002F15FC"/>
    <w:rsid w:val="002F163F"/>
    <w:rsid w:val="002F1658"/>
    <w:rsid w:val="002F165F"/>
    <w:rsid w:val="002F1704"/>
    <w:rsid w:val="002F19BF"/>
    <w:rsid w:val="002F1AF6"/>
    <w:rsid w:val="002F1BA7"/>
    <w:rsid w:val="002F1C28"/>
    <w:rsid w:val="002F1D5A"/>
    <w:rsid w:val="002F1E5D"/>
    <w:rsid w:val="002F1E9B"/>
    <w:rsid w:val="002F1EE0"/>
    <w:rsid w:val="002F1F99"/>
    <w:rsid w:val="002F1FAF"/>
    <w:rsid w:val="002F1FCC"/>
    <w:rsid w:val="002F200C"/>
    <w:rsid w:val="002F20A6"/>
    <w:rsid w:val="002F2391"/>
    <w:rsid w:val="002F252B"/>
    <w:rsid w:val="002F25BD"/>
    <w:rsid w:val="002F2733"/>
    <w:rsid w:val="002F2756"/>
    <w:rsid w:val="002F2757"/>
    <w:rsid w:val="002F293C"/>
    <w:rsid w:val="002F298C"/>
    <w:rsid w:val="002F298D"/>
    <w:rsid w:val="002F2AA0"/>
    <w:rsid w:val="002F2B76"/>
    <w:rsid w:val="002F2D07"/>
    <w:rsid w:val="002F2DBA"/>
    <w:rsid w:val="002F2F86"/>
    <w:rsid w:val="002F2FEC"/>
    <w:rsid w:val="002F32D2"/>
    <w:rsid w:val="002F3328"/>
    <w:rsid w:val="002F3355"/>
    <w:rsid w:val="002F352C"/>
    <w:rsid w:val="002F358D"/>
    <w:rsid w:val="002F35EF"/>
    <w:rsid w:val="002F3780"/>
    <w:rsid w:val="002F37B7"/>
    <w:rsid w:val="002F3961"/>
    <w:rsid w:val="002F397D"/>
    <w:rsid w:val="002F3991"/>
    <w:rsid w:val="002F3A2F"/>
    <w:rsid w:val="002F3AE0"/>
    <w:rsid w:val="002F3B59"/>
    <w:rsid w:val="002F3BE0"/>
    <w:rsid w:val="002F3C0D"/>
    <w:rsid w:val="002F3C31"/>
    <w:rsid w:val="002F3D94"/>
    <w:rsid w:val="002F3E8E"/>
    <w:rsid w:val="002F402C"/>
    <w:rsid w:val="002F4086"/>
    <w:rsid w:val="002F40AB"/>
    <w:rsid w:val="002F414A"/>
    <w:rsid w:val="002F41D8"/>
    <w:rsid w:val="002F41E1"/>
    <w:rsid w:val="002F42FF"/>
    <w:rsid w:val="002F4522"/>
    <w:rsid w:val="002F4559"/>
    <w:rsid w:val="002F468E"/>
    <w:rsid w:val="002F46A1"/>
    <w:rsid w:val="002F46B5"/>
    <w:rsid w:val="002F47D0"/>
    <w:rsid w:val="002F4803"/>
    <w:rsid w:val="002F4890"/>
    <w:rsid w:val="002F48DE"/>
    <w:rsid w:val="002F4987"/>
    <w:rsid w:val="002F49BE"/>
    <w:rsid w:val="002F4A2A"/>
    <w:rsid w:val="002F4A5D"/>
    <w:rsid w:val="002F4C8F"/>
    <w:rsid w:val="002F4D3C"/>
    <w:rsid w:val="002F4DE1"/>
    <w:rsid w:val="002F4DFC"/>
    <w:rsid w:val="002F4E54"/>
    <w:rsid w:val="002F4EE2"/>
    <w:rsid w:val="002F50C1"/>
    <w:rsid w:val="002F50EF"/>
    <w:rsid w:val="002F51D8"/>
    <w:rsid w:val="002F525C"/>
    <w:rsid w:val="002F529C"/>
    <w:rsid w:val="002F5458"/>
    <w:rsid w:val="002F554A"/>
    <w:rsid w:val="002F5550"/>
    <w:rsid w:val="002F55A8"/>
    <w:rsid w:val="002F55AF"/>
    <w:rsid w:val="002F564C"/>
    <w:rsid w:val="002F577C"/>
    <w:rsid w:val="002F58A4"/>
    <w:rsid w:val="002F58F9"/>
    <w:rsid w:val="002F58FE"/>
    <w:rsid w:val="002F5AAE"/>
    <w:rsid w:val="002F5BBC"/>
    <w:rsid w:val="002F5BCE"/>
    <w:rsid w:val="002F6022"/>
    <w:rsid w:val="002F6121"/>
    <w:rsid w:val="002F619B"/>
    <w:rsid w:val="002F6288"/>
    <w:rsid w:val="002F6314"/>
    <w:rsid w:val="002F634D"/>
    <w:rsid w:val="002F644F"/>
    <w:rsid w:val="002F6563"/>
    <w:rsid w:val="002F65AF"/>
    <w:rsid w:val="002F66ED"/>
    <w:rsid w:val="002F6753"/>
    <w:rsid w:val="002F67DA"/>
    <w:rsid w:val="002F6891"/>
    <w:rsid w:val="002F692B"/>
    <w:rsid w:val="002F6C1D"/>
    <w:rsid w:val="002F6C75"/>
    <w:rsid w:val="002F6CC1"/>
    <w:rsid w:val="002F6D72"/>
    <w:rsid w:val="002F6E27"/>
    <w:rsid w:val="002F6EAB"/>
    <w:rsid w:val="002F70AE"/>
    <w:rsid w:val="002F710E"/>
    <w:rsid w:val="002F7119"/>
    <w:rsid w:val="002F7179"/>
    <w:rsid w:val="002F72DF"/>
    <w:rsid w:val="002F7401"/>
    <w:rsid w:val="002F7510"/>
    <w:rsid w:val="002F7525"/>
    <w:rsid w:val="002F7545"/>
    <w:rsid w:val="002F7658"/>
    <w:rsid w:val="002F7671"/>
    <w:rsid w:val="002F7693"/>
    <w:rsid w:val="002F76F8"/>
    <w:rsid w:val="002F770F"/>
    <w:rsid w:val="002F77D4"/>
    <w:rsid w:val="002F786E"/>
    <w:rsid w:val="002F78F4"/>
    <w:rsid w:val="002F7987"/>
    <w:rsid w:val="002F7A19"/>
    <w:rsid w:val="002F7AFA"/>
    <w:rsid w:val="002F7B1C"/>
    <w:rsid w:val="002F7BFF"/>
    <w:rsid w:val="002F7C10"/>
    <w:rsid w:val="002F7C34"/>
    <w:rsid w:val="002F7EA5"/>
    <w:rsid w:val="002F7F76"/>
    <w:rsid w:val="003000D0"/>
    <w:rsid w:val="00300106"/>
    <w:rsid w:val="0030010B"/>
    <w:rsid w:val="00300165"/>
    <w:rsid w:val="003002B5"/>
    <w:rsid w:val="003002BC"/>
    <w:rsid w:val="00300560"/>
    <w:rsid w:val="0030079A"/>
    <w:rsid w:val="003007A3"/>
    <w:rsid w:val="003007D2"/>
    <w:rsid w:val="003008CF"/>
    <w:rsid w:val="00300952"/>
    <w:rsid w:val="003009C3"/>
    <w:rsid w:val="00300E44"/>
    <w:rsid w:val="00300E76"/>
    <w:rsid w:val="0030121B"/>
    <w:rsid w:val="0030132D"/>
    <w:rsid w:val="003013DC"/>
    <w:rsid w:val="00301432"/>
    <w:rsid w:val="00301550"/>
    <w:rsid w:val="00301565"/>
    <w:rsid w:val="003015E9"/>
    <w:rsid w:val="00301622"/>
    <w:rsid w:val="0030179A"/>
    <w:rsid w:val="003018F5"/>
    <w:rsid w:val="0030199C"/>
    <w:rsid w:val="003019F2"/>
    <w:rsid w:val="003019FB"/>
    <w:rsid w:val="00301AE5"/>
    <w:rsid w:val="00301B11"/>
    <w:rsid w:val="00301B89"/>
    <w:rsid w:val="00301BAF"/>
    <w:rsid w:val="00301C5C"/>
    <w:rsid w:val="00301CDC"/>
    <w:rsid w:val="00301CFB"/>
    <w:rsid w:val="00301FC9"/>
    <w:rsid w:val="0030209E"/>
    <w:rsid w:val="003022E5"/>
    <w:rsid w:val="00302431"/>
    <w:rsid w:val="00302497"/>
    <w:rsid w:val="003024F2"/>
    <w:rsid w:val="0030251D"/>
    <w:rsid w:val="00302598"/>
    <w:rsid w:val="00302710"/>
    <w:rsid w:val="00302A25"/>
    <w:rsid w:val="00302A3F"/>
    <w:rsid w:val="00302A5F"/>
    <w:rsid w:val="00302B97"/>
    <w:rsid w:val="00302C55"/>
    <w:rsid w:val="00302DD9"/>
    <w:rsid w:val="00302DED"/>
    <w:rsid w:val="00302E98"/>
    <w:rsid w:val="00302EE0"/>
    <w:rsid w:val="00302F18"/>
    <w:rsid w:val="00302F60"/>
    <w:rsid w:val="00302FE1"/>
    <w:rsid w:val="0030300B"/>
    <w:rsid w:val="003033D0"/>
    <w:rsid w:val="00303405"/>
    <w:rsid w:val="003034A6"/>
    <w:rsid w:val="003036A2"/>
    <w:rsid w:val="00303806"/>
    <w:rsid w:val="0030380B"/>
    <w:rsid w:val="0030397C"/>
    <w:rsid w:val="00303996"/>
    <w:rsid w:val="00303A08"/>
    <w:rsid w:val="00303A97"/>
    <w:rsid w:val="00303AA4"/>
    <w:rsid w:val="00303B56"/>
    <w:rsid w:val="00303D48"/>
    <w:rsid w:val="00303E4F"/>
    <w:rsid w:val="00303E7D"/>
    <w:rsid w:val="00304205"/>
    <w:rsid w:val="00304403"/>
    <w:rsid w:val="00304425"/>
    <w:rsid w:val="00304580"/>
    <w:rsid w:val="003046E6"/>
    <w:rsid w:val="0030470A"/>
    <w:rsid w:val="003048A5"/>
    <w:rsid w:val="003049B4"/>
    <w:rsid w:val="00304BBE"/>
    <w:rsid w:val="00304C77"/>
    <w:rsid w:val="00304DAB"/>
    <w:rsid w:val="00304DE7"/>
    <w:rsid w:val="00305073"/>
    <w:rsid w:val="003050C6"/>
    <w:rsid w:val="003051FC"/>
    <w:rsid w:val="003052AB"/>
    <w:rsid w:val="00305376"/>
    <w:rsid w:val="003053C7"/>
    <w:rsid w:val="00305476"/>
    <w:rsid w:val="003054B1"/>
    <w:rsid w:val="0030557F"/>
    <w:rsid w:val="003055B3"/>
    <w:rsid w:val="00305942"/>
    <w:rsid w:val="00305958"/>
    <w:rsid w:val="003059EB"/>
    <w:rsid w:val="00305AAD"/>
    <w:rsid w:val="00305B64"/>
    <w:rsid w:val="00305B7A"/>
    <w:rsid w:val="00305C01"/>
    <w:rsid w:val="00305D97"/>
    <w:rsid w:val="00305E02"/>
    <w:rsid w:val="00305E4B"/>
    <w:rsid w:val="00305F17"/>
    <w:rsid w:val="00305F4B"/>
    <w:rsid w:val="00305F85"/>
    <w:rsid w:val="00306037"/>
    <w:rsid w:val="003060A5"/>
    <w:rsid w:val="0030621F"/>
    <w:rsid w:val="003065F9"/>
    <w:rsid w:val="00306602"/>
    <w:rsid w:val="0030667C"/>
    <w:rsid w:val="003066B5"/>
    <w:rsid w:val="00306727"/>
    <w:rsid w:val="00306941"/>
    <w:rsid w:val="0030699F"/>
    <w:rsid w:val="003069DB"/>
    <w:rsid w:val="00306A4B"/>
    <w:rsid w:val="00306AB7"/>
    <w:rsid w:val="00306AFF"/>
    <w:rsid w:val="00306DD5"/>
    <w:rsid w:val="00306E53"/>
    <w:rsid w:val="00306F4B"/>
    <w:rsid w:val="00307065"/>
    <w:rsid w:val="0030706C"/>
    <w:rsid w:val="00307081"/>
    <w:rsid w:val="00307107"/>
    <w:rsid w:val="003071F9"/>
    <w:rsid w:val="0030734A"/>
    <w:rsid w:val="0030737C"/>
    <w:rsid w:val="00307719"/>
    <w:rsid w:val="00307A77"/>
    <w:rsid w:val="00307B07"/>
    <w:rsid w:val="00307B3C"/>
    <w:rsid w:val="00307C4E"/>
    <w:rsid w:val="00307D86"/>
    <w:rsid w:val="00307E38"/>
    <w:rsid w:val="00307EA1"/>
    <w:rsid w:val="00307F03"/>
    <w:rsid w:val="00307FCE"/>
    <w:rsid w:val="00310108"/>
    <w:rsid w:val="00310172"/>
    <w:rsid w:val="00310269"/>
    <w:rsid w:val="0031027B"/>
    <w:rsid w:val="00310388"/>
    <w:rsid w:val="00310421"/>
    <w:rsid w:val="00310595"/>
    <w:rsid w:val="003105D3"/>
    <w:rsid w:val="003105E9"/>
    <w:rsid w:val="00310623"/>
    <w:rsid w:val="00310634"/>
    <w:rsid w:val="00310718"/>
    <w:rsid w:val="0031081A"/>
    <w:rsid w:val="003109BB"/>
    <w:rsid w:val="003109FD"/>
    <w:rsid w:val="00310ADB"/>
    <w:rsid w:val="00310B3A"/>
    <w:rsid w:val="00310C7D"/>
    <w:rsid w:val="00310C8B"/>
    <w:rsid w:val="00310CDC"/>
    <w:rsid w:val="00310D1B"/>
    <w:rsid w:val="00310D5A"/>
    <w:rsid w:val="00310D80"/>
    <w:rsid w:val="00310E11"/>
    <w:rsid w:val="00311079"/>
    <w:rsid w:val="003111E2"/>
    <w:rsid w:val="0031124C"/>
    <w:rsid w:val="00311302"/>
    <w:rsid w:val="003114B9"/>
    <w:rsid w:val="00311536"/>
    <w:rsid w:val="00311630"/>
    <w:rsid w:val="00311667"/>
    <w:rsid w:val="00311745"/>
    <w:rsid w:val="0031174F"/>
    <w:rsid w:val="00311754"/>
    <w:rsid w:val="00311804"/>
    <w:rsid w:val="00311811"/>
    <w:rsid w:val="003118D6"/>
    <w:rsid w:val="0031194C"/>
    <w:rsid w:val="00311AC1"/>
    <w:rsid w:val="00311BF2"/>
    <w:rsid w:val="00311C7D"/>
    <w:rsid w:val="00311D86"/>
    <w:rsid w:val="00311E7F"/>
    <w:rsid w:val="00311FDF"/>
    <w:rsid w:val="0031203F"/>
    <w:rsid w:val="00312058"/>
    <w:rsid w:val="003120F6"/>
    <w:rsid w:val="00312142"/>
    <w:rsid w:val="0031214B"/>
    <w:rsid w:val="003121A5"/>
    <w:rsid w:val="003121DA"/>
    <w:rsid w:val="0031231F"/>
    <w:rsid w:val="003123A6"/>
    <w:rsid w:val="00312430"/>
    <w:rsid w:val="0031247D"/>
    <w:rsid w:val="0031250B"/>
    <w:rsid w:val="003125E9"/>
    <w:rsid w:val="003126AB"/>
    <w:rsid w:val="00312711"/>
    <w:rsid w:val="00312828"/>
    <w:rsid w:val="00312875"/>
    <w:rsid w:val="00312877"/>
    <w:rsid w:val="003128C9"/>
    <w:rsid w:val="0031294C"/>
    <w:rsid w:val="00312A0F"/>
    <w:rsid w:val="00312E44"/>
    <w:rsid w:val="00312F2E"/>
    <w:rsid w:val="00312FCE"/>
    <w:rsid w:val="00312FF3"/>
    <w:rsid w:val="00313013"/>
    <w:rsid w:val="003130B8"/>
    <w:rsid w:val="003134A7"/>
    <w:rsid w:val="00313506"/>
    <w:rsid w:val="00313660"/>
    <w:rsid w:val="003138E8"/>
    <w:rsid w:val="00313978"/>
    <w:rsid w:val="003139EB"/>
    <w:rsid w:val="00313AEA"/>
    <w:rsid w:val="00313B46"/>
    <w:rsid w:val="00313C18"/>
    <w:rsid w:val="00313C70"/>
    <w:rsid w:val="00313CAE"/>
    <w:rsid w:val="00313CE9"/>
    <w:rsid w:val="00313D2E"/>
    <w:rsid w:val="00313E21"/>
    <w:rsid w:val="00313EAB"/>
    <w:rsid w:val="00313EFA"/>
    <w:rsid w:val="00313F2C"/>
    <w:rsid w:val="00314026"/>
    <w:rsid w:val="00314086"/>
    <w:rsid w:val="003140BC"/>
    <w:rsid w:val="003140EE"/>
    <w:rsid w:val="0031410A"/>
    <w:rsid w:val="0031415A"/>
    <w:rsid w:val="00314313"/>
    <w:rsid w:val="003144C0"/>
    <w:rsid w:val="00314520"/>
    <w:rsid w:val="003145BE"/>
    <w:rsid w:val="003146AB"/>
    <w:rsid w:val="00314846"/>
    <w:rsid w:val="003148A9"/>
    <w:rsid w:val="00314A47"/>
    <w:rsid w:val="00314D58"/>
    <w:rsid w:val="00314DA1"/>
    <w:rsid w:val="00314E25"/>
    <w:rsid w:val="00314EA9"/>
    <w:rsid w:val="00314ED0"/>
    <w:rsid w:val="003152AB"/>
    <w:rsid w:val="00315354"/>
    <w:rsid w:val="00315388"/>
    <w:rsid w:val="00315400"/>
    <w:rsid w:val="003154E2"/>
    <w:rsid w:val="003155C1"/>
    <w:rsid w:val="003157EF"/>
    <w:rsid w:val="00315B1B"/>
    <w:rsid w:val="00315CE0"/>
    <w:rsid w:val="00315DB3"/>
    <w:rsid w:val="00315E07"/>
    <w:rsid w:val="00315F5C"/>
    <w:rsid w:val="00315FDE"/>
    <w:rsid w:val="0031605A"/>
    <w:rsid w:val="00316158"/>
    <w:rsid w:val="00316184"/>
    <w:rsid w:val="003161CD"/>
    <w:rsid w:val="003162A6"/>
    <w:rsid w:val="00316414"/>
    <w:rsid w:val="003164BB"/>
    <w:rsid w:val="003164FA"/>
    <w:rsid w:val="00316573"/>
    <w:rsid w:val="00316575"/>
    <w:rsid w:val="0031664A"/>
    <w:rsid w:val="0031681A"/>
    <w:rsid w:val="00316A33"/>
    <w:rsid w:val="00316C53"/>
    <w:rsid w:val="00316C89"/>
    <w:rsid w:val="00316C9C"/>
    <w:rsid w:val="00316DAB"/>
    <w:rsid w:val="00316EFA"/>
    <w:rsid w:val="00316EFE"/>
    <w:rsid w:val="00316F71"/>
    <w:rsid w:val="003170BA"/>
    <w:rsid w:val="00317290"/>
    <w:rsid w:val="003173C9"/>
    <w:rsid w:val="00317421"/>
    <w:rsid w:val="0031742D"/>
    <w:rsid w:val="00317432"/>
    <w:rsid w:val="003174E0"/>
    <w:rsid w:val="003174F0"/>
    <w:rsid w:val="00317573"/>
    <w:rsid w:val="0031758E"/>
    <w:rsid w:val="00317712"/>
    <w:rsid w:val="00317860"/>
    <w:rsid w:val="003178B0"/>
    <w:rsid w:val="00317946"/>
    <w:rsid w:val="00317A97"/>
    <w:rsid w:val="00317AA4"/>
    <w:rsid w:val="00317C67"/>
    <w:rsid w:val="00317C99"/>
    <w:rsid w:val="00317D45"/>
    <w:rsid w:val="00317E30"/>
    <w:rsid w:val="00317EEF"/>
    <w:rsid w:val="00317F57"/>
    <w:rsid w:val="00317F6B"/>
    <w:rsid w:val="00320016"/>
    <w:rsid w:val="00320088"/>
    <w:rsid w:val="0032011F"/>
    <w:rsid w:val="0032034D"/>
    <w:rsid w:val="00320455"/>
    <w:rsid w:val="003205E9"/>
    <w:rsid w:val="00320660"/>
    <w:rsid w:val="003206C8"/>
    <w:rsid w:val="00320719"/>
    <w:rsid w:val="0032079F"/>
    <w:rsid w:val="003207A5"/>
    <w:rsid w:val="00320AA6"/>
    <w:rsid w:val="00320BA2"/>
    <w:rsid w:val="00320BD0"/>
    <w:rsid w:val="00320C16"/>
    <w:rsid w:val="00320C38"/>
    <w:rsid w:val="00320C7A"/>
    <w:rsid w:val="00320C93"/>
    <w:rsid w:val="00320D5D"/>
    <w:rsid w:val="00320E96"/>
    <w:rsid w:val="00320EA8"/>
    <w:rsid w:val="00320EF0"/>
    <w:rsid w:val="00320F8A"/>
    <w:rsid w:val="0032110E"/>
    <w:rsid w:val="0032117C"/>
    <w:rsid w:val="00321191"/>
    <w:rsid w:val="003211C8"/>
    <w:rsid w:val="00321211"/>
    <w:rsid w:val="0032124F"/>
    <w:rsid w:val="003213D7"/>
    <w:rsid w:val="0032145C"/>
    <w:rsid w:val="0032147A"/>
    <w:rsid w:val="0032157A"/>
    <w:rsid w:val="00321660"/>
    <w:rsid w:val="00321709"/>
    <w:rsid w:val="00321757"/>
    <w:rsid w:val="0032176F"/>
    <w:rsid w:val="00321835"/>
    <w:rsid w:val="00321A28"/>
    <w:rsid w:val="00321A4F"/>
    <w:rsid w:val="00321A79"/>
    <w:rsid w:val="00321AEC"/>
    <w:rsid w:val="00321B95"/>
    <w:rsid w:val="00321C1B"/>
    <w:rsid w:val="00321CE7"/>
    <w:rsid w:val="00321DE3"/>
    <w:rsid w:val="00321E1B"/>
    <w:rsid w:val="00321EEF"/>
    <w:rsid w:val="00322000"/>
    <w:rsid w:val="0032233E"/>
    <w:rsid w:val="00322355"/>
    <w:rsid w:val="00322371"/>
    <w:rsid w:val="003223D9"/>
    <w:rsid w:val="0032242C"/>
    <w:rsid w:val="0032252A"/>
    <w:rsid w:val="003225AA"/>
    <w:rsid w:val="00322618"/>
    <w:rsid w:val="003226C6"/>
    <w:rsid w:val="0032282F"/>
    <w:rsid w:val="003229C2"/>
    <w:rsid w:val="00322AB6"/>
    <w:rsid w:val="00322B0E"/>
    <w:rsid w:val="00322B18"/>
    <w:rsid w:val="00322B89"/>
    <w:rsid w:val="00322BA1"/>
    <w:rsid w:val="00322BF9"/>
    <w:rsid w:val="00322C37"/>
    <w:rsid w:val="00322DA9"/>
    <w:rsid w:val="00322E15"/>
    <w:rsid w:val="00322E20"/>
    <w:rsid w:val="00322EE6"/>
    <w:rsid w:val="00322EEF"/>
    <w:rsid w:val="00322F55"/>
    <w:rsid w:val="00322F65"/>
    <w:rsid w:val="00322F72"/>
    <w:rsid w:val="00322FDD"/>
    <w:rsid w:val="0032303F"/>
    <w:rsid w:val="00323072"/>
    <w:rsid w:val="00323196"/>
    <w:rsid w:val="003232AA"/>
    <w:rsid w:val="003233D0"/>
    <w:rsid w:val="0032357D"/>
    <w:rsid w:val="003235DB"/>
    <w:rsid w:val="00323793"/>
    <w:rsid w:val="00323951"/>
    <w:rsid w:val="003239C2"/>
    <w:rsid w:val="00323AB7"/>
    <w:rsid w:val="00323CF0"/>
    <w:rsid w:val="00323D77"/>
    <w:rsid w:val="00323ED4"/>
    <w:rsid w:val="00323EF8"/>
    <w:rsid w:val="00323F49"/>
    <w:rsid w:val="00323FE7"/>
    <w:rsid w:val="003240D5"/>
    <w:rsid w:val="003240DD"/>
    <w:rsid w:val="00324152"/>
    <w:rsid w:val="003241DC"/>
    <w:rsid w:val="00324204"/>
    <w:rsid w:val="00324211"/>
    <w:rsid w:val="003242D0"/>
    <w:rsid w:val="003246BD"/>
    <w:rsid w:val="003247D0"/>
    <w:rsid w:val="003247DB"/>
    <w:rsid w:val="00324ACD"/>
    <w:rsid w:val="00324B70"/>
    <w:rsid w:val="00324BD3"/>
    <w:rsid w:val="00324CD3"/>
    <w:rsid w:val="00324D0A"/>
    <w:rsid w:val="00324E1B"/>
    <w:rsid w:val="00324E73"/>
    <w:rsid w:val="00325026"/>
    <w:rsid w:val="0032507B"/>
    <w:rsid w:val="00325098"/>
    <w:rsid w:val="003251B9"/>
    <w:rsid w:val="00325259"/>
    <w:rsid w:val="0032530E"/>
    <w:rsid w:val="0032533F"/>
    <w:rsid w:val="00325463"/>
    <w:rsid w:val="00325738"/>
    <w:rsid w:val="003257BC"/>
    <w:rsid w:val="0032580F"/>
    <w:rsid w:val="00325953"/>
    <w:rsid w:val="00325A6D"/>
    <w:rsid w:val="00325BCA"/>
    <w:rsid w:val="00325C40"/>
    <w:rsid w:val="00325EC3"/>
    <w:rsid w:val="00326150"/>
    <w:rsid w:val="00326190"/>
    <w:rsid w:val="0032624B"/>
    <w:rsid w:val="00326280"/>
    <w:rsid w:val="003266B4"/>
    <w:rsid w:val="003267AA"/>
    <w:rsid w:val="0032697F"/>
    <w:rsid w:val="00326C5D"/>
    <w:rsid w:val="00326C8A"/>
    <w:rsid w:val="00326C9A"/>
    <w:rsid w:val="00326E8A"/>
    <w:rsid w:val="0032701B"/>
    <w:rsid w:val="00327049"/>
    <w:rsid w:val="0032733D"/>
    <w:rsid w:val="0032740A"/>
    <w:rsid w:val="0032744E"/>
    <w:rsid w:val="00327510"/>
    <w:rsid w:val="00327624"/>
    <w:rsid w:val="00327772"/>
    <w:rsid w:val="0032784B"/>
    <w:rsid w:val="003278CC"/>
    <w:rsid w:val="0032796C"/>
    <w:rsid w:val="0032798B"/>
    <w:rsid w:val="00327A33"/>
    <w:rsid w:val="00327A7D"/>
    <w:rsid w:val="00327A94"/>
    <w:rsid w:val="00327AC9"/>
    <w:rsid w:val="00327BCA"/>
    <w:rsid w:val="00327C93"/>
    <w:rsid w:val="00327CF6"/>
    <w:rsid w:val="0033029E"/>
    <w:rsid w:val="00330347"/>
    <w:rsid w:val="0033044B"/>
    <w:rsid w:val="003304B1"/>
    <w:rsid w:val="00330671"/>
    <w:rsid w:val="00330774"/>
    <w:rsid w:val="003307FD"/>
    <w:rsid w:val="00330805"/>
    <w:rsid w:val="00330834"/>
    <w:rsid w:val="003308FA"/>
    <w:rsid w:val="0033095A"/>
    <w:rsid w:val="00330AB1"/>
    <w:rsid w:val="00330B87"/>
    <w:rsid w:val="00330BBC"/>
    <w:rsid w:val="00330CDC"/>
    <w:rsid w:val="00330D73"/>
    <w:rsid w:val="00330D79"/>
    <w:rsid w:val="00330DF0"/>
    <w:rsid w:val="00330EBE"/>
    <w:rsid w:val="00330EE3"/>
    <w:rsid w:val="0033104B"/>
    <w:rsid w:val="0033129A"/>
    <w:rsid w:val="0033133C"/>
    <w:rsid w:val="00331340"/>
    <w:rsid w:val="00331443"/>
    <w:rsid w:val="00331539"/>
    <w:rsid w:val="003315AB"/>
    <w:rsid w:val="00331725"/>
    <w:rsid w:val="00331731"/>
    <w:rsid w:val="003318B9"/>
    <w:rsid w:val="003318F5"/>
    <w:rsid w:val="003319CD"/>
    <w:rsid w:val="003319E2"/>
    <w:rsid w:val="003319F2"/>
    <w:rsid w:val="00331BF0"/>
    <w:rsid w:val="00331D12"/>
    <w:rsid w:val="00331D78"/>
    <w:rsid w:val="00331DEC"/>
    <w:rsid w:val="00331F81"/>
    <w:rsid w:val="00331FD4"/>
    <w:rsid w:val="0033219A"/>
    <w:rsid w:val="003323FB"/>
    <w:rsid w:val="00332498"/>
    <w:rsid w:val="0033274D"/>
    <w:rsid w:val="00332782"/>
    <w:rsid w:val="0033279D"/>
    <w:rsid w:val="003328D3"/>
    <w:rsid w:val="003328FA"/>
    <w:rsid w:val="0033292A"/>
    <w:rsid w:val="003329CA"/>
    <w:rsid w:val="00332A0F"/>
    <w:rsid w:val="00332B5B"/>
    <w:rsid w:val="00332C3E"/>
    <w:rsid w:val="00332CB4"/>
    <w:rsid w:val="00332E1A"/>
    <w:rsid w:val="00332E35"/>
    <w:rsid w:val="00332EFA"/>
    <w:rsid w:val="00333212"/>
    <w:rsid w:val="0033323A"/>
    <w:rsid w:val="0033342F"/>
    <w:rsid w:val="003335DA"/>
    <w:rsid w:val="003335DC"/>
    <w:rsid w:val="003335F2"/>
    <w:rsid w:val="003336D9"/>
    <w:rsid w:val="003337DE"/>
    <w:rsid w:val="003337EA"/>
    <w:rsid w:val="00333858"/>
    <w:rsid w:val="00333948"/>
    <w:rsid w:val="00333B38"/>
    <w:rsid w:val="00333CEC"/>
    <w:rsid w:val="00333D00"/>
    <w:rsid w:val="00333E83"/>
    <w:rsid w:val="00333EED"/>
    <w:rsid w:val="00333EF5"/>
    <w:rsid w:val="00333F85"/>
    <w:rsid w:val="00333FB0"/>
    <w:rsid w:val="00334044"/>
    <w:rsid w:val="00334179"/>
    <w:rsid w:val="003341F7"/>
    <w:rsid w:val="003343AD"/>
    <w:rsid w:val="0033440C"/>
    <w:rsid w:val="00334424"/>
    <w:rsid w:val="0033444B"/>
    <w:rsid w:val="003345DB"/>
    <w:rsid w:val="00334677"/>
    <w:rsid w:val="003348E8"/>
    <w:rsid w:val="003349B1"/>
    <w:rsid w:val="00334A48"/>
    <w:rsid w:val="00334A4A"/>
    <w:rsid w:val="00334AD3"/>
    <w:rsid w:val="00334B29"/>
    <w:rsid w:val="00334B6A"/>
    <w:rsid w:val="00334C20"/>
    <w:rsid w:val="00334D55"/>
    <w:rsid w:val="00334D72"/>
    <w:rsid w:val="00334E0B"/>
    <w:rsid w:val="00334EE5"/>
    <w:rsid w:val="00334F7E"/>
    <w:rsid w:val="00334FF4"/>
    <w:rsid w:val="0033503A"/>
    <w:rsid w:val="003350D3"/>
    <w:rsid w:val="00335297"/>
    <w:rsid w:val="003352BF"/>
    <w:rsid w:val="003353B3"/>
    <w:rsid w:val="0033544D"/>
    <w:rsid w:val="0033550B"/>
    <w:rsid w:val="0033551F"/>
    <w:rsid w:val="00335538"/>
    <w:rsid w:val="003355C1"/>
    <w:rsid w:val="00335695"/>
    <w:rsid w:val="00335711"/>
    <w:rsid w:val="0033579F"/>
    <w:rsid w:val="00335869"/>
    <w:rsid w:val="00335895"/>
    <w:rsid w:val="003358E3"/>
    <w:rsid w:val="00335945"/>
    <w:rsid w:val="00335C83"/>
    <w:rsid w:val="00335EF8"/>
    <w:rsid w:val="00335F50"/>
    <w:rsid w:val="00336053"/>
    <w:rsid w:val="0033610D"/>
    <w:rsid w:val="00336346"/>
    <w:rsid w:val="00336350"/>
    <w:rsid w:val="0033648A"/>
    <w:rsid w:val="003364AD"/>
    <w:rsid w:val="003365C5"/>
    <w:rsid w:val="003365CD"/>
    <w:rsid w:val="003365DA"/>
    <w:rsid w:val="00336636"/>
    <w:rsid w:val="0033667E"/>
    <w:rsid w:val="0033669C"/>
    <w:rsid w:val="003367A5"/>
    <w:rsid w:val="00336A81"/>
    <w:rsid w:val="00336CC2"/>
    <w:rsid w:val="00336D8A"/>
    <w:rsid w:val="0033703C"/>
    <w:rsid w:val="00337169"/>
    <w:rsid w:val="003371C7"/>
    <w:rsid w:val="00337201"/>
    <w:rsid w:val="00337251"/>
    <w:rsid w:val="00337267"/>
    <w:rsid w:val="0033732F"/>
    <w:rsid w:val="00337339"/>
    <w:rsid w:val="003375C1"/>
    <w:rsid w:val="003377BC"/>
    <w:rsid w:val="0033786E"/>
    <w:rsid w:val="0033798F"/>
    <w:rsid w:val="003379AB"/>
    <w:rsid w:val="003379F7"/>
    <w:rsid w:val="00337C93"/>
    <w:rsid w:val="00337CB9"/>
    <w:rsid w:val="00337F19"/>
    <w:rsid w:val="00340022"/>
    <w:rsid w:val="0034012A"/>
    <w:rsid w:val="003401FA"/>
    <w:rsid w:val="00340258"/>
    <w:rsid w:val="003402BD"/>
    <w:rsid w:val="0034050B"/>
    <w:rsid w:val="00340589"/>
    <w:rsid w:val="00340735"/>
    <w:rsid w:val="00340806"/>
    <w:rsid w:val="00340AD3"/>
    <w:rsid w:val="00340BC2"/>
    <w:rsid w:val="00340E6E"/>
    <w:rsid w:val="00340E77"/>
    <w:rsid w:val="00340E8D"/>
    <w:rsid w:val="00341057"/>
    <w:rsid w:val="003410C7"/>
    <w:rsid w:val="0034129A"/>
    <w:rsid w:val="00341375"/>
    <w:rsid w:val="00341570"/>
    <w:rsid w:val="003415E7"/>
    <w:rsid w:val="0034168D"/>
    <w:rsid w:val="00341801"/>
    <w:rsid w:val="0034198F"/>
    <w:rsid w:val="00341ADF"/>
    <w:rsid w:val="00341BB8"/>
    <w:rsid w:val="00341C49"/>
    <w:rsid w:val="00341C90"/>
    <w:rsid w:val="00341D67"/>
    <w:rsid w:val="00341FBE"/>
    <w:rsid w:val="00341FFE"/>
    <w:rsid w:val="00341FFF"/>
    <w:rsid w:val="0034211A"/>
    <w:rsid w:val="00342233"/>
    <w:rsid w:val="00342235"/>
    <w:rsid w:val="0034243A"/>
    <w:rsid w:val="00342559"/>
    <w:rsid w:val="003425BE"/>
    <w:rsid w:val="003429A7"/>
    <w:rsid w:val="00342B9A"/>
    <w:rsid w:val="00342CB2"/>
    <w:rsid w:val="00342CFA"/>
    <w:rsid w:val="00342DA5"/>
    <w:rsid w:val="00342DBC"/>
    <w:rsid w:val="00342DDC"/>
    <w:rsid w:val="00342FE6"/>
    <w:rsid w:val="00343014"/>
    <w:rsid w:val="0034307D"/>
    <w:rsid w:val="00343492"/>
    <w:rsid w:val="003434EF"/>
    <w:rsid w:val="00343557"/>
    <w:rsid w:val="003435A1"/>
    <w:rsid w:val="003435A3"/>
    <w:rsid w:val="003435E0"/>
    <w:rsid w:val="003435E1"/>
    <w:rsid w:val="0034361E"/>
    <w:rsid w:val="0034366E"/>
    <w:rsid w:val="00343682"/>
    <w:rsid w:val="003437D4"/>
    <w:rsid w:val="00343829"/>
    <w:rsid w:val="00343919"/>
    <w:rsid w:val="003439F0"/>
    <w:rsid w:val="00343A8A"/>
    <w:rsid w:val="00343AF5"/>
    <w:rsid w:val="00343AFC"/>
    <w:rsid w:val="00343B51"/>
    <w:rsid w:val="00343C57"/>
    <w:rsid w:val="00343D2F"/>
    <w:rsid w:val="00343D5E"/>
    <w:rsid w:val="00343E41"/>
    <w:rsid w:val="00343ED3"/>
    <w:rsid w:val="00343F3B"/>
    <w:rsid w:val="00343FA1"/>
    <w:rsid w:val="00344094"/>
    <w:rsid w:val="00344176"/>
    <w:rsid w:val="00344236"/>
    <w:rsid w:val="00344257"/>
    <w:rsid w:val="003443F8"/>
    <w:rsid w:val="00344406"/>
    <w:rsid w:val="00344453"/>
    <w:rsid w:val="00344463"/>
    <w:rsid w:val="00344469"/>
    <w:rsid w:val="00344493"/>
    <w:rsid w:val="00344523"/>
    <w:rsid w:val="00344577"/>
    <w:rsid w:val="003445CA"/>
    <w:rsid w:val="00344601"/>
    <w:rsid w:val="00344634"/>
    <w:rsid w:val="003446A6"/>
    <w:rsid w:val="00344843"/>
    <w:rsid w:val="003449E0"/>
    <w:rsid w:val="00344A1E"/>
    <w:rsid w:val="00344B60"/>
    <w:rsid w:val="00344BAF"/>
    <w:rsid w:val="00344BB6"/>
    <w:rsid w:val="00344BF4"/>
    <w:rsid w:val="00344D05"/>
    <w:rsid w:val="00344D73"/>
    <w:rsid w:val="00344D99"/>
    <w:rsid w:val="00344F76"/>
    <w:rsid w:val="00344FA3"/>
    <w:rsid w:val="00344FD2"/>
    <w:rsid w:val="003450A8"/>
    <w:rsid w:val="0034528C"/>
    <w:rsid w:val="00345320"/>
    <w:rsid w:val="003453BF"/>
    <w:rsid w:val="0034543B"/>
    <w:rsid w:val="00345490"/>
    <w:rsid w:val="0034552B"/>
    <w:rsid w:val="00345560"/>
    <w:rsid w:val="00345585"/>
    <w:rsid w:val="003455AA"/>
    <w:rsid w:val="00345633"/>
    <w:rsid w:val="00345688"/>
    <w:rsid w:val="003456C9"/>
    <w:rsid w:val="003457C7"/>
    <w:rsid w:val="00345892"/>
    <w:rsid w:val="0034591B"/>
    <w:rsid w:val="00345B2E"/>
    <w:rsid w:val="00345BBF"/>
    <w:rsid w:val="00345C7C"/>
    <w:rsid w:val="00345DB7"/>
    <w:rsid w:val="00345E87"/>
    <w:rsid w:val="00345FDD"/>
    <w:rsid w:val="003461B2"/>
    <w:rsid w:val="003461D8"/>
    <w:rsid w:val="0034620F"/>
    <w:rsid w:val="00346272"/>
    <w:rsid w:val="00346396"/>
    <w:rsid w:val="003463A8"/>
    <w:rsid w:val="003463DA"/>
    <w:rsid w:val="003467B7"/>
    <w:rsid w:val="003467DC"/>
    <w:rsid w:val="003467EF"/>
    <w:rsid w:val="0034685B"/>
    <w:rsid w:val="003468FC"/>
    <w:rsid w:val="00346909"/>
    <w:rsid w:val="00346B39"/>
    <w:rsid w:val="00346B45"/>
    <w:rsid w:val="00346C65"/>
    <w:rsid w:val="00346C9D"/>
    <w:rsid w:val="00346D13"/>
    <w:rsid w:val="00346DEA"/>
    <w:rsid w:val="00346EFC"/>
    <w:rsid w:val="00346F02"/>
    <w:rsid w:val="00346F1F"/>
    <w:rsid w:val="0034711B"/>
    <w:rsid w:val="003471CA"/>
    <w:rsid w:val="003473E4"/>
    <w:rsid w:val="00347571"/>
    <w:rsid w:val="0034762A"/>
    <w:rsid w:val="0034767A"/>
    <w:rsid w:val="003476AC"/>
    <w:rsid w:val="0034780E"/>
    <w:rsid w:val="00347817"/>
    <w:rsid w:val="0034788F"/>
    <w:rsid w:val="003478C4"/>
    <w:rsid w:val="003478EB"/>
    <w:rsid w:val="00347933"/>
    <w:rsid w:val="0034798F"/>
    <w:rsid w:val="00347C2A"/>
    <w:rsid w:val="00347D7D"/>
    <w:rsid w:val="00347EFB"/>
    <w:rsid w:val="00347F7E"/>
    <w:rsid w:val="00350038"/>
    <w:rsid w:val="00350086"/>
    <w:rsid w:val="0035012E"/>
    <w:rsid w:val="003501B6"/>
    <w:rsid w:val="003501D2"/>
    <w:rsid w:val="003503E4"/>
    <w:rsid w:val="00350433"/>
    <w:rsid w:val="003505E1"/>
    <w:rsid w:val="0035092B"/>
    <w:rsid w:val="003509A0"/>
    <w:rsid w:val="00350A12"/>
    <w:rsid w:val="00350A2E"/>
    <w:rsid w:val="00350A58"/>
    <w:rsid w:val="00350B50"/>
    <w:rsid w:val="00350D0C"/>
    <w:rsid w:val="00350D19"/>
    <w:rsid w:val="00350D85"/>
    <w:rsid w:val="00350EA1"/>
    <w:rsid w:val="00350F22"/>
    <w:rsid w:val="00350F57"/>
    <w:rsid w:val="00350FEB"/>
    <w:rsid w:val="00351058"/>
    <w:rsid w:val="003510CA"/>
    <w:rsid w:val="0035116B"/>
    <w:rsid w:val="00351194"/>
    <w:rsid w:val="00351220"/>
    <w:rsid w:val="003512C0"/>
    <w:rsid w:val="00351398"/>
    <w:rsid w:val="003513A6"/>
    <w:rsid w:val="00351444"/>
    <w:rsid w:val="003516EB"/>
    <w:rsid w:val="003518C1"/>
    <w:rsid w:val="003519AC"/>
    <w:rsid w:val="00351AAD"/>
    <w:rsid w:val="00351B21"/>
    <w:rsid w:val="00351B5D"/>
    <w:rsid w:val="00351B74"/>
    <w:rsid w:val="00351B99"/>
    <w:rsid w:val="00351BBD"/>
    <w:rsid w:val="00351D37"/>
    <w:rsid w:val="00351F09"/>
    <w:rsid w:val="00351F33"/>
    <w:rsid w:val="00352081"/>
    <w:rsid w:val="003520CF"/>
    <w:rsid w:val="0035219B"/>
    <w:rsid w:val="003521D1"/>
    <w:rsid w:val="00352398"/>
    <w:rsid w:val="0035247D"/>
    <w:rsid w:val="0035276E"/>
    <w:rsid w:val="0035285A"/>
    <w:rsid w:val="003528E8"/>
    <w:rsid w:val="003528FB"/>
    <w:rsid w:val="003529B9"/>
    <w:rsid w:val="00352B0F"/>
    <w:rsid w:val="00352D94"/>
    <w:rsid w:val="00352EF4"/>
    <w:rsid w:val="00352F5F"/>
    <w:rsid w:val="00353012"/>
    <w:rsid w:val="003530F7"/>
    <w:rsid w:val="003531B1"/>
    <w:rsid w:val="003531F2"/>
    <w:rsid w:val="00353299"/>
    <w:rsid w:val="00353321"/>
    <w:rsid w:val="0035332C"/>
    <w:rsid w:val="00353356"/>
    <w:rsid w:val="00353398"/>
    <w:rsid w:val="0035340D"/>
    <w:rsid w:val="003534DE"/>
    <w:rsid w:val="003535CE"/>
    <w:rsid w:val="003535FB"/>
    <w:rsid w:val="00353653"/>
    <w:rsid w:val="003536CB"/>
    <w:rsid w:val="003536D9"/>
    <w:rsid w:val="003537D4"/>
    <w:rsid w:val="003537EC"/>
    <w:rsid w:val="00353811"/>
    <w:rsid w:val="0035381B"/>
    <w:rsid w:val="0035383D"/>
    <w:rsid w:val="003538E8"/>
    <w:rsid w:val="00353911"/>
    <w:rsid w:val="00353A13"/>
    <w:rsid w:val="00353B2F"/>
    <w:rsid w:val="00353BAA"/>
    <w:rsid w:val="00353BC6"/>
    <w:rsid w:val="00353BD4"/>
    <w:rsid w:val="00353DA7"/>
    <w:rsid w:val="00353E01"/>
    <w:rsid w:val="00353EBF"/>
    <w:rsid w:val="00353FA6"/>
    <w:rsid w:val="00354026"/>
    <w:rsid w:val="003540CA"/>
    <w:rsid w:val="00354169"/>
    <w:rsid w:val="003543AE"/>
    <w:rsid w:val="003545D2"/>
    <w:rsid w:val="0035495D"/>
    <w:rsid w:val="00354983"/>
    <w:rsid w:val="003549B9"/>
    <w:rsid w:val="003549CA"/>
    <w:rsid w:val="003549F7"/>
    <w:rsid w:val="00354B23"/>
    <w:rsid w:val="00354B91"/>
    <w:rsid w:val="00354D92"/>
    <w:rsid w:val="00354EE6"/>
    <w:rsid w:val="00354EFB"/>
    <w:rsid w:val="003550EC"/>
    <w:rsid w:val="0035513E"/>
    <w:rsid w:val="003551F3"/>
    <w:rsid w:val="00355290"/>
    <w:rsid w:val="003552A9"/>
    <w:rsid w:val="0035532B"/>
    <w:rsid w:val="003553BC"/>
    <w:rsid w:val="003555E6"/>
    <w:rsid w:val="00355726"/>
    <w:rsid w:val="003557B4"/>
    <w:rsid w:val="00355809"/>
    <w:rsid w:val="003559D4"/>
    <w:rsid w:val="00355A34"/>
    <w:rsid w:val="00355B43"/>
    <w:rsid w:val="00355C30"/>
    <w:rsid w:val="00355C44"/>
    <w:rsid w:val="00355CD9"/>
    <w:rsid w:val="00355E1D"/>
    <w:rsid w:val="00355E46"/>
    <w:rsid w:val="00355F1D"/>
    <w:rsid w:val="00355F54"/>
    <w:rsid w:val="00355F7F"/>
    <w:rsid w:val="00355FDC"/>
    <w:rsid w:val="003561F7"/>
    <w:rsid w:val="00356388"/>
    <w:rsid w:val="003563D5"/>
    <w:rsid w:val="00356498"/>
    <w:rsid w:val="00356591"/>
    <w:rsid w:val="003565A3"/>
    <w:rsid w:val="003565BE"/>
    <w:rsid w:val="003565E3"/>
    <w:rsid w:val="003565ED"/>
    <w:rsid w:val="0035669C"/>
    <w:rsid w:val="0035670E"/>
    <w:rsid w:val="00356A58"/>
    <w:rsid w:val="00356A59"/>
    <w:rsid w:val="00356AAB"/>
    <w:rsid w:val="00356B61"/>
    <w:rsid w:val="00356C89"/>
    <w:rsid w:val="00356E24"/>
    <w:rsid w:val="00356EA0"/>
    <w:rsid w:val="00356EB8"/>
    <w:rsid w:val="00356F4E"/>
    <w:rsid w:val="00356F99"/>
    <w:rsid w:val="00356FDA"/>
    <w:rsid w:val="00356FF4"/>
    <w:rsid w:val="00357030"/>
    <w:rsid w:val="00357149"/>
    <w:rsid w:val="00357208"/>
    <w:rsid w:val="00357251"/>
    <w:rsid w:val="0035733C"/>
    <w:rsid w:val="003574D7"/>
    <w:rsid w:val="003576C7"/>
    <w:rsid w:val="0035775E"/>
    <w:rsid w:val="003578A4"/>
    <w:rsid w:val="00357986"/>
    <w:rsid w:val="003579A8"/>
    <w:rsid w:val="003579A9"/>
    <w:rsid w:val="003579B9"/>
    <w:rsid w:val="00357AFB"/>
    <w:rsid w:val="00357B4B"/>
    <w:rsid w:val="00357B59"/>
    <w:rsid w:val="00357B8C"/>
    <w:rsid w:val="00357C1D"/>
    <w:rsid w:val="00357CA2"/>
    <w:rsid w:val="00357E34"/>
    <w:rsid w:val="00357ECB"/>
    <w:rsid w:val="00357F24"/>
    <w:rsid w:val="00360203"/>
    <w:rsid w:val="00360285"/>
    <w:rsid w:val="00360354"/>
    <w:rsid w:val="003606DF"/>
    <w:rsid w:val="0036073F"/>
    <w:rsid w:val="003607F2"/>
    <w:rsid w:val="003608F0"/>
    <w:rsid w:val="00360913"/>
    <w:rsid w:val="003609AC"/>
    <w:rsid w:val="00360A42"/>
    <w:rsid w:val="00360A52"/>
    <w:rsid w:val="00360AF7"/>
    <w:rsid w:val="00360B23"/>
    <w:rsid w:val="00360C2A"/>
    <w:rsid w:val="00360C9D"/>
    <w:rsid w:val="00360D73"/>
    <w:rsid w:val="00360E84"/>
    <w:rsid w:val="00360EAD"/>
    <w:rsid w:val="00360EE9"/>
    <w:rsid w:val="00361104"/>
    <w:rsid w:val="0036119E"/>
    <w:rsid w:val="0036125B"/>
    <w:rsid w:val="00361281"/>
    <w:rsid w:val="00361285"/>
    <w:rsid w:val="003612AC"/>
    <w:rsid w:val="0036140D"/>
    <w:rsid w:val="00361535"/>
    <w:rsid w:val="0036175B"/>
    <w:rsid w:val="00361851"/>
    <w:rsid w:val="00361C0B"/>
    <w:rsid w:val="00361D81"/>
    <w:rsid w:val="00361DEC"/>
    <w:rsid w:val="00361E6A"/>
    <w:rsid w:val="00361EE2"/>
    <w:rsid w:val="00361FB8"/>
    <w:rsid w:val="0036211E"/>
    <w:rsid w:val="00362213"/>
    <w:rsid w:val="00362232"/>
    <w:rsid w:val="00362276"/>
    <w:rsid w:val="003622C3"/>
    <w:rsid w:val="0036231C"/>
    <w:rsid w:val="00362380"/>
    <w:rsid w:val="003623EB"/>
    <w:rsid w:val="003623FD"/>
    <w:rsid w:val="0036248C"/>
    <w:rsid w:val="003624C3"/>
    <w:rsid w:val="00362587"/>
    <w:rsid w:val="00362674"/>
    <w:rsid w:val="0036270C"/>
    <w:rsid w:val="0036275F"/>
    <w:rsid w:val="00362990"/>
    <w:rsid w:val="003629C1"/>
    <w:rsid w:val="00362A74"/>
    <w:rsid w:val="00362AE1"/>
    <w:rsid w:val="00362B95"/>
    <w:rsid w:val="00362C72"/>
    <w:rsid w:val="00362D11"/>
    <w:rsid w:val="00362E65"/>
    <w:rsid w:val="00362E73"/>
    <w:rsid w:val="00362E9F"/>
    <w:rsid w:val="00362F1B"/>
    <w:rsid w:val="00362F45"/>
    <w:rsid w:val="0036316F"/>
    <w:rsid w:val="0036319D"/>
    <w:rsid w:val="00363511"/>
    <w:rsid w:val="0036359E"/>
    <w:rsid w:val="00363768"/>
    <w:rsid w:val="00363A77"/>
    <w:rsid w:val="00363AB4"/>
    <w:rsid w:val="00363AE2"/>
    <w:rsid w:val="00363B49"/>
    <w:rsid w:val="00363B77"/>
    <w:rsid w:val="00363D5F"/>
    <w:rsid w:val="00363E01"/>
    <w:rsid w:val="00363E99"/>
    <w:rsid w:val="0036413C"/>
    <w:rsid w:val="00364236"/>
    <w:rsid w:val="00364316"/>
    <w:rsid w:val="00364397"/>
    <w:rsid w:val="00364565"/>
    <w:rsid w:val="0036459B"/>
    <w:rsid w:val="003646DD"/>
    <w:rsid w:val="003646E6"/>
    <w:rsid w:val="003647EB"/>
    <w:rsid w:val="0036494D"/>
    <w:rsid w:val="0036498F"/>
    <w:rsid w:val="003649B4"/>
    <w:rsid w:val="003649B8"/>
    <w:rsid w:val="00364ADA"/>
    <w:rsid w:val="00364B15"/>
    <w:rsid w:val="00364B61"/>
    <w:rsid w:val="00364D69"/>
    <w:rsid w:val="00364D79"/>
    <w:rsid w:val="00364D8D"/>
    <w:rsid w:val="00364DD8"/>
    <w:rsid w:val="00364F59"/>
    <w:rsid w:val="00364F73"/>
    <w:rsid w:val="0036504E"/>
    <w:rsid w:val="00365154"/>
    <w:rsid w:val="00365270"/>
    <w:rsid w:val="00365371"/>
    <w:rsid w:val="003654C3"/>
    <w:rsid w:val="0036556D"/>
    <w:rsid w:val="003655CE"/>
    <w:rsid w:val="00365768"/>
    <w:rsid w:val="003657A6"/>
    <w:rsid w:val="003657C0"/>
    <w:rsid w:val="003657E1"/>
    <w:rsid w:val="003657EF"/>
    <w:rsid w:val="00365A27"/>
    <w:rsid w:val="00365D24"/>
    <w:rsid w:val="00365D5A"/>
    <w:rsid w:val="00365D8A"/>
    <w:rsid w:val="00365DAF"/>
    <w:rsid w:val="00365DDC"/>
    <w:rsid w:val="00365E9F"/>
    <w:rsid w:val="00365F71"/>
    <w:rsid w:val="003661E5"/>
    <w:rsid w:val="00366257"/>
    <w:rsid w:val="003662D2"/>
    <w:rsid w:val="00366324"/>
    <w:rsid w:val="00366610"/>
    <w:rsid w:val="00366645"/>
    <w:rsid w:val="003668CB"/>
    <w:rsid w:val="003669B7"/>
    <w:rsid w:val="003669E4"/>
    <w:rsid w:val="003669F8"/>
    <w:rsid w:val="00366AC0"/>
    <w:rsid w:val="00366ADE"/>
    <w:rsid w:val="00366B4C"/>
    <w:rsid w:val="00366B69"/>
    <w:rsid w:val="00366C3E"/>
    <w:rsid w:val="00366C68"/>
    <w:rsid w:val="00366E02"/>
    <w:rsid w:val="00366F1B"/>
    <w:rsid w:val="00367079"/>
    <w:rsid w:val="0036714E"/>
    <w:rsid w:val="00367269"/>
    <w:rsid w:val="0036728F"/>
    <w:rsid w:val="00367442"/>
    <w:rsid w:val="003674C9"/>
    <w:rsid w:val="00367529"/>
    <w:rsid w:val="0036770E"/>
    <w:rsid w:val="0036775E"/>
    <w:rsid w:val="00367A3E"/>
    <w:rsid w:val="00367AB5"/>
    <w:rsid w:val="00367D7C"/>
    <w:rsid w:val="00367EE6"/>
    <w:rsid w:val="00367F25"/>
    <w:rsid w:val="00367F75"/>
    <w:rsid w:val="00370129"/>
    <w:rsid w:val="00370295"/>
    <w:rsid w:val="003702A2"/>
    <w:rsid w:val="00370437"/>
    <w:rsid w:val="00370441"/>
    <w:rsid w:val="003704DA"/>
    <w:rsid w:val="003704EC"/>
    <w:rsid w:val="00370522"/>
    <w:rsid w:val="003706BB"/>
    <w:rsid w:val="003706DE"/>
    <w:rsid w:val="003706F7"/>
    <w:rsid w:val="003707AD"/>
    <w:rsid w:val="003709B7"/>
    <w:rsid w:val="003709CE"/>
    <w:rsid w:val="00370A0F"/>
    <w:rsid w:val="00370A9B"/>
    <w:rsid w:val="00370AC4"/>
    <w:rsid w:val="00370C14"/>
    <w:rsid w:val="00370C67"/>
    <w:rsid w:val="00370EAB"/>
    <w:rsid w:val="00371089"/>
    <w:rsid w:val="00371116"/>
    <w:rsid w:val="003712A4"/>
    <w:rsid w:val="003712AC"/>
    <w:rsid w:val="00371703"/>
    <w:rsid w:val="0037171C"/>
    <w:rsid w:val="0037175F"/>
    <w:rsid w:val="003717D9"/>
    <w:rsid w:val="003719E9"/>
    <w:rsid w:val="00371AAF"/>
    <w:rsid w:val="00371ABB"/>
    <w:rsid w:val="00371B18"/>
    <w:rsid w:val="00371B49"/>
    <w:rsid w:val="00371B7D"/>
    <w:rsid w:val="00371C1F"/>
    <w:rsid w:val="00371CB7"/>
    <w:rsid w:val="00371CC2"/>
    <w:rsid w:val="00371CC5"/>
    <w:rsid w:val="00372069"/>
    <w:rsid w:val="003720E7"/>
    <w:rsid w:val="003722DB"/>
    <w:rsid w:val="00372378"/>
    <w:rsid w:val="00372461"/>
    <w:rsid w:val="0037255B"/>
    <w:rsid w:val="0037258F"/>
    <w:rsid w:val="0037269C"/>
    <w:rsid w:val="00372824"/>
    <w:rsid w:val="003728D7"/>
    <w:rsid w:val="003728FA"/>
    <w:rsid w:val="00372A93"/>
    <w:rsid w:val="00372BD3"/>
    <w:rsid w:val="00372CE5"/>
    <w:rsid w:val="00372D1C"/>
    <w:rsid w:val="00372D3C"/>
    <w:rsid w:val="00372E11"/>
    <w:rsid w:val="00372F1F"/>
    <w:rsid w:val="00372FAB"/>
    <w:rsid w:val="00373034"/>
    <w:rsid w:val="0037310D"/>
    <w:rsid w:val="0037316F"/>
    <w:rsid w:val="00373245"/>
    <w:rsid w:val="00373344"/>
    <w:rsid w:val="0037336C"/>
    <w:rsid w:val="003733B0"/>
    <w:rsid w:val="00373642"/>
    <w:rsid w:val="00373656"/>
    <w:rsid w:val="0037366C"/>
    <w:rsid w:val="003736FA"/>
    <w:rsid w:val="00373A69"/>
    <w:rsid w:val="00373AA7"/>
    <w:rsid w:val="00373CAE"/>
    <w:rsid w:val="00373D73"/>
    <w:rsid w:val="00373DB4"/>
    <w:rsid w:val="00373DCD"/>
    <w:rsid w:val="00373E12"/>
    <w:rsid w:val="00373ED9"/>
    <w:rsid w:val="00373EF8"/>
    <w:rsid w:val="00373F16"/>
    <w:rsid w:val="00373F2D"/>
    <w:rsid w:val="003740B3"/>
    <w:rsid w:val="003740D2"/>
    <w:rsid w:val="0037410D"/>
    <w:rsid w:val="00374127"/>
    <w:rsid w:val="00374249"/>
    <w:rsid w:val="0037428B"/>
    <w:rsid w:val="0037429C"/>
    <w:rsid w:val="0037445D"/>
    <w:rsid w:val="00374460"/>
    <w:rsid w:val="0037455A"/>
    <w:rsid w:val="0037479E"/>
    <w:rsid w:val="003747E3"/>
    <w:rsid w:val="00374870"/>
    <w:rsid w:val="00374AD2"/>
    <w:rsid w:val="00374AF8"/>
    <w:rsid w:val="00374F0A"/>
    <w:rsid w:val="00375085"/>
    <w:rsid w:val="0037529B"/>
    <w:rsid w:val="00375327"/>
    <w:rsid w:val="0037546C"/>
    <w:rsid w:val="00375526"/>
    <w:rsid w:val="003756F0"/>
    <w:rsid w:val="00375729"/>
    <w:rsid w:val="003758EF"/>
    <w:rsid w:val="00375947"/>
    <w:rsid w:val="003759DD"/>
    <w:rsid w:val="003759EB"/>
    <w:rsid w:val="00375AA5"/>
    <w:rsid w:val="00375AC9"/>
    <w:rsid w:val="00375B70"/>
    <w:rsid w:val="00375C4D"/>
    <w:rsid w:val="00375E13"/>
    <w:rsid w:val="00375E93"/>
    <w:rsid w:val="00376006"/>
    <w:rsid w:val="00376159"/>
    <w:rsid w:val="00376186"/>
    <w:rsid w:val="0037619F"/>
    <w:rsid w:val="003762AD"/>
    <w:rsid w:val="0037630E"/>
    <w:rsid w:val="00376336"/>
    <w:rsid w:val="003763E3"/>
    <w:rsid w:val="00376411"/>
    <w:rsid w:val="00376452"/>
    <w:rsid w:val="003766FF"/>
    <w:rsid w:val="003767DF"/>
    <w:rsid w:val="003767E5"/>
    <w:rsid w:val="00376981"/>
    <w:rsid w:val="003769BA"/>
    <w:rsid w:val="00376A15"/>
    <w:rsid w:val="00376A99"/>
    <w:rsid w:val="00376ACF"/>
    <w:rsid w:val="00376B71"/>
    <w:rsid w:val="00376BC1"/>
    <w:rsid w:val="00376BD4"/>
    <w:rsid w:val="00376C40"/>
    <w:rsid w:val="00376E73"/>
    <w:rsid w:val="00376F16"/>
    <w:rsid w:val="00376FFC"/>
    <w:rsid w:val="0037704D"/>
    <w:rsid w:val="0037725C"/>
    <w:rsid w:val="003772A8"/>
    <w:rsid w:val="003772C8"/>
    <w:rsid w:val="0037754E"/>
    <w:rsid w:val="00377862"/>
    <w:rsid w:val="0037787D"/>
    <w:rsid w:val="003778AC"/>
    <w:rsid w:val="00377935"/>
    <w:rsid w:val="003779F3"/>
    <w:rsid w:val="00377AB0"/>
    <w:rsid w:val="00377AF5"/>
    <w:rsid w:val="00377B2B"/>
    <w:rsid w:val="00377DF2"/>
    <w:rsid w:val="00377F83"/>
    <w:rsid w:val="00377FFD"/>
    <w:rsid w:val="003800E9"/>
    <w:rsid w:val="003800F7"/>
    <w:rsid w:val="0038013F"/>
    <w:rsid w:val="003801C6"/>
    <w:rsid w:val="0038020D"/>
    <w:rsid w:val="003802B5"/>
    <w:rsid w:val="00380340"/>
    <w:rsid w:val="003803A5"/>
    <w:rsid w:val="003803A6"/>
    <w:rsid w:val="0038041C"/>
    <w:rsid w:val="0038045E"/>
    <w:rsid w:val="003806A6"/>
    <w:rsid w:val="003809DA"/>
    <w:rsid w:val="00380C56"/>
    <w:rsid w:val="00380D21"/>
    <w:rsid w:val="00380D48"/>
    <w:rsid w:val="00380D8F"/>
    <w:rsid w:val="00380E5F"/>
    <w:rsid w:val="00380E78"/>
    <w:rsid w:val="00380E8D"/>
    <w:rsid w:val="00380EAB"/>
    <w:rsid w:val="00380FC6"/>
    <w:rsid w:val="00381059"/>
    <w:rsid w:val="00381092"/>
    <w:rsid w:val="003811EB"/>
    <w:rsid w:val="00381333"/>
    <w:rsid w:val="0038142C"/>
    <w:rsid w:val="00381446"/>
    <w:rsid w:val="003815A8"/>
    <w:rsid w:val="0038177A"/>
    <w:rsid w:val="003817D3"/>
    <w:rsid w:val="0038199D"/>
    <w:rsid w:val="00381A33"/>
    <w:rsid w:val="00381BD9"/>
    <w:rsid w:val="00381BE7"/>
    <w:rsid w:val="00381C00"/>
    <w:rsid w:val="00381DB4"/>
    <w:rsid w:val="00381DE0"/>
    <w:rsid w:val="00381F3F"/>
    <w:rsid w:val="00382117"/>
    <w:rsid w:val="00382123"/>
    <w:rsid w:val="003821CF"/>
    <w:rsid w:val="003821F4"/>
    <w:rsid w:val="0038241E"/>
    <w:rsid w:val="00382680"/>
    <w:rsid w:val="0038283C"/>
    <w:rsid w:val="0038286B"/>
    <w:rsid w:val="003828EF"/>
    <w:rsid w:val="0038295B"/>
    <w:rsid w:val="00382B00"/>
    <w:rsid w:val="00382C14"/>
    <w:rsid w:val="00382D96"/>
    <w:rsid w:val="00382DB3"/>
    <w:rsid w:val="00382E31"/>
    <w:rsid w:val="00382E35"/>
    <w:rsid w:val="00382E64"/>
    <w:rsid w:val="00382E82"/>
    <w:rsid w:val="00382F4F"/>
    <w:rsid w:val="0038303E"/>
    <w:rsid w:val="00383255"/>
    <w:rsid w:val="00383274"/>
    <w:rsid w:val="003832F4"/>
    <w:rsid w:val="0038334C"/>
    <w:rsid w:val="00383549"/>
    <w:rsid w:val="003835E8"/>
    <w:rsid w:val="00383A26"/>
    <w:rsid w:val="00383ADF"/>
    <w:rsid w:val="00383CB5"/>
    <w:rsid w:val="00383DC2"/>
    <w:rsid w:val="00383E0F"/>
    <w:rsid w:val="00383FFA"/>
    <w:rsid w:val="0038407D"/>
    <w:rsid w:val="00384185"/>
    <w:rsid w:val="00384225"/>
    <w:rsid w:val="00384327"/>
    <w:rsid w:val="00384332"/>
    <w:rsid w:val="00384392"/>
    <w:rsid w:val="0038440A"/>
    <w:rsid w:val="00384410"/>
    <w:rsid w:val="0038450E"/>
    <w:rsid w:val="00384571"/>
    <w:rsid w:val="00384625"/>
    <w:rsid w:val="003846A8"/>
    <w:rsid w:val="00384733"/>
    <w:rsid w:val="00384792"/>
    <w:rsid w:val="003847F6"/>
    <w:rsid w:val="003849DF"/>
    <w:rsid w:val="00384B6C"/>
    <w:rsid w:val="00384D2D"/>
    <w:rsid w:val="00384D48"/>
    <w:rsid w:val="00384D8A"/>
    <w:rsid w:val="00385045"/>
    <w:rsid w:val="0038517E"/>
    <w:rsid w:val="00385203"/>
    <w:rsid w:val="0038532A"/>
    <w:rsid w:val="0038538A"/>
    <w:rsid w:val="003853DE"/>
    <w:rsid w:val="003854C1"/>
    <w:rsid w:val="003855E3"/>
    <w:rsid w:val="00385619"/>
    <w:rsid w:val="00385665"/>
    <w:rsid w:val="0038566D"/>
    <w:rsid w:val="0038573D"/>
    <w:rsid w:val="0038579D"/>
    <w:rsid w:val="0038583D"/>
    <w:rsid w:val="00385910"/>
    <w:rsid w:val="00385BEF"/>
    <w:rsid w:val="00385CBB"/>
    <w:rsid w:val="00385ED8"/>
    <w:rsid w:val="003860A7"/>
    <w:rsid w:val="0038622E"/>
    <w:rsid w:val="003863CD"/>
    <w:rsid w:val="003866C8"/>
    <w:rsid w:val="00386742"/>
    <w:rsid w:val="00386746"/>
    <w:rsid w:val="00386800"/>
    <w:rsid w:val="00386901"/>
    <w:rsid w:val="00386EE8"/>
    <w:rsid w:val="00386F4E"/>
    <w:rsid w:val="00386FE8"/>
    <w:rsid w:val="003870B6"/>
    <w:rsid w:val="00387299"/>
    <w:rsid w:val="003872A8"/>
    <w:rsid w:val="003872AA"/>
    <w:rsid w:val="003874F9"/>
    <w:rsid w:val="0038762B"/>
    <w:rsid w:val="0038789D"/>
    <w:rsid w:val="0038790A"/>
    <w:rsid w:val="0038791C"/>
    <w:rsid w:val="00387974"/>
    <w:rsid w:val="00387996"/>
    <w:rsid w:val="00387ADC"/>
    <w:rsid w:val="00387CDB"/>
    <w:rsid w:val="00387CEF"/>
    <w:rsid w:val="00387E6E"/>
    <w:rsid w:val="00387EAB"/>
    <w:rsid w:val="00387EBC"/>
    <w:rsid w:val="00387EE4"/>
    <w:rsid w:val="00390015"/>
    <w:rsid w:val="00390109"/>
    <w:rsid w:val="003901ED"/>
    <w:rsid w:val="00390414"/>
    <w:rsid w:val="0039041E"/>
    <w:rsid w:val="003904EE"/>
    <w:rsid w:val="003905B7"/>
    <w:rsid w:val="003905E3"/>
    <w:rsid w:val="003905E8"/>
    <w:rsid w:val="00390697"/>
    <w:rsid w:val="003907B1"/>
    <w:rsid w:val="00390820"/>
    <w:rsid w:val="00390860"/>
    <w:rsid w:val="00390A3E"/>
    <w:rsid w:val="00390AC1"/>
    <w:rsid w:val="00390B16"/>
    <w:rsid w:val="00390B99"/>
    <w:rsid w:val="00390C1F"/>
    <w:rsid w:val="00390C91"/>
    <w:rsid w:val="00390DA7"/>
    <w:rsid w:val="00390EC7"/>
    <w:rsid w:val="0039112B"/>
    <w:rsid w:val="003911D1"/>
    <w:rsid w:val="0039121B"/>
    <w:rsid w:val="00391336"/>
    <w:rsid w:val="003913A4"/>
    <w:rsid w:val="00391455"/>
    <w:rsid w:val="003915EE"/>
    <w:rsid w:val="00391766"/>
    <w:rsid w:val="003918CB"/>
    <w:rsid w:val="003919FF"/>
    <w:rsid w:val="00391A14"/>
    <w:rsid w:val="00391A1C"/>
    <w:rsid w:val="00391A4B"/>
    <w:rsid w:val="00391A68"/>
    <w:rsid w:val="00391B39"/>
    <w:rsid w:val="00391B3A"/>
    <w:rsid w:val="00391B52"/>
    <w:rsid w:val="00391DF7"/>
    <w:rsid w:val="00391E0B"/>
    <w:rsid w:val="00391EB9"/>
    <w:rsid w:val="00391F3D"/>
    <w:rsid w:val="003920CA"/>
    <w:rsid w:val="00392130"/>
    <w:rsid w:val="00392251"/>
    <w:rsid w:val="0039227D"/>
    <w:rsid w:val="003922A6"/>
    <w:rsid w:val="003922FD"/>
    <w:rsid w:val="00392354"/>
    <w:rsid w:val="003923F4"/>
    <w:rsid w:val="00392402"/>
    <w:rsid w:val="003925C9"/>
    <w:rsid w:val="0039270B"/>
    <w:rsid w:val="00392961"/>
    <w:rsid w:val="00392BBF"/>
    <w:rsid w:val="00392C2A"/>
    <w:rsid w:val="00392CA1"/>
    <w:rsid w:val="00392D24"/>
    <w:rsid w:val="00392D9B"/>
    <w:rsid w:val="00392F1B"/>
    <w:rsid w:val="00392F84"/>
    <w:rsid w:val="00393197"/>
    <w:rsid w:val="003931DD"/>
    <w:rsid w:val="00393280"/>
    <w:rsid w:val="00393370"/>
    <w:rsid w:val="003933FA"/>
    <w:rsid w:val="0039364C"/>
    <w:rsid w:val="00393732"/>
    <w:rsid w:val="003938B6"/>
    <w:rsid w:val="00393B6D"/>
    <w:rsid w:val="00393B97"/>
    <w:rsid w:val="00393CC9"/>
    <w:rsid w:val="00393F16"/>
    <w:rsid w:val="00393FA3"/>
    <w:rsid w:val="003940B5"/>
    <w:rsid w:val="003940C8"/>
    <w:rsid w:val="0039413D"/>
    <w:rsid w:val="00394359"/>
    <w:rsid w:val="003944DD"/>
    <w:rsid w:val="00394602"/>
    <w:rsid w:val="0039464C"/>
    <w:rsid w:val="003947F3"/>
    <w:rsid w:val="0039487D"/>
    <w:rsid w:val="003948C7"/>
    <w:rsid w:val="00394CB0"/>
    <w:rsid w:val="00394CE4"/>
    <w:rsid w:val="00394E6B"/>
    <w:rsid w:val="00394EEA"/>
    <w:rsid w:val="00394F9C"/>
    <w:rsid w:val="00395002"/>
    <w:rsid w:val="0039508F"/>
    <w:rsid w:val="003950CD"/>
    <w:rsid w:val="003950E2"/>
    <w:rsid w:val="00395307"/>
    <w:rsid w:val="0039538D"/>
    <w:rsid w:val="003953F4"/>
    <w:rsid w:val="0039541B"/>
    <w:rsid w:val="00395515"/>
    <w:rsid w:val="003956D3"/>
    <w:rsid w:val="003958E2"/>
    <w:rsid w:val="003958ED"/>
    <w:rsid w:val="0039596C"/>
    <w:rsid w:val="00395973"/>
    <w:rsid w:val="00395B30"/>
    <w:rsid w:val="00395C04"/>
    <w:rsid w:val="00395C33"/>
    <w:rsid w:val="00395C58"/>
    <w:rsid w:val="00395CC2"/>
    <w:rsid w:val="00395D21"/>
    <w:rsid w:val="00395E00"/>
    <w:rsid w:val="00395E7C"/>
    <w:rsid w:val="00395E8E"/>
    <w:rsid w:val="00395EBC"/>
    <w:rsid w:val="00395EF5"/>
    <w:rsid w:val="00396193"/>
    <w:rsid w:val="00396239"/>
    <w:rsid w:val="00396286"/>
    <w:rsid w:val="003962C2"/>
    <w:rsid w:val="00396648"/>
    <w:rsid w:val="0039669A"/>
    <w:rsid w:val="003966A2"/>
    <w:rsid w:val="0039674C"/>
    <w:rsid w:val="003967C1"/>
    <w:rsid w:val="00396972"/>
    <w:rsid w:val="0039699B"/>
    <w:rsid w:val="00396A1D"/>
    <w:rsid w:val="00396B44"/>
    <w:rsid w:val="00396BC5"/>
    <w:rsid w:val="00396D2F"/>
    <w:rsid w:val="00397083"/>
    <w:rsid w:val="00397299"/>
    <w:rsid w:val="0039729E"/>
    <w:rsid w:val="00397326"/>
    <w:rsid w:val="003974C3"/>
    <w:rsid w:val="00397589"/>
    <w:rsid w:val="003975F5"/>
    <w:rsid w:val="003975FF"/>
    <w:rsid w:val="003977F0"/>
    <w:rsid w:val="00397913"/>
    <w:rsid w:val="0039793B"/>
    <w:rsid w:val="003979AD"/>
    <w:rsid w:val="00397A3E"/>
    <w:rsid w:val="00397A87"/>
    <w:rsid w:val="00397ADC"/>
    <w:rsid w:val="00397B8F"/>
    <w:rsid w:val="00397BC3"/>
    <w:rsid w:val="00397BD6"/>
    <w:rsid w:val="00397CCF"/>
    <w:rsid w:val="00397DD3"/>
    <w:rsid w:val="00397EB9"/>
    <w:rsid w:val="003A0014"/>
    <w:rsid w:val="003A00DA"/>
    <w:rsid w:val="003A013C"/>
    <w:rsid w:val="003A03CB"/>
    <w:rsid w:val="003A0403"/>
    <w:rsid w:val="003A0424"/>
    <w:rsid w:val="003A0548"/>
    <w:rsid w:val="003A05E7"/>
    <w:rsid w:val="003A09F7"/>
    <w:rsid w:val="003A0B46"/>
    <w:rsid w:val="003A0BF4"/>
    <w:rsid w:val="003A0C73"/>
    <w:rsid w:val="003A0CC9"/>
    <w:rsid w:val="003A0D86"/>
    <w:rsid w:val="003A0D9A"/>
    <w:rsid w:val="003A0ED8"/>
    <w:rsid w:val="003A0FBC"/>
    <w:rsid w:val="003A0FF9"/>
    <w:rsid w:val="003A113C"/>
    <w:rsid w:val="003A11C9"/>
    <w:rsid w:val="003A122A"/>
    <w:rsid w:val="003A1523"/>
    <w:rsid w:val="003A1558"/>
    <w:rsid w:val="003A166E"/>
    <w:rsid w:val="003A17A6"/>
    <w:rsid w:val="003A1824"/>
    <w:rsid w:val="003A183B"/>
    <w:rsid w:val="003A184F"/>
    <w:rsid w:val="003A19B6"/>
    <w:rsid w:val="003A1E87"/>
    <w:rsid w:val="003A1F81"/>
    <w:rsid w:val="003A1FC0"/>
    <w:rsid w:val="003A229A"/>
    <w:rsid w:val="003A2443"/>
    <w:rsid w:val="003A2480"/>
    <w:rsid w:val="003A277D"/>
    <w:rsid w:val="003A2843"/>
    <w:rsid w:val="003A2878"/>
    <w:rsid w:val="003A28D1"/>
    <w:rsid w:val="003A29D7"/>
    <w:rsid w:val="003A29E5"/>
    <w:rsid w:val="003A2A70"/>
    <w:rsid w:val="003A2A71"/>
    <w:rsid w:val="003A2A9B"/>
    <w:rsid w:val="003A2AD7"/>
    <w:rsid w:val="003A2BBE"/>
    <w:rsid w:val="003A2D4D"/>
    <w:rsid w:val="003A2EFE"/>
    <w:rsid w:val="003A2FCE"/>
    <w:rsid w:val="003A2FDD"/>
    <w:rsid w:val="003A2FF2"/>
    <w:rsid w:val="003A3052"/>
    <w:rsid w:val="003A31D4"/>
    <w:rsid w:val="003A326E"/>
    <w:rsid w:val="003A3444"/>
    <w:rsid w:val="003A3616"/>
    <w:rsid w:val="003A38C2"/>
    <w:rsid w:val="003A3919"/>
    <w:rsid w:val="003A3A72"/>
    <w:rsid w:val="003A3A97"/>
    <w:rsid w:val="003A3BD6"/>
    <w:rsid w:val="003A3BF8"/>
    <w:rsid w:val="003A3C6F"/>
    <w:rsid w:val="003A3D53"/>
    <w:rsid w:val="003A3E12"/>
    <w:rsid w:val="003A3E3F"/>
    <w:rsid w:val="003A3E84"/>
    <w:rsid w:val="003A445B"/>
    <w:rsid w:val="003A44C1"/>
    <w:rsid w:val="003A45B5"/>
    <w:rsid w:val="003A4655"/>
    <w:rsid w:val="003A46A9"/>
    <w:rsid w:val="003A4713"/>
    <w:rsid w:val="003A4744"/>
    <w:rsid w:val="003A476E"/>
    <w:rsid w:val="003A47E0"/>
    <w:rsid w:val="003A47E6"/>
    <w:rsid w:val="003A47EE"/>
    <w:rsid w:val="003A4800"/>
    <w:rsid w:val="003A486C"/>
    <w:rsid w:val="003A488D"/>
    <w:rsid w:val="003A48AF"/>
    <w:rsid w:val="003A496F"/>
    <w:rsid w:val="003A4A79"/>
    <w:rsid w:val="003A4AC7"/>
    <w:rsid w:val="003A4AF4"/>
    <w:rsid w:val="003A4B08"/>
    <w:rsid w:val="003A4BAF"/>
    <w:rsid w:val="003A4C0C"/>
    <w:rsid w:val="003A4C20"/>
    <w:rsid w:val="003A4D1A"/>
    <w:rsid w:val="003A4DCA"/>
    <w:rsid w:val="003A4DDE"/>
    <w:rsid w:val="003A4FBB"/>
    <w:rsid w:val="003A4FCE"/>
    <w:rsid w:val="003A4FF2"/>
    <w:rsid w:val="003A5060"/>
    <w:rsid w:val="003A5072"/>
    <w:rsid w:val="003A5375"/>
    <w:rsid w:val="003A53DE"/>
    <w:rsid w:val="003A552C"/>
    <w:rsid w:val="003A552F"/>
    <w:rsid w:val="003A58F2"/>
    <w:rsid w:val="003A5940"/>
    <w:rsid w:val="003A5AC2"/>
    <w:rsid w:val="003A5AE4"/>
    <w:rsid w:val="003A5B73"/>
    <w:rsid w:val="003A5CB1"/>
    <w:rsid w:val="003A5CFE"/>
    <w:rsid w:val="003A5D17"/>
    <w:rsid w:val="003A5F8E"/>
    <w:rsid w:val="003A5FE8"/>
    <w:rsid w:val="003A602F"/>
    <w:rsid w:val="003A616B"/>
    <w:rsid w:val="003A618D"/>
    <w:rsid w:val="003A624C"/>
    <w:rsid w:val="003A6377"/>
    <w:rsid w:val="003A6378"/>
    <w:rsid w:val="003A639A"/>
    <w:rsid w:val="003A63AC"/>
    <w:rsid w:val="003A63C3"/>
    <w:rsid w:val="003A63E8"/>
    <w:rsid w:val="003A644F"/>
    <w:rsid w:val="003A6471"/>
    <w:rsid w:val="003A647C"/>
    <w:rsid w:val="003A64F4"/>
    <w:rsid w:val="003A658C"/>
    <w:rsid w:val="003A65A3"/>
    <w:rsid w:val="003A66C9"/>
    <w:rsid w:val="003A69B4"/>
    <w:rsid w:val="003A6BC8"/>
    <w:rsid w:val="003A6C00"/>
    <w:rsid w:val="003A6D19"/>
    <w:rsid w:val="003A6E86"/>
    <w:rsid w:val="003A710E"/>
    <w:rsid w:val="003A71E2"/>
    <w:rsid w:val="003A7335"/>
    <w:rsid w:val="003A733C"/>
    <w:rsid w:val="003A734E"/>
    <w:rsid w:val="003A75B1"/>
    <w:rsid w:val="003A7620"/>
    <w:rsid w:val="003A7685"/>
    <w:rsid w:val="003A77B2"/>
    <w:rsid w:val="003A782D"/>
    <w:rsid w:val="003A7A18"/>
    <w:rsid w:val="003A7A69"/>
    <w:rsid w:val="003A7A87"/>
    <w:rsid w:val="003A7C12"/>
    <w:rsid w:val="003A7D7C"/>
    <w:rsid w:val="003A7D8A"/>
    <w:rsid w:val="003A7E72"/>
    <w:rsid w:val="003A7FC9"/>
    <w:rsid w:val="003B0016"/>
    <w:rsid w:val="003B001F"/>
    <w:rsid w:val="003B004F"/>
    <w:rsid w:val="003B00A2"/>
    <w:rsid w:val="003B00DE"/>
    <w:rsid w:val="003B01A9"/>
    <w:rsid w:val="003B01AD"/>
    <w:rsid w:val="003B02BB"/>
    <w:rsid w:val="003B03C4"/>
    <w:rsid w:val="003B04B8"/>
    <w:rsid w:val="003B05EB"/>
    <w:rsid w:val="003B06F5"/>
    <w:rsid w:val="003B070B"/>
    <w:rsid w:val="003B074B"/>
    <w:rsid w:val="003B0849"/>
    <w:rsid w:val="003B0B74"/>
    <w:rsid w:val="003B0BAB"/>
    <w:rsid w:val="003B0DE3"/>
    <w:rsid w:val="003B0E32"/>
    <w:rsid w:val="003B0E49"/>
    <w:rsid w:val="003B0E7B"/>
    <w:rsid w:val="003B1238"/>
    <w:rsid w:val="003B1260"/>
    <w:rsid w:val="003B13D8"/>
    <w:rsid w:val="003B1656"/>
    <w:rsid w:val="003B171F"/>
    <w:rsid w:val="003B1790"/>
    <w:rsid w:val="003B17B9"/>
    <w:rsid w:val="003B1867"/>
    <w:rsid w:val="003B18E6"/>
    <w:rsid w:val="003B1918"/>
    <w:rsid w:val="003B193C"/>
    <w:rsid w:val="003B1A38"/>
    <w:rsid w:val="003B1A48"/>
    <w:rsid w:val="003B1B53"/>
    <w:rsid w:val="003B1BAF"/>
    <w:rsid w:val="003B1C0A"/>
    <w:rsid w:val="003B1C24"/>
    <w:rsid w:val="003B1CFC"/>
    <w:rsid w:val="003B1D74"/>
    <w:rsid w:val="003B1E14"/>
    <w:rsid w:val="003B1E91"/>
    <w:rsid w:val="003B1F26"/>
    <w:rsid w:val="003B205C"/>
    <w:rsid w:val="003B2188"/>
    <w:rsid w:val="003B22C7"/>
    <w:rsid w:val="003B22C9"/>
    <w:rsid w:val="003B23B9"/>
    <w:rsid w:val="003B2446"/>
    <w:rsid w:val="003B2450"/>
    <w:rsid w:val="003B266F"/>
    <w:rsid w:val="003B2694"/>
    <w:rsid w:val="003B2858"/>
    <w:rsid w:val="003B28A1"/>
    <w:rsid w:val="003B29FF"/>
    <w:rsid w:val="003B2B79"/>
    <w:rsid w:val="003B2BD2"/>
    <w:rsid w:val="003B2C2C"/>
    <w:rsid w:val="003B2CB1"/>
    <w:rsid w:val="003B3020"/>
    <w:rsid w:val="003B309B"/>
    <w:rsid w:val="003B30CC"/>
    <w:rsid w:val="003B310E"/>
    <w:rsid w:val="003B32A5"/>
    <w:rsid w:val="003B33AC"/>
    <w:rsid w:val="003B33D6"/>
    <w:rsid w:val="003B3456"/>
    <w:rsid w:val="003B34F2"/>
    <w:rsid w:val="003B36E2"/>
    <w:rsid w:val="003B371A"/>
    <w:rsid w:val="003B39CA"/>
    <w:rsid w:val="003B3B82"/>
    <w:rsid w:val="003B3BEC"/>
    <w:rsid w:val="003B3C1E"/>
    <w:rsid w:val="003B3C72"/>
    <w:rsid w:val="003B3D30"/>
    <w:rsid w:val="003B3DB7"/>
    <w:rsid w:val="003B3DC1"/>
    <w:rsid w:val="003B3EFF"/>
    <w:rsid w:val="003B3F3C"/>
    <w:rsid w:val="003B40EF"/>
    <w:rsid w:val="003B42F5"/>
    <w:rsid w:val="003B4380"/>
    <w:rsid w:val="003B43CA"/>
    <w:rsid w:val="003B44D2"/>
    <w:rsid w:val="003B459C"/>
    <w:rsid w:val="003B4664"/>
    <w:rsid w:val="003B46F1"/>
    <w:rsid w:val="003B4758"/>
    <w:rsid w:val="003B4988"/>
    <w:rsid w:val="003B49FE"/>
    <w:rsid w:val="003B4A03"/>
    <w:rsid w:val="003B4A45"/>
    <w:rsid w:val="003B4A4F"/>
    <w:rsid w:val="003B4A52"/>
    <w:rsid w:val="003B4C48"/>
    <w:rsid w:val="003B4D43"/>
    <w:rsid w:val="003B50C5"/>
    <w:rsid w:val="003B50E9"/>
    <w:rsid w:val="003B5353"/>
    <w:rsid w:val="003B537F"/>
    <w:rsid w:val="003B5480"/>
    <w:rsid w:val="003B58A6"/>
    <w:rsid w:val="003B5911"/>
    <w:rsid w:val="003B59A0"/>
    <w:rsid w:val="003B59EC"/>
    <w:rsid w:val="003B5C22"/>
    <w:rsid w:val="003B5D74"/>
    <w:rsid w:val="003B5E5F"/>
    <w:rsid w:val="003B5F6E"/>
    <w:rsid w:val="003B5FE2"/>
    <w:rsid w:val="003B6046"/>
    <w:rsid w:val="003B628B"/>
    <w:rsid w:val="003B63AF"/>
    <w:rsid w:val="003B648C"/>
    <w:rsid w:val="003B672B"/>
    <w:rsid w:val="003B677E"/>
    <w:rsid w:val="003B67B5"/>
    <w:rsid w:val="003B681F"/>
    <w:rsid w:val="003B6860"/>
    <w:rsid w:val="003B68BF"/>
    <w:rsid w:val="003B68FB"/>
    <w:rsid w:val="003B6922"/>
    <w:rsid w:val="003B6941"/>
    <w:rsid w:val="003B6AFB"/>
    <w:rsid w:val="003B6BE7"/>
    <w:rsid w:val="003B6C1C"/>
    <w:rsid w:val="003B6C35"/>
    <w:rsid w:val="003B6D0C"/>
    <w:rsid w:val="003B6D6D"/>
    <w:rsid w:val="003B6DE6"/>
    <w:rsid w:val="003B6E76"/>
    <w:rsid w:val="003B6EBD"/>
    <w:rsid w:val="003B6EE4"/>
    <w:rsid w:val="003B70EE"/>
    <w:rsid w:val="003B7210"/>
    <w:rsid w:val="003B7270"/>
    <w:rsid w:val="003B7317"/>
    <w:rsid w:val="003B733C"/>
    <w:rsid w:val="003B734C"/>
    <w:rsid w:val="003B7451"/>
    <w:rsid w:val="003B7544"/>
    <w:rsid w:val="003B7597"/>
    <w:rsid w:val="003B75C8"/>
    <w:rsid w:val="003B75DF"/>
    <w:rsid w:val="003B7736"/>
    <w:rsid w:val="003B7800"/>
    <w:rsid w:val="003B7897"/>
    <w:rsid w:val="003B78FE"/>
    <w:rsid w:val="003B7A0C"/>
    <w:rsid w:val="003B7A65"/>
    <w:rsid w:val="003B7A9F"/>
    <w:rsid w:val="003B7D26"/>
    <w:rsid w:val="003B7E8B"/>
    <w:rsid w:val="003B7FCF"/>
    <w:rsid w:val="003C004B"/>
    <w:rsid w:val="003C00A7"/>
    <w:rsid w:val="003C0214"/>
    <w:rsid w:val="003C0418"/>
    <w:rsid w:val="003C0504"/>
    <w:rsid w:val="003C05F6"/>
    <w:rsid w:val="003C05FC"/>
    <w:rsid w:val="003C062F"/>
    <w:rsid w:val="003C0696"/>
    <w:rsid w:val="003C06A3"/>
    <w:rsid w:val="003C06C6"/>
    <w:rsid w:val="003C08E3"/>
    <w:rsid w:val="003C08F5"/>
    <w:rsid w:val="003C0990"/>
    <w:rsid w:val="003C09CF"/>
    <w:rsid w:val="003C0A59"/>
    <w:rsid w:val="003C0D29"/>
    <w:rsid w:val="003C0D30"/>
    <w:rsid w:val="003C0D3A"/>
    <w:rsid w:val="003C0EF0"/>
    <w:rsid w:val="003C108E"/>
    <w:rsid w:val="003C10A7"/>
    <w:rsid w:val="003C1169"/>
    <w:rsid w:val="003C121C"/>
    <w:rsid w:val="003C13F1"/>
    <w:rsid w:val="003C15BD"/>
    <w:rsid w:val="003C181E"/>
    <w:rsid w:val="003C189B"/>
    <w:rsid w:val="003C1945"/>
    <w:rsid w:val="003C195C"/>
    <w:rsid w:val="003C197E"/>
    <w:rsid w:val="003C19EB"/>
    <w:rsid w:val="003C1A07"/>
    <w:rsid w:val="003C1A42"/>
    <w:rsid w:val="003C1B33"/>
    <w:rsid w:val="003C1B9C"/>
    <w:rsid w:val="003C1BE2"/>
    <w:rsid w:val="003C1EE5"/>
    <w:rsid w:val="003C2389"/>
    <w:rsid w:val="003C2406"/>
    <w:rsid w:val="003C26CD"/>
    <w:rsid w:val="003C2887"/>
    <w:rsid w:val="003C2973"/>
    <w:rsid w:val="003C2AD5"/>
    <w:rsid w:val="003C2B0D"/>
    <w:rsid w:val="003C2C12"/>
    <w:rsid w:val="003C2C1F"/>
    <w:rsid w:val="003C2F22"/>
    <w:rsid w:val="003C2F3D"/>
    <w:rsid w:val="003C2F43"/>
    <w:rsid w:val="003C308B"/>
    <w:rsid w:val="003C3321"/>
    <w:rsid w:val="003C3475"/>
    <w:rsid w:val="003C35A4"/>
    <w:rsid w:val="003C35C7"/>
    <w:rsid w:val="003C373F"/>
    <w:rsid w:val="003C38DE"/>
    <w:rsid w:val="003C3983"/>
    <w:rsid w:val="003C3A54"/>
    <w:rsid w:val="003C3A65"/>
    <w:rsid w:val="003C3AD5"/>
    <w:rsid w:val="003C3B15"/>
    <w:rsid w:val="003C3CC8"/>
    <w:rsid w:val="003C3D4B"/>
    <w:rsid w:val="003C3D61"/>
    <w:rsid w:val="003C3DC2"/>
    <w:rsid w:val="003C3E84"/>
    <w:rsid w:val="003C3FD9"/>
    <w:rsid w:val="003C40B6"/>
    <w:rsid w:val="003C40DA"/>
    <w:rsid w:val="003C42FD"/>
    <w:rsid w:val="003C447B"/>
    <w:rsid w:val="003C447D"/>
    <w:rsid w:val="003C46AA"/>
    <w:rsid w:val="003C46FE"/>
    <w:rsid w:val="003C4838"/>
    <w:rsid w:val="003C4854"/>
    <w:rsid w:val="003C48FB"/>
    <w:rsid w:val="003C4A37"/>
    <w:rsid w:val="003C4AEF"/>
    <w:rsid w:val="003C4B94"/>
    <w:rsid w:val="003C4B99"/>
    <w:rsid w:val="003C4D81"/>
    <w:rsid w:val="003C4EAA"/>
    <w:rsid w:val="003C4F71"/>
    <w:rsid w:val="003C50E8"/>
    <w:rsid w:val="003C524C"/>
    <w:rsid w:val="003C560D"/>
    <w:rsid w:val="003C5625"/>
    <w:rsid w:val="003C562F"/>
    <w:rsid w:val="003C5630"/>
    <w:rsid w:val="003C5673"/>
    <w:rsid w:val="003C5737"/>
    <w:rsid w:val="003C5801"/>
    <w:rsid w:val="003C5864"/>
    <w:rsid w:val="003C5E20"/>
    <w:rsid w:val="003C5E69"/>
    <w:rsid w:val="003C6124"/>
    <w:rsid w:val="003C614C"/>
    <w:rsid w:val="003C61B1"/>
    <w:rsid w:val="003C61D5"/>
    <w:rsid w:val="003C62B5"/>
    <w:rsid w:val="003C630A"/>
    <w:rsid w:val="003C630E"/>
    <w:rsid w:val="003C6326"/>
    <w:rsid w:val="003C6354"/>
    <w:rsid w:val="003C639B"/>
    <w:rsid w:val="003C63CE"/>
    <w:rsid w:val="003C648E"/>
    <w:rsid w:val="003C64B7"/>
    <w:rsid w:val="003C66E7"/>
    <w:rsid w:val="003C66F9"/>
    <w:rsid w:val="003C6909"/>
    <w:rsid w:val="003C69AD"/>
    <w:rsid w:val="003C6A4E"/>
    <w:rsid w:val="003C6B69"/>
    <w:rsid w:val="003C6D4E"/>
    <w:rsid w:val="003C6E2C"/>
    <w:rsid w:val="003C6E78"/>
    <w:rsid w:val="003C6F20"/>
    <w:rsid w:val="003C70A4"/>
    <w:rsid w:val="003C7214"/>
    <w:rsid w:val="003C72C6"/>
    <w:rsid w:val="003C72D6"/>
    <w:rsid w:val="003C73F3"/>
    <w:rsid w:val="003C7479"/>
    <w:rsid w:val="003C75DE"/>
    <w:rsid w:val="003C7615"/>
    <w:rsid w:val="003C76A2"/>
    <w:rsid w:val="003C7719"/>
    <w:rsid w:val="003C7752"/>
    <w:rsid w:val="003C77AF"/>
    <w:rsid w:val="003C7817"/>
    <w:rsid w:val="003C7823"/>
    <w:rsid w:val="003C78C2"/>
    <w:rsid w:val="003C796A"/>
    <w:rsid w:val="003C797E"/>
    <w:rsid w:val="003C7AF5"/>
    <w:rsid w:val="003C7B49"/>
    <w:rsid w:val="003C7BB1"/>
    <w:rsid w:val="003C7DDE"/>
    <w:rsid w:val="003C7F0A"/>
    <w:rsid w:val="003D00D6"/>
    <w:rsid w:val="003D012E"/>
    <w:rsid w:val="003D024F"/>
    <w:rsid w:val="003D066F"/>
    <w:rsid w:val="003D0672"/>
    <w:rsid w:val="003D073D"/>
    <w:rsid w:val="003D07B3"/>
    <w:rsid w:val="003D0998"/>
    <w:rsid w:val="003D0A32"/>
    <w:rsid w:val="003D0B48"/>
    <w:rsid w:val="003D0B9D"/>
    <w:rsid w:val="003D0C17"/>
    <w:rsid w:val="003D0D70"/>
    <w:rsid w:val="003D0DFB"/>
    <w:rsid w:val="003D0E94"/>
    <w:rsid w:val="003D0FA9"/>
    <w:rsid w:val="003D101C"/>
    <w:rsid w:val="003D120A"/>
    <w:rsid w:val="003D128E"/>
    <w:rsid w:val="003D1291"/>
    <w:rsid w:val="003D13A8"/>
    <w:rsid w:val="003D13CA"/>
    <w:rsid w:val="003D1421"/>
    <w:rsid w:val="003D14BD"/>
    <w:rsid w:val="003D16EF"/>
    <w:rsid w:val="003D17D0"/>
    <w:rsid w:val="003D1812"/>
    <w:rsid w:val="003D1956"/>
    <w:rsid w:val="003D1A86"/>
    <w:rsid w:val="003D1D10"/>
    <w:rsid w:val="003D1D7B"/>
    <w:rsid w:val="003D1DC7"/>
    <w:rsid w:val="003D1E29"/>
    <w:rsid w:val="003D1E30"/>
    <w:rsid w:val="003D1E83"/>
    <w:rsid w:val="003D2042"/>
    <w:rsid w:val="003D2203"/>
    <w:rsid w:val="003D2232"/>
    <w:rsid w:val="003D229A"/>
    <w:rsid w:val="003D2408"/>
    <w:rsid w:val="003D24B1"/>
    <w:rsid w:val="003D259D"/>
    <w:rsid w:val="003D25F7"/>
    <w:rsid w:val="003D26A3"/>
    <w:rsid w:val="003D2888"/>
    <w:rsid w:val="003D296F"/>
    <w:rsid w:val="003D29F6"/>
    <w:rsid w:val="003D2A35"/>
    <w:rsid w:val="003D2C85"/>
    <w:rsid w:val="003D2E4B"/>
    <w:rsid w:val="003D2E82"/>
    <w:rsid w:val="003D2EAF"/>
    <w:rsid w:val="003D3008"/>
    <w:rsid w:val="003D3009"/>
    <w:rsid w:val="003D31AA"/>
    <w:rsid w:val="003D354B"/>
    <w:rsid w:val="003D35EC"/>
    <w:rsid w:val="003D3699"/>
    <w:rsid w:val="003D379A"/>
    <w:rsid w:val="003D39EA"/>
    <w:rsid w:val="003D3A4D"/>
    <w:rsid w:val="003D3AC1"/>
    <w:rsid w:val="003D3E6A"/>
    <w:rsid w:val="003D403B"/>
    <w:rsid w:val="003D43BD"/>
    <w:rsid w:val="003D446B"/>
    <w:rsid w:val="003D472B"/>
    <w:rsid w:val="003D4780"/>
    <w:rsid w:val="003D47E0"/>
    <w:rsid w:val="003D4998"/>
    <w:rsid w:val="003D4D0F"/>
    <w:rsid w:val="003D4DAD"/>
    <w:rsid w:val="003D4DB9"/>
    <w:rsid w:val="003D4E17"/>
    <w:rsid w:val="003D4EBB"/>
    <w:rsid w:val="003D5127"/>
    <w:rsid w:val="003D5369"/>
    <w:rsid w:val="003D53F0"/>
    <w:rsid w:val="003D5467"/>
    <w:rsid w:val="003D547F"/>
    <w:rsid w:val="003D56D5"/>
    <w:rsid w:val="003D56ED"/>
    <w:rsid w:val="003D577B"/>
    <w:rsid w:val="003D580E"/>
    <w:rsid w:val="003D5893"/>
    <w:rsid w:val="003D5A5F"/>
    <w:rsid w:val="003D5CD8"/>
    <w:rsid w:val="003D5DBA"/>
    <w:rsid w:val="003D5DE6"/>
    <w:rsid w:val="003D5E8D"/>
    <w:rsid w:val="003D5ED3"/>
    <w:rsid w:val="003D5F52"/>
    <w:rsid w:val="003D6086"/>
    <w:rsid w:val="003D6127"/>
    <w:rsid w:val="003D61AE"/>
    <w:rsid w:val="003D623B"/>
    <w:rsid w:val="003D6287"/>
    <w:rsid w:val="003D62BC"/>
    <w:rsid w:val="003D62C9"/>
    <w:rsid w:val="003D641F"/>
    <w:rsid w:val="003D643A"/>
    <w:rsid w:val="003D648C"/>
    <w:rsid w:val="003D649B"/>
    <w:rsid w:val="003D6539"/>
    <w:rsid w:val="003D6565"/>
    <w:rsid w:val="003D656A"/>
    <w:rsid w:val="003D6743"/>
    <w:rsid w:val="003D6817"/>
    <w:rsid w:val="003D6860"/>
    <w:rsid w:val="003D6878"/>
    <w:rsid w:val="003D68F0"/>
    <w:rsid w:val="003D6A29"/>
    <w:rsid w:val="003D6B0C"/>
    <w:rsid w:val="003D6BF2"/>
    <w:rsid w:val="003D6E0C"/>
    <w:rsid w:val="003D72C5"/>
    <w:rsid w:val="003D734D"/>
    <w:rsid w:val="003D738F"/>
    <w:rsid w:val="003D74DE"/>
    <w:rsid w:val="003D754B"/>
    <w:rsid w:val="003D75F9"/>
    <w:rsid w:val="003D76DF"/>
    <w:rsid w:val="003D76E3"/>
    <w:rsid w:val="003D778D"/>
    <w:rsid w:val="003D796B"/>
    <w:rsid w:val="003D7998"/>
    <w:rsid w:val="003D7A94"/>
    <w:rsid w:val="003D7C69"/>
    <w:rsid w:val="003D7D0B"/>
    <w:rsid w:val="003D7D4F"/>
    <w:rsid w:val="003D7DB5"/>
    <w:rsid w:val="003D7EF2"/>
    <w:rsid w:val="003E0152"/>
    <w:rsid w:val="003E01F4"/>
    <w:rsid w:val="003E0244"/>
    <w:rsid w:val="003E02FC"/>
    <w:rsid w:val="003E03CE"/>
    <w:rsid w:val="003E040F"/>
    <w:rsid w:val="003E0865"/>
    <w:rsid w:val="003E0A30"/>
    <w:rsid w:val="003E0ABE"/>
    <w:rsid w:val="003E0AC3"/>
    <w:rsid w:val="003E0B0C"/>
    <w:rsid w:val="003E0B3B"/>
    <w:rsid w:val="003E0B5C"/>
    <w:rsid w:val="003E0C70"/>
    <w:rsid w:val="003E0DA2"/>
    <w:rsid w:val="003E0E5C"/>
    <w:rsid w:val="003E0E94"/>
    <w:rsid w:val="003E0EC0"/>
    <w:rsid w:val="003E1060"/>
    <w:rsid w:val="003E112D"/>
    <w:rsid w:val="003E1383"/>
    <w:rsid w:val="003E13D1"/>
    <w:rsid w:val="003E1439"/>
    <w:rsid w:val="003E1513"/>
    <w:rsid w:val="003E15AF"/>
    <w:rsid w:val="003E17DA"/>
    <w:rsid w:val="003E1842"/>
    <w:rsid w:val="003E1953"/>
    <w:rsid w:val="003E1A15"/>
    <w:rsid w:val="003E1AEB"/>
    <w:rsid w:val="003E1BCF"/>
    <w:rsid w:val="003E1D62"/>
    <w:rsid w:val="003E1F75"/>
    <w:rsid w:val="003E1FA6"/>
    <w:rsid w:val="003E229B"/>
    <w:rsid w:val="003E22A6"/>
    <w:rsid w:val="003E2336"/>
    <w:rsid w:val="003E2390"/>
    <w:rsid w:val="003E23E3"/>
    <w:rsid w:val="003E25BF"/>
    <w:rsid w:val="003E27A5"/>
    <w:rsid w:val="003E27E2"/>
    <w:rsid w:val="003E297A"/>
    <w:rsid w:val="003E2B2F"/>
    <w:rsid w:val="003E2C56"/>
    <w:rsid w:val="003E2C8F"/>
    <w:rsid w:val="003E2D6E"/>
    <w:rsid w:val="003E2D8D"/>
    <w:rsid w:val="003E2E0D"/>
    <w:rsid w:val="003E2FDF"/>
    <w:rsid w:val="003E3010"/>
    <w:rsid w:val="003E30F7"/>
    <w:rsid w:val="003E312F"/>
    <w:rsid w:val="003E31AA"/>
    <w:rsid w:val="003E324B"/>
    <w:rsid w:val="003E329D"/>
    <w:rsid w:val="003E3582"/>
    <w:rsid w:val="003E361F"/>
    <w:rsid w:val="003E376B"/>
    <w:rsid w:val="003E3894"/>
    <w:rsid w:val="003E3970"/>
    <w:rsid w:val="003E3972"/>
    <w:rsid w:val="003E3AB7"/>
    <w:rsid w:val="003E3E22"/>
    <w:rsid w:val="003E3E8D"/>
    <w:rsid w:val="003E3F80"/>
    <w:rsid w:val="003E3FE6"/>
    <w:rsid w:val="003E40DA"/>
    <w:rsid w:val="003E419B"/>
    <w:rsid w:val="003E41CC"/>
    <w:rsid w:val="003E43A3"/>
    <w:rsid w:val="003E4459"/>
    <w:rsid w:val="003E44A3"/>
    <w:rsid w:val="003E44D7"/>
    <w:rsid w:val="003E45C1"/>
    <w:rsid w:val="003E45C2"/>
    <w:rsid w:val="003E4626"/>
    <w:rsid w:val="003E4852"/>
    <w:rsid w:val="003E488A"/>
    <w:rsid w:val="003E4A06"/>
    <w:rsid w:val="003E4A94"/>
    <w:rsid w:val="003E4E07"/>
    <w:rsid w:val="003E4E78"/>
    <w:rsid w:val="003E503F"/>
    <w:rsid w:val="003E53F7"/>
    <w:rsid w:val="003E59E4"/>
    <w:rsid w:val="003E5A24"/>
    <w:rsid w:val="003E5A3B"/>
    <w:rsid w:val="003E5A88"/>
    <w:rsid w:val="003E5AB5"/>
    <w:rsid w:val="003E5B34"/>
    <w:rsid w:val="003E5B75"/>
    <w:rsid w:val="003E5BD8"/>
    <w:rsid w:val="003E5CA3"/>
    <w:rsid w:val="003E5ED3"/>
    <w:rsid w:val="003E60A9"/>
    <w:rsid w:val="003E60F7"/>
    <w:rsid w:val="003E6110"/>
    <w:rsid w:val="003E6182"/>
    <w:rsid w:val="003E61B2"/>
    <w:rsid w:val="003E628B"/>
    <w:rsid w:val="003E62A8"/>
    <w:rsid w:val="003E62B6"/>
    <w:rsid w:val="003E63FB"/>
    <w:rsid w:val="003E6422"/>
    <w:rsid w:val="003E65FF"/>
    <w:rsid w:val="003E66BF"/>
    <w:rsid w:val="003E6A48"/>
    <w:rsid w:val="003E6BC7"/>
    <w:rsid w:val="003E6BEB"/>
    <w:rsid w:val="003E6C36"/>
    <w:rsid w:val="003E6C90"/>
    <w:rsid w:val="003E6CFF"/>
    <w:rsid w:val="003E6DBA"/>
    <w:rsid w:val="003E6E90"/>
    <w:rsid w:val="003E7075"/>
    <w:rsid w:val="003E71B9"/>
    <w:rsid w:val="003E726B"/>
    <w:rsid w:val="003E73C1"/>
    <w:rsid w:val="003E747D"/>
    <w:rsid w:val="003E7517"/>
    <w:rsid w:val="003E75C4"/>
    <w:rsid w:val="003E7696"/>
    <w:rsid w:val="003E76C9"/>
    <w:rsid w:val="003E7775"/>
    <w:rsid w:val="003E7811"/>
    <w:rsid w:val="003E78C5"/>
    <w:rsid w:val="003E7901"/>
    <w:rsid w:val="003E7903"/>
    <w:rsid w:val="003E7933"/>
    <w:rsid w:val="003E7B09"/>
    <w:rsid w:val="003E7B92"/>
    <w:rsid w:val="003E7C3B"/>
    <w:rsid w:val="003E7D13"/>
    <w:rsid w:val="003E7E1C"/>
    <w:rsid w:val="003E7E82"/>
    <w:rsid w:val="003E7EBB"/>
    <w:rsid w:val="003E7F17"/>
    <w:rsid w:val="003F0002"/>
    <w:rsid w:val="003F0075"/>
    <w:rsid w:val="003F01A5"/>
    <w:rsid w:val="003F021C"/>
    <w:rsid w:val="003F024D"/>
    <w:rsid w:val="003F0521"/>
    <w:rsid w:val="003F05EA"/>
    <w:rsid w:val="003F061A"/>
    <w:rsid w:val="003F0627"/>
    <w:rsid w:val="003F070C"/>
    <w:rsid w:val="003F097E"/>
    <w:rsid w:val="003F0A0B"/>
    <w:rsid w:val="003F0A23"/>
    <w:rsid w:val="003F0A71"/>
    <w:rsid w:val="003F0AC9"/>
    <w:rsid w:val="003F0BB0"/>
    <w:rsid w:val="003F0D8C"/>
    <w:rsid w:val="003F0E29"/>
    <w:rsid w:val="003F0E7D"/>
    <w:rsid w:val="003F0EFC"/>
    <w:rsid w:val="003F0F05"/>
    <w:rsid w:val="003F0F0F"/>
    <w:rsid w:val="003F107F"/>
    <w:rsid w:val="003F11BB"/>
    <w:rsid w:val="003F11BD"/>
    <w:rsid w:val="003F12F0"/>
    <w:rsid w:val="003F1324"/>
    <w:rsid w:val="003F14A3"/>
    <w:rsid w:val="003F152E"/>
    <w:rsid w:val="003F17DD"/>
    <w:rsid w:val="003F1806"/>
    <w:rsid w:val="003F188D"/>
    <w:rsid w:val="003F1963"/>
    <w:rsid w:val="003F19FC"/>
    <w:rsid w:val="003F1A4E"/>
    <w:rsid w:val="003F1B80"/>
    <w:rsid w:val="003F1BA7"/>
    <w:rsid w:val="003F1BD3"/>
    <w:rsid w:val="003F1C18"/>
    <w:rsid w:val="003F1CA3"/>
    <w:rsid w:val="003F1D87"/>
    <w:rsid w:val="003F1F13"/>
    <w:rsid w:val="003F1FA7"/>
    <w:rsid w:val="003F1FBD"/>
    <w:rsid w:val="003F22FC"/>
    <w:rsid w:val="003F2402"/>
    <w:rsid w:val="003F26E9"/>
    <w:rsid w:val="003F2A43"/>
    <w:rsid w:val="003F2A82"/>
    <w:rsid w:val="003F2B19"/>
    <w:rsid w:val="003F2C2C"/>
    <w:rsid w:val="003F2C44"/>
    <w:rsid w:val="003F2C48"/>
    <w:rsid w:val="003F2DB5"/>
    <w:rsid w:val="003F2EDC"/>
    <w:rsid w:val="003F2EF0"/>
    <w:rsid w:val="003F2FCD"/>
    <w:rsid w:val="003F3180"/>
    <w:rsid w:val="003F3189"/>
    <w:rsid w:val="003F31C1"/>
    <w:rsid w:val="003F3217"/>
    <w:rsid w:val="003F323F"/>
    <w:rsid w:val="003F3547"/>
    <w:rsid w:val="003F375B"/>
    <w:rsid w:val="003F37DB"/>
    <w:rsid w:val="003F37E7"/>
    <w:rsid w:val="003F3928"/>
    <w:rsid w:val="003F39B0"/>
    <w:rsid w:val="003F3B05"/>
    <w:rsid w:val="003F3C4A"/>
    <w:rsid w:val="003F3CBB"/>
    <w:rsid w:val="003F3D86"/>
    <w:rsid w:val="003F3DD3"/>
    <w:rsid w:val="003F3DE9"/>
    <w:rsid w:val="003F3EE6"/>
    <w:rsid w:val="003F3F30"/>
    <w:rsid w:val="003F3F49"/>
    <w:rsid w:val="003F3FC6"/>
    <w:rsid w:val="003F404E"/>
    <w:rsid w:val="003F43A9"/>
    <w:rsid w:val="003F4412"/>
    <w:rsid w:val="003F442A"/>
    <w:rsid w:val="003F4437"/>
    <w:rsid w:val="003F459D"/>
    <w:rsid w:val="003F473D"/>
    <w:rsid w:val="003F4795"/>
    <w:rsid w:val="003F4904"/>
    <w:rsid w:val="003F4965"/>
    <w:rsid w:val="003F4976"/>
    <w:rsid w:val="003F4A58"/>
    <w:rsid w:val="003F4A67"/>
    <w:rsid w:val="003F4BA8"/>
    <w:rsid w:val="003F4D63"/>
    <w:rsid w:val="003F4F41"/>
    <w:rsid w:val="003F517B"/>
    <w:rsid w:val="003F51FB"/>
    <w:rsid w:val="003F5270"/>
    <w:rsid w:val="003F52DA"/>
    <w:rsid w:val="003F535E"/>
    <w:rsid w:val="003F53B5"/>
    <w:rsid w:val="003F566E"/>
    <w:rsid w:val="003F56AB"/>
    <w:rsid w:val="003F56F1"/>
    <w:rsid w:val="003F57B6"/>
    <w:rsid w:val="003F5815"/>
    <w:rsid w:val="003F58CD"/>
    <w:rsid w:val="003F590D"/>
    <w:rsid w:val="003F5A8B"/>
    <w:rsid w:val="003F5A98"/>
    <w:rsid w:val="003F5BDF"/>
    <w:rsid w:val="003F5BEE"/>
    <w:rsid w:val="003F5C00"/>
    <w:rsid w:val="003F5D80"/>
    <w:rsid w:val="003F5EFD"/>
    <w:rsid w:val="003F63F8"/>
    <w:rsid w:val="003F64FF"/>
    <w:rsid w:val="003F6565"/>
    <w:rsid w:val="003F659B"/>
    <w:rsid w:val="003F6A05"/>
    <w:rsid w:val="003F6ADF"/>
    <w:rsid w:val="003F6BBD"/>
    <w:rsid w:val="003F6C13"/>
    <w:rsid w:val="003F6DA2"/>
    <w:rsid w:val="003F6EAD"/>
    <w:rsid w:val="003F6F1A"/>
    <w:rsid w:val="003F7036"/>
    <w:rsid w:val="003F70CA"/>
    <w:rsid w:val="003F716A"/>
    <w:rsid w:val="003F7326"/>
    <w:rsid w:val="003F74B3"/>
    <w:rsid w:val="003F7637"/>
    <w:rsid w:val="003F76CC"/>
    <w:rsid w:val="003F790C"/>
    <w:rsid w:val="003F7964"/>
    <w:rsid w:val="003F7968"/>
    <w:rsid w:val="003F7A50"/>
    <w:rsid w:val="003F7AE8"/>
    <w:rsid w:val="003F7AFF"/>
    <w:rsid w:val="003F7CD5"/>
    <w:rsid w:val="003F7D7E"/>
    <w:rsid w:val="003F7DBA"/>
    <w:rsid w:val="003F7EF0"/>
    <w:rsid w:val="004000BA"/>
    <w:rsid w:val="00400181"/>
    <w:rsid w:val="00400205"/>
    <w:rsid w:val="004002A6"/>
    <w:rsid w:val="004002C1"/>
    <w:rsid w:val="004003E8"/>
    <w:rsid w:val="004009D5"/>
    <w:rsid w:val="00400ADC"/>
    <w:rsid w:val="00400ADE"/>
    <w:rsid w:val="00400B13"/>
    <w:rsid w:val="00400B3D"/>
    <w:rsid w:val="00400CE2"/>
    <w:rsid w:val="00400DEC"/>
    <w:rsid w:val="00400EE0"/>
    <w:rsid w:val="00400F06"/>
    <w:rsid w:val="00400F9D"/>
    <w:rsid w:val="0040108B"/>
    <w:rsid w:val="004010FD"/>
    <w:rsid w:val="0040118D"/>
    <w:rsid w:val="004012D7"/>
    <w:rsid w:val="0040134E"/>
    <w:rsid w:val="00401660"/>
    <w:rsid w:val="004016AD"/>
    <w:rsid w:val="004016BF"/>
    <w:rsid w:val="0040171F"/>
    <w:rsid w:val="00401840"/>
    <w:rsid w:val="004018DB"/>
    <w:rsid w:val="00401A45"/>
    <w:rsid w:val="00401A9A"/>
    <w:rsid w:val="00401C5D"/>
    <w:rsid w:val="00401C7D"/>
    <w:rsid w:val="00401C9F"/>
    <w:rsid w:val="00401DE3"/>
    <w:rsid w:val="00401DF7"/>
    <w:rsid w:val="00401E24"/>
    <w:rsid w:val="00401E67"/>
    <w:rsid w:val="00401F5B"/>
    <w:rsid w:val="00401FA6"/>
    <w:rsid w:val="004020B2"/>
    <w:rsid w:val="00402339"/>
    <w:rsid w:val="00402655"/>
    <w:rsid w:val="00402659"/>
    <w:rsid w:val="004027DE"/>
    <w:rsid w:val="00402892"/>
    <w:rsid w:val="004028DD"/>
    <w:rsid w:val="004029F4"/>
    <w:rsid w:val="00402A87"/>
    <w:rsid w:val="00402AED"/>
    <w:rsid w:val="00402B42"/>
    <w:rsid w:val="00402DDA"/>
    <w:rsid w:val="004030EE"/>
    <w:rsid w:val="0040311E"/>
    <w:rsid w:val="00403125"/>
    <w:rsid w:val="00403169"/>
    <w:rsid w:val="00403189"/>
    <w:rsid w:val="00403257"/>
    <w:rsid w:val="004032BC"/>
    <w:rsid w:val="00403429"/>
    <w:rsid w:val="00403463"/>
    <w:rsid w:val="004034AA"/>
    <w:rsid w:val="0040353E"/>
    <w:rsid w:val="00403735"/>
    <w:rsid w:val="00403789"/>
    <w:rsid w:val="004039F0"/>
    <w:rsid w:val="00403B0C"/>
    <w:rsid w:val="00403B47"/>
    <w:rsid w:val="00403B54"/>
    <w:rsid w:val="00403D61"/>
    <w:rsid w:val="00403EEB"/>
    <w:rsid w:val="0040404A"/>
    <w:rsid w:val="00404146"/>
    <w:rsid w:val="00404177"/>
    <w:rsid w:val="00404193"/>
    <w:rsid w:val="004041BB"/>
    <w:rsid w:val="00404264"/>
    <w:rsid w:val="0040431F"/>
    <w:rsid w:val="0040432C"/>
    <w:rsid w:val="004043DF"/>
    <w:rsid w:val="0040441E"/>
    <w:rsid w:val="00404693"/>
    <w:rsid w:val="0040475F"/>
    <w:rsid w:val="0040477D"/>
    <w:rsid w:val="004047AC"/>
    <w:rsid w:val="004047FD"/>
    <w:rsid w:val="00404832"/>
    <w:rsid w:val="0040491D"/>
    <w:rsid w:val="004049E1"/>
    <w:rsid w:val="00404CC7"/>
    <w:rsid w:val="00404F19"/>
    <w:rsid w:val="0040505A"/>
    <w:rsid w:val="004051C2"/>
    <w:rsid w:val="004051FE"/>
    <w:rsid w:val="00405284"/>
    <w:rsid w:val="00405527"/>
    <w:rsid w:val="0040558D"/>
    <w:rsid w:val="004055BA"/>
    <w:rsid w:val="004055E8"/>
    <w:rsid w:val="00405702"/>
    <w:rsid w:val="00405727"/>
    <w:rsid w:val="00405A41"/>
    <w:rsid w:val="00405A7E"/>
    <w:rsid w:val="00405C09"/>
    <w:rsid w:val="00405CF9"/>
    <w:rsid w:val="00405D12"/>
    <w:rsid w:val="00405D57"/>
    <w:rsid w:val="00405EA3"/>
    <w:rsid w:val="00405F11"/>
    <w:rsid w:val="00406351"/>
    <w:rsid w:val="00406477"/>
    <w:rsid w:val="0040659E"/>
    <w:rsid w:val="004066B1"/>
    <w:rsid w:val="00406B6C"/>
    <w:rsid w:val="00406BC3"/>
    <w:rsid w:val="00406CFF"/>
    <w:rsid w:val="00406D31"/>
    <w:rsid w:val="00406EA8"/>
    <w:rsid w:val="00406F58"/>
    <w:rsid w:val="0040704D"/>
    <w:rsid w:val="004070AA"/>
    <w:rsid w:val="00407135"/>
    <w:rsid w:val="0040744A"/>
    <w:rsid w:val="0040746C"/>
    <w:rsid w:val="004074BE"/>
    <w:rsid w:val="004074E8"/>
    <w:rsid w:val="00407544"/>
    <w:rsid w:val="004075FB"/>
    <w:rsid w:val="0040764F"/>
    <w:rsid w:val="004076D9"/>
    <w:rsid w:val="004077B5"/>
    <w:rsid w:val="004077DC"/>
    <w:rsid w:val="00407899"/>
    <w:rsid w:val="00407AB6"/>
    <w:rsid w:val="00407B57"/>
    <w:rsid w:val="00407CC0"/>
    <w:rsid w:val="00407ECD"/>
    <w:rsid w:val="00407FD2"/>
    <w:rsid w:val="004100E5"/>
    <w:rsid w:val="00410117"/>
    <w:rsid w:val="0041013F"/>
    <w:rsid w:val="00410151"/>
    <w:rsid w:val="00410179"/>
    <w:rsid w:val="0041029B"/>
    <w:rsid w:val="00410352"/>
    <w:rsid w:val="004103CE"/>
    <w:rsid w:val="0041051F"/>
    <w:rsid w:val="00410530"/>
    <w:rsid w:val="004105BF"/>
    <w:rsid w:val="004107A2"/>
    <w:rsid w:val="0041084C"/>
    <w:rsid w:val="004109E8"/>
    <w:rsid w:val="00410A34"/>
    <w:rsid w:val="00410A64"/>
    <w:rsid w:val="00410CB7"/>
    <w:rsid w:val="00410D91"/>
    <w:rsid w:val="00410E66"/>
    <w:rsid w:val="00410E6E"/>
    <w:rsid w:val="00410ED4"/>
    <w:rsid w:val="00410FC7"/>
    <w:rsid w:val="0041102B"/>
    <w:rsid w:val="00411150"/>
    <w:rsid w:val="004112B2"/>
    <w:rsid w:val="00411382"/>
    <w:rsid w:val="00411400"/>
    <w:rsid w:val="00411559"/>
    <w:rsid w:val="004115DC"/>
    <w:rsid w:val="00411649"/>
    <w:rsid w:val="004116D7"/>
    <w:rsid w:val="004118BB"/>
    <w:rsid w:val="00411949"/>
    <w:rsid w:val="0041196E"/>
    <w:rsid w:val="00411BE8"/>
    <w:rsid w:val="00411CE9"/>
    <w:rsid w:val="00411D65"/>
    <w:rsid w:val="00411DC3"/>
    <w:rsid w:val="00411DC7"/>
    <w:rsid w:val="00411EB5"/>
    <w:rsid w:val="00411EC9"/>
    <w:rsid w:val="00411F0A"/>
    <w:rsid w:val="00411FA7"/>
    <w:rsid w:val="004120F5"/>
    <w:rsid w:val="0041215C"/>
    <w:rsid w:val="004121C7"/>
    <w:rsid w:val="004122E6"/>
    <w:rsid w:val="00412395"/>
    <w:rsid w:val="00412476"/>
    <w:rsid w:val="00412553"/>
    <w:rsid w:val="0041264D"/>
    <w:rsid w:val="0041278C"/>
    <w:rsid w:val="00412B4C"/>
    <w:rsid w:val="00412BE7"/>
    <w:rsid w:val="00412C7E"/>
    <w:rsid w:val="00412CC5"/>
    <w:rsid w:val="00412F1D"/>
    <w:rsid w:val="00413136"/>
    <w:rsid w:val="004131AC"/>
    <w:rsid w:val="004131DA"/>
    <w:rsid w:val="00413223"/>
    <w:rsid w:val="00413334"/>
    <w:rsid w:val="0041333B"/>
    <w:rsid w:val="00413392"/>
    <w:rsid w:val="00413410"/>
    <w:rsid w:val="004134DD"/>
    <w:rsid w:val="00413511"/>
    <w:rsid w:val="0041357C"/>
    <w:rsid w:val="0041367E"/>
    <w:rsid w:val="004137C2"/>
    <w:rsid w:val="0041398F"/>
    <w:rsid w:val="004139AB"/>
    <w:rsid w:val="00413B03"/>
    <w:rsid w:val="00413DA2"/>
    <w:rsid w:val="00413E3A"/>
    <w:rsid w:val="00413E86"/>
    <w:rsid w:val="00413ED3"/>
    <w:rsid w:val="00413EE7"/>
    <w:rsid w:val="00413F80"/>
    <w:rsid w:val="0041405B"/>
    <w:rsid w:val="00414074"/>
    <w:rsid w:val="004140E0"/>
    <w:rsid w:val="0041412C"/>
    <w:rsid w:val="00414196"/>
    <w:rsid w:val="00414364"/>
    <w:rsid w:val="00414424"/>
    <w:rsid w:val="00414501"/>
    <w:rsid w:val="0041450D"/>
    <w:rsid w:val="00414672"/>
    <w:rsid w:val="004146A3"/>
    <w:rsid w:val="004147D7"/>
    <w:rsid w:val="0041481E"/>
    <w:rsid w:val="00414AD5"/>
    <w:rsid w:val="00414BB3"/>
    <w:rsid w:val="00414EE5"/>
    <w:rsid w:val="00414F83"/>
    <w:rsid w:val="0041509B"/>
    <w:rsid w:val="0041517D"/>
    <w:rsid w:val="00415357"/>
    <w:rsid w:val="004153A2"/>
    <w:rsid w:val="00415483"/>
    <w:rsid w:val="004154F5"/>
    <w:rsid w:val="00415586"/>
    <w:rsid w:val="004156C1"/>
    <w:rsid w:val="004156D7"/>
    <w:rsid w:val="00415715"/>
    <w:rsid w:val="00415798"/>
    <w:rsid w:val="0041587C"/>
    <w:rsid w:val="004158B4"/>
    <w:rsid w:val="00415AE2"/>
    <w:rsid w:val="00415AF5"/>
    <w:rsid w:val="00415C8A"/>
    <w:rsid w:val="00415C8F"/>
    <w:rsid w:val="00415DEF"/>
    <w:rsid w:val="00415DF5"/>
    <w:rsid w:val="00415ED6"/>
    <w:rsid w:val="00415F14"/>
    <w:rsid w:val="00415F70"/>
    <w:rsid w:val="00416024"/>
    <w:rsid w:val="00416170"/>
    <w:rsid w:val="00416225"/>
    <w:rsid w:val="004162E7"/>
    <w:rsid w:val="0041632A"/>
    <w:rsid w:val="00416399"/>
    <w:rsid w:val="00416423"/>
    <w:rsid w:val="00416437"/>
    <w:rsid w:val="004164B0"/>
    <w:rsid w:val="004165A1"/>
    <w:rsid w:val="00416850"/>
    <w:rsid w:val="004169A9"/>
    <w:rsid w:val="004169E6"/>
    <w:rsid w:val="00416B55"/>
    <w:rsid w:val="00416DA2"/>
    <w:rsid w:val="00416DC1"/>
    <w:rsid w:val="00416DF7"/>
    <w:rsid w:val="00416F77"/>
    <w:rsid w:val="00416FFC"/>
    <w:rsid w:val="004170F8"/>
    <w:rsid w:val="00417185"/>
    <w:rsid w:val="004172CA"/>
    <w:rsid w:val="0041733B"/>
    <w:rsid w:val="00417552"/>
    <w:rsid w:val="004175FD"/>
    <w:rsid w:val="004176DE"/>
    <w:rsid w:val="00417738"/>
    <w:rsid w:val="00417823"/>
    <w:rsid w:val="00417843"/>
    <w:rsid w:val="00417969"/>
    <w:rsid w:val="00417987"/>
    <w:rsid w:val="00417A94"/>
    <w:rsid w:val="00417B2E"/>
    <w:rsid w:val="00417C6E"/>
    <w:rsid w:val="00417C92"/>
    <w:rsid w:val="00417C9F"/>
    <w:rsid w:val="00417CA2"/>
    <w:rsid w:val="00417D20"/>
    <w:rsid w:val="00417F1A"/>
    <w:rsid w:val="00417FBF"/>
    <w:rsid w:val="004200BA"/>
    <w:rsid w:val="004200D1"/>
    <w:rsid w:val="004200F0"/>
    <w:rsid w:val="0042039D"/>
    <w:rsid w:val="00420405"/>
    <w:rsid w:val="00420420"/>
    <w:rsid w:val="00420666"/>
    <w:rsid w:val="004206E3"/>
    <w:rsid w:val="00420748"/>
    <w:rsid w:val="00420816"/>
    <w:rsid w:val="00420A90"/>
    <w:rsid w:val="00420A92"/>
    <w:rsid w:val="00420ADF"/>
    <w:rsid w:val="00420CC0"/>
    <w:rsid w:val="00420CD4"/>
    <w:rsid w:val="00420D57"/>
    <w:rsid w:val="00420E99"/>
    <w:rsid w:val="00420EDB"/>
    <w:rsid w:val="00420F5F"/>
    <w:rsid w:val="00421023"/>
    <w:rsid w:val="00421032"/>
    <w:rsid w:val="0042113B"/>
    <w:rsid w:val="00421149"/>
    <w:rsid w:val="004211C7"/>
    <w:rsid w:val="00421239"/>
    <w:rsid w:val="0042132B"/>
    <w:rsid w:val="004215D3"/>
    <w:rsid w:val="0042179E"/>
    <w:rsid w:val="00421BD4"/>
    <w:rsid w:val="00421C13"/>
    <w:rsid w:val="00421C39"/>
    <w:rsid w:val="00421CE9"/>
    <w:rsid w:val="00421D43"/>
    <w:rsid w:val="00421EB6"/>
    <w:rsid w:val="00421F1D"/>
    <w:rsid w:val="00422154"/>
    <w:rsid w:val="0042219C"/>
    <w:rsid w:val="00422264"/>
    <w:rsid w:val="0042246B"/>
    <w:rsid w:val="004224A1"/>
    <w:rsid w:val="004224EE"/>
    <w:rsid w:val="0042260D"/>
    <w:rsid w:val="00422698"/>
    <w:rsid w:val="004226BF"/>
    <w:rsid w:val="0042270D"/>
    <w:rsid w:val="0042273A"/>
    <w:rsid w:val="00422A3C"/>
    <w:rsid w:val="00422C25"/>
    <w:rsid w:val="00422C8D"/>
    <w:rsid w:val="00422CAC"/>
    <w:rsid w:val="00422CCB"/>
    <w:rsid w:val="00422E6A"/>
    <w:rsid w:val="00422F28"/>
    <w:rsid w:val="004230D8"/>
    <w:rsid w:val="00423124"/>
    <w:rsid w:val="004231C5"/>
    <w:rsid w:val="0042349A"/>
    <w:rsid w:val="00423517"/>
    <w:rsid w:val="004235A9"/>
    <w:rsid w:val="004235F2"/>
    <w:rsid w:val="00423730"/>
    <w:rsid w:val="0042391D"/>
    <w:rsid w:val="0042398E"/>
    <w:rsid w:val="004239F9"/>
    <w:rsid w:val="00423A31"/>
    <w:rsid w:val="00423BAA"/>
    <w:rsid w:val="00423D4D"/>
    <w:rsid w:val="00423E47"/>
    <w:rsid w:val="00423FFB"/>
    <w:rsid w:val="00424005"/>
    <w:rsid w:val="00424017"/>
    <w:rsid w:val="00424221"/>
    <w:rsid w:val="00424275"/>
    <w:rsid w:val="00424496"/>
    <w:rsid w:val="004244B2"/>
    <w:rsid w:val="00424719"/>
    <w:rsid w:val="00424769"/>
    <w:rsid w:val="004247D7"/>
    <w:rsid w:val="004248B1"/>
    <w:rsid w:val="00424E95"/>
    <w:rsid w:val="00424F5F"/>
    <w:rsid w:val="00424FF4"/>
    <w:rsid w:val="0042501D"/>
    <w:rsid w:val="004251A0"/>
    <w:rsid w:val="004251CF"/>
    <w:rsid w:val="004252A0"/>
    <w:rsid w:val="004254B5"/>
    <w:rsid w:val="0042556A"/>
    <w:rsid w:val="00425590"/>
    <w:rsid w:val="00425592"/>
    <w:rsid w:val="004256E3"/>
    <w:rsid w:val="004256F9"/>
    <w:rsid w:val="00425803"/>
    <w:rsid w:val="00425833"/>
    <w:rsid w:val="0042583C"/>
    <w:rsid w:val="0042585D"/>
    <w:rsid w:val="00425B20"/>
    <w:rsid w:val="00425C33"/>
    <w:rsid w:val="00425CB8"/>
    <w:rsid w:val="00425CDE"/>
    <w:rsid w:val="00425DBB"/>
    <w:rsid w:val="00425DC2"/>
    <w:rsid w:val="00425FEE"/>
    <w:rsid w:val="00426018"/>
    <w:rsid w:val="00426089"/>
    <w:rsid w:val="0042615F"/>
    <w:rsid w:val="00426193"/>
    <w:rsid w:val="00426197"/>
    <w:rsid w:val="004261B1"/>
    <w:rsid w:val="00426210"/>
    <w:rsid w:val="00426402"/>
    <w:rsid w:val="00426513"/>
    <w:rsid w:val="004266EA"/>
    <w:rsid w:val="004269B7"/>
    <w:rsid w:val="004269E3"/>
    <w:rsid w:val="00426AA6"/>
    <w:rsid w:val="00426AFF"/>
    <w:rsid w:val="00426C03"/>
    <w:rsid w:val="00426DC4"/>
    <w:rsid w:val="00426DE9"/>
    <w:rsid w:val="00426E97"/>
    <w:rsid w:val="00426F28"/>
    <w:rsid w:val="00426FAD"/>
    <w:rsid w:val="00427188"/>
    <w:rsid w:val="004271EA"/>
    <w:rsid w:val="004271FB"/>
    <w:rsid w:val="0042726E"/>
    <w:rsid w:val="004272D4"/>
    <w:rsid w:val="004274A3"/>
    <w:rsid w:val="004275C6"/>
    <w:rsid w:val="00427721"/>
    <w:rsid w:val="004277A6"/>
    <w:rsid w:val="00427A69"/>
    <w:rsid w:val="00427AA4"/>
    <w:rsid w:val="00427E9F"/>
    <w:rsid w:val="00427EC1"/>
    <w:rsid w:val="00427F78"/>
    <w:rsid w:val="0043003F"/>
    <w:rsid w:val="00430040"/>
    <w:rsid w:val="004300D6"/>
    <w:rsid w:val="004301FD"/>
    <w:rsid w:val="00430454"/>
    <w:rsid w:val="00430521"/>
    <w:rsid w:val="004305B0"/>
    <w:rsid w:val="004306FD"/>
    <w:rsid w:val="0043075A"/>
    <w:rsid w:val="004307B0"/>
    <w:rsid w:val="004308CC"/>
    <w:rsid w:val="00430A7A"/>
    <w:rsid w:val="00430B85"/>
    <w:rsid w:val="00430C7B"/>
    <w:rsid w:val="00430CFF"/>
    <w:rsid w:val="00430E5D"/>
    <w:rsid w:val="00430F39"/>
    <w:rsid w:val="00430FF2"/>
    <w:rsid w:val="0043111C"/>
    <w:rsid w:val="0043128D"/>
    <w:rsid w:val="004312B4"/>
    <w:rsid w:val="004314CE"/>
    <w:rsid w:val="00431503"/>
    <w:rsid w:val="00431541"/>
    <w:rsid w:val="00431557"/>
    <w:rsid w:val="004315F1"/>
    <w:rsid w:val="0043162F"/>
    <w:rsid w:val="00431761"/>
    <w:rsid w:val="0043192A"/>
    <w:rsid w:val="00431A7B"/>
    <w:rsid w:val="00431B6C"/>
    <w:rsid w:val="00431C31"/>
    <w:rsid w:val="00431F04"/>
    <w:rsid w:val="00432016"/>
    <w:rsid w:val="0043208B"/>
    <w:rsid w:val="00432178"/>
    <w:rsid w:val="00432289"/>
    <w:rsid w:val="00432347"/>
    <w:rsid w:val="00432349"/>
    <w:rsid w:val="00432352"/>
    <w:rsid w:val="0043254D"/>
    <w:rsid w:val="00432550"/>
    <w:rsid w:val="0043278B"/>
    <w:rsid w:val="004327BF"/>
    <w:rsid w:val="0043289C"/>
    <w:rsid w:val="00432931"/>
    <w:rsid w:val="004329A6"/>
    <w:rsid w:val="00432A9E"/>
    <w:rsid w:val="00432ADD"/>
    <w:rsid w:val="00432DC2"/>
    <w:rsid w:val="00432F59"/>
    <w:rsid w:val="00433002"/>
    <w:rsid w:val="00433037"/>
    <w:rsid w:val="004331A3"/>
    <w:rsid w:val="004331D1"/>
    <w:rsid w:val="00433271"/>
    <w:rsid w:val="0043329F"/>
    <w:rsid w:val="004332F9"/>
    <w:rsid w:val="004333D6"/>
    <w:rsid w:val="00433518"/>
    <w:rsid w:val="0043360E"/>
    <w:rsid w:val="00433788"/>
    <w:rsid w:val="0043383E"/>
    <w:rsid w:val="00433924"/>
    <w:rsid w:val="0043394C"/>
    <w:rsid w:val="00433A0F"/>
    <w:rsid w:val="00433B7B"/>
    <w:rsid w:val="00433BB7"/>
    <w:rsid w:val="00433C9D"/>
    <w:rsid w:val="00433CBD"/>
    <w:rsid w:val="00433D9F"/>
    <w:rsid w:val="00433EB8"/>
    <w:rsid w:val="00434014"/>
    <w:rsid w:val="0043414E"/>
    <w:rsid w:val="00434210"/>
    <w:rsid w:val="0043426D"/>
    <w:rsid w:val="004344B5"/>
    <w:rsid w:val="004346A9"/>
    <w:rsid w:val="004346E1"/>
    <w:rsid w:val="00434731"/>
    <w:rsid w:val="004349E7"/>
    <w:rsid w:val="00434A1A"/>
    <w:rsid w:val="00434A6C"/>
    <w:rsid w:val="00434B44"/>
    <w:rsid w:val="00434B96"/>
    <w:rsid w:val="00434C5D"/>
    <w:rsid w:val="00434C62"/>
    <w:rsid w:val="00434C8D"/>
    <w:rsid w:val="00434D3A"/>
    <w:rsid w:val="00434DA7"/>
    <w:rsid w:val="00434E96"/>
    <w:rsid w:val="00435041"/>
    <w:rsid w:val="00435104"/>
    <w:rsid w:val="0043515D"/>
    <w:rsid w:val="0043524B"/>
    <w:rsid w:val="004352CD"/>
    <w:rsid w:val="00435370"/>
    <w:rsid w:val="004353B4"/>
    <w:rsid w:val="00435424"/>
    <w:rsid w:val="0043544F"/>
    <w:rsid w:val="0043557C"/>
    <w:rsid w:val="004355EB"/>
    <w:rsid w:val="004357C1"/>
    <w:rsid w:val="004358A2"/>
    <w:rsid w:val="004358E3"/>
    <w:rsid w:val="00435923"/>
    <w:rsid w:val="00435CAE"/>
    <w:rsid w:val="00435ED1"/>
    <w:rsid w:val="0043628B"/>
    <w:rsid w:val="004362E3"/>
    <w:rsid w:val="00436314"/>
    <w:rsid w:val="004363F2"/>
    <w:rsid w:val="00436632"/>
    <w:rsid w:val="004366F0"/>
    <w:rsid w:val="00436708"/>
    <w:rsid w:val="00436745"/>
    <w:rsid w:val="00436A20"/>
    <w:rsid w:val="00436BA0"/>
    <w:rsid w:val="00436C82"/>
    <w:rsid w:val="00436CED"/>
    <w:rsid w:val="00436F56"/>
    <w:rsid w:val="00436FD0"/>
    <w:rsid w:val="00437052"/>
    <w:rsid w:val="004370F4"/>
    <w:rsid w:val="00437141"/>
    <w:rsid w:val="004372EF"/>
    <w:rsid w:val="0043739A"/>
    <w:rsid w:val="0043745C"/>
    <w:rsid w:val="00437510"/>
    <w:rsid w:val="0043773A"/>
    <w:rsid w:val="0043776E"/>
    <w:rsid w:val="004377A9"/>
    <w:rsid w:val="00437922"/>
    <w:rsid w:val="00437966"/>
    <w:rsid w:val="004379EA"/>
    <w:rsid w:val="00437A28"/>
    <w:rsid w:val="00437AEB"/>
    <w:rsid w:val="00437B3B"/>
    <w:rsid w:val="00437BA1"/>
    <w:rsid w:val="00437BB4"/>
    <w:rsid w:val="00437C39"/>
    <w:rsid w:val="00437D0E"/>
    <w:rsid w:val="00440036"/>
    <w:rsid w:val="004401E8"/>
    <w:rsid w:val="0044043D"/>
    <w:rsid w:val="004405E2"/>
    <w:rsid w:val="0044061B"/>
    <w:rsid w:val="004406D4"/>
    <w:rsid w:val="00440B1B"/>
    <w:rsid w:val="00440BDB"/>
    <w:rsid w:val="00440CE5"/>
    <w:rsid w:val="00440CEE"/>
    <w:rsid w:val="00440CFE"/>
    <w:rsid w:val="00440D2F"/>
    <w:rsid w:val="00440EA7"/>
    <w:rsid w:val="00440EB2"/>
    <w:rsid w:val="00440F73"/>
    <w:rsid w:val="00441049"/>
    <w:rsid w:val="004410B2"/>
    <w:rsid w:val="0044111A"/>
    <w:rsid w:val="004411E3"/>
    <w:rsid w:val="00441205"/>
    <w:rsid w:val="0044120F"/>
    <w:rsid w:val="00441229"/>
    <w:rsid w:val="004413D6"/>
    <w:rsid w:val="004414BB"/>
    <w:rsid w:val="00441632"/>
    <w:rsid w:val="00441683"/>
    <w:rsid w:val="004416E2"/>
    <w:rsid w:val="00441704"/>
    <w:rsid w:val="004417B4"/>
    <w:rsid w:val="00441857"/>
    <w:rsid w:val="00441872"/>
    <w:rsid w:val="0044196F"/>
    <w:rsid w:val="00441A36"/>
    <w:rsid w:val="00441B79"/>
    <w:rsid w:val="00441BF9"/>
    <w:rsid w:val="00441D99"/>
    <w:rsid w:val="00441F69"/>
    <w:rsid w:val="0044207F"/>
    <w:rsid w:val="004420A4"/>
    <w:rsid w:val="0044216B"/>
    <w:rsid w:val="00442175"/>
    <w:rsid w:val="00442254"/>
    <w:rsid w:val="00442274"/>
    <w:rsid w:val="004424E7"/>
    <w:rsid w:val="0044258F"/>
    <w:rsid w:val="0044260B"/>
    <w:rsid w:val="0044262F"/>
    <w:rsid w:val="0044264A"/>
    <w:rsid w:val="004426F3"/>
    <w:rsid w:val="00442725"/>
    <w:rsid w:val="004427B3"/>
    <w:rsid w:val="004427FD"/>
    <w:rsid w:val="004428E7"/>
    <w:rsid w:val="0044295F"/>
    <w:rsid w:val="00442A27"/>
    <w:rsid w:val="00442AA8"/>
    <w:rsid w:val="00442B3F"/>
    <w:rsid w:val="00442B5E"/>
    <w:rsid w:val="00442BEB"/>
    <w:rsid w:val="00442BF1"/>
    <w:rsid w:val="00442D00"/>
    <w:rsid w:val="00442DDF"/>
    <w:rsid w:val="00442EC8"/>
    <w:rsid w:val="00442F49"/>
    <w:rsid w:val="00442F97"/>
    <w:rsid w:val="0044320E"/>
    <w:rsid w:val="00443416"/>
    <w:rsid w:val="00443455"/>
    <w:rsid w:val="00443523"/>
    <w:rsid w:val="0044362A"/>
    <w:rsid w:val="0044365C"/>
    <w:rsid w:val="00443787"/>
    <w:rsid w:val="00443878"/>
    <w:rsid w:val="004438F1"/>
    <w:rsid w:val="004439F4"/>
    <w:rsid w:val="00443B81"/>
    <w:rsid w:val="00443DC1"/>
    <w:rsid w:val="00443E03"/>
    <w:rsid w:val="00443EA9"/>
    <w:rsid w:val="00443EB3"/>
    <w:rsid w:val="00443F9F"/>
    <w:rsid w:val="004440AE"/>
    <w:rsid w:val="004440B2"/>
    <w:rsid w:val="004440E0"/>
    <w:rsid w:val="0044415A"/>
    <w:rsid w:val="00444337"/>
    <w:rsid w:val="004443E8"/>
    <w:rsid w:val="00444416"/>
    <w:rsid w:val="00444431"/>
    <w:rsid w:val="0044462A"/>
    <w:rsid w:val="00444631"/>
    <w:rsid w:val="0044483C"/>
    <w:rsid w:val="0044487F"/>
    <w:rsid w:val="00444958"/>
    <w:rsid w:val="00444967"/>
    <w:rsid w:val="00444B51"/>
    <w:rsid w:val="00444B65"/>
    <w:rsid w:val="00444D4A"/>
    <w:rsid w:val="00444E3F"/>
    <w:rsid w:val="00444EB4"/>
    <w:rsid w:val="00445104"/>
    <w:rsid w:val="0044517B"/>
    <w:rsid w:val="00445314"/>
    <w:rsid w:val="0044540A"/>
    <w:rsid w:val="00445614"/>
    <w:rsid w:val="0044569C"/>
    <w:rsid w:val="004456A8"/>
    <w:rsid w:val="00445783"/>
    <w:rsid w:val="00445877"/>
    <w:rsid w:val="0044591B"/>
    <w:rsid w:val="004459B1"/>
    <w:rsid w:val="004459BA"/>
    <w:rsid w:val="00445A82"/>
    <w:rsid w:val="00445B38"/>
    <w:rsid w:val="00445BC8"/>
    <w:rsid w:val="00445E24"/>
    <w:rsid w:val="00445EBD"/>
    <w:rsid w:val="00445EFC"/>
    <w:rsid w:val="00445F95"/>
    <w:rsid w:val="00446001"/>
    <w:rsid w:val="00446033"/>
    <w:rsid w:val="0044610A"/>
    <w:rsid w:val="0044614A"/>
    <w:rsid w:val="00446166"/>
    <w:rsid w:val="004462B7"/>
    <w:rsid w:val="004463A8"/>
    <w:rsid w:val="0044644C"/>
    <w:rsid w:val="0044647C"/>
    <w:rsid w:val="004464AC"/>
    <w:rsid w:val="0044655A"/>
    <w:rsid w:val="00446873"/>
    <w:rsid w:val="004469D7"/>
    <w:rsid w:val="004469F0"/>
    <w:rsid w:val="00446AAF"/>
    <w:rsid w:val="00446B39"/>
    <w:rsid w:val="00446BFC"/>
    <w:rsid w:val="00446CF1"/>
    <w:rsid w:val="00446DA0"/>
    <w:rsid w:val="00446F9A"/>
    <w:rsid w:val="004470D0"/>
    <w:rsid w:val="00447190"/>
    <w:rsid w:val="004471B4"/>
    <w:rsid w:val="00447212"/>
    <w:rsid w:val="004472EC"/>
    <w:rsid w:val="00447311"/>
    <w:rsid w:val="00447316"/>
    <w:rsid w:val="0044741C"/>
    <w:rsid w:val="00447692"/>
    <w:rsid w:val="00447803"/>
    <w:rsid w:val="00447B33"/>
    <w:rsid w:val="00447B9D"/>
    <w:rsid w:val="00447C0C"/>
    <w:rsid w:val="00447D27"/>
    <w:rsid w:val="00447D4C"/>
    <w:rsid w:val="00447D4D"/>
    <w:rsid w:val="00447F1C"/>
    <w:rsid w:val="00450129"/>
    <w:rsid w:val="0045012F"/>
    <w:rsid w:val="0045016A"/>
    <w:rsid w:val="00450172"/>
    <w:rsid w:val="00450211"/>
    <w:rsid w:val="00450344"/>
    <w:rsid w:val="004506A1"/>
    <w:rsid w:val="0045074B"/>
    <w:rsid w:val="00450766"/>
    <w:rsid w:val="004507FD"/>
    <w:rsid w:val="00450824"/>
    <w:rsid w:val="00450934"/>
    <w:rsid w:val="00450972"/>
    <w:rsid w:val="00450B04"/>
    <w:rsid w:val="00450B3B"/>
    <w:rsid w:val="00450B7D"/>
    <w:rsid w:val="00450C41"/>
    <w:rsid w:val="00450CA0"/>
    <w:rsid w:val="00450CD7"/>
    <w:rsid w:val="00450CFA"/>
    <w:rsid w:val="00450E4C"/>
    <w:rsid w:val="00450F7E"/>
    <w:rsid w:val="00450F85"/>
    <w:rsid w:val="00451075"/>
    <w:rsid w:val="00451175"/>
    <w:rsid w:val="00451177"/>
    <w:rsid w:val="00451198"/>
    <w:rsid w:val="004511C3"/>
    <w:rsid w:val="00451243"/>
    <w:rsid w:val="004512E6"/>
    <w:rsid w:val="0045136D"/>
    <w:rsid w:val="00451391"/>
    <w:rsid w:val="004513E7"/>
    <w:rsid w:val="00451483"/>
    <w:rsid w:val="0045165D"/>
    <w:rsid w:val="004516FB"/>
    <w:rsid w:val="004517A5"/>
    <w:rsid w:val="00451891"/>
    <w:rsid w:val="004518C3"/>
    <w:rsid w:val="00451AAC"/>
    <w:rsid w:val="00451CA6"/>
    <w:rsid w:val="00451D49"/>
    <w:rsid w:val="00451E68"/>
    <w:rsid w:val="00451ED3"/>
    <w:rsid w:val="00451F2A"/>
    <w:rsid w:val="00452050"/>
    <w:rsid w:val="004522E6"/>
    <w:rsid w:val="00452747"/>
    <w:rsid w:val="00452862"/>
    <w:rsid w:val="004528F4"/>
    <w:rsid w:val="00452989"/>
    <w:rsid w:val="00452A03"/>
    <w:rsid w:val="00452BD2"/>
    <w:rsid w:val="00452C39"/>
    <w:rsid w:val="00452CAD"/>
    <w:rsid w:val="00452CBF"/>
    <w:rsid w:val="00452E16"/>
    <w:rsid w:val="00452E28"/>
    <w:rsid w:val="00452FA2"/>
    <w:rsid w:val="00452FAF"/>
    <w:rsid w:val="0045311D"/>
    <w:rsid w:val="0045312F"/>
    <w:rsid w:val="0045321A"/>
    <w:rsid w:val="004532F2"/>
    <w:rsid w:val="00453396"/>
    <w:rsid w:val="004533F2"/>
    <w:rsid w:val="004534A1"/>
    <w:rsid w:val="0045352D"/>
    <w:rsid w:val="00453582"/>
    <w:rsid w:val="004535D3"/>
    <w:rsid w:val="004536DB"/>
    <w:rsid w:val="0045395C"/>
    <w:rsid w:val="00453D02"/>
    <w:rsid w:val="00453E31"/>
    <w:rsid w:val="00454112"/>
    <w:rsid w:val="00454115"/>
    <w:rsid w:val="00454122"/>
    <w:rsid w:val="00454213"/>
    <w:rsid w:val="0045426A"/>
    <w:rsid w:val="00454281"/>
    <w:rsid w:val="004542A0"/>
    <w:rsid w:val="004542FE"/>
    <w:rsid w:val="0045440C"/>
    <w:rsid w:val="0045441B"/>
    <w:rsid w:val="00454516"/>
    <w:rsid w:val="0045453A"/>
    <w:rsid w:val="00454609"/>
    <w:rsid w:val="0045467D"/>
    <w:rsid w:val="0045468D"/>
    <w:rsid w:val="0045470D"/>
    <w:rsid w:val="0045476B"/>
    <w:rsid w:val="0045492D"/>
    <w:rsid w:val="004549DD"/>
    <w:rsid w:val="004549E9"/>
    <w:rsid w:val="00454AFD"/>
    <w:rsid w:val="00454B54"/>
    <w:rsid w:val="00454BFF"/>
    <w:rsid w:val="00454CF2"/>
    <w:rsid w:val="00454DBF"/>
    <w:rsid w:val="00454EBF"/>
    <w:rsid w:val="004550AD"/>
    <w:rsid w:val="00455109"/>
    <w:rsid w:val="00455355"/>
    <w:rsid w:val="004555BE"/>
    <w:rsid w:val="00455601"/>
    <w:rsid w:val="00455686"/>
    <w:rsid w:val="004557E4"/>
    <w:rsid w:val="00455807"/>
    <w:rsid w:val="0045580D"/>
    <w:rsid w:val="00455824"/>
    <w:rsid w:val="00455838"/>
    <w:rsid w:val="004559E0"/>
    <w:rsid w:val="00455B47"/>
    <w:rsid w:val="00455C02"/>
    <w:rsid w:val="00455C3F"/>
    <w:rsid w:val="00455CFF"/>
    <w:rsid w:val="00455E54"/>
    <w:rsid w:val="00455EBB"/>
    <w:rsid w:val="00455ECE"/>
    <w:rsid w:val="00455F6B"/>
    <w:rsid w:val="004560E9"/>
    <w:rsid w:val="00456158"/>
    <w:rsid w:val="00456229"/>
    <w:rsid w:val="00456285"/>
    <w:rsid w:val="004562CA"/>
    <w:rsid w:val="00456359"/>
    <w:rsid w:val="00456581"/>
    <w:rsid w:val="004565B1"/>
    <w:rsid w:val="00456636"/>
    <w:rsid w:val="0045685A"/>
    <w:rsid w:val="004568A5"/>
    <w:rsid w:val="00456926"/>
    <w:rsid w:val="00456A0A"/>
    <w:rsid w:val="00456AF1"/>
    <w:rsid w:val="00456C1B"/>
    <w:rsid w:val="00456D2D"/>
    <w:rsid w:val="00456D92"/>
    <w:rsid w:val="00456F50"/>
    <w:rsid w:val="004570FD"/>
    <w:rsid w:val="00457163"/>
    <w:rsid w:val="004572C6"/>
    <w:rsid w:val="004573EB"/>
    <w:rsid w:val="00457440"/>
    <w:rsid w:val="00457448"/>
    <w:rsid w:val="004576B8"/>
    <w:rsid w:val="004576C4"/>
    <w:rsid w:val="00457714"/>
    <w:rsid w:val="004577F2"/>
    <w:rsid w:val="004577F3"/>
    <w:rsid w:val="00457814"/>
    <w:rsid w:val="00457832"/>
    <w:rsid w:val="004579D2"/>
    <w:rsid w:val="00457AD3"/>
    <w:rsid w:val="00457E9F"/>
    <w:rsid w:val="00457EF7"/>
    <w:rsid w:val="00457F6B"/>
    <w:rsid w:val="00457FE3"/>
    <w:rsid w:val="0046038B"/>
    <w:rsid w:val="004603B8"/>
    <w:rsid w:val="004604BF"/>
    <w:rsid w:val="00460549"/>
    <w:rsid w:val="004605AE"/>
    <w:rsid w:val="00460717"/>
    <w:rsid w:val="0046071B"/>
    <w:rsid w:val="00460956"/>
    <w:rsid w:val="00460C2B"/>
    <w:rsid w:val="00460D59"/>
    <w:rsid w:val="00460DD3"/>
    <w:rsid w:val="00460FA7"/>
    <w:rsid w:val="00461100"/>
    <w:rsid w:val="0046112A"/>
    <w:rsid w:val="00461173"/>
    <w:rsid w:val="00461277"/>
    <w:rsid w:val="0046139C"/>
    <w:rsid w:val="0046143F"/>
    <w:rsid w:val="00461452"/>
    <w:rsid w:val="0046149A"/>
    <w:rsid w:val="00461547"/>
    <w:rsid w:val="00461550"/>
    <w:rsid w:val="00461617"/>
    <w:rsid w:val="00461719"/>
    <w:rsid w:val="00461921"/>
    <w:rsid w:val="0046194D"/>
    <w:rsid w:val="00461AB5"/>
    <w:rsid w:val="00461CA2"/>
    <w:rsid w:val="00461CAA"/>
    <w:rsid w:val="00461D0A"/>
    <w:rsid w:val="00461E8A"/>
    <w:rsid w:val="00461EF7"/>
    <w:rsid w:val="00461F23"/>
    <w:rsid w:val="0046209B"/>
    <w:rsid w:val="00462182"/>
    <w:rsid w:val="004621FE"/>
    <w:rsid w:val="004623DE"/>
    <w:rsid w:val="0046245B"/>
    <w:rsid w:val="0046259A"/>
    <w:rsid w:val="004625FE"/>
    <w:rsid w:val="00462616"/>
    <w:rsid w:val="00462823"/>
    <w:rsid w:val="00462864"/>
    <w:rsid w:val="004628B7"/>
    <w:rsid w:val="004628FC"/>
    <w:rsid w:val="00462A30"/>
    <w:rsid w:val="00462A64"/>
    <w:rsid w:val="00462A8A"/>
    <w:rsid w:val="00462AEA"/>
    <w:rsid w:val="00462FC1"/>
    <w:rsid w:val="0046301C"/>
    <w:rsid w:val="00463021"/>
    <w:rsid w:val="00463029"/>
    <w:rsid w:val="00463140"/>
    <w:rsid w:val="004631A1"/>
    <w:rsid w:val="00463324"/>
    <w:rsid w:val="0046340C"/>
    <w:rsid w:val="004635BC"/>
    <w:rsid w:val="004637A2"/>
    <w:rsid w:val="00463A03"/>
    <w:rsid w:val="00463AD9"/>
    <w:rsid w:val="00463B3B"/>
    <w:rsid w:val="00463B46"/>
    <w:rsid w:val="00463B75"/>
    <w:rsid w:val="00463BF7"/>
    <w:rsid w:val="00463C23"/>
    <w:rsid w:val="00463DB3"/>
    <w:rsid w:val="00463E3D"/>
    <w:rsid w:val="00463E4D"/>
    <w:rsid w:val="00463ED6"/>
    <w:rsid w:val="00464018"/>
    <w:rsid w:val="004641EC"/>
    <w:rsid w:val="0046429D"/>
    <w:rsid w:val="00464313"/>
    <w:rsid w:val="00464389"/>
    <w:rsid w:val="00464469"/>
    <w:rsid w:val="00464520"/>
    <w:rsid w:val="00464709"/>
    <w:rsid w:val="004647D3"/>
    <w:rsid w:val="004649DE"/>
    <w:rsid w:val="00464A29"/>
    <w:rsid w:val="00464A78"/>
    <w:rsid w:val="00464ABF"/>
    <w:rsid w:val="00464B7A"/>
    <w:rsid w:val="00464BA3"/>
    <w:rsid w:val="00464E3C"/>
    <w:rsid w:val="00464E9D"/>
    <w:rsid w:val="00464F02"/>
    <w:rsid w:val="0046524A"/>
    <w:rsid w:val="0046528B"/>
    <w:rsid w:val="00465317"/>
    <w:rsid w:val="00465370"/>
    <w:rsid w:val="00465421"/>
    <w:rsid w:val="00465735"/>
    <w:rsid w:val="004657B6"/>
    <w:rsid w:val="00465866"/>
    <w:rsid w:val="004658BC"/>
    <w:rsid w:val="00465B63"/>
    <w:rsid w:val="00465C11"/>
    <w:rsid w:val="00465C3E"/>
    <w:rsid w:val="00465D6C"/>
    <w:rsid w:val="00465D79"/>
    <w:rsid w:val="00465D98"/>
    <w:rsid w:val="00465EF8"/>
    <w:rsid w:val="00465EFD"/>
    <w:rsid w:val="00465F86"/>
    <w:rsid w:val="00465FBC"/>
    <w:rsid w:val="00466099"/>
    <w:rsid w:val="0046612E"/>
    <w:rsid w:val="00466335"/>
    <w:rsid w:val="00466440"/>
    <w:rsid w:val="004664F5"/>
    <w:rsid w:val="004664FE"/>
    <w:rsid w:val="00466556"/>
    <w:rsid w:val="004666B7"/>
    <w:rsid w:val="004666BA"/>
    <w:rsid w:val="004666EE"/>
    <w:rsid w:val="004667D7"/>
    <w:rsid w:val="0046683A"/>
    <w:rsid w:val="00466886"/>
    <w:rsid w:val="00466887"/>
    <w:rsid w:val="004668BF"/>
    <w:rsid w:val="0046697A"/>
    <w:rsid w:val="004669C8"/>
    <w:rsid w:val="00466A22"/>
    <w:rsid w:val="00466A41"/>
    <w:rsid w:val="00466B19"/>
    <w:rsid w:val="00466B5E"/>
    <w:rsid w:val="00466CBC"/>
    <w:rsid w:val="00466CF7"/>
    <w:rsid w:val="00466E0E"/>
    <w:rsid w:val="00466EB1"/>
    <w:rsid w:val="00466EE0"/>
    <w:rsid w:val="00466F3B"/>
    <w:rsid w:val="00466F79"/>
    <w:rsid w:val="00466F9A"/>
    <w:rsid w:val="00467163"/>
    <w:rsid w:val="0046720D"/>
    <w:rsid w:val="00467271"/>
    <w:rsid w:val="0046727E"/>
    <w:rsid w:val="00467315"/>
    <w:rsid w:val="00467326"/>
    <w:rsid w:val="00467344"/>
    <w:rsid w:val="004673A1"/>
    <w:rsid w:val="00467438"/>
    <w:rsid w:val="004675DD"/>
    <w:rsid w:val="00467647"/>
    <w:rsid w:val="004676B5"/>
    <w:rsid w:val="0046784A"/>
    <w:rsid w:val="0046789C"/>
    <w:rsid w:val="004678BC"/>
    <w:rsid w:val="00467902"/>
    <w:rsid w:val="00467B2B"/>
    <w:rsid w:val="00467D00"/>
    <w:rsid w:val="00467E0B"/>
    <w:rsid w:val="0047000B"/>
    <w:rsid w:val="00470143"/>
    <w:rsid w:val="00470179"/>
    <w:rsid w:val="00470324"/>
    <w:rsid w:val="00470418"/>
    <w:rsid w:val="0047042F"/>
    <w:rsid w:val="00470629"/>
    <w:rsid w:val="004706F4"/>
    <w:rsid w:val="004707AF"/>
    <w:rsid w:val="00470B36"/>
    <w:rsid w:val="00470B3C"/>
    <w:rsid w:val="00470CBF"/>
    <w:rsid w:val="00470ECA"/>
    <w:rsid w:val="004712A8"/>
    <w:rsid w:val="004713FC"/>
    <w:rsid w:val="00471400"/>
    <w:rsid w:val="00471404"/>
    <w:rsid w:val="00471496"/>
    <w:rsid w:val="004714D6"/>
    <w:rsid w:val="0047154E"/>
    <w:rsid w:val="00471597"/>
    <w:rsid w:val="00471666"/>
    <w:rsid w:val="00471718"/>
    <w:rsid w:val="004718BC"/>
    <w:rsid w:val="00471D71"/>
    <w:rsid w:val="00471D9B"/>
    <w:rsid w:val="00471DD9"/>
    <w:rsid w:val="00471DED"/>
    <w:rsid w:val="00471E51"/>
    <w:rsid w:val="00471EA3"/>
    <w:rsid w:val="00471ED6"/>
    <w:rsid w:val="00472101"/>
    <w:rsid w:val="00472107"/>
    <w:rsid w:val="00472158"/>
    <w:rsid w:val="00472195"/>
    <w:rsid w:val="00472278"/>
    <w:rsid w:val="00472285"/>
    <w:rsid w:val="004722DE"/>
    <w:rsid w:val="004723DC"/>
    <w:rsid w:val="0047242E"/>
    <w:rsid w:val="00472462"/>
    <w:rsid w:val="004724B9"/>
    <w:rsid w:val="00472553"/>
    <w:rsid w:val="0047281D"/>
    <w:rsid w:val="00472A20"/>
    <w:rsid w:val="00472A76"/>
    <w:rsid w:val="00472CE0"/>
    <w:rsid w:val="00472E14"/>
    <w:rsid w:val="00472E6D"/>
    <w:rsid w:val="00473095"/>
    <w:rsid w:val="004730AB"/>
    <w:rsid w:val="00473262"/>
    <w:rsid w:val="00473393"/>
    <w:rsid w:val="004733DA"/>
    <w:rsid w:val="00473433"/>
    <w:rsid w:val="004734CB"/>
    <w:rsid w:val="00473546"/>
    <w:rsid w:val="0047382F"/>
    <w:rsid w:val="00473940"/>
    <w:rsid w:val="0047397E"/>
    <w:rsid w:val="00473F16"/>
    <w:rsid w:val="004741C2"/>
    <w:rsid w:val="0047425C"/>
    <w:rsid w:val="0047428E"/>
    <w:rsid w:val="004742D3"/>
    <w:rsid w:val="004743AC"/>
    <w:rsid w:val="00474453"/>
    <w:rsid w:val="00474480"/>
    <w:rsid w:val="004747B1"/>
    <w:rsid w:val="004748B9"/>
    <w:rsid w:val="004748EE"/>
    <w:rsid w:val="00474937"/>
    <w:rsid w:val="00474A4A"/>
    <w:rsid w:val="00474ACE"/>
    <w:rsid w:val="00474AFF"/>
    <w:rsid w:val="00474B02"/>
    <w:rsid w:val="00474B07"/>
    <w:rsid w:val="00474B16"/>
    <w:rsid w:val="00474EE1"/>
    <w:rsid w:val="00475036"/>
    <w:rsid w:val="004752C2"/>
    <w:rsid w:val="004752DF"/>
    <w:rsid w:val="00475337"/>
    <w:rsid w:val="0047536E"/>
    <w:rsid w:val="0047555E"/>
    <w:rsid w:val="00475650"/>
    <w:rsid w:val="004756B7"/>
    <w:rsid w:val="0047576C"/>
    <w:rsid w:val="00475772"/>
    <w:rsid w:val="00475789"/>
    <w:rsid w:val="00475A39"/>
    <w:rsid w:val="00475B44"/>
    <w:rsid w:val="00475B99"/>
    <w:rsid w:val="00475BB5"/>
    <w:rsid w:val="00475C57"/>
    <w:rsid w:val="00475C60"/>
    <w:rsid w:val="00475D3E"/>
    <w:rsid w:val="00475E8A"/>
    <w:rsid w:val="00475EB7"/>
    <w:rsid w:val="00475EE6"/>
    <w:rsid w:val="00475F68"/>
    <w:rsid w:val="004761B8"/>
    <w:rsid w:val="00476325"/>
    <w:rsid w:val="00476363"/>
    <w:rsid w:val="004763B5"/>
    <w:rsid w:val="0047654D"/>
    <w:rsid w:val="00476573"/>
    <w:rsid w:val="004766E5"/>
    <w:rsid w:val="004766F6"/>
    <w:rsid w:val="00476714"/>
    <w:rsid w:val="004767D2"/>
    <w:rsid w:val="00476853"/>
    <w:rsid w:val="004768B8"/>
    <w:rsid w:val="00476932"/>
    <w:rsid w:val="004769B4"/>
    <w:rsid w:val="00476AB1"/>
    <w:rsid w:val="00476BCA"/>
    <w:rsid w:val="00476D99"/>
    <w:rsid w:val="00477030"/>
    <w:rsid w:val="004770EF"/>
    <w:rsid w:val="004770F2"/>
    <w:rsid w:val="00477199"/>
    <w:rsid w:val="004771E9"/>
    <w:rsid w:val="0047731F"/>
    <w:rsid w:val="0047733B"/>
    <w:rsid w:val="00477344"/>
    <w:rsid w:val="004773E7"/>
    <w:rsid w:val="0047749D"/>
    <w:rsid w:val="004775F9"/>
    <w:rsid w:val="0047766B"/>
    <w:rsid w:val="00477878"/>
    <w:rsid w:val="004778C9"/>
    <w:rsid w:val="004779A2"/>
    <w:rsid w:val="00477B80"/>
    <w:rsid w:val="00477C86"/>
    <w:rsid w:val="00477E47"/>
    <w:rsid w:val="00477F07"/>
    <w:rsid w:val="00477F9E"/>
    <w:rsid w:val="00477FA9"/>
    <w:rsid w:val="00480088"/>
    <w:rsid w:val="004800AF"/>
    <w:rsid w:val="00480112"/>
    <w:rsid w:val="00480154"/>
    <w:rsid w:val="004802C5"/>
    <w:rsid w:val="004802E2"/>
    <w:rsid w:val="0048042F"/>
    <w:rsid w:val="00480513"/>
    <w:rsid w:val="0048052A"/>
    <w:rsid w:val="0048058A"/>
    <w:rsid w:val="00480604"/>
    <w:rsid w:val="0048062B"/>
    <w:rsid w:val="004807E4"/>
    <w:rsid w:val="004808AC"/>
    <w:rsid w:val="004809FD"/>
    <w:rsid w:val="00480A5D"/>
    <w:rsid w:val="00480A82"/>
    <w:rsid w:val="00480BD4"/>
    <w:rsid w:val="00480C07"/>
    <w:rsid w:val="00480C96"/>
    <w:rsid w:val="00480D9B"/>
    <w:rsid w:val="00480E86"/>
    <w:rsid w:val="00480E96"/>
    <w:rsid w:val="00480F1B"/>
    <w:rsid w:val="004811D5"/>
    <w:rsid w:val="0048137D"/>
    <w:rsid w:val="004814BD"/>
    <w:rsid w:val="004814E1"/>
    <w:rsid w:val="00481558"/>
    <w:rsid w:val="0048163F"/>
    <w:rsid w:val="004817BD"/>
    <w:rsid w:val="00481871"/>
    <w:rsid w:val="00481878"/>
    <w:rsid w:val="00481895"/>
    <w:rsid w:val="004819CA"/>
    <w:rsid w:val="004819FF"/>
    <w:rsid w:val="00481A3D"/>
    <w:rsid w:val="00481B27"/>
    <w:rsid w:val="00481C94"/>
    <w:rsid w:val="00481D4B"/>
    <w:rsid w:val="00481EAB"/>
    <w:rsid w:val="00481F24"/>
    <w:rsid w:val="004820B8"/>
    <w:rsid w:val="004821B1"/>
    <w:rsid w:val="004821F0"/>
    <w:rsid w:val="00482313"/>
    <w:rsid w:val="0048237A"/>
    <w:rsid w:val="0048244F"/>
    <w:rsid w:val="004824D7"/>
    <w:rsid w:val="00482550"/>
    <w:rsid w:val="004825C3"/>
    <w:rsid w:val="004826CF"/>
    <w:rsid w:val="004827E9"/>
    <w:rsid w:val="004827EB"/>
    <w:rsid w:val="0048280F"/>
    <w:rsid w:val="00482876"/>
    <w:rsid w:val="00482890"/>
    <w:rsid w:val="00482980"/>
    <w:rsid w:val="004829DC"/>
    <w:rsid w:val="00482A45"/>
    <w:rsid w:val="00482AE8"/>
    <w:rsid w:val="00482BB5"/>
    <w:rsid w:val="00482E48"/>
    <w:rsid w:val="00482F67"/>
    <w:rsid w:val="00482F94"/>
    <w:rsid w:val="00483027"/>
    <w:rsid w:val="004830F2"/>
    <w:rsid w:val="004831A1"/>
    <w:rsid w:val="004833E2"/>
    <w:rsid w:val="004834C4"/>
    <w:rsid w:val="00483512"/>
    <w:rsid w:val="004835BA"/>
    <w:rsid w:val="004836CD"/>
    <w:rsid w:val="004838C0"/>
    <w:rsid w:val="004839A5"/>
    <w:rsid w:val="00483A6D"/>
    <w:rsid w:val="00483B68"/>
    <w:rsid w:val="00483DCA"/>
    <w:rsid w:val="00483F3E"/>
    <w:rsid w:val="00483F64"/>
    <w:rsid w:val="00483FE9"/>
    <w:rsid w:val="004840E2"/>
    <w:rsid w:val="0048429C"/>
    <w:rsid w:val="004843AC"/>
    <w:rsid w:val="004843DB"/>
    <w:rsid w:val="00484433"/>
    <w:rsid w:val="004845F6"/>
    <w:rsid w:val="00484659"/>
    <w:rsid w:val="00484685"/>
    <w:rsid w:val="0048471D"/>
    <w:rsid w:val="00484736"/>
    <w:rsid w:val="004847EB"/>
    <w:rsid w:val="0048494D"/>
    <w:rsid w:val="00484976"/>
    <w:rsid w:val="00484A22"/>
    <w:rsid w:val="00484A56"/>
    <w:rsid w:val="00484AE7"/>
    <w:rsid w:val="00484AEB"/>
    <w:rsid w:val="00484B2A"/>
    <w:rsid w:val="00484B72"/>
    <w:rsid w:val="00484C70"/>
    <w:rsid w:val="00484CEA"/>
    <w:rsid w:val="00484CF9"/>
    <w:rsid w:val="00484CFE"/>
    <w:rsid w:val="00484D45"/>
    <w:rsid w:val="00484DAF"/>
    <w:rsid w:val="00484DB7"/>
    <w:rsid w:val="00484F87"/>
    <w:rsid w:val="00484F9C"/>
    <w:rsid w:val="00484FE1"/>
    <w:rsid w:val="00485011"/>
    <w:rsid w:val="00485149"/>
    <w:rsid w:val="00485438"/>
    <w:rsid w:val="00485598"/>
    <w:rsid w:val="00485599"/>
    <w:rsid w:val="004856B2"/>
    <w:rsid w:val="004857AB"/>
    <w:rsid w:val="00485807"/>
    <w:rsid w:val="00485A90"/>
    <w:rsid w:val="00485AE9"/>
    <w:rsid w:val="00485C0C"/>
    <w:rsid w:val="00485C57"/>
    <w:rsid w:val="00485CBF"/>
    <w:rsid w:val="00485DF0"/>
    <w:rsid w:val="00485EAB"/>
    <w:rsid w:val="00485F56"/>
    <w:rsid w:val="00486060"/>
    <w:rsid w:val="004861B7"/>
    <w:rsid w:val="0048627C"/>
    <w:rsid w:val="00486322"/>
    <w:rsid w:val="0048637E"/>
    <w:rsid w:val="004864DC"/>
    <w:rsid w:val="0048651D"/>
    <w:rsid w:val="00486559"/>
    <w:rsid w:val="00486586"/>
    <w:rsid w:val="004866CA"/>
    <w:rsid w:val="00486711"/>
    <w:rsid w:val="00486726"/>
    <w:rsid w:val="00486924"/>
    <w:rsid w:val="00486E73"/>
    <w:rsid w:val="00486F43"/>
    <w:rsid w:val="00486F4E"/>
    <w:rsid w:val="004870B7"/>
    <w:rsid w:val="00487134"/>
    <w:rsid w:val="0048733E"/>
    <w:rsid w:val="00487378"/>
    <w:rsid w:val="004873DD"/>
    <w:rsid w:val="0048741D"/>
    <w:rsid w:val="004874AD"/>
    <w:rsid w:val="0048759B"/>
    <w:rsid w:val="0048768F"/>
    <w:rsid w:val="004876D3"/>
    <w:rsid w:val="0048777E"/>
    <w:rsid w:val="004877BD"/>
    <w:rsid w:val="004877DB"/>
    <w:rsid w:val="00487837"/>
    <w:rsid w:val="0048786E"/>
    <w:rsid w:val="004878D7"/>
    <w:rsid w:val="00487D02"/>
    <w:rsid w:val="00487D35"/>
    <w:rsid w:val="00487D3D"/>
    <w:rsid w:val="00487D80"/>
    <w:rsid w:val="00487F2F"/>
    <w:rsid w:val="00487F65"/>
    <w:rsid w:val="0049017A"/>
    <w:rsid w:val="00490247"/>
    <w:rsid w:val="004902ED"/>
    <w:rsid w:val="004903E2"/>
    <w:rsid w:val="00490518"/>
    <w:rsid w:val="004906AD"/>
    <w:rsid w:val="0049071D"/>
    <w:rsid w:val="0049093D"/>
    <w:rsid w:val="00490A39"/>
    <w:rsid w:val="00490B2D"/>
    <w:rsid w:val="00490B91"/>
    <w:rsid w:val="00490CB7"/>
    <w:rsid w:val="00490D06"/>
    <w:rsid w:val="00490E3A"/>
    <w:rsid w:val="00490E5B"/>
    <w:rsid w:val="00490EF7"/>
    <w:rsid w:val="00490F1B"/>
    <w:rsid w:val="00490F41"/>
    <w:rsid w:val="00490F4E"/>
    <w:rsid w:val="00491007"/>
    <w:rsid w:val="004910B5"/>
    <w:rsid w:val="004910F0"/>
    <w:rsid w:val="0049113E"/>
    <w:rsid w:val="00491273"/>
    <w:rsid w:val="00491340"/>
    <w:rsid w:val="00491350"/>
    <w:rsid w:val="004914F2"/>
    <w:rsid w:val="00491598"/>
    <w:rsid w:val="004915AD"/>
    <w:rsid w:val="004916D8"/>
    <w:rsid w:val="00491749"/>
    <w:rsid w:val="004917AB"/>
    <w:rsid w:val="00491A46"/>
    <w:rsid w:val="00491B05"/>
    <w:rsid w:val="00491C2A"/>
    <w:rsid w:val="00491F91"/>
    <w:rsid w:val="00491FC0"/>
    <w:rsid w:val="00491FE1"/>
    <w:rsid w:val="0049200F"/>
    <w:rsid w:val="00492178"/>
    <w:rsid w:val="00492275"/>
    <w:rsid w:val="0049246E"/>
    <w:rsid w:val="00492542"/>
    <w:rsid w:val="00492547"/>
    <w:rsid w:val="00492620"/>
    <w:rsid w:val="00492636"/>
    <w:rsid w:val="004926DB"/>
    <w:rsid w:val="0049274B"/>
    <w:rsid w:val="004927BE"/>
    <w:rsid w:val="004927ED"/>
    <w:rsid w:val="0049293C"/>
    <w:rsid w:val="0049299A"/>
    <w:rsid w:val="00492AA4"/>
    <w:rsid w:val="00492BA4"/>
    <w:rsid w:val="00492C00"/>
    <w:rsid w:val="00492CB1"/>
    <w:rsid w:val="00492DFB"/>
    <w:rsid w:val="00492F06"/>
    <w:rsid w:val="00492F93"/>
    <w:rsid w:val="00493054"/>
    <w:rsid w:val="00493420"/>
    <w:rsid w:val="00493468"/>
    <w:rsid w:val="00493472"/>
    <w:rsid w:val="004934FF"/>
    <w:rsid w:val="00493535"/>
    <w:rsid w:val="00493B2F"/>
    <w:rsid w:val="00493BA3"/>
    <w:rsid w:val="00493C48"/>
    <w:rsid w:val="00493CF4"/>
    <w:rsid w:val="00493DBB"/>
    <w:rsid w:val="00493EB4"/>
    <w:rsid w:val="00493F95"/>
    <w:rsid w:val="00493FD3"/>
    <w:rsid w:val="00494004"/>
    <w:rsid w:val="00494186"/>
    <w:rsid w:val="00494210"/>
    <w:rsid w:val="004942B0"/>
    <w:rsid w:val="00494370"/>
    <w:rsid w:val="00494471"/>
    <w:rsid w:val="0049449D"/>
    <w:rsid w:val="00494587"/>
    <w:rsid w:val="00494678"/>
    <w:rsid w:val="004946A7"/>
    <w:rsid w:val="00494743"/>
    <w:rsid w:val="00494847"/>
    <w:rsid w:val="00494895"/>
    <w:rsid w:val="004949F9"/>
    <w:rsid w:val="00494A3C"/>
    <w:rsid w:val="00494BA5"/>
    <w:rsid w:val="00494BFF"/>
    <w:rsid w:val="00494C83"/>
    <w:rsid w:val="00494D6E"/>
    <w:rsid w:val="00494E42"/>
    <w:rsid w:val="00494E44"/>
    <w:rsid w:val="00494E7E"/>
    <w:rsid w:val="00494EF4"/>
    <w:rsid w:val="00494F7D"/>
    <w:rsid w:val="00494FD5"/>
    <w:rsid w:val="00495049"/>
    <w:rsid w:val="0049516F"/>
    <w:rsid w:val="00495353"/>
    <w:rsid w:val="00495426"/>
    <w:rsid w:val="00495451"/>
    <w:rsid w:val="00495534"/>
    <w:rsid w:val="0049558D"/>
    <w:rsid w:val="004957E1"/>
    <w:rsid w:val="0049589A"/>
    <w:rsid w:val="004959B9"/>
    <w:rsid w:val="00495AF1"/>
    <w:rsid w:val="00495B84"/>
    <w:rsid w:val="00495C79"/>
    <w:rsid w:val="00495CD8"/>
    <w:rsid w:val="00495DAB"/>
    <w:rsid w:val="00495E02"/>
    <w:rsid w:val="00495E07"/>
    <w:rsid w:val="00495E43"/>
    <w:rsid w:val="00495F0C"/>
    <w:rsid w:val="00495FE2"/>
    <w:rsid w:val="004960C7"/>
    <w:rsid w:val="004961A3"/>
    <w:rsid w:val="00496376"/>
    <w:rsid w:val="0049640E"/>
    <w:rsid w:val="00496595"/>
    <w:rsid w:val="00496613"/>
    <w:rsid w:val="00496649"/>
    <w:rsid w:val="00496651"/>
    <w:rsid w:val="0049666D"/>
    <w:rsid w:val="00496756"/>
    <w:rsid w:val="0049685D"/>
    <w:rsid w:val="00496883"/>
    <w:rsid w:val="00496890"/>
    <w:rsid w:val="00496C17"/>
    <w:rsid w:val="00496C1F"/>
    <w:rsid w:val="00496CBE"/>
    <w:rsid w:val="00496D47"/>
    <w:rsid w:val="00496D6A"/>
    <w:rsid w:val="00496E74"/>
    <w:rsid w:val="00496F6C"/>
    <w:rsid w:val="00496F9B"/>
    <w:rsid w:val="00497012"/>
    <w:rsid w:val="0049717A"/>
    <w:rsid w:val="0049717C"/>
    <w:rsid w:val="00497354"/>
    <w:rsid w:val="004973D9"/>
    <w:rsid w:val="00497411"/>
    <w:rsid w:val="00497445"/>
    <w:rsid w:val="0049759D"/>
    <w:rsid w:val="004975FF"/>
    <w:rsid w:val="00497712"/>
    <w:rsid w:val="004978FE"/>
    <w:rsid w:val="00497926"/>
    <w:rsid w:val="004979CA"/>
    <w:rsid w:val="004979DA"/>
    <w:rsid w:val="00497A5B"/>
    <w:rsid w:val="00497AB5"/>
    <w:rsid w:val="00497BB9"/>
    <w:rsid w:val="00497C30"/>
    <w:rsid w:val="00497C3E"/>
    <w:rsid w:val="00497E6A"/>
    <w:rsid w:val="00497E7E"/>
    <w:rsid w:val="00497FFC"/>
    <w:rsid w:val="004A0083"/>
    <w:rsid w:val="004A00DA"/>
    <w:rsid w:val="004A0139"/>
    <w:rsid w:val="004A016E"/>
    <w:rsid w:val="004A0185"/>
    <w:rsid w:val="004A0189"/>
    <w:rsid w:val="004A01CB"/>
    <w:rsid w:val="004A0236"/>
    <w:rsid w:val="004A0324"/>
    <w:rsid w:val="004A03A3"/>
    <w:rsid w:val="004A0485"/>
    <w:rsid w:val="004A0554"/>
    <w:rsid w:val="004A056B"/>
    <w:rsid w:val="004A05FB"/>
    <w:rsid w:val="004A067D"/>
    <w:rsid w:val="004A09E1"/>
    <w:rsid w:val="004A0BF4"/>
    <w:rsid w:val="004A0C11"/>
    <w:rsid w:val="004A0E1D"/>
    <w:rsid w:val="004A0F92"/>
    <w:rsid w:val="004A1104"/>
    <w:rsid w:val="004A1446"/>
    <w:rsid w:val="004A1552"/>
    <w:rsid w:val="004A1685"/>
    <w:rsid w:val="004A17FC"/>
    <w:rsid w:val="004A1851"/>
    <w:rsid w:val="004A1874"/>
    <w:rsid w:val="004A1923"/>
    <w:rsid w:val="004A195E"/>
    <w:rsid w:val="004A1A29"/>
    <w:rsid w:val="004A1A9E"/>
    <w:rsid w:val="004A1B84"/>
    <w:rsid w:val="004A1CCC"/>
    <w:rsid w:val="004A1CD7"/>
    <w:rsid w:val="004A1F17"/>
    <w:rsid w:val="004A23C5"/>
    <w:rsid w:val="004A2556"/>
    <w:rsid w:val="004A26DE"/>
    <w:rsid w:val="004A2709"/>
    <w:rsid w:val="004A27B6"/>
    <w:rsid w:val="004A2810"/>
    <w:rsid w:val="004A2836"/>
    <w:rsid w:val="004A2A07"/>
    <w:rsid w:val="004A2A74"/>
    <w:rsid w:val="004A2B1C"/>
    <w:rsid w:val="004A2CD4"/>
    <w:rsid w:val="004A2DA2"/>
    <w:rsid w:val="004A2DF3"/>
    <w:rsid w:val="004A30BB"/>
    <w:rsid w:val="004A32D7"/>
    <w:rsid w:val="004A33BB"/>
    <w:rsid w:val="004A342D"/>
    <w:rsid w:val="004A348F"/>
    <w:rsid w:val="004A34B2"/>
    <w:rsid w:val="004A34E0"/>
    <w:rsid w:val="004A364E"/>
    <w:rsid w:val="004A3754"/>
    <w:rsid w:val="004A37C9"/>
    <w:rsid w:val="004A3828"/>
    <w:rsid w:val="004A3A04"/>
    <w:rsid w:val="004A3B7C"/>
    <w:rsid w:val="004A3BF1"/>
    <w:rsid w:val="004A3CBE"/>
    <w:rsid w:val="004A3D91"/>
    <w:rsid w:val="004A3E68"/>
    <w:rsid w:val="004A3EA3"/>
    <w:rsid w:val="004A3F58"/>
    <w:rsid w:val="004A3FA9"/>
    <w:rsid w:val="004A3FE0"/>
    <w:rsid w:val="004A3FFE"/>
    <w:rsid w:val="004A4028"/>
    <w:rsid w:val="004A40C5"/>
    <w:rsid w:val="004A413B"/>
    <w:rsid w:val="004A415A"/>
    <w:rsid w:val="004A42AF"/>
    <w:rsid w:val="004A4448"/>
    <w:rsid w:val="004A4485"/>
    <w:rsid w:val="004A47A9"/>
    <w:rsid w:val="004A48AB"/>
    <w:rsid w:val="004A48CE"/>
    <w:rsid w:val="004A497C"/>
    <w:rsid w:val="004A49AC"/>
    <w:rsid w:val="004A49E3"/>
    <w:rsid w:val="004A4D65"/>
    <w:rsid w:val="004A4DF2"/>
    <w:rsid w:val="004A5035"/>
    <w:rsid w:val="004A51A6"/>
    <w:rsid w:val="004A51C4"/>
    <w:rsid w:val="004A536B"/>
    <w:rsid w:val="004A53AA"/>
    <w:rsid w:val="004A54B5"/>
    <w:rsid w:val="004A54FA"/>
    <w:rsid w:val="004A55FC"/>
    <w:rsid w:val="004A56DA"/>
    <w:rsid w:val="004A575F"/>
    <w:rsid w:val="004A5866"/>
    <w:rsid w:val="004A58A5"/>
    <w:rsid w:val="004A58C7"/>
    <w:rsid w:val="004A5964"/>
    <w:rsid w:val="004A598F"/>
    <w:rsid w:val="004A59AF"/>
    <w:rsid w:val="004A5B35"/>
    <w:rsid w:val="004A5BFE"/>
    <w:rsid w:val="004A5DEF"/>
    <w:rsid w:val="004A5E68"/>
    <w:rsid w:val="004A61A5"/>
    <w:rsid w:val="004A6252"/>
    <w:rsid w:val="004A630C"/>
    <w:rsid w:val="004A648C"/>
    <w:rsid w:val="004A66BE"/>
    <w:rsid w:val="004A6838"/>
    <w:rsid w:val="004A685E"/>
    <w:rsid w:val="004A686C"/>
    <w:rsid w:val="004A6A04"/>
    <w:rsid w:val="004A6C95"/>
    <w:rsid w:val="004A6D4B"/>
    <w:rsid w:val="004A6DDD"/>
    <w:rsid w:val="004A6EF0"/>
    <w:rsid w:val="004A701F"/>
    <w:rsid w:val="004A7084"/>
    <w:rsid w:val="004A70F3"/>
    <w:rsid w:val="004A7171"/>
    <w:rsid w:val="004A71B0"/>
    <w:rsid w:val="004A71FB"/>
    <w:rsid w:val="004A7347"/>
    <w:rsid w:val="004A73B3"/>
    <w:rsid w:val="004A7404"/>
    <w:rsid w:val="004A7592"/>
    <w:rsid w:val="004A75B5"/>
    <w:rsid w:val="004A7857"/>
    <w:rsid w:val="004A79FF"/>
    <w:rsid w:val="004A7BE1"/>
    <w:rsid w:val="004A7BE9"/>
    <w:rsid w:val="004A7C9D"/>
    <w:rsid w:val="004A7E78"/>
    <w:rsid w:val="004A7EB3"/>
    <w:rsid w:val="004A7EE4"/>
    <w:rsid w:val="004A7F43"/>
    <w:rsid w:val="004A7FA7"/>
    <w:rsid w:val="004B0100"/>
    <w:rsid w:val="004B011A"/>
    <w:rsid w:val="004B0293"/>
    <w:rsid w:val="004B0299"/>
    <w:rsid w:val="004B02EE"/>
    <w:rsid w:val="004B0360"/>
    <w:rsid w:val="004B03A5"/>
    <w:rsid w:val="004B0530"/>
    <w:rsid w:val="004B0567"/>
    <w:rsid w:val="004B0577"/>
    <w:rsid w:val="004B0702"/>
    <w:rsid w:val="004B0746"/>
    <w:rsid w:val="004B077A"/>
    <w:rsid w:val="004B0799"/>
    <w:rsid w:val="004B085E"/>
    <w:rsid w:val="004B0866"/>
    <w:rsid w:val="004B09F5"/>
    <w:rsid w:val="004B0C29"/>
    <w:rsid w:val="004B0DB0"/>
    <w:rsid w:val="004B0E7D"/>
    <w:rsid w:val="004B0FAC"/>
    <w:rsid w:val="004B1080"/>
    <w:rsid w:val="004B11CD"/>
    <w:rsid w:val="004B11DC"/>
    <w:rsid w:val="004B12B0"/>
    <w:rsid w:val="004B1330"/>
    <w:rsid w:val="004B13BA"/>
    <w:rsid w:val="004B13C8"/>
    <w:rsid w:val="004B1483"/>
    <w:rsid w:val="004B15CB"/>
    <w:rsid w:val="004B15F1"/>
    <w:rsid w:val="004B1638"/>
    <w:rsid w:val="004B171A"/>
    <w:rsid w:val="004B1906"/>
    <w:rsid w:val="004B19BD"/>
    <w:rsid w:val="004B1CAA"/>
    <w:rsid w:val="004B209F"/>
    <w:rsid w:val="004B214A"/>
    <w:rsid w:val="004B2258"/>
    <w:rsid w:val="004B2293"/>
    <w:rsid w:val="004B23D0"/>
    <w:rsid w:val="004B23F3"/>
    <w:rsid w:val="004B25BC"/>
    <w:rsid w:val="004B262D"/>
    <w:rsid w:val="004B27C2"/>
    <w:rsid w:val="004B280F"/>
    <w:rsid w:val="004B2893"/>
    <w:rsid w:val="004B2914"/>
    <w:rsid w:val="004B2A71"/>
    <w:rsid w:val="004B2B8E"/>
    <w:rsid w:val="004B2B92"/>
    <w:rsid w:val="004B2C3B"/>
    <w:rsid w:val="004B2CDB"/>
    <w:rsid w:val="004B2DAA"/>
    <w:rsid w:val="004B3028"/>
    <w:rsid w:val="004B30BD"/>
    <w:rsid w:val="004B30F1"/>
    <w:rsid w:val="004B3157"/>
    <w:rsid w:val="004B31C4"/>
    <w:rsid w:val="004B32B0"/>
    <w:rsid w:val="004B32ED"/>
    <w:rsid w:val="004B332B"/>
    <w:rsid w:val="004B337A"/>
    <w:rsid w:val="004B34C1"/>
    <w:rsid w:val="004B34D1"/>
    <w:rsid w:val="004B355F"/>
    <w:rsid w:val="004B3598"/>
    <w:rsid w:val="004B35C9"/>
    <w:rsid w:val="004B35E3"/>
    <w:rsid w:val="004B3761"/>
    <w:rsid w:val="004B37ED"/>
    <w:rsid w:val="004B3875"/>
    <w:rsid w:val="004B3A43"/>
    <w:rsid w:val="004B3A70"/>
    <w:rsid w:val="004B3AF6"/>
    <w:rsid w:val="004B3B17"/>
    <w:rsid w:val="004B3CB5"/>
    <w:rsid w:val="004B3D83"/>
    <w:rsid w:val="004B3D93"/>
    <w:rsid w:val="004B3E0E"/>
    <w:rsid w:val="004B3E52"/>
    <w:rsid w:val="004B3E86"/>
    <w:rsid w:val="004B3F96"/>
    <w:rsid w:val="004B4006"/>
    <w:rsid w:val="004B41B4"/>
    <w:rsid w:val="004B45C3"/>
    <w:rsid w:val="004B470C"/>
    <w:rsid w:val="004B4872"/>
    <w:rsid w:val="004B48DF"/>
    <w:rsid w:val="004B4909"/>
    <w:rsid w:val="004B4994"/>
    <w:rsid w:val="004B4A01"/>
    <w:rsid w:val="004B4A2A"/>
    <w:rsid w:val="004B4CD3"/>
    <w:rsid w:val="004B4CD8"/>
    <w:rsid w:val="004B4D1F"/>
    <w:rsid w:val="004B4D37"/>
    <w:rsid w:val="004B4D7C"/>
    <w:rsid w:val="004B4DBC"/>
    <w:rsid w:val="004B4EF3"/>
    <w:rsid w:val="004B4F13"/>
    <w:rsid w:val="004B4FF1"/>
    <w:rsid w:val="004B50BC"/>
    <w:rsid w:val="004B5136"/>
    <w:rsid w:val="004B51FC"/>
    <w:rsid w:val="004B520E"/>
    <w:rsid w:val="004B5237"/>
    <w:rsid w:val="004B5278"/>
    <w:rsid w:val="004B53D3"/>
    <w:rsid w:val="004B544E"/>
    <w:rsid w:val="004B54B2"/>
    <w:rsid w:val="004B558D"/>
    <w:rsid w:val="004B55E8"/>
    <w:rsid w:val="004B5600"/>
    <w:rsid w:val="004B564C"/>
    <w:rsid w:val="004B5664"/>
    <w:rsid w:val="004B5731"/>
    <w:rsid w:val="004B57BE"/>
    <w:rsid w:val="004B584E"/>
    <w:rsid w:val="004B5872"/>
    <w:rsid w:val="004B58C2"/>
    <w:rsid w:val="004B5925"/>
    <w:rsid w:val="004B5984"/>
    <w:rsid w:val="004B5A88"/>
    <w:rsid w:val="004B5A99"/>
    <w:rsid w:val="004B5AC9"/>
    <w:rsid w:val="004B5B73"/>
    <w:rsid w:val="004B5D73"/>
    <w:rsid w:val="004B5E10"/>
    <w:rsid w:val="004B5E8D"/>
    <w:rsid w:val="004B5EE7"/>
    <w:rsid w:val="004B6075"/>
    <w:rsid w:val="004B60D3"/>
    <w:rsid w:val="004B622A"/>
    <w:rsid w:val="004B64D4"/>
    <w:rsid w:val="004B6547"/>
    <w:rsid w:val="004B676E"/>
    <w:rsid w:val="004B6811"/>
    <w:rsid w:val="004B6895"/>
    <w:rsid w:val="004B68AB"/>
    <w:rsid w:val="004B695B"/>
    <w:rsid w:val="004B6B36"/>
    <w:rsid w:val="004B6CBF"/>
    <w:rsid w:val="004B6CC5"/>
    <w:rsid w:val="004B6D04"/>
    <w:rsid w:val="004B6D0E"/>
    <w:rsid w:val="004B6DCA"/>
    <w:rsid w:val="004B6F02"/>
    <w:rsid w:val="004B6FE8"/>
    <w:rsid w:val="004B6FE9"/>
    <w:rsid w:val="004B721D"/>
    <w:rsid w:val="004B7513"/>
    <w:rsid w:val="004B7558"/>
    <w:rsid w:val="004B75DE"/>
    <w:rsid w:val="004B7871"/>
    <w:rsid w:val="004B7B57"/>
    <w:rsid w:val="004B7B6A"/>
    <w:rsid w:val="004B7BC0"/>
    <w:rsid w:val="004B7CF6"/>
    <w:rsid w:val="004B7D75"/>
    <w:rsid w:val="004B7E5F"/>
    <w:rsid w:val="004B7E8A"/>
    <w:rsid w:val="004B7EAF"/>
    <w:rsid w:val="004B7F55"/>
    <w:rsid w:val="004B7FCB"/>
    <w:rsid w:val="004C0041"/>
    <w:rsid w:val="004C0078"/>
    <w:rsid w:val="004C0141"/>
    <w:rsid w:val="004C015D"/>
    <w:rsid w:val="004C02B0"/>
    <w:rsid w:val="004C0389"/>
    <w:rsid w:val="004C03D0"/>
    <w:rsid w:val="004C057D"/>
    <w:rsid w:val="004C07C9"/>
    <w:rsid w:val="004C08B6"/>
    <w:rsid w:val="004C0A39"/>
    <w:rsid w:val="004C0B9F"/>
    <w:rsid w:val="004C0BAF"/>
    <w:rsid w:val="004C0C86"/>
    <w:rsid w:val="004C0D00"/>
    <w:rsid w:val="004C0ED2"/>
    <w:rsid w:val="004C10A6"/>
    <w:rsid w:val="004C1114"/>
    <w:rsid w:val="004C11D0"/>
    <w:rsid w:val="004C122E"/>
    <w:rsid w:val="004C1232"/>
    <w:rsid w:val="004C1289"/>
    <w:rsid w:val="004C12BC"/>
    <w:rsid w:val="004C12FF"/>
    <w:rsid w:val="004C1351"/>
    <w:rsid w:val="004C1494"/>
    <w:rsid w:val="004C14AB"/>
    <w:rsid w:val="004C15D3"/>
    <w:rsid w:val="004C1734"/>
    <w:rsid w:val="004C183F"/>
    <w:rsid w:val="004C194C"/>
    <w:rsid w:val="004C19A3"/>
    <w:rsid w:val="004C1A0D"/>
    <w:rsid w:val="004C1B29"/>
    <w:rsid w:val="004C1B4D"/>
    <w:rsid w:val="004C1D8F"/>
    <w:rsid w:val="004C1D91"/>
    <w:rsid w:val="004C1E3D"/>
    <w:rsid w:val="004C1EE9"/>
    <w:rsid w:val="004C24DB"/>
    <w:rsid w:val="004C2653"/>
    <w:rsid w:val="004C2715"/>
    <w:rsid w:val="004C2743"/>
    <w:rsid w:val="004C2770"/>
    <w:rsid w:val="004C2789"/>
    <w:rsid w:val="004C287D"/>
    <w:rsid w:val="004C2B16"/>
    <w:rsid w:val="004C2B97"/>
    <w:rsid w:val="004C2C51"/>
    <w:rsid w:val="004C2C58"/>
    <w:rsid w:val="004C2DB8"/>
    <w:rsid w:val="004C2E0F"/>
    <w:rsid w:val="004C2E3C"/>
    <w:rsid w:val="004C2EC2"/>
    <w:rsid w:val="004C2F87"/>
    <w:rsid w:val="004C3130"/>
    <w:rsid w:val="004C31C0"/>
    <w:rsid w:val="004C31FD"/>
    <w:rsid w:val="004C323A"/>
    <w:rsid w:val="004C3379"/>
    <w:rsid w:val="004C3462"/>
    <w:rsid w:val="004C349E"/>
    <w:rsid w:val="004C34DF"/>
    <w:rsid w:val="004C3546"/>
    <w:rsid w:val="004C354E"/>
    <w:rsid w:val="004C3553"/>
    <w:rsid w:val="004C3555"/>
    <w:rsid w:val="004C38C7"/>
    <w:rsid w:val="004C3B8A"/>
    <w:rsid w:val="004C3BD0"/>
    <w:rsid w:val="004C3C84"/>
    <w:rsid w:val="004C3CA2"/>
    <w:rsid w:val="004C3DC2"/>
    <w:rsid w:val="004C3E05"/>
    <w:rsid w:val="004C3F24"/>
    <w:rsid w:val="004C3FB2"/>
    <w:rsid w:val="004C401C"/>
    <w:rsid w:val="004C40BB"/>
    <w:rsid w:val="004C4194"/>
    <w:rsid w:val="004C42A5"/>
    <w:rsid w:val="004C453A"/>
    <w:rsid w:val="004C471F"/>
    <w:rsid w:val="004C4726"/>
    <w:rsid w:val="004C47FF"/>
    <w:rsid w:val="004C486C"/>
    <w:rsid w:val="004C4914"/>
    <w:rsid w:val="004C4930"/>
    <w:rsid w:val="004C49D7"/>
    <w:rsid w:val="004C49E5"/>
    <w:rsid w:val="004C4A3C"/>
    <w:rsid w:val="004C4AF8"/>
    <w:rsid w:val="004C4AFE"/>
    <w:rsid w:val="004C4B21"/>
    <w:rsid w:val="004C4B91"/>
    <w:rsid w:val="004C4BB1"/>
    <w:rsid w:val="004C4BB6"/>
    <w:rsid w:val="004C4DDD"/>
    <w:rsid w:val="004C4EF1"/>
    <w:rsid w:val="004C4F02"/>
    <w:rsid w:val="004C5066"/>
    <w:rsid w:val="004C5115"/>
    <w:rsid w:val="004C5238"/>
    <w:rsid w:val="004C53D7"/>
    <w:rsid w:val="004C5413"/>
    <w:rsid w:val="004C544E"/>
    <w:rsid w:val="004C54DF"/>
    <w:rsid w:val="004C5713"/>
    <w:rsid w:val="004C5742"/>
    <w:rsid w:val="004C5772"/>
    <w:rsid w:val="004C5780"/>
    <w:rsid w:val="004C5796"/>
    <w:rsid w:val="004C57D8"/>
    <w:rsid w:val="004C5835"/>
    <w:rsid w:val="004C586F"/>
    <w:rsid w:val="004C58B5"/>
    <w:rsid w:val="004C5921"/>
    <w:rsid w:val="004C5A3C"/>
    <w:rsid w:val="004C5A69"/>
    <w:rsid w:val="004C5D05"/>
    <w:rsid w:val="004C5D0A"/>
    <w:rsid w:val="004C5D44"/>
    <w:rsid w:val="004C5E77"/>
    <w:rsid w:val="004C5EBB"/>
    <w:rsid w:val="004C5F2F"/>
    <w:rsid w:val="004C5F90"/>
    <w:rsid w:val="004C5F92"/>
    <w:rsid w:val="004C6078"/>
    <w:rsid w:val="004C61F4"/>
    <w:rsid w:val="004C6374"/>
    <w:rsid w:val="004C63F2"/>
    <w:rsid w:val="004C642D"/>
    <w:rsid w:val="004C64FF"/>
    <w:rsid w:val="004C65BA"/>
    <w:rsid w:val="004C65CE"/>
    <w:rsid w:val="004C6660"/>
    <w:rsid w:val="004C68B4"/>
    <w:rsid w:val="004C6BD0"/>
    <w:rsid w:val="004C6C24"/>
    <w:rsid w:val="004C6CEB"/>
    <w:rsid w:val="004C6E10"/>
    <w:rsid w:val="004C6E9B"/>
    <w:rsid w:val="004C706F"/>
    <w:rsid w:val="004C720F"/>
    <w:rsid w:val="004C72D9"/>
    <w:rsid w:val="004C72EE"/>
    <w:rsid w:val="004C732F"/>
    <w:rsid w:val="004C7369"/>
    <w:rsid w:val="004C7414"/>
    <w:rsid w:val="004C753B"/>
    <w:rsid w:val="004C7655"/>
    <w:rsid w:val="004C7673"/>
    <w:rsid w:val="004C7695"/>
    <w:rsid w:val="004C76BA"/>
    <w:rsid w:val="004C76D8"/>
    <w:rsid w:val="004C77A9"/>
    <w:rsid w:val="004C7892"/>
    <w:rsid w:val="004C78F5"/>
    <w:rsid w:val="004C7AE7"/>
    <w:rsid w:val="004C7C01"/>
    <w:rsid w:val="004C7D12"/>
    <w:rsid w:val="004C7DC7"/>
    <w:rsid w:val="004C7E6B"/>
    <w:rsid w:val="004C7EE1"/>
    <w:rsid w:val="004C7FB5"/>
    <w:rsid w:val="004D00C1"/>
    <w:rsid w:val="004D00DF"/>
    <w:rsid w:val="004D01CD"/>
    <w:rsid w:val="004D0491"/>
    <w:rsid w:val="004D0492"/>
    <w:rsid w:val="004D049A"/>
    <w:rsid w:val="004D04ED"/>
    <w:rsid w:val="004D04FC"/>
    <w:rsid w:val="004D052D"/>
    <w:rsid w:val="004D0579"/>
    <w:rsid w:val="004D06D6"/>
    <w:rsid w:val="004D0711"/>
    <w:rsid w:val="004D074F"/>
    <w:rsid w:val="004D084C"/>
    <w:rsid w:val="004D087C"/>
    <w:rsid w:val="004D088E"/>
    <w:rsid w:val="004D089F"/>
    <w:rsid w:val="004D08C5"/>
    <w:rsid w:val="004D0968"/>
    <w:rsid w:val="004D09A3"/>
    <w:rsid w:val="004D0A28"/>
    <w:rsid w:val="004D0A85"/>
    <w:rsid w:val="004D0A90"/>
    <w:rsid w:val="004D0AF5"/>
    <w:rsid w:val="004D0B92"/>
    <w:rsid w:val="004D0C2B"/>
    <w:rsid w:val="004D0CAB"/>
    <w:rsid w:val="004D0D0E"/>
    <w:rsid w:val="004D0D1A"/>
    <w:rsid w:val="004D0EC3"/>
    <w:rsid w:val="004D0F9A"/>
    <w:rsid w:val="004D1046"/>
    <w:rsid w:val="004D1087"/>
    <w:rsid w:val="004D11FF"/>
    <w:rsid w:val="004D1239"/>
    <w:rsid w:val="004D139E"/>
    <w:rsid w:val="004D13BC"/>
    <w:rsid w:val="004D13C4"/>
    <w:rsid w:val="004D1439"/>
    <w:rsid w:val="004D185A"/>
    <w:rsid w:val="004D1892"/>
    <w:rsid w:val="004D1964"/>
    <w:rsid w:val="004D1A70"/>
    <w:rsid w:val="004D1AC5"/>
    <w:rsid w:val="004D1B86"/>
    <w:rsid w:val="004D1BF3"/>
    <w:rsid w:val="004D1CE2"/>
    <w:rsid w:val="004D1D03"/>
    <w:rsid w:val="004D1FFD"/>
    <w:rsid w:val="004D21B0"/>
    <w:rsid w:val="004D2308"/>
    <w:rsid w:val="004D2329"/>
    <w:rsid w:val="004D23EA"/>
    <w:rsid w:val="004D240C"/>
    <w:rsid w:val="004D2742"/>
    <w:rsid w:val="004D2831"/>
    <w:rsid w:val="004D28C1"/>
    <w:rsid w:val="004D29D0"/>
    <w:rsid w:val="004D2A52"/>
    <w:rsid w:val="004D2AB6"/>
    <w:rsid w:val="004D2B07"/>
    <w:rsid w:val="004D2C76"/>
    <w:rsid w:val="004D2CDF"/>
    <w:rsid w:val="004D2D6D"/>
    <w:rsid w:val="004D2D75"/>
    <w:rsid w:val="004D2D8D"/>
    <w:rsid w:val="004D2DE6"/>
    <w:rsid w:val="004D2F10"/>
    <w:rsid w:val="004D2F54"/>
    <w:rsid w:val="004D3035"/>
    <w:rsid w:val="004D3043"/>
    <w:rsid w:val="004D32E7"/>
    <w:rsid w:val="004D339D"/>
    <w:rsid w:val="004D33F7"/>
    <w:rsid w:val="004D37CE"/>
    <w:rsid w:val="004D37DC"/>
    <w:rsid w:val="004D3AD1"/>
    <w:rsid w:val="004D3B46"/>
    <w:rsid w:val="004D3C2D"/>
    <w:rsid w:val="004D3DB4"/>
    <w:rsid w:val="004D3ED8"/>
    <w:rsid w:val="004D3F6D"/>
    <w:rsid w:val="004D402A"/>
    <w:rsid w:val="004D4288"/>
    <w:rsid w:val="004D42C6"/>
    <w:rsid w:val="004D4367"/>
    <w:rsid w:val="004D443E"/>
    <w:rsid w:val="004D44AC"/>
    <w:rsid w:val="004D46E7"/>
    <w:rsid w:val="004D4706"/>
    <w:rsid w:val="004D47D0"/>
    <w:rsid w:val="004D47F9"/>
    <w:rsid w:val="004D4831"/>
    <w:rsid w:val="004D4882"/>
    <w:rsid w:val="004D498A"/>
    <w:rsid w:val="004D4B8C"/>
    <w:rsid w:val="004D4D00"/>
    <w:rsid w:val="004D4D3B"/>
    <w:rsid w:val="004D4D61"/>
    <w:rsid w:val="004D4EB9"/>
    <w:rsid w:val="004D4FE9"/>
    <w:rsid w:val="004D5078"/>
    <w:rsid w:val="004D50CB"/>
    <w:rsid w:val="004D51E1"/>
    <w:rsid w:val="004D5254"/>
    <w:rsid w:val="004D5323"/>
    <w:rsid w:val="004D5389"/>
    <w:rsid w:val="004D53DF"/>
    <w:rsid w:val="004D5504"/>
    <w:rsid w:val="004D5599"/>
    <w:rsid w:val="004D5654"/>
    <w:rsid w:val="004D56BD"/>
    <w:rsid w:val="004D572D"/>
    <w:rsid w:val="004D577F"/>
    <w:rsid w:val="004D580E"/>
    <w:rsid w:val="004D597B"/>
    <w:rsid w:val="004D5A3E"/>
    <w:rsid w:val="004D5AAC"/>
    <w:rsid w:val="004D5AD3"/>
    <w:rsid w:val="004D5B9B"/>
    <w:rsid w:val="004D5BB3"/>
    <w:rsid w:val="004D5C68"/>
    <w:rsid w:val="004D5D6C"/>
    <w:rsid w:val="004D5ED7"/>
    <w:rsid w:val="004D5FF3"/>
    <w:rsid w:val="004D6016"/>
    <w:rsid w:val="004D60D0"/>
    <w:rsid w:val="004D60EC"/>
    <w:rsid w:val="004D612C"/>
    <w:rsid w:val="004D6181"/>
    <w:rsid w:val="004D61FA"/>
    <w:rsid w:val="004D623C"/>
    <w:rsid w:val="004D62F5"/>
    <w:rsid w:val="004D6339"/>
    <w:rsid w:val="004D6424"/>
    <w:rsid w:val="004D64AD"/>
    <w:rsid w:val="004D6712"/>
    <w:rsid w:val="004D67BA"/>
    <w:rsid w:val="004D6970"/>
    <w:rsid w:val="004D6A4D"/>
    <w:rsid w:val="004D6A64"/>
    <w:rsid w:val="004D6A70"/>
    <w:rsid w:val="004D6B89"/>
    <w:rsid w:val="004D6BD6"/>
    <w:rsid w:val="004D6C99"/>
    <w:rsid w:val="004D6CD9"/>
    <w:rsid w:val="004D6D57"/>
    <w:rsid w:val="004D6F10"/>
    <w:rsid w:val="004D7082"/>
    <w:rsid w:val="004D7136"/>
    <w:rsid w:val="004D722D"/>
    <w:rsid w:val="004D73B9"/>
    <w:rsid w:val="004D7474"/>
    <w:rsid w:val="004D7597"/>
    <w:rsid w:val="004D7691"/>
    <w:rsid w:val="004D7860"/>
    <w:rsid w:val="004D7898"/>
    <w:rsid w:val="004D7900"/>
    <w:rsid w:val="004D7B7B"/>
    <w:rsid w:val="004D7CA3"/>
    <w:rsid w:val="004D7FEE"/>
    <w:rsid w:val="004D7FF1"/>
    <w:rsid w:val="004E008D"/>
    <w:rsid w:val="004E0106"/>
    <w:rsid w:val="004E0206"/>
    <w:rsid w:val="004E0280"/>
    <w:rsid w:val="004E0396"/>
    <w:rsid w:val="004E03D3"/>
    <w:rsid w:val="004E0533"/>
    <w:rsid w:val="004E053B"/>
    <w:rsid w:val="004E0580"/>
    <w:rsid w:val="004E0728"/>
    <w:rsid w:val="004E08F3"/>
    <w:rsid w:val="004E0A17"/>
    <w:rsid w:val="004E0BE9"/>
    <w:rsid w:val="004E0C6B"/>
    <w:rsid w:val="004E0C71"/>
    <w:rsid w:val="004E1095"/>
    <w:rsid w:val="004E1143"/>
    <w:rsid w:val="004E114C"/>
    <w:rsid w:val="004E1176"/>
    <w:rsid w:val="004E11C1"/>
    <w:rsid w:val="004E11E8"/>
    <w:rsid w:val="004E1262"/>
    <w:rsid w:val="004E12C2"/>
    <w:rsid w:val="004E12D8"/>
    <w:rsid w:val="004E156D"/>
    <w:rsid w:val="004E1670"/>
    <w:rsid w:val="004E1790"/>
    <w:rsid w:val="004E1888"/>
    <w:rsid w:val="004E1920"/>
    <w:rsid w:val="004E1B2F"/>
    <w:rsid w:val="004E1C0C"/>
    <w:rsid w:val="004E1F07"/>
    <w:rsid w:val="004E1F7D"/>
    <w:rsid w:val="004E1FF1"/>
    <w:rsid w:val="004E20A2"/>
    <w:rsid w:val="004E2101"/>
    <w:rsid w:val="004E24A4"/>
    <w:rsid w:val="004E266F"/>
    <w:rsid w:val="004E26AF"/>
    <w:rsid w:val="004E26FC"/>
    <w:rsid w:val="004E2737"/>
    <w:rsid w:val="004E28FA"/>
    <w:rsid w:val="004E29A8"/>
    <w:rsid w:val="004E29DD"/>
    <w:rsid w:val="004E2AC7"/>
    <w:rsid w:val="004E2B4F"/>
    <w:rsid w:val="004E2B62"/>
    <w:rsid w:val="004E2C55"/>
    <w:rsid w:val="004E2EDB"/>
    <w:rsid w:val="004E3049"/>
    <w:rsid w:val="004E30FC"/>
    <w:rsid w:val="004E31C0"/>
    <w:rsid w:val="004E31CC"/>
    <w:rsid w:val="004E3409"/>
    <w:rsid w:val="004E35E3"/>
    <w:rsid w:val="004E3671"/>
    <w:rsid w:val="004E36D0"/>
    <w:rsid w:val="004E371A"/>
    <w:rsid w:val="004E3822"/>
    <w:rsid w:val="004E38C5"/>
    <w:rsid w:val="004E38F5"/>
    <w:rsid w:val="004E394D"/>
    <w:rsid w:val="004E3959"/>
    <w:rsid w:val="004E3962"/>
    <w:rsid w:val="004E3A69"/>
    <w:rsid w:val="004E3CC9"/>
    <w:rsid w:val="004E3D43"/>
    <w:rsid w:val="004E3F7C"/>
    <w:rsid w:val="004E3FFA"/>
    <w:rsid w:val="004E4066"/>
    <w:rsid w:val="004E411B"/>
    <w:rsid w:val="004E413E"/>
    <w:rsid w:val="004E420B"/>
    <w:rsid w:val="004E424C"/>
    <w:rsid w:val="004E43B6"/>
    <w:rsid w:val="004E43EA"/>
    <w:rsid w:val="004E460A"/>
    <w:rsid w:val="004E4685"/>
    <w:rsid w:val="004E46F4"/>
    <w:rsid w:val="004E473E"/>
    <w:rsid w:val="004E4765"/>
    <w:rsid w:val="004E48B2"/>
    <w:rsid w:val="004E497A"/>
    <w:rsid w:val="004E4AE0"/>
    <w:rsid w:val="004E4B29"/>
    <w:rsid w:val="004E4B48"/>
    <w:rsid w:val="004E4B69"/>
    <w:rsid w:val="004E4C2F"/>
    <w:rsid w:val="004E4DF3"/>
    <w:rsid w:val="004E4EC0"/>
    <w:rsid w:val="004E4EF1"/>
    <w:rsid w:val="004E4F8C"/>
    <w:rsid w:val="004E5109"/>
    <w:rsid w:val="004E5205"/>
    <w:rsid w:val="004E54CB"/>
    <w:rsid w:val="004E5514"/>
    <w:rsid w:val="004E557D"/>
    <w:rsid w:val="004E56A7"/>
    <w:rsid w:val="004E5A03"/>
    <w:rsid w:val="004E5A7A"/>
    <w:rsid w:val="004E5AE5"/>
    <w:rsid w:val="004E5BF1"/>
    <w:rsid w:val="004E5C26"/>
    <w:rsid w:val="004E5C3F"/>
    <w:rsid w:val="004E5C69"/>
    <w:rsid w:val="004E5EE5"/>
    <w:rsid w:val="004E5FF7"/>
    <w:rsid w:val="004E601A"/>
    <w:rsid w:val="004E6088"/>
    <w:rsid w:val="004E60D0"/>
    <w:rsid w:val="004E60D4"/>
    <w:rsid w:val="004E62CA"/>
    <w:rsid w:val="004E6354"/>
    <w:rsid w:val="004E63BC"/>
    <w:rsid w:val="004E6425"/>
    <w:rsid w:val="004E66CC"/>
    <w:rsid w:val="004E67F1"/>
    <w:rsid w:val="004E688E"/>
    <w:rsid w:val="004E691B"/>
    <w:rsid w:val="004E69A8"/>
    <w:rsid w:val="004E6A05"/>
    <w:rsid w:val="004E6A93"/>
    <w:rsid w:val="004E6A9E"/>
    <w:rsid w:val="004E6D60"/>
    <w:rsid w:val="004E6E52"/>
    <w:rsid w:val="004E6F4F"/>
    <w:rsid w:val="004E6F5D"/>
    <w:rsid w:val="004E702B"/>
    <w:rsid w:val="004E707F"/>
    <w:rsid w:val="004E70BF"/>
    <w:rsid w:val="004E71C8"/>
    <w:rsid w:val="004E71E1"/>
    <w:rsid w:val="004E729A"/>
    <w:rsid w:val="004E7409"/>
    <w:rsid w:val="004E7470"/>
    <w:rsid w:val="004E76E3"/>
    <w:rsid w:val="004E770A"/>
    <w:rsid w:val="004E771E"/>
    <w:rsid w:val="004E779A"/>
    <w:rsid w:val="004E77CB"/>
    <w:rsid w:val="004E78A2"/>
    <w:rsid w:val="004E7B0C"/>
    <w:rsid w:val="004E7B2D"/>
    <w:rsid w:val="004E7B54"/>
    <w:rsid w:val="004E7BB9"/>
    <w:rsid w:val="004E7BFC"/>
    <w:rsid w:val="004E7F36"/>
    <w:rsid w:val="004F012B"/>
    <w:rsid w:val="004F0188"/>
    <w:rsid w:val="004F02F0"/>
    <w:rsid w:val="004F02F5"/>
    <w:rsid w:val="004F0327"/>
    <w:rsid w:val="004F054C"/>
    <w:rsid w:val="004F0706"/>
    <w:rsid w:val="004F075D"/>
    <w:rsid w:val="004F09C0"/>
    <w:rsid w:val="004F09C9"/>
    <w:rsid w:val="004F0A1B"/>
    <w:rsid w:val="004F0AC2"/>
    <w:rsid w:val="004F0B3B"/>
    <w:rsid w:val="004F0B43"/>
    <w:rsid w:val="004F0BA2"/>
    <w:rsid w:val="004F0C77"/>
    <w:rsid w:val="004F0C98"/>
    <w:rsid w:val="004F0CDA"/>
    <w:rsid w:val="004F0CEB"/>
    <w:rsid w:val="004F0F41"/>
    <w:rsid w:val="004F0F74"/>
    <w:rsid w:val="004F0FA6"/>
    <w:rsid w:val="004F1078"/>
    <w:rsid w:val="004F10AC"/>
    <w:rsid w:val="004F111F"/>
    <w:rsid w:val="004F1158"/>
    <w:rsid w:val="004F12A6"/>
    <w:rsid w:val="004F12AE"/>
    <w:rsid w:val="004F1375"/>
    <w:rsid w:val="004F1413"/>
    <w:rsid w:val="004F149F"/>
    <w:rsid w:val="004F1565"/>
    <w:rsid w:val="004F1583"/>
    <w:rsid w:val="004F1716"/>
    <w:rsid w:val="004F1760"/>
    <w:rsid w:val="004F17B3"/>
    <w:rsid w:val="004F1878"/>
    <w:rsid w:val="004F18D2"/>
    <w:rsid w:val="004F1928"/>
    <w:rsid w:val="004F1AB3"/>
    <w:rsid w:val="004F1DD2"/>
    <w:rsid w:val="004F1F9F"/>
    <w:rsid w:val="004F1FA3"/>
    <w:rsid w:val="004F2304"/>
    <w:rsid w:val="004F242C"/>
    <w:rsid w:val="004F243C"/>
    <w:rsid w:val="004F26CC"/>
    <w:rsid w:val="004F26F8"/>
    <w:rsid w:val="004F27A6"/>
    <w:rsid w:val="004F287F"/>
    <w:rsid w:val="004F2940"/>
    <w:rsid w:val="004F296E"/>
    <w:rsid w:val="004F2C30"/>
    <w:rsid w:val="004F2CE4"/>
    <w:rsid w:val="004F2D03"/>
    <w:rsid w:val="004F31EC"/>
    <w:rsid w:val="004F32E4"/>
    <w:rsid w:val="004F3313"/>
    <w:rsid w:val="004F3496"/>
    <w:rsid w:val="004F34B2"/>
    <w:rsid w:val="004F3517"/>
    <w:rsid w:val="004F363A"/>
    <w:rsid w:val="004F36ED"/>
    <w:rsid w:val="004F3745"/>
    <w:rsid w:val="004F3848"/>
    <w:rsid w:val="004F38A7"/>
    <w:rsid w:val="004F39E3"/>
    <w:rsid w:val="004F3AB5"/>
    <w:rsid w:val="004F3C7D"/>
    <w:rsid w:val="004F3D85"/>
    <w:rsid w:val="004F3EB1"/>
    <w:rsid w:val="004F3F78"/>
    <w:rsid w:val="004F40D1"/>
    <w:rsid w:val="004F4139"/>
    <w:rsid w:val="004F4170"/>
    <w:rsid w:val="004F4196"/>
    <w:rsid w:val="004F41A9"/>
    <w:rsid w:val="004F41C9"/>
    <w:rsid w:val="004F41FC"/>
    <w:rsid w:val="004F4456"/>
    <w:rsid w:val="004F4498"/>
    <w:rsid w:val="004F4552"/>
    <w:rsid w:val="004F4646"/>
    <w:rsid w:val="004F466C"/>
    <w:rsid w:val="004F4888"/>
    <w:rsid w:val="004F4960"/>
    <w:rsid w:val="004F4B38"/>
    <w:rsid w:val="004F4B6A"/>
    <w:rsid w:val="004F4C14"/>
    <w:rsid w:val="004F4C88"/>
    <w:rsid w:val="004F4C99"/>
    <w:rsid w:val="004F4CC9"/>
    <w:rsid w:val="004F4D98"/>
    <w:rsid w:val="004F5004"/>
    <w:rsid w:val="004F5011"/>
    <w:rsid w:val="004F522C"/>
    <w:rsid w:val="004F533D"/>
    <w:rsid w:val="004F5432"/>
    <w:rsid w:val="004F5495"/>
    <w:rsid w:val="004F54B0"/>
    <w:rsid w:val="004F54BC"/>
    <w:rsid w:val="004F5677"/>
    <w:rsid w:val="004F57F6"/>
    <w:rsid w:val="004F589C"/>
    <w:rsid w:val="004F597C"/>
    <w:rsid w:val="004F5B5E"/>
    <w:rsid w:val="004F5BEA"/>
    <w:rsid w:val="004F5C5C"/>
    <w:rsid w:val="004F5D63"/>
    <w:rsid w:val="004F5E0A"/>
    <w:rsid w:val="004F5FC4"/>
    <w:rsid w:val="004F60AE"/>
    <w:rsid w:val="004F6192"/>
    <w:rsid w:val="004F6222"/>
    <w:rsid w:val="004F629E"/>
    <w:rsid w:val="004F64BA"/>
    <w:rsid w:val="004F64C5"/>
    <w:rsid w:val="004F6694"/>
    <w:rsid w:val="004F66B6"/>
    <w:rsid w:val="004F67DC"/>
    <w:rsid w:val="004F6900"/>
    <w:rsid w:val="004F699E"/>
    <w:rsid w:val="004F6A0C"/>
    <w:rsid w:val="004F6A1C"/>
    <w:rsid w:val="004F6A5A"/>
    <w:rsid w:val="004F6CCC"/>
    <w:rsid w:val="004F6D1F"/>
    <w:rsid w:val="004F6D62"/>
    <w:rsid w:val="004F6DBE"/>
    <w:rsid w:val="004F6EF4"/>
    <w:rsid w:val="004F6F53"/>
    <w:rsid w:val="004F6F8F"/>
    <w:rsid w:val="004F711A"/>
    <w:rsid w:val="004F717B"/>
    <w:rsid w:val="004F7394"/>
    <w:rsid w:val="004F7422"/>
    <w:rsid w:val="004F75D8"/>
    <w:rsid w:val="004F7938"/>
    <w:rsid w:val="004F7999"/>
    <w:rsid w:val="004F7AAD"/>
    <w:rsid w:val="004F7B72"/>
    <w:rsid w:val="004F7BB5"/>
    <w:rsid w:val="004F7C38"/>
    <w:rsid w:val="004F7D5C"/>
    <w:rsid w:val="004F7D87"/>
    <w:rsid w:val="004F7EA0"/>
    <w:rsid w:val="004F7ED2"/>
    <w:rsid w:val="004F7F67"/>
    <w:rsid w:val="005001F9"/>
    <w:rsid w:val="0050026A"/>
    <w:rsid w:val="00500592"/>
    <w:rsid w:val="00500637"/>
    <w:rsid w:val="00500768"/>
    <w:rsid w:val="00500819"/>
    <w:rsid w:val="00500B10"/>
    <w:rsid w:val="00500D78"/>
    <w:rsid w:val="005010B0"/>
    <w:rsid w:val="005010C2"/>
    <w:rsid w:val="00501233"/>
    <w:rsid w:val="005013A0"/>
    <w:rsid w:val="0050152C"/>
    <w:rsid w:val="00501884"/>
    <w:rsid w:val="00501983"/>
    <w:rsid w:val="00501AA7"/>
    <w:rsid w:val="00501BE6"/>
    <w:rsid w:val="00501CA3"/>
    <w:rsid w:val="00501D4D"/>
    <w:rsid w:val="00501E72"/>
    <w:rsid w:val="00501EBB"/>
    <w:rsid w:val="00502173"/>
    <w:rsid w:val="00502588"/>
    <w:rsid w:val="005025FE"/>
    <w:rsid w:val="0050263B"/>
    <w:rsid w:val="005026E3"/>
    <w:rsid w:val="005026EA"/>
    <w:rsid w:val="005028B0"/>
    <w:rsid w:val="005028E6"/>
    <w:rsid w:val="005029F8"/>
    <w:rsid w:val="00502D12"/>
    <w:rsid w:val="00502D2B"/>
    <w:rsid w:val="00502D88"/>
    <w:rsid w:val="00502D8E"/>
    <w:rsid w:val="00502E29"/>
    <w:rsid w:val="005032B6"/>
    <w:rsid w:val="00503409"/>
    <w:rsid w:val="005034EF"/>
    <w:rsid w:val="0050366E"/>
    <w:rsid w:val="005037E9"/>
    <w:rsid w:val="00503856"/>
    <w:rsid w:val="00503891"/>
    <w:rsid w:val="00503981"/>
    <w:rsid w:val="00503A37"/>
    <w:rsid w:val="00503AED"/>
    <w:rsid w:val="00503B6D"/>
    <w:rsid w:val="00504057"/>
    <w:rsid w:val="00504359"/>
    <w:rsid w:val="00504388"/>
    <w:rsid w:val="00504438"/>
    <w:rsid w:val="00504585"/>
    <w:rsid w:val="005045E7"/>
    <w:rsid w:val="0050467F"/>
    <w:rsid w:val="0050475F"/>
    <w:rsid w:val="00504798"/>
    <w:rsid w:val="005047F0"/>
    <w:rsid w:val="005049DD"/>
    <w:rsid w:val="00504A44"/>
    <w:rsid w:val="00504A6D"/>
    <w:rsid w:val="00504B2C"/>
    <w:rsid w:val="00504B6E"/>
    <w:rsid w:val="00504C29"/>
    <w:rsid w:val="00504CD3"/>
    <w:rsid w:val="00504D4D"/>
    <w:rsid w:val="00504F17"/>
    <w:rsid w:val="00505037"/>
    <w:rsid w:val="00505269"/>
    <w:rsid w:val="00505270"/>
    <w:rsid w:val="00505276"/>
    <w:rsid w:val="00505375"/>
    <w:rsid w:val="0050548C"/>
    <w:rsid w:val="005055DD"/>
    <w:rsid w:val="005056E8"/>
    <w:rsid w:val="00505800"/>
    <w:rsid w:val="005058F6"/>
    <w:rsid w:val="0050595F"/>
    <w:rsid w:val="0050598D"/>
    <w:rsid w:val="00505A74"/>
    <w:rsid w:val="00505B84"/>
    <w:rsid w:val="00505B9F"/>
    <w:rsid w:val="00505BF8"/>
    <w:rsid w:val="00505CA1"/>
    <w:rsid w:val="00505E1A"/>
    <w:rsid w:val="00505F2B"/>
    <w:rsid w:val="005060E2"/>
    <w:rsid w:val="00506107"/>
    <w:rsid w:val="00506151"/>
    <w:rsid w:val="005061C5"/>
    <w:rsid w:val="00506265"/>
    <w:rsid w:val="005064CE"/>
    <w:rsid w:val="00506501"/>
    <w:rsid w:val="0050663A"/>
    <w:rsid w:val="0050670F"/>
    <w:rsid w:val="0050686E"/>
    <w:rsid w:val="005068DE"/>
    <w:rsid w:val="00506AA7"/>
    <w:rsid w:val="00506AE4"/>
    <w:rsid w:val="00506CA3"/>
    <w:rsid w:val="00506D02"/>
    <w:rsid w:val="00506DDE"/>
    <w:rsid w:val="00506DEE"/>
    <w:rsid w:val="00506E4B"/>
    <w:rsid w:val="00506E8F"/>
    <w:rsid w:val="00506EC5"/>
    <w:rsid w:val="00506F93"/>
    <w:rsid w:val="00507132"/>
    <w:rsid w:val="00507255"/>
    <w:rsid w:val="0050730F"/>
    <w:rsid w:val="00507313"/>
    <w:rsid w:val="00507453"/>
    <w:rsid w:val="005075E5"/>
    <w:rsid w:val="0050782E"/>
    <w:rsid w:val="005078EB"/>
    <w:rsid w:val="005079AC"/>
    <w:rsid w:val="00507AB3"/>
    <w:rsid w:val="00507AD8"/>
    <w:rsid w:val="00507B80"/>
    <w:rsid w:val="00507C25"/>
    <w:rsid w:val="00507C81"/>
    <w:rsid w:val="00507ED2"/>
    <w:rsid w:val="00507EEB"/>
    <w:rsid w:val="005100FA"/>
    <w:rsid w:val="00510198"/>
    <w:rsid w:val="005103A4"/>
    <w:rsid w:val="00510482"/>
    <w:rsid w:val="0051048A"/>
    <w:rsid w:val="00510532"/>
    <w:rsid w:val="0051068F"/>
    <w:rsid w:val="0051080F"/>
    <w:rsid w:val="0051086E"/>
    <w:rsid w:val="005109D2"/>
    <w:rsid w:val="00510A17"/>
    <w:rsid w:val="00510A56"/>
    <w:rsid w:val="00510BF4"/>
    <w:rsid w:val="00510D68"/>
    <w:rsid w:val="00510EE1"/>
    <w:rsid w:val="005110A1"/>
    <w:rsid w:val="005111FC"/>
    <w:rsid w:val="00511208"/>
    <w:rsid w:val="0051124A"/>
    <w:rsid w:val="0051133B"/>
    <w:rsid w:val="0051151B"/>
    <w:rsid w:val="00511556"/>
    <w:rsid w:val="005115CB"/>
    <w:rsid w:val="0051160F"/>
    <w:rsid w:val="0051164D"/>
    <w:rsid w:val="00511723"/>
    <w:rsid w:val="00511829"/>
    <w:rsid w:val="005119EF"/>
    <w:rsid w:val="00511B2F"/>
    <w:rsid w:val="00511C55"/>
    <w:rsid w:val="00511C71"/>
    <w:rsid w:val="00511DB3"/>
    <w:rsid w:val="00511DF1"/>
    <w:rsid w:val="00511F62"/>
    <w:rsid w:val="005120E4"/>
    <w:rsid w:val="005120E7"/>
    <w:rsid w:val="0051215E"/>
    <w:rsid w:val="00512254"/>
    <w:rsid w:val="005123E6"/>
    <w:rsid w:val="00512423"/>
    <w:rsid w:val="0051249F"/>
    <w:rsid w:val="005124C5"/>
    <w:rsid w:val="0051255C"/>
    <w:rsid w:val="005125A1"/>
    <w:rsid w:val="005125B2"/>
    <w:rsid w:val="005127B5"/>
    <w:rsid w:val="005128F1"/>
    <w:rsid w:val="0051292B"/>
    <w:rsid w:val="00512977"/>
    <w:rsid w:val="00512994"/>
    <w:rsid w:val="00512A17"/>
    <w:rsid w:val="00512B60"/>
    <w:rsid w:val="00512BE6"/>
    <w:rsid w:val="00512D9B"/>
    <w:rsid w:val="00512E7E"/>
    <w:rsid w:val="00512EBB"/>
    <w:rsid w:val="00512F10"/>
    <w:rsid w:val="00512F1F"/>
    <w:rsid w:val="005132AA"/>
    <w:rsid w:val="005132F3"/>
    <w:rsid w:val="00513384"/>
    <w:rsid w:val="0051342A"/>
    <w:rsid w:val="0051345C"/>
    <w:rsid w:val="00513477"/>
    <w:rsid w:val="0051349A"/>
    <w:rsid w:val="0051368B"/>
    <w:rsid w:val="005136AD"/>
    <w:rsid w:val="0051376C"/>
    <w:rsid w:val="005138BA"/>
    <w:rsid w:val="005138F0"/>
    <w:rsid w:val="00513923"/>
    <w:rsid w:val="005139DE"/>
    <w:rsid w:val="00513A80"/>
    <w:rsid w:val="00513B49"/>
    <w:rsid w:val="00513B8C"/>
    <w:rsid w:val="00513D89"/>
    <w:rsid w:val="00513E5E"/>
    <w:rsid w:val="00513E9E"/>
    <w:rsid w:val="00513F4E"/>
    <w:rsid w:val="00513F4F"/>
    <w:rsid w:val="0051421E"/>
    <w:rsid w:val="00514225"/>
    <w:rsid w:val="0051436A"/>
    <w:rsid w:val="00514373"/>
    <w:rsid w:val="005144D8"/>
    <w:rsid w:val="005145F7"/>
    <w:rsid w:val="00514655"/>
    <w:rsid w:val="005146D1"/>
    <w:rsid w:val="0051471D"/>
    <w:rsid w:val="00514781"/>
    <w:rsid w:val="00514854"/>
    <w:rsid w:val="005148A5"/>
    <w:rsid w:val="0051496E"/>
    <w:rsid w:val="00514994"/>
    <w:rsid w:val="00514B31"/>
    <w:rsid w:val="00514BB5"/>
    <w:rsid w:val="00514D9D"/>
    <w:rsid w:val="00514E44"/>
    <w:rsid w:val="00514F18"/>
    <w:rsid w:val="00514F9B"/>
    <w:rsid w:val="0051504A"/>
    <w:rsid w:val="0051507F"/>
    <w:rsid w:val="005150F0"/>
    <w:rsid w:val="0051510A"/>
    <w:rsid w:val="00515127"/>
    <w:rsid w:val="005151D0"/>
    <w:rsid w:val="00515210"/>
    <w:rsid w:val="005152A9"/>
    <w:rsid w:val="0051532A"/>
    <w:rsid w:val="00515560"/>
    <w:rsid w:val="0051587D"/>
    <w:rsid w:val="005158DD"/>
    <w:rsid w:val="005158FF"/>
    <w:rsid w:val="00515ACB"/>
    <w:rsid w:val="00515BFF"/>
    <w:rsid w:val="00515C0C"/>
    <w:rsid w:val="00515CB5"/>
    <w:rsid w:val="00515D04"/>
    <w:rsid w:val="00515D20"/>
    <w:rsid w:val="0051604A"/>
    <w:rsid w:val="005160B2"/>
    <w:rsid w:val="005160B5"/>
    <w:rsid w:val="0051612F"/>
    <w:rsid w:val="005162AD"/>
    <w:rsid w:val="00516409"/>
    <w:rsid w:val="00516410"/>
    <w:rsid w:val="00516441"/>
    <w:rsid w:val="00516577"/>
    <w:rsid w:val="00516657"/>
    <w:rsid w:val="005166E7"/>
    <w:rsid w:val="005167AD"/>
    <w:rsid w:val="005167E0"/>
    <w:rsid w:val="0051689B"/>
    <w:rsid w:val="005168A3"/>
    <w:rsid w:val="00516904"/>
    <w:rsid w:val="00516995"/>
    <w:rsid w:val="005169F2"/>
    <w:rsid w:val="00516AA0"/>
    <w:rsid w:val="00516B66"/>
    <w:rsid w:val="00516CDA"/>
    <w:rsid w:val="00516E21"/>
    <w:rsid w:val="00516EE5"/>
    <w:rsid w:val="00516F09"/>
    <w:rsid w:val="00517001"/>
    <w:rsid w:val="005172EB"/>
    <w:rsid w:val="005175F8"/>
    <w:rsid w:val="00517642"/>
    <w:rsid w:val="00517714"/>
    <w:rsid w:val="00517795"/>
    <w:rsid w:val="005177C4"/>
    <w:rsid w:val="005178A8"/>
    <w:rsid w:val="00517C40"/>
    <w:rsid w:val="00517D54"/>
    <w:rsid w:val="00517F96"/>
    <w:rsid w:val="00520094"/>
    <w:rsid w:val="005200AA"/>
    <w:rsid w:val="0052018D"/>
    <w:rsid w:val="005201DD"/>
    <w:rsid w:val="00520314"/>
    <w:rsid w:val="0052034D"/>
    <w:rsid w:val="0052036F"/>
    <w:rsid w:val="005208DE"/>
    <w:rsid w:val="00520910"/>
    <w:rsid w:val="00520A5B"/>
    <w:rsid w:val="00520AC8"/>
    <w:rsid w:val="00520B1C"/>
    <w:rsid w:val="00520BD6"/>
    <w:rsid w:val="00520CAD"/>
    <w:rsid w:val="00520CB5"/>
    <w:rsid w:val="00520FA8"/>
    <w:rsid w:val="0052102E"/>
    <w:rsid w:val="005210CC"/>
    <w:rsid w:val="005211AF"/>
    <w:rsid w:val="00521256"/>
    <w:rsid w:val="0052129B"/>
    <w:rsid w:val="005212A0"/>
    <w:rsid w:val="00521350"/>
    <w:rsid w:val="00521376"/>
    <w:rsid w:val="005213E2"/>
    <w:rsid w:val="00521424"/>
    <w:rsid w:val="005214D6"/>
    <w:rsid w:val="005214ED"/>
    <w:rsid w:val="0052160A"/>
    <w:rsid w:val="00521636"/>
    <w:rsid w:val="00521716"/>
    <w:rsid w:val="0052178F"/>
    <w:rsid w:val="005217BC"/>
    <w:rsid w:val="00521831"/>
    <w:rsid w:val="00521833"/>
    <w:rsid w:val="0052190B"/>
    <w:rsid w:val="00521980"/>
    <w:rsid w:val="005219E7"/>
    <w:rsid w:val="00521AB0"/>
    <w:rsid w:val="00521B14"/>
    <w:rsid w:val="00521B3B"/>
    <w:rsid w:val="0052208E"/>
    <w:rsid w:val="005220F6"/>
    <w:rsid w:val="005221FA"/>
    <w:rsid w:val="005221FF"/>
    <w:rsid w:val="0052242C"/>
    <w:rsid w:val="005224CC"/>
    <w:rsid w:val="0052258C"/>
    <w:rsid w:val="005225B0"/>
    <w:rsid w:val="005226FA"/>
    <w:rsid w:val="0052292A"/>
    <w:rsid w:val="0052293A"/>
    <w:rsid w:val="00522B21"/>
    <w:rsid w:val="00522B8D"/>
    <w:rsid w:val="00522C26"/>
    <w:rsid w:val="00522C30"/>
    <w:rsid w:val="00522EFA"/>
    <w:rsid w:val="00522F8A"/>
    <w:rsid w:val="00522FE3"/>
    <w:rsid w:val="00522FEF"/>
    <w:rsid w:val="005231D0"/>
    <w:rsid w:val="005231F1"/>
    <w:rsid w:val="005233CB"/>
    <w:rsid w:val="005233EA"/>
    <w:rsid w:val="005234FD"/>
    <w:rsid w:val="00523548"/>
    <w:rsid w:val="00523572"/>
    <w:rsid w:val="00523882"/>
    <w:rsid w:val="005239CE"/>
    <w:rsid w:val="00523A8F"/>
    <w:rsid w:val="00523C41"/>
    <w:rsid w:val="00523E55"/>
    <w:rsid w:val="00523E74"/>
    <w:rsid w:val="00523F62"/>
    <w:rsid w:val="00523F85"/>
    <w:rsid w:val="00524095"/>
    <w:rsid w:val="0052423D"/>
    <w:rsid w:val="005242B5"/>
    <w:rsid w:val="0052431A"/>
    <w:rsid w:val="00524322"/>
    <w:rsid w:val="005243E8"/>
    <w:rsid w:val="00524427"/>
    <w:rsid w:val="00524443"/>
    <w:rsid w:val="0052455A"/>
    <w:rsid w:val="005245D5"/>
    <w:rsid w:val="00524641"/>
    <w:rsid w:val="00524723"/>
    <w:rsid w:val="005247EC"/>
    <w:rsid w:val="00524836"/>
    <w:rsid w:val="00524953"/>
    <w:rsid w:val="00524D9D"/>
    <w:rsid w:val="00524E7D"/>
    <w:rsid w:val="00524FBD"/>
    <w:rsid w:val="00525039"/>
    <w:rsid w:val="0052520A"/>
    <w:rsid w:val="00525348"/>
    <w:rsid w:val="00525359"/>
    <w:rsid w:val="0052536E"/>
    <w:rsid w:val="00525471"/>
    <w:rsid w:val="005254E5"/>
    <w:rsid w:val="00525536"/>
    <w:rsid w:val="005255FE"/>
    <w:rsid w:val="00525701"/>
    <w:rsid w:val="00525766"/>
    <w:rsid w:val="00525806"/>
    <w:rsid w:val="00525848"/>
    <w:rsid w:val="0052585A"/>
    <w:rsid w:val="0052592B"/>
    <w:rsid w:val="00525ACE"/>
    <w:rsid w:val="00525B01"/>
    <w:rsid w:val="00525DB9"/>
    <w:rsid w:val="00525E8C"/>
    <w:rsid w:val="00525F0C"/>
    <w:rsid w:val="00525F1D"/>
    <w:rsid w:val="00525FF7"/>
    <w:rsid w:val="0052611D"/>
    <w:rsid w:val="005262B0"/>
    <w:rsid w:val="005262E5"/>
    <w:rsid w:val="00526416"/>
    <w:rsid w:val="0052648E"/>
    <w:rsid w:val="005264E0"/>
    <w:rsid w:val="00526634"/>
    <w:rsid w:val="005266F0"/>
    <w:rsid w:val="00526752"/>
    <w:rsid w:val="0052675A"/>
    <w:rsid w:val="005268A0"/>
    <w:rsid w:val="00526953"/>
    <w:rsid w:val="005269E7"/>
    <w:rsid w:val="00526B5D"/>
    <w:rsid w:val="00526B6F"/>
    <w:rsid w:val="00526E9C"/>
    <w:rsid w:val="0052703D"/>
    <w:rsid w:val="00527145"/>
    <w:rsid w:val="005271C9"/>
    <w:rsid w:val="005271E7"/>
    <w:rsid w:val="0052726F"/>
    <w:rsid w:val="0052729E"/>
    <w:rsid w:val="0052747F"/>
    <w:rsid w:val="00527532"/>
    <w:rsid w:val="00527593"/>
    <w:rsid w:val="005276C2"/>
    <w:rsid w:val="00527722"/>
    <w:rsid w:val="00527774"/>
    <w:rsid w:val="005277BD"/>
    <w:rsid w:val="005277E7"/>
    <w:rsid w:val="00527844"/>
    <w:rsid w:val="0052786B"/>
    <w:rsid w:val="00527903"/>
    <w:rsid w:val="00527B86"/>
    <w:rsid w:val="00527BB0"/>
    <w:rsid w:val="00527CFB"/>
    <w:rsid w:val="00527D78"/>
    <w:rsid w:val="00527DDD"/>
    <w:rsid w:val="0053011A"/>
    <w:rsid w:val="005301D4"/>
    <w:rsid w:val="0053034E"/>
    <w:rsid w:val="005303C8"/>
    <w:rsid w:val="00530450"/>
    <w:rsid w:val="00530478"/>
    <w:rsid w:val="005305F8"/>
    <w:rsid w:val="0053067E"/>
    <w:rsid w:val="0053069A"/>
    <w:rsid w:val="00530700"/>
    <w:rsid w:val="00530726"/>
    <w:rsid w:val="0053080B"/>
    <w:rsid w:val="0053086E"/>
    <w:rsid w:val="0053097B"/>
    <w:rsid w:val="005309BA"/>
    <w:rsid w:val="00530B2F"/>
    <w:rsid w:val="00530B58"/>
    <w:rsid w:val="00530B7B"/>
    <w:rsid w:val="00530CD5"/>
    <w:rsid w:val="00530DE0"/>
    <w:rsid w:val="00530E67"/>
    <w:rsid w:val="00531042"/>
    <w:rsid w:val="00531139"/>
    <w:rsid w:val="00531270"/>
    <w:rsid w:val="005312B5"/>
    <w:rsid w:val="005312C4"/>
    <w:rsid w:val="0053146D"/>
    <w:rsid w:val="005314E3"/>
    <w:rsid w:val="00531543"/>
    <w:rsid w:val="005315D8"/>
    <w:rsid w:val="0053160A"/>
    <w:rsid w:val="00531747"/>
    <w:rsid w:val="0053175B"/>
    <w:rsid w:val="005317EC"/>
    <w:rsid w:val="0053181B"/>
    <w:rsid w:val="00531826"/>
    <w:rsid w:val="005318B6"/>
    <w:rsid w:val="00531953"/>
    <w:rsid w:val="00531994"/>
    <w:rsid w:val="00531D93"/>
    <w:rsid w:val="00531E0E"/>
    <w:rsid w:val="0053202A"/>
    <w:rsid w:val="005320E8"/>
    <w:rsid w:val="0053220E"/>
    <w:rsid w:val="0053222A"/>
    <w:rsid w:val="00532272"/>
    <w:rsid w:val="00532548"/>
    <w:rsid w:val="00532647"/>
    <w:rsid w:val="0053266A"/>
    <w:rsid w:val="00532B4E"/>
    <w:rsid w:val="00532B75"/>
    <w:rsid w:val="00532B8A"/>
    <w:rsid w:val="00532BCF"/>
    <w:rsid w:val="00532C11"/>
    <w:rsid w:val="00532CD8"/>
    <w:rsid w:val="00532DEE"/>
    <w:rsid w:val="00532E4B"/>
    <w:rsid w:val="00532EB7"/>
    <w:rsid w:val="00532F3D"/>
    <w:rsid w:val="00532F9D"/>
    <w:rsid w:val="00533091"/>
    <w:rsid w:val="005330B8"/>
    <w:rsid w:val="00533209"/>
    <w:rsid w:val="0053320C"/>
    <w:rsid w:val="00533249"/>
    <w:rsid w:val="00533279"/>
    <w:rsid w:val="00533320"/>
    <w:rsid w:val="00533419"/>
    <w:rsid w:val="00533457"/>
    <w:rsid w:val="0053347A"/>
    <w:rsid w:val="00533558"/>
    <w:rsid w:val="00533579"/>
    <w:rsid w:val="0053364D"/>
    <w:rsid w:val="005337CF"/>
    <w:rsid w:val="00533808"/>
    <w:rsid w:val="0053383A"/>
    <w:rsid w:val="00533BE6"/>
    <w:rsid w:val="00533DB0"/>
    <w:rsid w:val="00533DBD"/>
    <w:rsid w:val="00533E7E"/>
    <w:rsid w:val="00533EBF"/>
    <w:rsid w:val="00533FB3"/>
    <w:rsid w:val="00534118"/>
    <w:rsid w:val="0053436C"/>
    <w:rsid w:val="005343A9"/>
    <w:rsid w:val="00534494"/>
    <w:rsid w:val="00534531"/>
    <w:rsid w:val="005345C2"/>
    <w:rsid w:val="0053482F"/>
    <w:rsid w:val="00534AA1"/>
    <w:rsid w:val="00534B38"/>
    <w:rsid w:val="00534BCE"/>
    <w:rsid w:val="00534BEB"/>
    <w:rsid w:val="00534C13"/>
    <w:rsid w:val="00534C1A"/>
    <w:rsid w:val="00534CE2"/>
    <w:rsid w:val="00534CF3"/>
    <w:rsid w:val="00534D7D"/>
    <w:rsid w:val="00534DE0"/>
    <w:rsid w:val="00534E9F"/>
    <w:rsid w:val="00534F0F"/>
    <w:rsid w:val="00535080"/>
    <w:rsid w:val="00535290"/>
    <w:rsid w:val="005352BD"/>
    <w:rsid w:val="005352C6"/>
    <w:rsid w:val="005354D4"/>
    <w:rsid w:val="005354FA"/>
    <w:rsid w:val="00535571"/>
    <w:rsid w:val="00535692"/>
    <w:rsid w:val="005356E0"/>
    <w:rsid w:val="005357D3"/>
    <w:rsid w:val="005358A3"/>
    <w:rsid w:val="00535A92"/>
    <w:rsid w:val="00535AD1"/>
    <w:rsid w:val="00535B2B"/>
    <w:rsid w:val="00535E0E"/>
    <w:rsid w:val="00535F52"/>
    <w:rsid w:val="005360CE"/>
    <w:rsid w:val="005360EF"/>
    <w:rsid w:val="0053629F"/>
    <w:rsid w:val="00536489"/>
    <w:rsid w:val="005365AE"/>
    <w:rsid w:val="005365E4"/>
    <w:rsid w:val="0053662E"/>
    <w:rsid w:val="0053674A"/>
    <w:rsid w:val="00536919"/>
    <w:rsid w:val="00536991"/>
    <w:rsid w:val="005369F0"/>
    <w:rsid w:val="00536A8F"/>
    <w:rsid w:val="00536CA2"/>
    <w:rsid w:val="00536E7C"/>
    <w:rsid w:val="00536FF1"/>
    <w:rsid w:val="00537010"/>
    <w:rsid w:val="0053702C"/>
    <w:rsid w:val="00537094"/>
    <w:rsid w:val="005371E4"/>
    <w:rsid w:val="00537280"/>
    <w:rsid w:val="00537314"/>
    <w:rsid w:val="005373CB"/>
    <w:rsid w:val="00537528"/>
    <w:rsid w:val="00537617"/>
    <w:rsid w:val="00537766"/>
    <w:rsid w:val="005377C1"/>
    <w:rsid w:val="005379DB"/>
    <w:rsid w:val="00537A60"/>
    <w:rsid w:val="00537B2C"/>
    <w:rsid w:val="00540082"/>
    <w:rsid w:val="0054008D"/>
    <w:rsid w:val="00540096"/>
    <w:rsid w:val="005401BC"/>
    <w:rsid w:val="005401CE"/>
    <w:rsid w:val="00540267"/>
    <w:rsid w:val="00540316"/>
    <w:rsid w:val="005403CD"/>
    <w:rsid w:val="005404E8"/>
    <w:rsid w:val="00540541"/>
    <w:rsid w:val="005405B0"/>
    <w:rsid w:val="005405EC"/>
    <w:rsid w:val="00540609"/>
    <w:rsid w:val="0054060D"/>
    <w:rsid w:val="005406F8"/>
    <w:rsid w:val="005406FD"/>
    <w:rsid w:val="00540730"/>
    <w:rsid w:val="0054080D"/>
    <w:rsid w:val="005408CD"/>
    <w:rsid w:val="00540995"/>
    <w:rsid w:val="005409B7"/>
    <w:rsid w:val="00540A65"/>
    <w:rsid w:val="00540C6E"/>
    <w:rsid w:val="00540DD0"/>
    <w:rsid w:val="00540EE5"/>
    <w:rsid w:val="005410A5"/>
    <w:rsid w:val="00541102"/>
    <w:rsid w:val="00541189"/>
    <w:rsid w:val="00541290"/>
    <w:rsid w:val="0054133F"/>
    <w:rsid w:val="00541555"/>
    <w:rsid w:val="0054157D"/>
    <w:rsid w:val="005415CB"/>
    <w:rsid w:val="0054169B"/>
    <w:rsid w:val="0054173F"/>
    <w:rsid w:val="00541788"/>
    <w:rsid w:val="00541793"/>
    <w:rsid w:val="005417D2"/>
    <w:rsid w:val="005418C0"/>
    <w:rsid w:val="00541918"/>
    <w:rsid w:val="00541C49"/>
    <w:rsid w:val="00541DD1"/>
    <w:rsid w:val="00541DFE"/>
    <w:rsid w:val="00541F0B"/>
    <w:rsid w:val="00541F1A"/>
    <w:rsid w:val="00541F35"/>
    <w:rsid w:val="00541F6B"/>
    <w:rsid w:val="00542084"/>
    <w:rsid w:val="00542136"/>
    <w:rsid w:val="0054218B"/>
    <w:rsid w:val="00542203"/>
    <w:rsid w:val="005422BB"/>
    <w:rsid w:val="005422E4"/>
    <w:rsid w:val="0054235A"/>
    <w:rsid w:val="005423B9"/>
    <w:rsid w:val="005425B0"/>
    <w:rsid w:val="00542694"/>
    <w:rsid w:val="005426A9"/>
    <w:rsid w:val="00542772"/>
    <w:rsid w:val="00542775"/>
    <w:rsid w:val="005427C3"/>
    <w:rsid w:val="005429D5"/>
    <w:rsid w:val="00542A58"/>
    <w:rsid w:val="00542B8F"/>
    <w:rsid w:val="00542BA0"/>
    <w:rsid w:val="00542BFD"/>
    <w:rsid w:val="00542DA3"/>
    <w:rsid w:val="00542EE3"/>
    <w:rsid w:val="00542F85"/>
    <w:rsid w:val="00542F98"/>
    <w:rsid w:val="00543019"/>
    <w:rsid w:val="005430F3"/>
    <w:rsid w:val="00543250"/>
    <w:rsid w:val="0054339A"/>
    <w:rsid w:val="0054341F"/>
    <w:rsid w:val="0054352D"/>
    <w:rsid w:val="00543579"/>
    <w:rsid w:val="00543664"/>
    <w:rsid w:val="00543721"/>
    <w:rsid w:val="0054378A"/>
    <w:rsid w:val="005437B0"/>
    <w:rsid w:val="00543B6E"/>
    <w:rsid w:val="00543C8B"/>
    <w:rsid w:val="00543C9C"/>
    <w:rsid w:val="00543D4C"/>
    <w:rsid w:val="00543DC8"/>
    <w:rsid w:val="00543EC8"/>
    <w:rsid w:val="00543F51"/>
    <w:rsid w:val="005440C2"/>
    <w:rsid w:val="005440C5"/>
    <w:rsid w:val="00544161"/>
    <w:rsid w:val="005441CA"/>
    <w:rsid w:val="0054436C"/>
    <w:rsid w:val="005444AC"/>
    <w:rsid w:val="0054454D"/>
    <w:rsid w:val="005445AE"/>
    <w:rsid w:val="00544619"/>
    <w:rsid w:val="005446D2"/>
    <w:rsid w:val="00544772"/>
    <w:rsid w:val="00544840"/>
    <w:rsid w:val="00544854"/>
    <w:rsid w:val="005448F1"/>
    <w:rsid w:val="0054490F"/>
    <w:rsid w:val="00544BAC"/>
    <w:rsid w:val="00544CB3"/>
    <w:rsid w:val="00544CFE"/>
    <w:rsid w:val="00544D5C"/>
    <w:rsid w:val="00544DBE"/>
    <w:rsid w:val="00544E2D"/>
    <w:rsid w:val="00544F5B"/>
    <w:rsid w:val="00544F68"/>
    <w:rsid w:val="0054525A"/>
    <w:rsid w:val="00545356"/>
    <w:rsid w:val="0054538F"/>
    <w:rsid w:val="005453DA"/>
    <w:rsid w:val="005454B1"/>
    <w:rsid w:val="0054554B"/>
    <w:rsid w:val="0054559E"/>
    <w:rsid w:val="0054578E"/>
    <w:rsid w:val="0054599C"/>
    <w:rsid w:val="00545A93"/>
    <w:rsid w:val="00545BC5"/>
    <w:rsid w:val="00545CF8"/>
    <w:rsid w:val="00545CF9"/>
    <w:rsid w:val="00545D11"/>
    <w:rsid w:val="00545E9B"/>
    <w:rsid w:val="00545FAF"/>
    <w:rsid w:val="00546082"/>
    <w:rsid w:val="005460E9"/>
    <w:rsid w:val="005460FF"/>
    <w:rsid w:val="005462A9"/>
    <w:rsid w:val="005463EA"/>
    <w:rsid w:val="005464DA"/>
    <w:rsid w:val="0054667F"/>
    <w:rsid w:val="00546822"/>
    <w:rsid w:val="0054689E"/>
    <w:rsid w:val="00546BA2"/>
    <w:rsid w:val="00546CE4"/>
    <w:rsid w:val="00546E0E"/>
    <w:rsid w:val="00546ECC"/>
    <w:rsid w:val="00546F5E"/>
    <w:rsid w:val="0054710E"/>
    <w:rsid w:val="0054738D"/>
    <w:rsid w:val="00547487"/>
    <w:rsid w:val="005474C4"/>
    <w:rsid w:val="00547585"/>
    <w:rsid w:val="00547785"/>
    <w:rsid w:val="005479B9"/>
    <w:rsid w:val="00547CAD"/>
    <w:rsid w:val="00547E81"/>
    <w:rsid w:val="00547ED9"/>
    <w:rsid w:val="00547F22"/>
    <w:rsid w:val="00547F3F"/>
    <w:rsid w:val="00547F74"/>
    <w:rsid w:val="005500D5"/>
    <w:rsid w:val="005501A6"/>
    <w:rsid w:val="005501FC"/>
    <w:rsid w:val="00550516"/>
    <w:rsid w:val="005505A8"/>
    <w:rsid w:val="00550630"/>
    <w:rsid w:val="00550718"/>
    <w:rsid w:val="0055078E"/>
    <w:rsid w:val="005508BA"/>
    <w:rsid w:val="00550940"/>
    <w:rsid w:val="00550B30"/>
    <w:rsid w:val="00550BF2"/>
    <w:rsid w:val="00550C36"/>
    <w:rsid w:val="00550D11"/>
    <w:rsid w:val="00550DCC"/>
    <w:rsid w:val="00550E4D"/>
    <w:rsid w:val="00550F69"/>
    <w:rsid w:val="00550FBE"/>
    <w:rsid w:val="00550FC4"/>
    <w:rsid w:val="0055112C"/>
    <w:rsid w:val="00551381"/>
    <w:rsid w:val="00551390"/>
    <w:rsid w:val="005518C1"/>
    <w:rsid w:val="00551935"/>
    <w:rsid w:val="00551A24"/>
    <w:rsid w:val="00551A97"/>
    <w:rsid w:val="00551B75"/>
    <w:rsid w:val="00551BA0"/>
    <w:rsid w:val="00551D54"/>
    <w:rsid w:val="00551DAD"/>
    <w:rsid w:val="00551E13"/>
    <w:rsid w:val="00551F82"/>
    <w:rsid w:val="0055208E"/>
    <w:rsid w:val="00552090"/>
    <w:rsid w:val="005520DD"/>
    <w:rsid w:val="0055233B"/>
    <w:rsid w:val="0055235E"/>
    <w:rsid w:val="005523C6"/>
    <w:rsid w:val="00552410"/>
    <w:rsid w:val="0055251A"/>
    <w:rsid w:val="00552732"/>
    <w:rsid w:val="00552822"/>
    <w:rsid w:val="005528F9"/>
    <w:rsid w:val="005529AA"/>
    <w:rsid w:val="00552A75"/>
    <w:rsid w:val="00552ACC"/>
    <w:rsid w:val="00552AFD"/>
    <w:rsid w:val="00552B10"/>
    <w:rsid w:val="00552B3D"/>
    <w:rsid w:val="00552BDD"/>
    <w:rsid w:val="00552C6B"/>
    <w:rsid w:val="00552D5D"/>
    <w:rsid w:val="00552D80"/>
    <w:rsid w:val="00552F49"/>
    <w:rsid w:val="00553100"/>
    <w:rsid w:val="005531E3"/>
    <w:rsid w:val="00553327"/>
    <w:rsid w:val="00553446"/>
    <w:rsid w:val="005534CF"/>
    <w:rsid w:val="00553523"/>
    <w:rsid w:val="00553541"/>
    <w:rsid w:val="0055354C"/>
    <w:rsid w:val="005535C1"/>
    <w:rsid w:val="005535E7"/>
    <w:rsid w:val="00553729"/>
    <w:rsid w:val="00553798"/>
    <w:rsid w:val="00553981"/>
    <w:rsid w:val="0055398C"/>
    <w:rsid w:val="00553B39"/>
    <w:rsid w:val="00553C00"/>
    <w:rsid w:val="00553C8B"/>
    <w:rsid w:val="00553DD7"/>
    <w:rsid w:val="00553E4A"/>
    <w:rsid w:val="00553F78"/>
    <w:rsid w:val="00553F87"/>
    <w:rsid w:val="00553FB7"/>
    <w:rsid w:val="0055402F"/>
    <w:rsid w:val="005540B8"/>
    <w:rsid w:val="00554117"/>
    <w:rsid w:val="005541EF"/>
    <w:rsid w:val="005541F7"/>
    <w:rsid w:val="005541FE"/>
    <w:rsid w:val="005543DB"/>
    <w:rsid w:val="0055445B"/>
    <w:rsid w:val="005544AA"/>
    <w:rsid w:val="005545B2"/>
    <w:rsid w:val="005545BC"/>
    <w:rsid w:val="005545CE"/>
    <w:rsid w:val="00554670"/>
    <w:rsid w:val="00554687"/>
    <w:rsid w:val="00554866"/>
    <w:rsid w:val="00554A8B"/>
    <w:rsid w:val="00554AE9"/>
    <w:rsid w:val="00554B06"/>
    <w:rsid w:val="00554DC1"/>
    <w:rsid w:val="00554EDB"/>
    <w:rsid w:val="00554FA1"/>
    <w:rsid w:val="00555077"/>
    <w:rsid w:val="00555126"/>
    <w:rsid w:val="00555141"/>
    <w:rsid w:val="0055518C"/>
    <w:rsid w:val="00555245"/>
    <w:rsid w:val="00555259"/>
    <w:rsid w:val="00555307"/>
    <w:rsid w:val="0055557B"/>
    <w:rsid w:val="0055567E"/>
    <w:rsid w:val="005557C9"/>
    <w:rsid w:val="0055581F"/>
    <w:rsid w:val="00555918"/>
    <w:rsid w:val="00555A1C"/>
    <w:rsid w:val="00555A4E"/>
    <w:rsid w:val="00555EB3"/>
    <w:rsid w:val="00555F56"/>
    <w:rsid w:val="005560E3"/>
    <w:rsid w:val="00556457"/>
    <w:rsid w:val="005565CA"/>
    <w:rsid w:val="005565D4"/>
    <w:rsid w:val="005565F5"/>
    <w:rsid w:val="005566CD"/>
    <w:rsid w:val="0055681A"/>
    <w:rsid w:val="00556880"/>
    <w:rsid w:val="005569DC"/>
    <w:rsid w:val="00556B33"/>
    <w:rsid w:val="00556B9E"/>
    <w:rsid w:val="00557033"/>
    <w:rsid w:val="00557117"/>
    <w:rsid w:val="005572B1"/>
    <w:rsid w:val="0055752D"/>
    <w:rsid w:val="00557542"/>
    <w:rsid w:val="0055759D"/>
    <w:rsid w:val="005575D4"/>
    <w:rsid w:val="0055760C"/>
    <w:rsid w:val="005577D2"/>
    <w:rsid w:val="005577E0"/>
    <w:rsid w:val="005578E4"/>
    <w:rsid w:val="0055792E"/>
    <w:rsid w:val="005579AB"/>
    <w:rsid w:val="005579AC"/>
    <w:rsid w:val="00557A1A"/>
    <w:rsid w:val="00557CFB"/>
    <w:rsid w:val="00557D83"/>
    <w:rsid w:val="0056001D"/>
    <w:rsid w:val="00560059"/>
    <w:rsid w:val="00560069"/>
    <w:rsid w:val="0056008F"/>
    <w:rsid w:val="0056013D"/>
    <w:rsid w:val="005601EA"/>
    <w:rsid w:val="00560272"/>
    <w:rsid w:val="00560343"/>
    <w:rsid w:val="00560582"/>
    <w:rsid w:val="005606A8"/>
    <w:rsid w:val="00560761"/>
    <w:rsid w:val="005607A8"/>
    <w:rsid w:val="0056080C"/>
    <w:rsid w:val="00560957"/>
    <w:rsid w:val="005609DE"/>
    <w:rsid w:val="00560A0E"/>
    <w:rsid w:val="00560AF7"/>
    <w:rsid w:val="00560B62"/>
    <w:rsid w:val="00560B75"/>
    <w:rsid w:val="00560CD6"/>
    <w:rsid w:val="00560D38"/>
    <w:rsid w:val="00560E46"/>
    <w:rsid w:val="00560E9C"/>
    <w:rsid w:val="00560F97"/>
    <w:rsid w:val="00560FBE"/>
    <w:rsid w:val="005610D8"/>
    <w:rsid w:val="00561121"/>
    <w:rsid w:val="00561278"/>
    <w:rsid w:val="005612B2"/>
    <w:rsid w:val="00561310"/>
    <w:rsid w:val="0056133B"/>
    <w:rsid w:val="0056139D"/>
    <w:rsid w:val="005616AE"/>
    <w:rsid w:val="00561888"/>
    <w:rsid w:val="005619D2"/>
    <w:rsid w:val="00561BC0"/>
    <w:rsid w:val="00561D5A"/>
    <w:rsid w:val="00561E06"/>
    <w:rsid w:val="00561E53"/>
    <w:rsid w:val="00561E85"/>
    <w:rsid w:val="00561EEC"/>
    <w:rsid w:val="00561F23"/>
    <w:rsid w:val="00562254"/>
    <w:rsid w:val="00562278"/>
    <w:rsid w:val="0056229D"/>
    <w:rsid w:val="005627A7"/>
    <w:rsid w:val="005628E4"/>
    <w:rsid w:val="00562A01"/>
    <w:rsid w:val="00562A71"/>
    <w:rsid w:val="00562A9C"/>
    <w:rsid w:val="00562B83"/>
    <w:rsid w:val="00562CFA"/>
    <w:rsid w:val="00562E2B"/>
    <w:rsid w:val="00562E34"/>
    <w:rsid w:val="00562F1D"/>
    <w:rsid w:val="00563206"/>
    <w:rsid w:val="0056325A"/>
    <w:rsid w:val="005632D0"/>
    <w:rsid w:val="00563357"/>
    <w:rsid w:val="005634A1"/>
    <w:rsid w:val="005634A7"/>
    <w:rsid w:val="0056357C"/>
    <w:rsid w:val="005637F1"/>
    <w:rsid w:val="00563929"/>
    <w:rsid w:val="00563976"/>
    <w:rsid w:val="00563A73"/>
    <w:rsid w:val="00563A9C"/>
    <w:rsid w:val="00563D0C"/>
    <w:rsid w:val="00563D38"/>
    <w:rsid w:val="00563DCB"/>
    <w:rsid w:val="00563E0D"/>
    <w:rsid w:val="00563E0E"/>
    <w:rsid w:val="00563E49"/>
    <w:rsid w:val="00563F5D"/>
    <w:rsid w:val="00563F80"/>
    <w:rsid w:val="00564057"/>
    <w:rsid w:val="0056425D"/>
    <w:rsid w:val="00564297"/>
    <w:rsid w:val="0056439E"/>
    <w:rsid w:val="00564596"/>
    <w:rsid w:val="005645A1"/>
    <w:rsid w:val="005645A2"/>
    <w:rsid w:val="005645AF"/>
    <w:rsid w:val="005645D2"/>
    <w:rsid w:val="0056464A"/>
    <w:rsid w:val="00564689"/>
    <w:rsid w:val="005647D7"/>
    <w:rsid w:val="00564A07"/>
    <w:rsid w:val="00564B9B"/>
    <w:rsid w:val="00564CAE"/>
    <w:rsid w:val="00564CAF"/>
    <w:rsid w:val="00564EA9"/>
    <w:rsid w:val="00565054"/>
    <w:rsid w:val="0056509A"/>
    <w:rsid w:val="005651A1"/>
    <w:rsid w:val="005652E6"/>
    <w:rsid w:val="0056530E"/>
    <w:rsid w:val="005654EA"/>
    <w:rsid w:val="005655A2"/>
    <w:rsid w:val="005655F5"/>
    <w:rsid w:val="00565786"/>
    <w:rsid w:val="00565B6F"/>
    <w:rsid w:val="00565C5A"/>
    <w:rsid w:val="00565D2F"/>
    <w:rsid w:val="00566016"/>
    <w:rsid w:val="00566230"/>
    <w:rsid w:val="0056624A"/>
    <w:rsid w:val="0056637F"/>
    <w:rsid w:val="005665E8"/>
    <w:rsid w:val="00566611"/>
    <w:rsid w:val="005668D5"/>
    <w:rsid w:val="00566962"/>
    <w:rsid w:val="00566988"/>
    <w:rsid w:val="005669C1"/>
    <w:rsid w:val="00566C57"/>
    <w:rsid w:val="00566CF7"/>
    <w:rsid w:val="00566D38"/>
    <w:rsid w:val="00567022"/>
    <w:rsid w:val="00567104"/>
    <w:rsid w:val="005671C6"/>
    <w:rsid w:val="005671D8"/>
    <w:rsid w:val="005672F6"/>
    <w:rsid w:val="00567335"/>
    <w:rsid w:val="00567474"/>
    <w:rsid w:val="005674A6"/>
    <w:rsid w:val="005674C3"/>
    <w:rsid w:val="00567577"/>
    <w:rsid w:val="00567585"/>
    <w:rsid w:val="005675A4"/>
    <w:rsid w:val="0056787E"/>
    <w:rsid w:val="0056794F"/>
    <w:rsid w:val="00567968"/>
    <w:rsid w:val="005679AE"/>
    <w:rsid w:val="00567A22"/>
    <w:rsid w:val="00567A32"/>
    <w:rsid w:val="00567AAC"/>
    <w:rsid w:val="00567B05"/>
    <w:rsid w:val="00567B21"/>
    <w:rsid w:val="00567B4C"/>
    <w:rsid w:val="00567BA5"/>
    <w:rsid w:val="00567CAE"/>
    <w:rsid w:val="005700A9"/>
    <w:rsid w:val="00570128"/>
    <w:rsid w:val="00570148"/>
    <w:rsid w:val="00570195"/>
    <w:rsid w:val="005701DD"/>
    <w:rsid w:val="005702AC"/>
    <w:rsid w:val="005702B8"/>
    <w:rsid w:val="00570364"/>
    <w:rsid w:val="00570407"/>
    <w:rsid w:val="005707A6"/>
    <w:rsid w:val="00570847"/>
    <w:rsid w:val="005709C1"/>
    <w:rsid w:val="005709FE"/>
    <w:rsid w:val="00570D86"/>
    <w:rsid w:val="0057107B"/>
    <w:rsid w:val="005711B2"/>
    <w:rsid w:val="005711C6"/>
    <w:rsid w:val="00571273"/>
    <w:rsid w:val="0057137C"/>
    <w:rsid w:val="005713B1"/>
    <w:rsid w:val="00571434"/>
    <w:rsid w:val="00571571"/>
    <w:rsid w:val="005715D1"/>
    <w:rsid w:val="00571647"/>
    <w:rsid w:val="0057169E"/>
    <w:rsid w:val="00571785"/>
    <w:rsid w:val="005719EC"/>
    <w:rsid w:val="00571AAC"/>
    <w:rsid w:val="00571ADF"/>
    <w:rsid w:val="00571B47"/>
    <w:rsid w:val="00571C7C"/>
    <w:rsid w:val="00571CEA"/>
    <w:rsid w:val="00571D3F"/>
    <w:rsid w:val="00571D8E"/>
    <w:rsid w:val="00571EEE"/>
    <w:rsid w:val="00571F91"/>
    <w:rsid w:val="00571FA0"/>
    <w:rsid w:val="00571FC7"/>
    <w:rsid w:val="00572113"/>
    <w:rsid w:val="0057215F"/>
    <w:rsid w:val="0057230D"/>
    <w:rsid w:val="005723EA"/>
    <w:rsid w:val="0057260C"/>
    <w:rsid w:val="00572665"/>
    <w:rsid w:val="00572691"/>
    <w:rsid w:val="005726A2"/>
    <w:rsid w:val="005727AF"/>
    <w:rsid w:val="0057282C"/>
    <w:rsid w:val="005728CB"/>
    <w:rsid w:val="005728E1"/>
    <w:rsid w:val="0057290C"/>
    <w:rsid w:val="005729E6"/>
    <w:rsid w:val="00572B93"/>
    <w:rsid w:val="00572CF2"/>
    <w:rsid w:val="00572E3F"/>
    <w:rsid w:val="00572E73"/>
    <w:rsid w:val="00572EC7"/>
    <w:rsid w:val="00572F21"/>
    <w:rsid w:val="00572FC8"/>
    <w:rsid w:val="0057302E"/>
    <w:rsid w:val="00573087"/>
    <w:rsid w:val="0057309A"/>
    <w:rsid w:val="00573248"/>
    <w:rsid w:val="0057341C"/>
    <w:rsid w:val="005734E7"/>
    <w:rsid w:val="005734FA"/>
    <w:rsid w:val="005734FC"/>
    <w:rsid w:val="0057350E"/>
    <w:rsid w:val="0057352B"/>
    <w:rsid w:val="005735C2"/>
    <w:rsid w:val="005736B0"/>
    <w:rsid w:val="00573704"/>
    <w:rsid w:val="00573A57"/>
    <w:rsid w:val="00573A7E"/>
    <w:rsid w:val="00573AAA"/>
    <w:rsid w:val="00573B4A"/>
    <w:rsid w:val="00573B55"/>
    <w:rsid w:val="00573CD5"/>
    <w:rsid w:val="00573D99"/>
    <w:rsid w:val="00573D9A"/>
    <w:rsid w:val="00573F7A"/>
    <w:rsid w:val="005740DA"/>
    <w:rsid w:val="005742A0"/>
    <w:rsid w:val="005743C9"/>
    <w:rsid w:val="005744C5"/>
    <w:rsid w:val="00574684"/>
    <w:rsid w:val="005746D1"/>
    <w:rsid w:val="00574712"/>
    <w:rsid w:val="00574735"/>
    <w:rsid w:val="00574947"/>
    <w:rsid w:val="005749D2"/>
    <w:rsid w:val="00574AC3"/>
    <w:rsid w:val="00574B20"/>
    <w:rsid w:val="005750B4"/>
    <w:rsid w:val="0057516A"/>
    <w:rsid w:val="00575366"/>
    <w:rsid w:val="00575605"/>
    <w:rsid w:val="00575637"/>
    <w:rsid w:val="00575762"/>
    <w:rsid w:val="0057593E"/>
    <w:rsid w:val="00575992"/>
    <w:rsid w:val="00575A1F"/>
    <w:rsid w:val="00575B75"/>
    <w:rsid w:val="00575BB4"/>
    <w:rsid w:val="00575BBA"/>
    <w:rsid w:val="00575C41"/>
    <w:rsid w:val="00575E75"/>
    <w:rsid w:val="00575F0A"/>
    <w:rsid w:val="00575FAE"/>
    <w:rsid w:val="00575FDB"/>
    <w:rsid w:val="00576084"/>
    <w:rsid w:val="005761D4"/>
    <w:rsid w:val="005761DB"/>
    <w:rsid w:val="0057628B"/>
    <w:rsid w:val="005762ED"/>
    <w:rsid w:val="0057668D"/>
    <w:rsid w:val="005768FF"/>
    <w:rsid w:val="00576998"/>
    <w:rsid w:val="005769C6"/>
    <w:rsid w:val="00576B9A"/>
    <w:rsid w:val="00576BAE"/>
    <w:rsid w:val="00576D3F"/>
    <w:rsid w:val="00576D50"/>
    <w:rsid w:val="00576DA6"/>
    <w:rsid w:val="00576DFA"/>
    <w:rsid w:val="00576E13"/>
    <w:rsid w:val="00576E52"/>
    <w:rsid w:val="00576E86"/>
    <w:rsid w:val="00576EC0"/>
    <w:rsid w:val="00576F63"/>
    <w:rsid w:val="00577055"/>
    <w:rsid w:val="005771EE"/>
    <w:rsid w:val="0057724F"/>
    <w:rsid w:val="00577311"/>
    <w:rsid w:val="005773F9"/>
    <w:rsid w:val="00577641"/>
    <w:rsid w:val="0057765C"/>
    <w:rsid w:val="00577684"/>
    <w:rsid w:val="0057771C"/>
    <w:rsid w:val="00577726"/>
    <w:rsid w:val="0057777B"/>
    <w:rsid w:val="00577785"/>
    <w:rsid w:val="0057781B"/>
    <w:rsid w:val="005779BC"/>
    <w:rsid w:val="00577A28"/>
    <w:rsid w:val="00577AFB"/>
    <w:rsid w:val="00577C88"/>
    <w:rsid w:val="00577CC1"/>
    <w:rsid w:val="00577CCA"/>
    <w:rsid w:val="00577D7A"/>
    <w:rsid w:val="00577EE2"/>
    <w:rsid w:val="00577F85"/>
    <w:rsid w:val="0058009F"/>
    <w:rsid w:val="0058016D"/>
    <w:rsid w:val="00580170"/>
    <w:rsid w:val="00580290"/>
    <w:rsid w:val="00580550"/>
    <w:rsid w:val="00580631"/>
    <w:rsid w:val="00580647"/>
    <w:rsid w:val="0058076C"/>
    <w:rsid w:val="005807EB"/>
    <w:rsid w:val="00580814"/>
    <w:rsid w:val="005808E4"/>
    <w:rsid w:val="00580940"/>
    <w:rsid w:val="005809AF"/>
    <w:rsid w:val="00580E8E"/>
    <w:rsid w:val="0058112A"/>
    <w:rsid w:val="00581159"/>
    <w:rsid w:val="005811E0"/>
    <w:rsid w:val="005811F8"/>
    <w:rsid w:val="0058134F"/>
    <w:rsid w:val="0058148F"/>
    <w:rsid w:val="00581501"/>
    <w:rsid w:val="00581604"/>
    <w:rsid w:val="00581976"/>
    <w:rsid w:val="00581996"/>
    <w:rsid w:val="0058199C"/>
    <w:rsid w:val="005819FF"/>
    <w:rsid w:val="00581BF7"/>
    <w:rsid w:val="00581C8A"/>
    <w:rsid w:val="00581E15"/>
    <w:rsid w:val="00581F57"/>
    <w:rsid w:val="00581F80"/>
    <w:rsid w:val="00581FF0"/>
    <w:rsid w:val="00582065"/>
    <w:rsid w:val="00582141"/>
    <w:rsid w:val="005821CB"/>
    <w:rsid w:val="005822F2"/>
    <w:rsid w:val="00582308"/>
    <w:rsid w:val="00582316"/>
    <w:rsid w:val="0058246B"/>
    <w:rsid w:val="005824CA"/>
    <w:rsid w:val="0058250A"/>
    <w:rsid w:val="005826A9"/>
    <w:rsid w:val="00582817"/>
    <w:rsid w:val="005828E3"/>
    <w:rsid w:val="0058295D"/>
    <w:rsid w:val="005829FA"/>
    <w:rsid w:val="00582A28"/>
    <w:rsid w:val="00582A62"/>
    <w:rsid w:val="00582BD6"/>
    <w:rsid w:val="00582CDC"/>
    <w:rsid w:val="00582E06"/>
    <w:rsid w:val="00582E6B"/>
    <w:rsid w:val="00582F6B"/>
    <w:rsid w:val="0058309A"/>
    <w:rsid w:val="005830A9"/>
    <w:rsid w:val="0058317A"/>
    <w:rsid w:val="00583203"/>
    <w:rsid w:val="00583443"/>
    <w:rsid w:val="005838F8"/>
    <w:rsid w:val="005838FD"/>
    <w:rsid w:val="00583926"/>
    <w:rsid w:val="005839A2"/>
    <w:rsid w:val="00583A08"/>
    <w:rsid w:val="00583A0F"/>
    <w:rsid w:val="00583B50"/>
    <w:rsid w:val="00583BAE"/>
    <w:rsid w:val="00583C50"/>
    <w:rsid w:val="00583E29"/>
    <w:rsid w:val="00583FE3"/>
    <w:rsid w:val="005841F1"/>
    <w:rsid w:val="005842DE"/>
    <w:rsid w:val="0058436D"/>
    <w:rsid w:val="005843AC"/>
    <w:rsid w:val="005843DF"/>
    <w:rsid w:val="0058442E"/>
    <w:rsid w:val="0058447D"/>
    <w:rsid w:val="0058456D"/>
    <w:rsid w:val="0058461F"/>
    <w:rsid w:val="00584655"/>
    <w:rsid w:val="0058468D"/>
    <w:rsid w:val="005846A7"/>
    <w:rsid w:val="0058474B"/>
    <w:rsid w:val="00584806"/>
    <w:rsid w:val="00584823"/>
    <w:rsid w:val="0058487A"/>
    <w:rsid w:val="005849CE"/>
    <w:rsid w:val="00584B01"/>
    <w:rsid w:val="00584B2E"/>
    <w:rsid w:val="00584B69"/>
    <w:rsid w:val="00584F9C"/>
    <w:rsid w:val="00584FCB"/>
    <w:rsid w:val="00584FD1"/>
    <w:rsid w:val="00585096"/>
    <w:rsid w:val="0058513F"/>
    <w:rsid w:val="00585192"/>
    <w:rsid w:val="00585240"/>
    <w:rsid w:val="005855A3"/>
    <w:rsid w:val="0058573B"/>
    <w:rsid w:val="0058576C"/>
    <w:rsid w:val="00585909"/>
    <w:rsid w:val="00585982"/>
    <w:rsid w:val="00585C3F"/>
    <w:rsid w:val="00585CBD"/>
    <w:rsid w:val="00585D5F"/>
    <w:rsid w:val="00585DC1"/>
    <w:rsid w:val="005860FA"/>
    <w:rsid w:val="00586130"/>
    <w:rsid w:val="00586353"/>
    <w:rsid w:val="00586615"/>
    <w:rsid w:val="005866AF"/>
    <w:rsid w:val="005866EF"/>
    <w:rsid w:val="0058671D"/>
    <w:rsid w:val="0058685F"/>
    <w:rsid w:val="0058686E"/>
    <w:rsid w:val="005869E7"/>
    <w:rsid w:val="00586A4B"/>
    <w:rsid w:val="00586A77"/>
    <w:rsid w:val="00586A78"/>
    <w:rsid w:val="00586B16"/>
    <w:rsid w:val="00586B56"/>
    <w:rsid w:val="00586D28"/>
    <w:rsid w:val="00586D41"/>
    <w:rsid w:val="00586DB6"/>
    <w:rsid w:val="00586F21"/>
    <w:rsid w:val="00586F28"/>
    <w:rsid w:val="00587091"/>
    <w:rsid w:val="005871BD"/>
    <w:rsid w:val="005873B3"/>
    <w:rsid w:val="00587483"/>
    <w:rsid w:val="00587556"/>
    <w:rsid w:val="00587574"/>
    <w:rsid w:val="005876BA"/>
    <w:rsid w:val="005877A4"/>
    <w:rsid w:val="00587800"/>
    <w:rsid w:val="00587881"/>
    <w:rsid w:val="00587A83"/>
    <w:rsid w:val="00587B3B"/>
    <w:rsid w:val="00587BDF"/>
    <w:rsid w:val="00587BE6"/>
    <w:rsid w:val="00587CD8"/>
    <w:rsid w:val="00587D01"/>
    <w:rsid w:val="00587D0F"/>
    <w:rsid w:val="00587D5A"/>
    <w:rsid w:val="005900A1"/>
    <w:rsid w:val="00590294"/>
    <w:rsid w:val="005903BB"/>
    <w:rsid w:val="00590432"/>
    <w:rsid w:val="0059055F"/>
    <w:rsid w:val="005905E3"/>
    <w:rsid w:val="005906C4"/>
    <w:rsid w:val="005908C2"/>
    <w:rsid w:val="005909BB"/>
    <w:rsid w:val="005909D7"/>
    <w:rsid w:val="00590B01"/>
    <w:rsid w:val="00590B9F"/>
    <w:rsid w:val="00590F3E"/>
    <w:rsid w:val="00590F8F"/>
    <w:rsid w:val="00591037"/>
    <w:rsid w:val="005910CE"/>
    <w:rsid w:val="005910E6"/>
    <w:rsid w:val="0059110C"/>
    <w:rsid w:val="005911E2"/>
    <w:rsid w:val="0059126A"/>
    <w:rsid w:val="0059132A"/>
    <w:rsid w:val="005913B0"/>
    <w:rsid w:val="0059140E"/>
    <w:rsid w:val="0059143B"/>
    <w:rsid w:val="00591791"/>
    <w:rsid w:val="00591836"/>
    <w:rsid w:val="005919B4"/>
    <w:rsid w:val="00591B32"/>
    <w:rsid w:val="00591B72"/>
    <w:rsid w:val="00591B75"/>
    <w:rsid w:val="00591B97"/>
    <w:rsid w:val="00591C0E"/>
    <w:rsid w:val="00591C35"/>
    <w:rsid w:val="00591CE0"/>
    <w:rsid w:val="00591EF0"/>
    <w:rsid w:val="00592031"/>
    <w:rsid w:val="005923AC"/>
    <w:rsid w:val="00592417"/>
    <w:rsid w:val="00592448"/>
    <w:rsid w:val="00592458"/>
    <w:rsid w:val="00592500"/>
    <w:rsid w:val="005925A4"/>
    <w:rsid w:val="005925C1"/>
    <w:rsid w:val="005926A9"/>
    <w:rsid w:val="005926AE"/>
    <w:rsid w:val="00592740"/>
    <w:rsid w:val="0059284F"/>
    <w:rsid w:val="00592867"/>
    <w:rsid w:val="00592A5F"/>
    <w:rsid w:val="00592B0F"/>
    <w:rsid w:val="00592B5D"/>
    <w:rsid w:val="00592BB0"/>
    <w:rsid w:val="00592C42"/>
    <w:rsid w:val="00592C6E"/>
    <w:rsid w:val="00592F20"/>
    <w:rsid w:val="00593036"/>
    <w:rsid w:val="005930AC"/>
    <w:rsid w:val="005931EB"/>
    <w:rsid w:val="00593233"/>
    <w:rsid w:val="005934F4"/>
    <w:rsid w:val="0059360C"/>
    <w:rsid w:val="0059385D"/>
    <w:rsid w:val="005938F2"/>
    <w:rsid w:val="00593945"/>
    <w:rsid w:val="00593B05"/>
    <w:rsid w:val="00593B22"/>
    <w:rsid w:val="00593B72"/>
    <w:rsid w:val="00593B8B"/>
    <w:rsid w:val="00593C44"/>
    <w:rsid w:val="00593C89"/>
    <w:rsid w:val="00593DC6"/>
    <w:rsid w:val="00593DD5"/>
    <w:rsid w:val="00593DE4"/>
    <w:rsid w:val="00593E98"/>
    <w:rsid w:val="00593F67"/>
    <w:rsid w:val="00594025"/>
    <w:rsid w:val="005940B9"/>
    <w:rsid w:val="00594129"/>
    <w:rsid w:val="0059427E"/>
    <w:rsid w:val="0059428E"/>
    <w:rsid w:val="005942F5"/>
    <w:rsid w:val="00594464"/>
    <w:rsid w:val="00594573"/>
    <w:rsid w:val="00594625"/>
    <w:rsid w:val="005948EA"/>
    <w:rsid w:val="00594A76"/>
    <w:rsid w:val="00594AD2"/>
    <w:rsid w:val="00594BC3"/>
    <w:rsid w:val="00594CF7"/>
    <w:rsid w:val="00594D8E"/>
    <w:rsid w:val="00594E05"/>
    <w:rsid w:val="00594E91"/>
    <w:rsid w:val="00594EA6"/>
    <w:rsid w:val="005950C3"/>
    <w:rsid w:val="005952A2"/>
    <w:rsid w:val="005952ED"/>
    <w:rsid w:val="005953AD"/>
    <w:rsid w:val="0059543E"/>
    <w:rsid w:val="00595678"/>
    <w:rsid w:val="00595814"/>
    <w:rsid w:val="00595936"/>
    <w:rsid w:val="005959EB"/>
    <w:rsid w:val="00595AAA"/>
    <w:rsid w:val="00595B11"/>
    <w:rsid w:val="00595B92"/>
    <w:rsid w:val="00595BF3"/>
    <w:rsid w:val="00595CC7"/>
    <w:rsid w:val="00595D36"/>
    <w:rsid w:val="00595DFE"/>
    <w:rsid w:val="00595F6E"/>
    <w:rsid w:val="00595F96"/>
    <w:rsid w:val="00596023"/>
    <w:rsid w:val="0059610B"/>
    <w:rsid w:val="00596242"/>
    <w:rsid w:val="00596387"/>
    <w:rsid w:val="00596469"/>
    <w:rsid w:val="00596531"/>
    <w:rsid w:val="0059656F"/>
    <w:rsid w:val="0059667F"/>
    <w:rsid w:val="00596685"/>
    <w:rsid w:val="005966A0"/>
    <w:rsid w:val="00596761"/>
    <w:rsid w:val="00596798"/>
    <w:rsid w:val="0059688F"/>
    <w:rsid w:val="00596D73"/>
    <w:rsid w:val="00596DCA"/>
    <w:rsid w:val="00596FB9"/>
    <w:rsid w:val="00597011"/>
    <w:rsid w:val="005970F7"/>
    <w:rsid w:val="0059726F"/>
    <w:rsid w:val="0059737D"/>
    <w:rsid w:val="005973A2"/>
    <w:rsid w:val="005973B6"/>
    <w:rsid w:val="005974B7"/>
    <w:rsid w:val="00597578"/>
    <w:rsid w:val="0059775D"/>
    <w:rsid w:val="0059775E"/>
    <w:rsid w:val="00597789"/>
    <w:rsid w:val="005977E7"/>
    <w:rsid w:val="005978A2"/>
    <w:rsid w:val="00597929"/>
    <w:rsid w:val="00597B3C"/>
    <w:rsid w:val="00597B9F"/>
    <w:rsid w:val="00597BA0"/>
    <w:rsid w:val="00597CDB"/>
    <w:rsid w:val="00597D11"/>
    <w:rsid w:val="00597D14"/>
    <w:rsid w:val="00597D35"/>
    <w:rsid w:val="00597D40"/>
    <w:rsid w:val="00597F31"/>
    <w:rsid w:val="00597F6B"/>
    <w:rsid w:val="005A0005"/>
    <w:rsid w:val="005A0086"/>
    <w:rsid w:val="005A01B0"/>
    <w:rsid w:val="005A01C6"/>
    <w:rsid w:val="005A0224"/>
    <w:rsid w:val="005A0239"/>
    <w:rsid w:val="005A02B9"/>
    <w:rsid w:val="005A02BC"/>
    <w:rsid w:val="005A0366"/>
    <w:rsid w:val="005A0428"/>
    <w:rsid w:val="005A05A0"/>
    <w:rsid w:val="005A0621"/>
    <w:rsid w:val="005A0699"/>
    <w:rsid w:val="005A0755"/>
    <w:rsid w:val="005A0811"/>
    <w:rsid w:val="005A08A2"/>
    <w:rsid w:val="005A0939"/>
    <w:rsid w:val="005A0A06"/>
    <w:rsid w:val="005A0A3A"/>
    <w:rsid w:val="005A0BA3"/>
    <w:rsid w:val="005A0BA6"/>
    <w:rsid w:val="005A0CB0"/>
    <w:rsid w:val="005A0CD0"/>
    <w:rsid w:val="005A0D00"/>
    <w:rsid w:val="005A0E83"/>
    <w:rsid w:val="005A1019"/>
    <w:rsid w:val="005A11B2"/>
    <w:rsid w:val="005A1201"/>
    <w:rsid w:val="005A146D"/>
    <w:rsid w:val="005A1497"/>
    <w:rsid w:val="005A1500"/>
    <w:rsid w:val="005A156F"/>
    <w:rsid w:val="005A15E8"/>
    <w:rsid w:val="005A1639"/>
    <w:rsid w:val="005A18BC"/>
    <w:rsid w:val="005A18CE"/>
    <w:rsid w:val="005A1984"/>
    <w:rsid w:val="005A1B39"/>
    <w:rsid w:val="005A1C2E"/>
    <w:rsid w:val="005A1CE5"/>
    <w:rsid w:val="005A1CFC"/>
    <w:rsid w:val="005A1E47"/>
    <w:rsid w:val="005A1F3D"/>
    <w:rsid w:val="005A20F7"/>
    <w:rsid w:val="005A215E"/>
    <w:rsid w:val="005A2396"/>
    <w:rsid w:val="005A2400"/>
    <w:rsid w:val="005A253C"/>
    <w:rsid w:val="005A260E"/>
    <w:rsid w:val="005A2638"/>
    <w:rsid w:val="005A26FA"/>
    <w:rsid w:val="005A274C"/>
    <w:rsid w:val="005A2B53"/>
    <w:rsid w:val="005A2C54"/>
    <w:rsid w:val="005A2CCB"/>
    <w:rsid w:val="005A2EC0"/>
    <w:rsid w:val="005A3058"/>
    <w:rsid w:val="005A310D"/>
    <w:rsid w:val="005A31FD"/>
    <w:rsid w:val="005A3232"/>
    <w:rsid w:val="005A3384"/>
    <w:rsid w:val="005A33C7"/>
    <w:rsid w:val="005A3433"/>
    <w:rsid w:val="005A3443"/>
    <w:rsid w:val="005A358D"/>
    <w:rsid w:val="005A35B2"/>
    <w:rsid w:val="005A364E"/>
    <w:rsid w:val="005A3671"/>
    <w:rsid w:val="005A36DB"/>
    <w:rsid w:val="005A37AF"/>
    <w:rsid w:val="005A37E0"/>
    <w:rsid w:val="005A3A00"/>
    <w:rsid w:val="005A3A21"/>
    <w:rsid w:val="005A3A4C"/>
    <w:rsid w:val="005A3AA8"/>
    <w:rsid w:val="005A3B3D"/>
    <w:rsid w:val="005A3D42"/>
    <w:rsid w:val="005A3DB6"/>
    <w:rsid w:val="005A3DE0"/>
    <w:rsid w:val="005A3EF7"/>
    <w:rsid w:val="005A3F2B"/>
    <w:rsid w:val="005A3F38"/>
    <w:rsid w:val="005A3F40"/>
    <w:rsid w:val="005A3FB5"/>
    <w:rsid w:val="005A4074"/>
    <w:rsid w:val="005A4134"/>
    <w:rsid w:val="005A428B"/>
    <w:rsid w:val="005A43FA"/>
    <w:rsid w:val="005A447E"/>
    <w:rsid w:val="005A4516"/>
    <w:rsid w:val="005A46BF"/>
    <w:rsid w:val="005A4768"/>
    <w:rsid w:val="005A4883"/>
    <w:rsid w:val="005A4B24"/>
    <w:rsid w:val="005A4BE4"/>
    <w:rsid w:val="005A4D47"/>
    <w:rsid w:val="005A4E4B"/>
    <w:rsid w:val="005A4EE7"/>
    <w:rsid w:val="005A520B"/>
    <w:rsid w:val="005A52F5"/>
    <w:rsid w:val="005A5721"/>
    <w:rsid w:val="005A58C8"/>
    <w:rsid w:val="005A5969"/>
    <w:rsid w:val="005A5A97"/>
    <w:rsid w:val="005A5AC0"/>
    <w:rsid w:val="005A5BFB"/>
    <w:rsid w:val="005A5C5D"/>
    <w:rsid w:val="005A5CBF"/>
    <w:rsid w:val="005A5F34"/>
    <w:rsid w:val="005A5F94"/>
    <w:rsid w:val="005A5FB0"/>
    <w:rsid w:val="005A608E"/>
    <w:rsid w:val="005A61AB"/>
    <w:rsid w:val="005A633B"/>
    <w:rsid w:val="005A63BB"/>
    <w:rsid w:val="005A6444"/>
    <w:rsid w:val="005A6691"/>
    <w:rsid w:val="005A6790"/>
    <w:rsid w:val="005A68C6"/>
    <w:rsid w:val="005A6A03"/>
    <w:rsid w:val="005A6C20"/>
    <w:rsid w:val="005A6F02"/>
    <w:rsid w:val="005A707D"/>
    <w:rsid w:val="005A717D"/>
    <w:rsid w:val="005A720B"/>
    <w:rsid w:val="005A7338"/>
    <w:rsid w:val="005A7422"/>
    <w:rsid w:val="005A745D"/>
    <w:rsid w:val="005A75CD"/>
    <w:rsid w:val="005A75E5"/>
    <w:rsid w:val="005A7661"/>
    <w:rsid w:val="005A77A4"/>
    <w:rsid w:val="005A77AB"/>
    <w:rsid w:val="005A7838"/>
    <w:rsid w:val="005A7933"/>
    <w:rsid w:val="005A7AB5"/>
    <w:rsid w:val="005A7C09"/>
    <w:rsid w:val="005A7C6B"/>
    <w:rsid w:val="005A7D55"/>
    <w:rsid w:val="005A7E37"/>
    <w:rsid w:val="005A7FAC"/>
    <w:rsid w:val="005B0190"/>
    <w:rsid w:val="005B01FE"/>
    <w:rsid w:val="005B0281"/>
    <w:rsid w:val="005B048C"/>
    <w:rsid w:val="005B0491"/>
    <w:rsid w:val="005B04F6"/>
    <w:rsid w:val="005B0512"/>
    <w:rsid w:val="005B05D5"/>
    <w:rsid w:val="005B0633"/>
    <w:rsid w:val="005B0705"/>
    <w:rsid w:val="005B0779"/>
    <w:rsid w:val="005B07EF"/>
    <w:rsid w:val="005B098F"/>
    <w:rsid w:val="005B0A2F"/>
    <w:rsid w:val="005B0A70"/>
    <w:rsid w:val="005B0A72"/>
    <w:rsid w:val="005B0AE2"/>
    <w:rsid w:val="005B0AFA"/>
    <w:rsid w:val="005B0B2C"/>
    <w:rsid w:val="005B0BC5"/>
    <w:rsid w:val="005B0BCB"/>
    <w:rsid w:val="005B0C86"/>
    <w:rsid w:val="005B0D00"/>
    <w:rsid w:val="005B0DA9"/>
    <w:rsid w:val="005B0ED2"/>
    <w:rsid w:val="005B0F5C"/>
    <w:rsid w:val="005B0F5D"/>
    <w:rsid w:val="005B1068"/>
    <w:rsid w:val="005B118C"/>
    <w:rsid w:val="005B1396"/>
    <w:rsid w:val="005B13C3"/>
    <w:rsid w:val="005B1421"/>
    <w:rsid w:val="005B14BF"/>
    <w:rsid w:val="005B153F"/>
    <w:rsid w:val="005B161A"/>
    <w:rsid w:val="005B1674"/>
    <w:rsid w:val="005B170A"/>
    <w:rsid w:val="005B1809"/>
    <w:rsid w:val="005B1D21"/>
    <w:rsid w:val="005B1D3F"/>
    <w:rsid w:val="005B1FB0"/>
    <w:rsid w:val="005B1FBC"/>
    <w:rsid w:val="005B20B0"/>
    <w:rsid w:val="005B219F"/>
    <w:rsid w:val="005B21BC"/>
    <w:rsid w:val="005B2235"/>
    <w:rsid w:val="005B223C"/>
    <w:rsid w:val="005B224A"/>
    <w:rsid w:val="005B2299"/>
    <w:rsid w:val="005B234D"/>
    <w:rsid w:val="005B23D1"/>
    <w:rsid w:val="005B2544"/>
    <w:rsid w:val="005B254C"/>
    <w:rsid w:val="005B2559"/>
    <w:rsid w:val="005B2578"/>
    <w:rsid w:val="005B25B2"/>
    <w:rsid w:val="005B2699"/>
    <w:rsid w:val="005B26F2"/>
    <w:rsid w:val="005B284B"/>
    <w:rsid w:val="005B296A"/>
    <w:rsid w:val="005B29F0"/>
    <w:rsid w:val="005B2A24"/>
    <w:rsid w:val="005B2B2E"/>
    <w:rsid w:val="005B2B51"/>
    <w:rsid w:val="005B2BFD"/>
    <w:rsid w:val="005B2D15"/>
    <w:rsid w:val="005B2D41"/>
    <w:rsid w:val="005B2F9A"/>
    <w:rsid w:val="005B302A"/>
    <w:rsid w:val="005B311C"/>
    <w:rsid w:val="005B3136"/>
    <w:rsid w:val="005B3469"/>
    <w:rsid w:val="005B34C6"/>
    <w:rsid w:val="005B3667"/>
    <w:rsid w:val="005B36DA"/>
    <w:rsid w:val="005B378A"/>
    <w:rsid w:val="005B37D5"/>
    <w:rsid w:val="005B38B8"/>
    <w:rsid w:val="005B38FE"/>
    <w:rsid w:val="005B3AA1"/>
    <w:rsid w:val="005B3AE5"/>
    <w:rsid w:val="005B3AF3"/>
    <w:rsid w:val="005B3B2A"/>
    <w:rsid w:val="005B3D63"/>
    <w:rsid w:val="005B3E1A"/>
    <w:rsid w:val="005B3FF3"/>
    <w:rsid w:val="005B40F9"/>
    <w:rsid w:val="005B4108"/>
    <w:rsid w:val="005B4168"/>
    <w:rsid w:val="005B4259"/>
    <w:rsid w:val="005B425E"/>
    <w:rsid w:val="005B42B8"/>
    <w:rsid w:val="005B4367"/>
    <w:rsid w:val="005B4501"/>
    <w:rsid w:val="005B4535"/>
    <w:rsid w:val="005B4565"/>
    <w:rsid w:val="005B456E"/>
    <w:rsid w:val="005B45B5"/>
    <w:rsid w:val="005B46FC"/>
    <w:rsid w:val="005B4799"/>
    <w:rsid w:val="005B4A49"/>
    <w:rsid w:val="005B4C2D"/>
    <w:rsid w:val="005B4C73"/>
    <w:rsid w:val="005B4E2C"/>
    <w:rsid w:val="005B4E67"/>
    <w:rsid w:val="005B4EB6"/>
    <w:rsid w:val="005B4F69"/>
    <w:rsid w:val="005B4F6C"/>
    <w:rsid w:val="005B501C"/>
    <w:rsid w:val="005B509F"/>
    <w:rsid w:val="005B519A"/>
    <w:rsid w:val="005B51AB"/>
    <w:rsid w:val="005B51E1"/>
    <w:rsid w:val="005B523B"/>
    <w:rsid w:val="005B526A"/>
    <w:rsid w:val="005B5412"/>
    <w:rsid w:val="005B5432"/>
    <w:rsid w:val="005B5680"/>
    <w:rsid w:val="005B573E"/>
    <w:rsid w:val="005B5835"/>
    <w:rsid w:val="005B5953"/>
    <w:rsid w:val="005B595B"/>
    <w:rsid w:val="005B59DE"/>
    <w:rsid w:val="005B5B39"/>
    <w:rsid w:val="005B5B8C"/>
    <w:rsid w:val="005B5C16"/>
    <w:rsid w:val="005B5CCF"/>
    <w:rsid w:val="005B5E43"/>
    <w:rsid w:val="005B5EA5"/>
    <w:rsid w:val="005B5EC9"/>
    <w:rsid w:val="005B5F15"/>
    <w:rsid w:val="005B6044"/>
    <w:rsid w:val="005B60E7"/>
    <w:rsid w:val="005B6100"/>
    <w:rsid w:val="005B6115"/>
    <w:rsid w:val="005B6382"/>
    <w:rsid w:val="005B647F"/>
    <w:rsid w:val="005B6527"/>
    <w:rsid w:val="005B65A9"/>
    <w:rsid w:val="005B65E1"/>
    <w:rsid w:val="005B66A9"/>
    <w:rsid w:val="005B66CD"/>
    <w:rsid w:val="005B6734"/>
    <w:rsid w:val="005B68BB"/>
    <w:rsid w:val="005B6ADD"/>
    <w:rsid w:val="005B6B0A"/>
    <w:rsid w:val="005B6BC4"/>
    <w:rsid w:val="005B6CCC"/>
    <w:rsid w:val="005B6D36"/>
    <w:rsid w:val="005B6E30"/>
    <w:rsid w:val="005B6E70"/>
    <w:rsid w:val="005B6F08"/>
    <w:rsid w:val="005B6F18"/>
    <w:rsid w:val="005B7158"/>
    <w:rsid w:val="005B7243"/>
    <w:rsid w:val="005B7250"/>
    <w:rsid w:val="005B7280"/>
    <w:rsid w:val="005B7317"/>
    <w:rsid w:val="005B7445"/>
    <w:rsid w:val="005B753C"/>
    <w:rsid w:val="005B7557"/>
    <w:rsid w:val="005B7633"/>
    <w:rsid w:val="005B77B6"/>
    <w:rsid w:val="005B781B"/>
    <w:rsid w:val="005B788D"/>
    <w:rsid w:val="005B7895"/>
    <w:rsid w:val="005B7994"/>
    <w:rsid w:val="005B7AB2"/>
    <w:rsid w:val="005B7CB0"/>
    <w:rsid w:val="005B7CF3"/>
    <w:rsid w:val="005B7E69"/>
    <w:rsid w:val="005B7E9C"/>
    <w:rsid w:val="005B7F7C"/>
    <w:rsid w:val="005B7FF7"/>
    <w:rsid w:val="005C00D0"/>
    <w:rsid w:val="005C010F"/>
    <w:rsid w:val="005C0254"/>
    <w:rsid w:val="005C02BA"/>
    <w:rsid w:val="005C02F3"/>
    <w:rsid w:val="005C02FF"/>
    <w:rsid w:val="005C031F"/>
    <w:rsid w:val="005C0416"/>
    <w:rsid w:val="005C0559"/>
    <w:rsid w:val="005C08F2"/>
    <w:rsid w:val="005C097F"/>
    <w:rsid w:val="005C0A41"/>
    <w:rsid w:val="005C0A64"/>
    <w:rsid w:val="005C0AE0"/>
    <w:rsid w:val="005C0C46"/>
    <w:rsid w:val="005C0CB2"/>
    <w:rsid w:val="005C0CD3"/>
    <w:rsid w:val="005C0D4C"/>
    <w:rsid w:val="005C0F52"/>
    <w:rsid w:val="005C0FAF"/>
    <w:rsid w:val="005C0FDA"/>
    <w:rsid w:val="005C1084"/>
    <w:rsid w:val="005C1104"/>
    <w:rsid w:val="005C1196"/>
    <w:rsid w:val="005C1582"/>
    <w:rsid w:val="005C1613"/>
    <w:rsid w:val="005C1659"/>
    <w:rsid w:val="005C166F"/>
    <w:rsid w:val="005C16F6"/>
    <w:rsid w:val="005C172F"/>
    <w:rsid w:val="005C17C9"/>
    <w:rsid w:val="005C18AA"/>
    <w:rsid w:val="005C1B4B"/>
    <w:rsid w:val="005C1BED"/>
    <w:rsid w:val="005C1C68"/>
    <w:rsid w:val="005C1D87"/>
    <w:rsid w:val="005C1D88"/>
    <w:rsid w:val="005C1F4A"/>
    <w:rsid w:val="005C1F71"/>
    <w:rsid w:val="005C2110"/>
    <w:rsid w:val="005C2268"/>
    <w:rsid w:val="005C232D"/>
    <w:rsid w:val="005C233D"/>
    <w:rsid w:val="005C2346"/>
    <w:rsid w:val="005C237D"/>
    <w:rsid w:val="005C23E1"/>
    <w:rsid w:val="005C2541"/>
    <w:rsid w:val="005C2589"/>
    <w:rsid w:val="005C260B"/>
    <w:rsid w:val="005C263E"/>
    <w:rsid w:val="005C26C4"/>
    <w:rsid w:val="005C281E"/>
    <w:rsid w:val="005C28C8"/>
    <w:rsid w:val="005C293C"/>
    <w:rsid w:val="005C2A2E"/>
    <w:rsid w:val="005C2A41"/>
    <w:rsid w:val="005C2A51"/>
    <w:rsid w:val="005C2AC4"/>
    <w:rsid w:val="005C2C1F"/>
    <w:rsid w:val="005C2D1C"/>
    <w:rsid w:val="005C2D26"/>
    <w:rsid w:val="005C2D5C"/>
    <w:rsid w:val="005C2D9B"/>
    <w:rsid w:val="005C2DF1"/>
    <w:rsid w:val="005C2DF4"/>
    <w:rsid w:val="005C2DF7"/>
    <w:rsid w:val="005C2E2C"/>
    <w:rsid w:val="005C2F65"/>
    <w:rsid w:val="005C2FDA"/>
    <w:rsid w:val="005C3002"/>
    <w:rsid w:val="005C3153"/>
    <w:rsid w:val="005C316D"/>
    <w:rsid w:val="005C319D"/>
    <w:rsid w:val="005C320F"/>
    <w:rsid w:val="005C3232"/>
    <w:rsid w:val="005C324C"/>
    <w:rsid w:val="005C33AC"/>
    <w:rsid w:val="005C33FB"/>
    <w:rsid w:val="005C344C"/>
    <w:rsid w:val="005C35B0"/>
    <w:rsid w:val="005C35C5"/>
    <w:rsid w:val="005C367C"/>
    <w:rsid w:val="005C3806"/>
    <w:rsid w:val="005C38DC"/>
    <w:rsid w:val="005C39D7"/>
    <w:rsid w:val="005C3A28"/>
    <w:rsid w:val="005C3AC6"/>
    <w:rsid w:val="005C3AF1"/>
    <w:rsid w:val="005C3C63"/>
    <w:rsid w:val="005C3D4E"/>
    <w:rsid w:val="005C3F32"/>
    <w:rsid w:val="005C3FA7"/>
    <w:rsid w:val="005C4117"/>
    <w:rsid w:val="005C4128"/>
    <w:rsid w:val="005C4198"/>
    <w:rsid w:val="005C424B"/>
    <w:rsid w:val="005C433E"/>
    <w:rsid w:val="005C4379"/>
    <w:rsid w:val="005C4450"/>
    <w:rsid w:val="005C4718"/>
    <w:rsid w:val="005C4783"/>
    <w:rsid w:val="005C47CC"/>
    <w:rsid w:val="005C489E"/>
    <w:rsid w:val="005C4AE7"/>
    <w:rsid w:val="005C4D70"/>
    <w:rsid w:val="005C4DCB"/>
    <w:rsid w:val="005C4FE2"/>
    <w:rsid w:val="005C5094"/>
    <w:rsid w:val="005C509A"/>
    <w:rsid w:val="005C51BB"/>
    <w:rsid w:val="005C5238"/>
    <w:rsid w:val="005C523C"/>
    <w:rsid w:val="005C5353"/>
    <w:rsid w:val="005C5481"/>
    <w:rsid w:val="005C5676"/>
    <w:rsid w:val="005C572D"/>
    <w:rsid w:val="005C57C8"/>
    <w:rsid w:val="005C59E1"/>
    <w:rsid w:val="005C5AC4"/>
    <w:rsid w:val="005C5AC5"/>
    <w:rsid w:val="005C5B2D"/>
    <w:rsid w:val="005C5D30"/>
    <w:rsid w:val="005C5D8A"/>
    <w:rsid w:val="005C5E05"/>
    <w:rsid w:val="005C5E61"/>
    <w:rsid w:val="005C6007"/>
    <w:rsid w:val="005C615D"/>
    <w:rsid w:val="005C619A"/>
    <w:rsid w:val="005C629E"/>
    <w:rsid w:val="005C62B2"/>
    <w:rsid w:val="005C63EA"/>
    <w:rsid w:val="005C63F1"/>
    <w:rsid w:val="005C65D3"/>
    <w:rsid w:val="005C6650"/>
    <w:rsid w:val="005C6769"/>
    <w:rsid w:val="005C68B5"/>
    <w:rsid w:val="005C6A95"/>
    <w:rsid w:val="005C6AB5"/>
    <w:rsid w:val="005C6B55"/>
    <w:rsid w:val="005C6BBE"/>
    <w:rsid w:val="005C6C05"/>
    <w:rsid w:val="005C6C87"/>
    <w:rsid w:val="005C6C8D"/>
    <w:rsid w:val="005C6D5A"/>
    <w:rsid w:val="005C6DFB"/>
    <w:rsid w:val="005C6F0C"/>
    <w:rsid w:val="005C6F63"/>
    <w:rsid w:val="005C703F"/>
    <w:rsid w:val="005C707D"/>
    <w:rsid w:val="005C7087"/>
    <w:rsid w:val="005C7112"/>
    <w:rsid w:val="005C71E9"/>
    <w:rsid w:val="005C724C"/>
    <w:rsid w:val="005C7333"/>
    <w:rsid w:val="005C76EF"/>
    <w:rsid w:val="005C7741"/>
    <w:rsid w:val="005C77BC"/>
    <w:rsid w:val="005C77C6"/>
    <w:rsid w:val="005C796A"/>
    <w:rsid w:val="005C79F8"/>
    <w:rsid w:val="005C7A85"/>
    <w:rsid w:val="005C7C9F"/>
    <w:rsid w:val="005C7DF1"/>
    <w:rsid w:val="005C7DFD"/>
    <w:rsid w:val="005C7E23"/>
    <w:rsid w:val="005C7EA0"/>
    <w:rsid w:val="005C7EA1"/>
    <w:rsid w:val="005C7F26"/>
    <w:rsid w:val="005C7F63"/>
    <w:rsid w:val="005D005A"/>
    <w:rsid w:val="005D0120"/>
    <w:rsid w:val="005D024C"/>
    <w:rsid w:val="005D0329"/>
    <w:rsid w:val="005D039D"/>
    <w:rsid w:val="005D03D0"/>
    <w:rsid w:val="005D060F"/>
    <w:rsid w:val="005D0673"/>
    <w:rsid w:val="005D0748"/>
    <w:rsid w:val="005D076E"/>
    <w:rsid w:val="005D0A61"/>
    <w:rsid w:val="005D0D61"/>
    <w:rsid w:val="005D0DA6"/>
    <w:rsid w:val="005D0DB8"/>
    <w:rsid w:val="005D0DF2"/>
    <w:rsid w:val="005D0E1D"/>
    <w:rsid w:val="005D0E80"/>
    <w:rsid w:val="005D0F16"/>
    <w:rsid w:val="005D0F2D"/>
    <w:rsid w:val="005D100C"/>
    <w:rsid w:val="005D110C"/>
    <w:rsid w:val="005D111A"/>
    <w:rsid w:val="005D1130"/>
    <w:rsid w:val="005D11CD"/>
    <w:rsid w:val="005D11F6"/>
    <w:rsid w:val="005D151D"/>
    <w:rsid w:val="005D15E0"/>
    <w:rsid w:val="005D17F1"/>
    <w:rsid w:val="005D17FF"/>
    <w:rsid w:val="005D18AC"/>
    <w:rsid w:val="005D1BF7"/>
    <w:rsid w:val="005D1D81"/>
    <w:rsid w:val="005D1DD7"/>
    <w:rsid w:val="005D1DEB"/>
    <w:rsid w:val="005D1E17"/>
    <w:rsid w:val="005D1F79"/>
    <w:rsid w:val="005D212F"/>
    <w:rsid w:val="005D228A"/>
    <w:rsid w:val="005D2384"/>
    <w:rsid w:val="005D2395"/>
    <w:rsid w:val="005D2660"/>
    <w:rsid w:val="005D27CE"/>
    <w:rsid w:val="005D2869"/>
    <w:rsid w:val="005D2888"/>
    <w:rsid w:val="005D29D5"/>
    <w:rsid w:val="005D2B12"/>
    <w:rsid w:val="005D2B80"/>
    <w:rsid w:val="005D2C06"/>
    <w:rsid w:val="005D2C18"/>
    <w:rsid w:val="005D2C8C"/>
    <w:rsid w:val="005D2EE6"/>
    <w:rsid w:val="005D2FCE"/>
    <w:rsid w:val="005D3087"/>
    <w:rsid w:val="005D30EF"/>
    <w:rsid w:val="005D32B3"/>
    <w:rsid w:val="005D32EC"/>
    <w:rsid w:val="005D3380"/>
    <w:rsid w:val="005D3566"/>
    <w:rsid w:val="005D35EF"/>
    <w:rsid w:val="005D3815"/>
    <w:rsid w:val="005D3902"/>
    <w:rsid w:val="005D395E"/>
    <w:rsid w:val="005D3976"/>
    <w:rsid w:val="005D39C1"/>
    <w:rsid w:val="005D3A39"/>
    <w:rsid w:val="005D3B49"/>
    <w:rsid w:val="005D3B6B"/>
    <w:rsid w:val="005D3C62"/>
    <w:rsid w:val="005D3C81"/>
    <w:rsid w:val="005D3CDD"/>
    <w:rsid w:val="005D3F62"/>
    <w:rsid w:val="005D41CC"/>
    <w:rsid w:val="005D41DD"/>
    <w:rsid w:val="005D4224"/>
    <w:rsid w:val="005D42C2"/>
    <w:rsid w:val="005D42E4"/>
    <w:rsid w:val="005D432D"/>
    <w:rsid w:val="005D44D8"/>
    <w:rsid w:val="005D4560"/>
    <w:rsid w:val="005D469F"/>
    <w:rsid w:val="005D480F"/>
    <w:rsid w:val="005D4810"/>
    <w:rsid w:val="005D4A1F"/>
    <w:rsid w:val="005D4A88"/>
    <w:rsid w:val="005D4B98"/>
    <w:rsid w:val="005D4BDF"/>
    <w:rsid w:val="005D4D19"/>
    <w:rsid w:val="005D4E2E"/>
    <w:rsid w:val="005D4E49"/>
    <w:rsid w:val="005D50A7"/>
    <w:rsid w:val="005D52C2"/>
    <w:rsid w:val="005D54B0"/>
    <w:rsid w:val="005D558D"/>
    <w:rsid w:val="005D561A"/>
    <w:rsid w:val="005D5713"/>
    <w:rsid w:val="005D57CF"/>
    <w:rsid w:val="005D5903"/>
    <w:rsid w:val="005D5A67"/>
    <w:rsid w:val="005D5B64"/>
    <w:rsid w:val="005D5B85"/>
    <w:rsid w:val="005D5C74"/>
    <w:rsid w:val="005D5CF8"/>
    <w:rsid w:val="005D5D01"/>
    <w:rsid w:val="005D5D9D"/>
    <w:rsid w:val="005D5EF3"/>
    <w:rsid w:val="005D5F3B"/>
    <w:rsid w:val="005D600C"/>
    <w:rsid w:val="005D62ED"/>
    <w:rsid w:val="005D6325"/>
    <w:rsid w:val="005D63F1"/>
    <w:rsid w:val="005D63F6"/>
    <w:rsid w:val="005D65FA"/>
    <w:rsid w:val="005D6744"/>
    <w:rsid w:val="005D67DF"/>
    <w:rsid w:val="005D67FD"/>
    <w:rsid w:val="005D6828"/>
    <w:rsid w:val="005D691C"/>
    <w:rsid w:val="005D6928"/>
    <w:rsid w:val="005D692D"/>
    <w:rsid w:val="005D6B04"/>
    <w:rsid w:val="005D6B86"/>
    <w:rsid w:val="005D6CAA"/>
    <w:rsid w:val="005D6FFA"/>
    <w:rsid w:val="005D70C1"/>
    <w:rsid w:val="005D735F"/>
    <w:rsid w:val="005D751B"/>
    <w:rsid w:val="005D76B7"/>
    <w:rsid w:val="005D7700"/>
    <w:rsid w:val="005D79B3"/>
    <w:rsid w:val="005D7A82"/>
    <w:rsid w:val="005D7B63"/>
    <w:rsid w:val="005D7CB1"/>
    <w:rsid w:val="005D7F68"/>
    <w:rsid w:val="005D7F7C"/>
    <w:rsid w:val="005E013F"/>
    <w:rsid w:val="005E01F1"/>
    <w:rsid w:val="005E0311"/>
    <w:rsid w:val="005E0426"/>
    <w:rsid w:val="005E051B"/>
    <w:rsid w:val="005E0592"/>
    <w:rsid w:val="005E075B"/>
    <w:rsid w:val="005E078A"/>
    <w:rsid w:val="005E07C5"/>
    <w:rsid w:val="005E0BFB"/>
    <w:rsid w:val="005E0CD3"/>
    <w:rsid w:val="005E0D49"/>
    <w:rsid w:val="005E0EEA"/>
    <w:rsid w:val="005E0EFA"/>
    <w:rsid w:val="005E10CC"/>
    <w:rsid w:val="005E12E5"/>
    <w:rsid w:val="005E145F"/>
    <w:rsid w:val="005E1468"/>
    <w:rsid w:val="005E1573"/>
    <w:rsid w:val="005E1764"/>
    <w:rsid w:val="005E17E7"/>
    <w:rsid w:val="005E1834"/>
    <w:rsid w:val="005E18E4"/>
    <w:rsid w:val="005E19E5"/>
    <w:rsid w:val="005E1A11"/>
    <w:rsid w:val="005E1C2D"/>
    <w:rsid w:val="005E1E0B"/>
    <w:rsid w:val="005E1E3A"/>
    <w:rsid w:val="005E1E68"/>
    <w:rsid w:val="005E1F68"/>
    <w:rsid w:val="005E1FC1"/>
    <w:rsid w:val="005E20B6"/>
    <w:rsid w:val="005E21DC"/>
    <w:rsid w:val="005E22DF"/>
    <w:rsid w:val="005E22FB"/>
    <w:rsid w:val="005E231E"/>
    <w:rsid w:val="005E2332"/>
    <w:rsid w:val="005E23DA"/>
    <w:rsid w:val="005E240D"/>
    <w:rsid w:val="005E2489"/>
    <w:rsid w:val="005E24A2"/>
    <w:rsid w:val="005E2644"/>
    <w:rsid w:val="005E2845"/>
    <w:rsid w:val="005E2AB1"/>
    <w:rsid w:val="005E2BE6"/>
    <w:rsid w:val="005E3071"/>
    <w:rsid w:val="005E30A7"/>
    <w:rsid w:val="005E30FD"/>
    <w:rsid w:val="005E31B9"/>
    <w:rsid w:val="005E31FE"/>
    <w:rsid w:val="005E3249"/>
    <w:rsid w:val="005E33B6"/>
    <w:rsid w:val="005E342C"/>
    <w:rsid w:val="005E34B4"/>
    <w:rsid w:val="005E35ED"/>
    <w:rsid w:val="005E3673"/>
    <w:rsid w:val="005E3785"/>
    <w:rsid w:val="005E379F"/>
    <w:rsid w:val="005E384F"/>
    <w:rsid w:val="005E3A34"/>
    <w:rsid w:val="005E3AC2"/>
    <w:rsid w:val="005E3ACA"/>
    <w:rsid w:val="005E3B66"/>
    <w:rsid w:val="005E3BD5"/>
    <w:rsid w:val="005E3C0C"/>
    <w:rsid w:val="005E3F0E"/>
    <w:rsid w:val="005E42DD"/>
    <w:rsid w:val="005E431E"/>
    <w:rsid w:val="005E4456"/>
    <w:rsid w:val="005E44AE"/>
    <w:rsid w:val="005E44EF"/>
    <w:rsid w:val="005E4633"/>
    <w:rsid w:val="005E481B"/>
    <w:rsid w:val="005E4895"/>
    <w:rsid w:val="005E48EF"/>
    <w:rsid w:val="005E4B02"/>
    <w:rsid w:val="005E4CB8"/>
    <w:rsid w:val="005E4CFD"/>
    <w:rsid w:val="005E4D9C"/>
    <w:rsid w:val="005E4FB3"/>
    <w:rsid w:val="005E4FC2"/>
    <w:rsid w:val="005E50B2"/>
    <w:rsid w:val="005E50E5"/>
    <w:rsid w:val="005E5149"/>
    <w:rsid w:val="005E51FC"/>
    <w:rsid w:val="005E52C9"/>
    <w:rsid w:val="005E534C"/>
    <w:rsid w:val="005E539E"/>
    <w:rsid w:val="005E54D9"/>
    <w:rsid w:val="005E55AA"/>
    <w:rsid w:val="005E55E1"/>
    <w:rsid w:val="005E563E"/>
    <w:rsid w:val="005E5642"/>
    <w:rsid w:val="005E57CE"/>
    <w:rsid w:val="005E5892"/>
    <w:rsid w:val="005E5AD7"/>
    <w:rsid w:val="005E5B44"/>
    <w:rsid w:val="005E5BB0"/>
    <w:rsid w:val="005E5DD4"/>
    <w:rsid w:val="005E5E13"/>
    <w:rsid w:val="005E5E57"/>
    <w:rsid w:val="005E5EEE"/>
    <w:rsid w:val="005E60DF"/>
    <w:rsid w:val="005E61CB"/>
    <w:rsid w:val="005E6230"/>
    <w:rsid w:val="005E6282"/>
    <w:rsid w:val="005E62F9"/>
    <w:rsid w:val="005E6477"/>
    <w:rsid w:val="005E653B"/>
    <w:rsid w:val="005E657C"/>
    <w:rsid w:val="005E68A6"/>
    <w:rsid w:val="005E69E7"/>
    <w:rsid w:val="005E6B76"/>
    <w:rsid w:val="005E6BA1"/>
    <w:rsid w:val="005E6D0C"/>
    <w:rsid w:val="005E6DCC"/>
    <w:rsid w:val="005E6E18"/>
    <w:rsid w:val="005E6E34"/>
    <w:rsid w:val="005E6EFB"/>
    <w:rsid w:val="005E6F9D"/>
    <w:rsid w:val="005E6FC6"/>
    <w:rsid w:val="005E7012"/>
    <w:rsid w:val="005E70BE"/>
    <w:rsid w:val="005E70C4"/>
    <w:rsid w:val="005E712C"/>
    <w:rsid w:val="005E720B"/>
    <w:rsid w:val="005E7369"/>
    <w:rsid w:val="005E7489"/>
    <w:rsid w:val="005E74E3"/>
    <w:rsid w:val="005E75F8"/>
    <w:rsid w:val="005E7602"/>
    <w:rsid w:val="005E768E"/>
    <w:rsid w:val="005E7785"/>
    <w:rsid w:val="005E77CB"/>
    <w:rsid w:val="005E7B29"/>
    <w:rsid w:val="005E7BA0"/>
    <w:rsid w:val="005E7C76"/>
    <w:rsid w:val="005E7CF8"/>
    <w:rsid w:val="005E7D2D"/>
    <w:rsid w:val="005E7E98"/>
    <w:rsid w:val="005E7EB5"/>
    <w:rsid w:val="005E7FE0"/>
    <w:rsid w:val="005F01D7"/>
    <w:rsid w:val="005F02B0"/>
    <w:rsid w:val="005F0403"/>
    <w:rsid w:val="005F0550"/>
    <w:rsid w:val="005F057D"/>
    <w:rsid w:val="005F058D"/>
    <w:rsid w:val="005F06ED"/>
    <w:rsid w:val="005F0756"/>
    <w:rsid w:val="005F09AB"/>
    <w:rsid w:val="005F09F9"/>
    <w:rsid w:val="005F0BFF"/>
    <w:rsid w:val="005F0CD4"/>
    <w:rsid w:val="005F0DA6"/>
    <w:rsid w:val="005F10BD"/>
    <w:rsid w:val="005F10EF"/>
    <w:rsid w:val="005F11E3"/>
    <w:rsid w:val="005F1363"/>
    <w:rsid w:val="005F14EB"/>
    <w:rsid w:val="005F153F"/>
    <w:rsid w:val="005F15D8"/>
    <w:rsid w:val="005F1613"/>
    <w:rsid w:val="005F162C"/>
    <w:rsid w:val="005F184B"/>
    <w:rsid w:val="005F1974"/>
    <w:rsid w:val="005F19B7"/>
    <w:rsid w:val="005F19D1"/>
    <w:rsid w:val="005F1A4B"/>
    <w:rsid w:val="005F1A67"/>
    <w:rsid w:val="005F1A95"/>
    <w:rsid w:val="005F1ECF"/>
    <w:rsid w:val="005F2168"/>
    <w:rsid w:val="005F2412"/>
    <w:rsid w:val="005F2413"/>
    <w:rsid w:val="005F2862"/>
    <w:rsid w:val="005F2D84"/>
    <w:rsid w:val="005F2DF5"/>
    <w:rsid w:val="005F2E41"/>
    <w:rsid w:val="005F2E66"/>
    <w:rsid w:val="005F31D4"/>
    <w:rsid w:val="005F32AD"/>
    <w:rsid w:val="005F32B2"/>
    <w:rsid w:val="005F330F"/>
    <w:rsid w:val="005F3370"/>
    <w:rsid w:val="005F3613"/>
    <w:rsid w:val="005F3732"/>
    <w:rsid w:val="005F3772"/>
    <w:rsid w:val="005F37D2"/>
    <w:rsid w:val="005F3884"/>
    <w:rsid w:val="005F38CB"/>
    <w:rsid w:val="005F3993"/>
    <w:rsid w:val="005F3D3C"/>
    <w:rsid w:val="005F3DAE"/>
    <w:rsid w:val="005F3EB8"/>
    <w:rsid w:val="005F4100"/>
    <w:rsid w:val="005F4163"/>
    <w:rsid w:val="005F41CD"/>
    <w:rsid w:val="005F41E3"/>
    <w:rsid w:val="005F429F"/>
    <w:rsid w:val="005F43DF"/>
    <w:rsid w:val="005F448D"/>
    <w:rsid w:val="005F450A"/>
    <w:rsid w:val="005F455F"/>
    <w:rsid w:val="005F46C5"/>
    <w:rsid w:val="005F47BE"/>
    <w:rsid w:val="005F47E9"/>
    <w:rsid w:val="005F487F"/>
    <w:rsid w:val="005F4908"/>
    <w:rsid w:val="005F4B5F"/>
    <w:rsid w:val="005F4B6E"/>
    <w:rsid w:val="005F4C03"/>
    <w:rsid w:val="005F4E42"/>
    <w:rsid w:val="005F4EF8"/>
    <w:rsid w:val="005F4FF6"/>
    <w:rsid w:val="005F506E"/>
    <w:rsid w:val="005F51A9"/>
    <w:rsid w:val="005F5267"/>
    <w:rsid w:val="005F538E"/>
    <w:rsid w:val="005F573F"/>
    <w:rsid w:val="005F58A9"/>
    <w:rsid w:val="005F5946"/>
    <w:rsid w:val="005F596B"/>
    <w:rsid w:val="005F5A4D"/>
    <w:rsid w:val="005F5A73"/>
    <w:rsid w:val="005F5ACA"/>
    <w:rsid w:val="005F5AF3"/>
    <w:rsid w:val="005F5C81"/>
    <w:rsid w:val="005F5E29"/>
    <w:rsid w:val="005F5E46"/>
    <w:rsid w:val="005F5F2A"/>
    <w:rsid w:val="005F5FDE"/>
    <w:rsid w:val="005F6118"/>
    <w:rsid w:val="005F6159"/>
    <w:rsid w:val="005F619B"/>
    <w:rsid w:val="005F6331"/>
    <w:rsid w:val="005F6366"/>
    <w:rsid w:val="005F63DD"/>
    <w:rsid w:val="005F64FD"/>
    <w:rsid w:val="005F67F1"/>
    <w:rsid w:val="005F684C"/>
    <w:rsid w:val="005F6956"/>
    <w:rsid w:val="005F69FA"/>
    <w:rsid w:val="005F6AA0"/>
    <w:rsid w:val="005F6B40"/>
    <w:rsid w:val="005F6BF7"/>
    <w:rsid w:val="005F6C92"/>
    <w:rsid w:val="005F6F12"/>
    <w:rsid w:val="005F6F39"/>
    <w:rsid w:val="005F706D"/>
    <w:rsid w:val="005F71F5"/>
    <w:rsid w:val="005F7551"/>
    <w:rsid w:val="005F7B0F"/>
    <w:rsid w:val="005F7B3E"/>
    <w:rsid w:val="005F7C32"/>
    <w:rsid w:val="005F7CDD"/>
    <w:rsid w:val="005F7D24"/>
    <w:rsid w:val="00600033"/>
    <w:rsid w:val="0060007A"/>
    <w:rsid w:val="006000B6"/>
    <w:rsid w:val="0060013A"/>
    <w:rsid w:val="006002A2"/>
    <w:rsid w:val="006002B0"/>
    <w:rsid w:val="006003A7"/>
    <w:rsid w:val="00600460"/>
    <w:rsid w:val="0060048C"/>
    <w:rsid w:val="00600543"/>
    <w:rsid w:val="00600764"/>
    <w:rsid w:val="00600894"/>
    <w:rsid w:val="00600982"/>
    <w:rsid w:val="00600C2D"/>
    <w:rsid w:val="00600CB8"/>
    <w:rsid w:val="00600D1A"/>
    <w:rsid w:val="00600D7F"/>
    <w:rsid w:val="00600DC0"/>
    <w:rsid w:val="00600E3D"/>
    <w:rsid w:val="00600F17"/>
    <w:rsid w:val="0060100A"/>
    <w:rsid w:val="006011D1"/>
    <w:rsid w:val="00601254"/>
    <w:rsid w:val="00601281"/>
    <w:rsid w:val="00601451"/>
    <w:rsid w:val="00601473"/>
    <w:rsid w:val="00601539"/>
    <w:rsid w:val="0060154E"/>
    <w:rsid w:val="00601681"/>
    <w:rsid w:val="006016C2"/>
    <w:rsid w:val="00601832"/>
    <w:rsid w:val="006019A9"/>
    <w:rsid w:val="006019D4"/>
    <w:rsid w:val="00601ABF"/>
    <w:rsid w:val="00601AC4"/>
    <w:rsid w:val="00601BAB"/>
    <w:rsid w:val="00601BED"/>
    <w:rsid w:val="00601C30"/>
    <w:rsid w:val="00601C4F"/>
    <w:rsid w:val="00601C95"/>
    <w:rsid w:val="00601D0F"/>
    <w:rsid w:val="00601D5D"/>
    <w:rsid w:val="00601DF4"/>
    <w:rsid w:val="00601E2B"/>
    <w:rsid w:val="00601EE5"/>
    <w:rsid w:val="00601F27"/>
    <w:rsid w:val="00601F47"/>
    <w:rsid w:val="0060216A"/>
    <w:rsid w:val="0060218C"/>
    <w:rsid w:val="006021D5"/>
    <w:rsid w:val="00602374"/>
    <w:rsid w:val="006023EC"/>
    <w:rsid w:val="006024FB"/>
    <w:rsid w:val="0060257F"/>
    <w:rsid w:val="006025B5"/>
    <w:rsid w:val="006026F1"/>
    <w:rsid w:val="0060278A"/>
    <w:rsid w:val="00602807"/>
    <w:rsid w:val="00602916"/>
    <w:rsid w:val="00602A19"/>
    <w:rsid w:val="00602AF8"/>
    <w:rsid w:val="00602B01"/>
    <w:rsid w:val="00602BD5"/>
    <w:rsid w:val="00602D33"/>
    <w:rsid w:val="00602FC4"/>
    <w:rsid w:val="0060316C"/>
    <w:rsid w:val="0060325D"/>
    <w:rsid w:val="006032BE"/>
    <w:rsid w:val="00603396"/>
    <w:rsid w:val="006033B2"/>
    <w:rsid w:val="00603502"/>
    <w:rsid w:val="00603503"/>
    <w:rsid w:val="00603555"/>
    <w:rsid w:val="0060358B"/>
    <w:rsid w:val="006036C6"/>
    <w:rsid w:val="00603707"/>
    <w:rsid w:val="0060386C"/>
    <w:rsid w:val="0060390C"/>
    <w:rsid w:val="00603B81"/>
    <w:rsid w:val="00603DAE"/>
    <w:rsid w:val="00604046"/>
    <w:rsid w:val="006040A4"/>
    <w:rsid w:val="00604137"/>
    <w:rsid w:val="0060419B"/>
    <w:rsid w:val="006042AE"/>
    <w:rsid w:val="00604338"/>
    <w:rsid w:val="00604358"/>
    <w:rsid w:val="00604367"/>
    <w:rsid w:val="0060458A"/>
    <w:rsid w:val="00604593"/>
    <w:rsid w:val="006047FD"/>
    <w:rsid w:val="006048BE"/>
    <w:rsid w:val="00604AE0"/>
    <w:rsid w:val="00604C2B"/>
    <w:rsid w:val="00604E8D"/>
    <w:rsid w:val="00604F01"/>
    <w:rsid w:val="00605169"/>
    <w:rsid w:val="006051DB"/>
    <w:rsid w:val="00605206"/>
    <w:rsid w:val="00605494"/>
    <w:rsid w:val="006056CE"/>
    <w:rsid w:val="00605855"/>
    <w:rsid w:val="006058C6"/>
    <w:rsid w:val="006058DF"/>
    <w:rsid w:val="006059B2"/>
    <w:rsid w:val="00605A11"/>
    <w:rsid w:val="00605AC1"/>
    <w:rsid w:val="00605ACA"/>
    <w:rsid w:val="00605AFE"/>
    <w:rsid w:val="00605BD3"/>
    <w:rsid w:val="00605C60"/>
    <w:rsid w:val="00605CA1"/>
    <w:rsid w:val="00605CEF"/>
    <w:rsid w:val="00605D1F"/>
    <w:rsid w:val="00605DE8"/>
    <w:rsid w:val="00605EC3"/>
    <w:rsid w:val="00605F5D"/>
    <w:rsid w:val="0060609B"/>
    <w:rsid w:val="006060D1"/>
    <w:rsid w:val="006060F1"/>
    <w:rsid w:val="00606274"/>
    <w:rsid w:val="0060631C"/>
    <w:rsid w:val="006063D2"/>
    <w:rsid w:val="00606422"/>
    <w:rsid w:val="0060644F"/>
    <w:rsid w:val="0060645A"/>
    <w:rsid w:val="006065A9"/>
    <w:rsid w:val="00606607"/>
    <w:rsid w:val="00606621"/>
    <w:rsid w:val="0060667F"/>
    <w:rsid w:val="006066CE"/>
    <w:rsid w:val="00606884"/>
    <w:rsid w:val="0060689E"/>
    <w:rsid w:val="006068B7"/>
    <w:rsid w:val="006068D8"/>
    <w:rsid w:val="0060698F"/>
    <w:rsid w:val="006069B3"/>
    <w:rsid w:val="00606B2B"/>
    <w:rsid w:val="00606BE6"/>
    <w:rsid w:val="00606E78"/>
    <w:rsid w:val="006070BD"/>
    <w:rsid w:val="006070EA"/>
    <w:rsid w:val="006071FF"/>
    <w:rsid w:val="006072FD"/>
    <w:rsid w:val="006073EB"/>
    <w:rsid w:val="006074CE"/>
    <w:rsid w:val="006074E1"/>
    <w:rsid w:val="006075B1"/>
    <w:rsid w:val="00607651"/>
    <w:rsid w:val="00607653"/>
    <w:rsid w:val="00607697"/>
    <w:rsid w:val="006077E5"/>
    <w:rsid w:val="00607948"/>
    <w:rsid w:val="00607AFE"/>
    <w:rsid w:val="00607C09"/>
    <w:rsid w:val="00607DE7"/>
    <w:rsid w:val="00607EBC"/>
    <w:rsid w:val="00607F07"/>
    <w:rsid w:val="00607F84"/>
    <w:rsid w:val="00610020"/>
    <w:rsid w:val="006100A2"/>
    <w:rsid w:val="006100DE"/>
    <w:rsid w:val="006101E7"/>
    <w:rsid w:val="006101EB"/>
    <w:rsid w:val="00610234"/>
    <w:rsid w:val="006103A2"/>
    <w:rsid w:val="006103AF"/>
    <w:rsid w:val="006103E6"/>
    <w:rsid w:val="006103ED"/>
    <w:rsid w:val="00610470"/>
    <w:rsid w:val="006104C2"/>
    <w:rsid w:val="006104C6"/>
    <w:rsid w:val="00610720"/>
    <w:rsid w:val="00610724"/>
    <w:rsid w:val="00610745"/>
    <w:rsid w:val="00610801"/>
    <w:rsid w:val="00610890"/>
    <w:rsid w:val="00610938"/>
    <w:rsid w:val="00610951"/>
    <w:rsid w:val="00610A16"/>
    <w:rsid w:val="00610A7A"/>
    <w:rsid w:val="00610A94"/>
    <w:rsid w:val="00610AB3"/>
    <w:rsid w:val="00610ADC"/>
    <w:rsid w:val="00610C1D"/>
    <w:rsid w:val="00610C4B"/>
    <w:rsid w:val="00610D48"/>
    <w:rsid w:val="00610F11"/>
    <w:rsid w:val="00611078"/>
    <w:rsid w:val="00611165"/>
    <w:rsid w:val="00611189"/>
    <w:rsid w:val="006114DF"/>
    <w:rsid w:val="006115BE"/>
    <w:rsid w:val="00611692"/>
    <w:rsid w:val="006116EA"/>
    <w:rsid w:val="00611719"/>
    <w:rsid w:val="0061171E"/>
    <w:rsid w:val="006117E0"/>
    <w:rsid w:val="006118AD"/>
    <w:rsid w:val="006118D5"/>
    <w:rsid w:val="00611B2C"/>
    <w:rsid w:val="00611D55"/>
    <w:rsid w:val="00611E7C"/>
    <w:rsid w:val="00611F13"/>
    <w:rsid w:val="00611F2B"/>
    <w:rsid w:val="00611FF2"/>
    <w:rsid w:val="00612072"/>
    <w:rsid w:val="006121B3"/>
    <w:rsid w:val="006126F3"/>
    <w:rsid w:val="00612758"/>
    <w:rsid w:val="006127C8"/>
    <w:rsid w:val="00612B5B"/>
    <w:rsid w:val="00612BAF"/>
    <w:rsid w:val="00612E65"/>
    <w:rsid w:val="006131D3"/>
    <w:rsid w:val="0061340E"/>
    <w:rsid w:val="006135D5"/>
    <w:rsid w:val="006135E2"/>
    <w:rsid w:val="006136C5"/>
    <w:rsid w:val="006137A9"/>
    <w:rsid w:val="0061390B"/>
    <w:rsid w:val="00613951"/>
    <w:rsid w:val="00613A1F"/>
    <w:rsid w:val="00613AF4"/>
    <w:rsid w:val="00613BB7"/>
    <w:rsid w:val="00613BE4"/>
    <w:rsid w:val="00613E49"/>
    <w:rsid w:val="00613F6C"/>
    <w:rsid w:val="006142B6"/>
    <w:rsid w:val="00614865"/>
    <w:rsid w:val="00614A76"/>
    <w:rsid w:val="00614CB1"/>
    <w:rsid w:val="00614DC8"/>
    <w:rsid w:val="00614E1E"/>
    <w:rsid w:val="00614E51"/>
    <w:rsid w:val="0061510C"/>
    <w:rsid w:val="00615136"/>
    <w:rsid w:val="0061515A"/>
    <w:rsid w:val="00615299"/>
    <w:rsid w:val="006152FE"/>
    <w:rsid w:val="006153C4"/>
    <w:rsid w:val="006155B9"/>
    <w:rsid w:val="006157C2"/>
    <w:rsid w:val="006157D8"/>
    <w:rsid w:val="00615864"/>
    <w:rsid w:val="00615A3C"/>
    <w:rsid w:val="00615C9F"/>
    <w:rsid w:val="00615E17"/>
    <w:rsid w:val="00616003"/>
    <w:rsid w:val="00616028"/>
    <w:rsid w:val="0061602D"/>
    <w:rsid w:val="006161D9"/>
    <w:rsid w:val="00616404"/>
    <w:rsid w:val="006165E3"/>
    <w:rsid w:val="00616864"/>
    <w:rsid w:val="00616918"/>
    <w:rsid w:val="0061698D"/>
    <w:rsid w:val="00616A5B"/>
    <w:rsid w:val="00616DD8"/>
    <w:rsid w:val="00616E0D"/>
    <w:rsid w:val="00616FC0"/>
    <w:rsid w:val="006170C1"/>
    <w:rsid w:val="006171C2"/>
    <w:rsid w:val="00617257"/>
    <w:rsid w:val="00617336"/>
    <w:rsid w:val="00617441"/>
    <w:rsid w:val="00617443"/>
    <w:rsid w:val="006175B1"/>
    <w:rsid w:val="006176C5"/>
    <w:rsid w:val="006177D1"/>
    <w:rsid w:val="0061788B"/>
    <w:rsid w:val="006178BB"/>
    <w:rsid w:val="006178F9"/>
    <w:rsid w:val="00617A78"/>
    <w:rsid w:val="00617AEA"/>
    <w:rsid w:val="00617E25"/>
    <w:rsid w:val="00617E36"/>
    <w:rsid w:val="00617E8B"/>
    <w:rsid w:val="00617EA5"/>
    <w:rsid w:val="00617ED3"/>
    <w:rsid w:val="00620064"/>
    <w:rsid w:val="00620237"/>
    <w:rsid w:val="00620316"/>
    <w:rsid w:val="0062032F"/>
    <w:rsid w:val="0062033F"/>
    <w:rsid w:val="006205F3"/>
    <w:rsid w:val="0062069C"/>
    <w:rsid w:val="00620778"/>
    <w:rsid w:val="006208AC"/>
    <w:rsid w:val="006209BA"/>
    <w:rsid w:val="00620AB1"/>
    <w:rsid w:val="00620C5C"/>
    <w:rsid w:val="00620CE0"/>
    <w:rsid w:val="00620DA7"/>
    <w:rsid w:val="00620E84"/>
    <w:rsid w:val="00620ED4"/>
    <w:rsid w:val="00621049"/>
    <w:rsid w:val="006211E8"/>
    <w:rsid w:val="0062131F"/>
    <w:rsid w:val="006213D9"/>
    <w:rsid w:val="0062148C"/>
    <w:rsid w:val="00621514"/>
    <w:rsid w:val="00621532"/>
    <w:rsid w:val="00621562"/>
    <w:rsid w:val="0062177D"/>
    <w:rsid w:val="00621854"/>
    <w:rsid w:val="00621930"/>
    <w:rsid w:val="006219BF"/>
    <w:rsid w:val="00621BA3"/>
    <w:rsid w:val="00621C3B"/>
    <w:rsid w:val="00621C6C"/>
    <w:rsid w:val="00621CF0"/>
    <w:rsid w:val="00622076"/>
    <w:rsid w:val="006221E9"/>
    <w:rsid w:val="00622316"/>
    <w:rsid w:val="006223D6"/>
    <w:rsid w:val="006224D5"/>
    <w:rsid w:val="00622516"/>
    <w:rsid w:val="006225CB"/>
    <w:rsid w:val="006225E6"/>
    <w:rsid w:val="0062277B"/>
    <w:rsid w:val="00622997"/>
    <w:rsid w:val="006229FE"/>
    <w:rsid w:val="00622A6C"/>
    <w:rsid w:val="00622DE4"/>
    <w:rsid w:val="00622EB8"/>
    <w:rsid w:val="00622EC3"/>
    <w:rsid w:val="00622EDD"/>
    <w:rsid w:val="00622F3C"/>
    <w:rsid w:val="0062309F"/>
    <w:rsid w:val="006230C2"/>
    <w:rsid w:val="00623106"/>
    <w:rsid w:val="0062315C"/>
    <w:rsid w:val="006231F2"/>
    <w:rsid w:val="00623204"/>
    <w:rsid w:val="0062323A"/>
    <w:rsid w:val="0062339E"/>
    <w:rsid w:val="00623434"/>
    <w:rsid w:val="0062357B"/>
    <w:rsid w:val="006238F9"/>
    <w:rsid w:val="00623905"/>
    <w:rsid w:val="00623B26"/>
    <w:rsid w:val="00623C1F"/>
    <w:rsid w:val="00623C32"/>
    <w:rsid w:val="00623CF7"/>
    <w:rsid w:val="00623D01"/>
    <w:rsid w:val="00623F2B"/>
    <w:rsid w:val="00623FAA"/>
    <w:rsid w:val="006240CA"/>
    <w:rsid w:val="00624200"/>
    <w:rsid w:val="006242D0"/>
    <w:rsid w:val="00624326"/>
    <w:rsid w:val="00624421"/>
    <w:rsid w:val="0062448D"/>
    <w:rsid w:val="006244DC"/>
    <w:rsid w:val="00624502"/>
    <w:rsid w:val="00624516"/>
    <w:rsid w:val="00624655"/>
    <w:rsid w:val="006247A9"/>
    <w:rsid w:val="00624813"/>
    <w:rsid w:val="00624A4E"/>
    <w:rsid w:val="00624AB9"/>
    <w:rsid w:val="00624B21"/>
    <w:rsid w:val="00624EE0"/>
    <w:rsid w:val="00624EF2"/>
    <w:rsid w:val="00624F63"/>
    <w:rsid w:val="00625076"/>
    <w:rsid w:val="0062516A"/>
    <w:rsid w:val="00625175"/>
    <w:rsid w:val="00625191"/>
    <w:rsid w:val="006251BF"/>
    <w:rsid w:val="006251D9"/>
    <w:rsid w:val="0062525E"/>
    <w:rsid w:val="00625A61"/>
    <w:rsid w:val="00625A6F"/>
    <w:rsid w:val="00625BAE"/>
    <w:rsid w:val="00625F05"/>
    <w:rsid w:val="00625F6C"/>
    <w:rsid w:val="00626099"/>
    <w:rsid w:val="00626147"/>
    <w:rsid w:val="006261AD"/>
    <w:rsid w:val="006261CC"/>
    <w:rsid w:val="00626246"/>
    <w:rsid w:val="00626372"/>
    <w:rsid w:val="006263AC"/>
    <w:rsid w:val="006263B9"/>
    <w:rsid w:val="006263E4"/>
    <w:rsid w:val="006264A2"/>
    <w:rsid w:val="006265B3"/>
    <w:rsid w:val="006265BD"/>
    <w:rsid w:val="0062674F"/>
    <w:rsid w:val="006267C5"/>
    <w:rsid w:val="006267EF"/>
    <w:rsid w:val="00626838"/>
    <w:rsid w:val="00626864"/>
    <w:rsid w:val="00626894"/>
    <w:rsid w:val="006268CB"/>
    <w:rsid w:val="0062699B"/>
    <w:rsid w:val="00626A3C"/>
    <w:rsid w:val="00626B24"/>
    <w:rsid w:val="00626BFB"/>
    <w:rsid w:val="00626CFD"/>
    <w:rsid w:val="00626DED"/>
    <w:rsid w:val="00626E89"/>
    <w:rsid w:val="00626FCF"/>
    <w:rsid w:val="00627085"/>
    <w:rsid w:val="006270A0"/>
    <w:rsid w:val="00627195"/>
    <w:rsid w:val="006274E6"/>
    <w:rsid w:val="00627527"/>
    <w:rsid w:val="00627560"/>
    <w:rsid w:val="006277B4"/>
    <w:rsid w:val="006279EA"/>
    <w:rsid w:val="00627A26"/>
    <w:rsid w:val="00627BAF"/>
    <w:rsid w:val="00627C13"/>
    <w:rsid w:val="00627C76"/>
    <w:rsid w:val="00627CB7"/>
    <w:rsid w:val="00627DAE"/>
    <w:rsid w:val="00627DB8"/>
    <w:rsid w:val="00627F52"/>
    <w:rsid w:val="00627F5B"/>
    <w:rsid w:val="00630062"/>
    <w:rsid w:val="00630098"/>
    <w:rsid w:val="006300A3"/>
    <w:rsid w:val="00630191"/>
    <w:rsid w:val="006303B9"/>
    <w:rsid w:val="00630454"/>
    <w:rsid w:val="006304F9"/>
    <w:rsid w:val="006305B6"/>
    <w:rsid w:val="00630644"/>
    <w:rsid w:val="0063068B"/>
    <w:rsid w:val="006306DB"/>
    <w:rsid w:val="00630730"/>
    <w:rsid w:val="00630924"/>
    <w:rsid w:val="00630983"/>
    <w:rsid w:val="0063099F"/>
    <w:rsid w:val="006309BF"/>
    <w:rsid w:val="00630AAA"/>
    <w:rsid w:val="00630BF5"/>
    <w:rsid w:val="00630BF9"/>
    <w:rsid w:val="00630E70"/>
    <w:rsid w:val="00630E7C"/>
    <w:rsid w:val="00630EA1"/>
    <w:rsid w:val="00630EEF"/>
    <w:rsid w:val="00630F4E"/>
    <w:rsid w:val="00630FBE"/>
    <w:rsid w:val="0063118E"/>
    <w:rsid w:val="006311F6"/>
    <w:rsid w:val="0063120B"/>
    <w:rsid w:val="00631415"/>
    <w:rsid w:val="0063166C"/>
    <w:rsid w:val="006318E4"/>
    <w:rsid w:val="00631921"/>
    <w:rsid w:val="00631B18"/>
    <w:rsid w:val="00631B1A"/>
    <w:rsid w:val="00631B68"/>
    <w:rsid w:val="00631B81"/>
    <w:rsid w:val="00631B8F"/>
    <w:rsid w:val="00631B93"/>
    <w:rsid w:val="00631CDB"/>
    <w:rsid w:val="00631D53"/>
    <w:rsid w:val="00631E4C"/>
    <w:rsid w:val="00631E5C"/>
    <w:rsid w:val="00632051"/>
    <w:rsid w:val="00632122"/>
    <w:rsid w:val="0063214B"/>
    <w:rsid w:val="0063218D"/>
    <w:rsid w:val="006321BB"/>
    <w:rsid w:val="0063236B"/>
    <w:rsid w:val="00632419"/>
    <w:rsid w:val="0063263E"/>
    <w:rsid w:val="00632779"/>
    <w:rsid w:val="00632894"/>
    <w:rsid w:val="006329D5"/>
    <w:rsid w:val="006329D8"/>
    <w:rsid w:val="00632CC3"/>
    <w:rsid w:val="00632CE1"/>
    <w:rsid w:val="00632D58"/>
    <w:rsid w:val="00632D6A"/>
    <w:rsid w:val="00632DD2"/>
    <w:rsid w:val="00632EEB"/>
    <w:rsid w:val="00632FBE"/>
    <w:rsid w:val="00633019"/>
    <w:rsid w:val="00633154"/>
    <w:rsid w:val="006331C2"/>
    <w:rsid w:val="006332ED"/>
    <w:rsid w:val="006334A4"/>
    <w:rsid w:val="006334F8"/>
    <w:rsid w:val="006336A7"/>
    <w:rsid w:val="006336B1"/>
    <w:rsid w:val="006336D8"/>
    <w:rsid w:val="00633863"/>
    <w:rsid w:val="006339DC"/>
    <w:rsid w:val="00633AB8"/>
    <w:rsid w:val="00633C05"/>
    <w:rsid w:val="00633D86"/>
    <w:rsid w:val="00633DAB"/>
    <w:rsid w:val="00633DFE"/>
    <w:rsid w:val="00633E46"/>
    <w:rsid w:val="00633E85"/>
    <w:rsid w:val="00633F56"/>
    <w:rsid w:val="00633F6D"/>
    <w:rsid w:val="00633F80"/>
    <w:rsid w:val="00634021"/>
    <w:rsid w:val="0063411A"/>
    <w:rsid w:val="0063427E"/>
    <w:rsid w:val="0063429B"/>
    <w:rsid w:val="006342A8"/>
    <w:rsid w:val="00634326"/>
    <w:rsid w:val="0063435D"/>
    <w:rsid w:val="00634393"/>
    <w:rsid w:val="0063443B"/>
    <w:rsid w:val="006344C8"/>
    <w:rsid w:val="006344E4"/>
    <w:rsid w:val="0063452F"/>
    <w:rsid w:val="0063455C"/>
    <w:rsid w:val="0063471F"/>
    <w:rsid w:val="00634735"/>
    <w:rsid w:val="0063473B"/>
    <w:rsid w:val="00634A63"/>
    <w:rsid w:val="00634B23"/>
    <w:rsid w:val="00634BE1"/>
    <w:rsid w:val="00634D2A"/>
    <w:rsid w:val="00634DC3"/>
    <w:rsid w:val="00634E06"/>
    <w:rsid w:val="00634EA8"/>
    <w:rsid w:val="00634EEE"/>
    <w:rsid w:val="00635023"/>
    <w:rsid w:val="00635134"/>
    <w:rsid w:val="0063513E"/>
    <w:rsid w:val="00635223"/>
    <w:rsid w:val="006353A4"/>
    <w:rsid w:val="006353D5"/>
    <w:rsid w:val="006354A6"/>
    <w:rsid w:val="0063551C"/>
    <w:rsid w:val="0063557F"/>
    <w:rsid w:val="0063561B"/>
    <w:rsid w:val="00635737"/>
    <w:rsid w:val="00635858"/>
    <w:rsid w:val="006359AD"/>
    <w:rsid w:val="00635A6C"/>
    <w:rsid w:val="00635AEF"/>
    <w:rsid w:val="00635B40"/>
    <w:rsid w:val="00635CB2"/>
    <w:rsid w:val="00635CD6"/>
    <w:rsid w:val="00635F69"/>
    <w:rsid w:val="00636091"/>
    <w:rsid w:val="0063618E"/>
    <w:rsid w:val="00636336"/>
    <w:rsid w:val="00636463"/>
    <w:rsid w:val="006364EB"/>
    <w:rsid w:val="0063657B"/>
    <w:rsid w:val="00636816"/>
    <w:rsid w:val="00636932"/>
    <w:rsid w:val="006369DD"/>
    <w:rsid w:val="00636AB3"/>
    <w:rsid w:val="00636B0D"/>
    <w:rsid w:val="00636B9B"/>
    <w:rsid w:val="00636C1C"/>
    <w:rsid w:val="00636E2D"/>
    <w:rsid w:val="00636E5B"/>
    <w:rsid w:val="00636ED2"/>
    <w:rsid w:val="00636F1B"/>
    <w:rsid w:val="00636F40"/>
    <w:rsid w:val="00636F86"/>
    <w:rsid w:val="0063708E"/>
    <w:rsid w:val="006370DE"/>
    <w:rsid w:val="00637293"/>
    <w:rsid w:val="0063743B"/>
    <w:rsid w:val="006374A6"/>
    <w:rsid w:val="0063750B"/>
    <w:rsid w:val="0063760D"/>
    <w:rsid w:val="00637645"/>
    <w:rsid w:val="00637648"/>
    <w:rsid w:val="00637854"/>
    <w:rsid w:val="0063789C"/>
    <w:rsid w:val="006378AC"/>
    <w:rsid w:val="006378FE"/>
    <w:rsid w:val="00637907"/>
    <w:rsid w:val="00637918"/>
    <w:rsid w:val="00637B02"/>
    <w:rsid w:val="00637B48"/>
    <w:rsid w:val="00637C44"/>
    <w:rsid w:val="00637D0C"/>
    <w:rsid w:val="00637DF4"/>
    <w:rsid w:val="00637E02"/>
    <w:rsid w:val="00637EA9"/>
    <w:rsid w:val="0064010D"/>
    <w:rsid w:val="00640116"/>
    <w:rsid w:val="00640161"/>
    <w:rsid w:val="00640399"/>
    <w:rsid w:val="0064042D"/>
    <w:rsid w:val="00640485"/>
    <w:rsid w:val="00640505"/>
    <w:rsid w:val="006405F3"/>
    <w:rsid w:val="0064067C"/>
    <w:rsid w:val="00640714"/>
    <w:rsid w:val="006408A4"/>
    <w:rsid w:val="00640A41"/>
    <w:rsid w:val="00640A44"/>
    <w:rsid w:val="00640B5D"/>
    <w:rsid w:val="00640C96"/>
    <w:rsid w:val="00640D4B"/>
    <w:rsid w:val="00640E8E"/>
    <w:rsid w:val="00640F0F"/>
    <w:rsid w:val="00640F17"/>
    <w:rsid w:val="0064103D"/>
    <w:rsid w:val="006410AE"/>
    <w:rsid w:val="00641238"/>
    <w:rsid w:val="00641268"/>
    <w:rsid w:val="006412AB"/>
    <w:rsid w:val="006413F5"/>
    <w:rsid w:val="0064142E"/>
    <w:rsid w:val="00641485"/>
    <w:rsid w:val="00641532"/>
    <w:rsid w:val="006415CD"/>
    <w:rsid w:val="00641609"/>
    <w:rsid w:val="00641629"/>
    <w:rsid w:val="006416B3"/>
    <w:rsid w:val="00641747"/>
    <w:rsid w:val="0064193B"/>
    <w:rsid w:val="00641A7F"/>
    <w:rsid w:val="00641AAE"/>
    <w:rsid w:val="00641AEC"/>
    <w:rsid w:val="00641B55"/>
    <w:rsid w:val="00641D44"/>
    <w:rsid w:val="00641D50"/>
    <w:rsid w:val="00641E0C"/>
    <w:rsid w:val="00641E4A"/>
    <w:rsid w:val="00641EB0"/>
    <w:rsid w:val="00641F40"/>
    <w:rsid w:val="00641F92"/>
    <w:rsid w:val="00642164"/>
    <w:rsid w:val="006424D8"/>
    <w:rsid w:val="006425A4"/>
    <w:rsid w:val="0064268A"/>
    <w:rsid w:val="00642859"/>
    <w:rsid w:val="0064287F"/>
    <w:rsid w:val="006428E9"/>
    <w:rsid w:val="00642913"/>
    <w:rsid w:val="00642998"/>
    <w:rsid w:val="00642A29"/>
    <w:rsid w:val="00642A76"/>
    <w:rsid w:val="00642C68"/>
    <w:rsid w:val="00642DCA"/>
    <w:rsid w:val="00642DD0"/>
    <w:rsid w:val="00642E13"/>
    <w:rsid w:val="00642E5C"/>
    <w:rsid w:val="00642F3D"/>
    <w:rsid w:val="00642F6F"/>
    <w:rsid w:val="006430EF"/>
    <w:rsid w:val="00643294"/>
    <w:rsid w:val="006432D0"/>
    <w:rsid w:val="0064347D"/>
    <w:rsid w:val="0064352E"/>
    <w:rsid w:val="006435B1"/>
    <w:rsid w:val="006436B9"/>
    <w:rsid w:val="00643728"/>
    <w:rsid w:val="00643809"/>
    <w:rsid w:val="00643998"/>
    <w:rsid w:val="006439C8"/>
    <w:rsid w:val="00643A6A"/>
    <w:rsid w:val="00643B4D"/>
    <w:rsid w:val="00643CFA"/>
    <w:rsid w:val="00644015"/>
    <w:rsid w:val="006440F2"/>
    <w:rsid w:val="0064420F"/>
    <w:rsid w:val="006442AC"/>
    <w:rsid w:val="00644313"/>
    <w:rsid w:val="0064452D"/>
    <w:rsid w:val="006445C1"/>
    <w:rsid w:val="00644604"/>
    <w:rsid w:val="006449A5"/>
    <w:rsid w:val="00644B80"/>
    <w:rsid w:val="00644CF5"/>
    <w:rsid w:val="00644DB4"/>
    <w:rsid w:val="00644E62"/>
    <w:rsid w:val="00644E7D"/>
    <w:rsid w:val="0064502B"/>
    <w:rsid w:val="006451F4"/>
    <w:rsid w:val="0064524B"/>
    <w:rsid w:val="00645333"/>
    <w:rsid w:val="00645344"/>
    <w:rsid w:val="006453DF"/>
    <w:rsid w:val="006453EE"/>
    <w:rsid w:val="00645403"/>
    <w:rsid w:val="00645478"/>
    <w:rsid w:val="0064556A"/>
    <w:rsid w:val="00645612"/>
    <w:rsid w:val="0064579C"/>
    <w:rsid w:val="006458C0"/>
    <w:rsid w:val="006458D3"/>
    <w:rsid w:val="006459B4"/>
    <w:rsid w:val="00645B04"/>
    <w:rsid w:val="00645BF6"/>
    <w:rsid w:val="00645C16"/>
    <w:rsid w:val="00645C3E"/>
    <w:rsid w:val="00645C8A"/>
    <w:rsid w:val="00645CF9"/>
    <w:rsid w:val="00645D14"/>
    <w:rsid w:val="00645D2B"/>
    <w:rsid w:val="00645D81"/>
    <w:rsid w:val="00645E27"/>
    <w:rsid w:val="00645E5B"/>
    <w:rsid w:val="00645EB0"/>
    <w:rsid w:val="00645EDF"/>
    <w:rsid w:val="00646084"/>
    <w:rsid w:val="00646119"/>
    <w:rsid w:val="006461F0"/>
    <w:rsid w:val="006462AA"/>
    <w:rsid w:val="00646342"/>
    <w:rsid w:val="00646503"/>
    <w:rsid w:val="006466F1"/>
    <w:rsid w:val="006467D1"/>
    <w:rsid w:val="0064684A"/>
    <w:rsid w:val="006469A4"/>
    <w:rsid w:val="006469E6"/>
    <w:rsid w:val="00646AF6"/>
    <w:rsid w:val="00646B52"/>
    <w:rsid w:val="00646D78"/>
    <w:rsid w:val="00646E1D"/>
    <w:rsid w:val="00646FE0"/>
    <w:rsid w:val="00647144"/>
    <w:rsid w:val="00647179"/>
    <w:rsid w:val="0064726F"/>
    <w:rsid w:val="00647273"/>
    <w:rsid w:val="00647369"/>
    <w:rsid w:val="006474CA"/>
    <w:rsid w:val="0064758A"/>
    <w:rsid w:val="006477C6"/>
    <w:rsid w:val="006477D6"/>
    <w:rsid w:val="0064788A"/>
    <w:rsid w:val="00647A8C"/>
    <w:rsid w:val="00647B0F"/>
    <w:rsid w:val="00647B9E"/>
    <w:rsid w:val="00647BB4"/>
    <w:rsid w:val="00647D01"/>
    <w:rsid w:val="00647D81"/>
    <w:rsid w:val="00647DF1"/>
    <w:rsid w:val="00647E59"/>
    <w:rsid w:val="00647FBC"/>
    <w:rsid w:val="00650071"/>
    <w:rsid w:val="006500DD"/>
    <w:rsid w:val="0065011C"/>
    <w:rsid w:val="006501BC"/>
    <w:rsid w:val="006503ED"/>
    <w:rsid w:val="0065040F"/>
    <w:rsid w:val="0065068F"/>
    <w:rsid w:val="006506F2"/>
    <w:rsid w:val="006507ED"/>
    <w:rsid w:val="006508E9"/>
    <w:rsid w:val="00650907"/>
    <w:rsid w:val="0065090F"/>
    <w:rsid w:val="0065096B"/>
    <w:rsid w:val="00650A8F"/>
    <w:rsid w:val="00650B14"/>
    <w:rsid w:val="00650B34"/>
    <w:rsid w:val="00650B48"/>
    <w:rsid w:val="00650E0F"/>
    <w:rsid w:val="00650E2F"/>
    <w:rsid w:val="00650F33"/>
    <w:rsid w:val="00651012"/>
    <w:rsid w:val="0065104B"/>
    <w:rsid w:val="00651099"/>
    <w:rsid w:val="006510C9"/>
    <w:rsid w:val="00651158"/>
    <w:rsid w:val="006512A5"/>
    <w:rsid w:val="00651547"/>
    <w:rsid w:val="0065161A"/>
    <w:rsid w:val="006516AC"/>
    <w:rsid w:val="0065172B"/>
    <w:rsid w:val="00651877"/>
    <w:rsid w:val="00651963"/>
    <w:rsid w:val="006519E6"/>
    <w:rsid w:val="00651A16"/>
    <w:rsid w:val="00651C40"/>
    <w:rsid w:val="00651C91"/>
    <w:rsid w:val="00651C99"/>
    <w:rsid w:val="00651CAD"/>
    <w:rsid w:val="00651CE5"/>
    <w:rsid w:val="00651D06"/>
    <w:rsid w:val="00651D48"/>
    <w:rsid w:val="00651E0D"/>
    <w:rsid w:val="0065226E"/>
    <w:rsid w:val="006522DD"/>
    <w:rsid w:val="00652355"/>
    <w:rsid w:val="006523DC"/>
    <w:rsid w:val="0065243D"/>
    <w:rsid w:val="0065265E"/>
    <w:rsid w:val="00652669"/>
    <w:rsid w:val="00652800"/>
    <w:rsid w:val="00652928"/>
    <w:rsid w:val="006529F0"/>
    <w:rsid w:val="00652A4E"/>
    <w:rsid w:val="00652BAE"/>
    <w:rsid w:val="00652CD3"/>
    <w:rsid w:val="00652F7C"/>
    <w:rsid w:val="0065301E"/>
    <w:rsid w:val="006530F3"/>
    <w:rsid w:val="006533D9"/>
    <w:rsid w:val="0065340E"/>
    <w:rsid w:val="00653442"/>
    <w:rsid w:val="0065352F"/>
    <w:rsid w:val="00653698"/>
    <w:rsid w:val="0065371D"/>
    <w:rsid w:val="006537D2"/>
    <w:rsid w:val="006537EB"/>
    <w:rsid w:val="00653837"/>
    <w:rsid w:val="00653877"/>
    <w:rsid w:val="00653A3C"/>
    <w:rsid w:val="00653A86"/>
    <w:rsid w:val="00653AA2"/>
    <w:rsid w:val="00653B40"/>
    <w:rsid w:val="00653D5B"/>
    <w:rsid w:val="00653D83"/>
    <w:rsid w:val="00653E6B"/>
    <w:rsid w:val="00653ECD"/>
    <w:rsid w:val="00653F8B"/>
    <w:rsid w:val="006540B7"/>
    <w:rsid w:val="006540F4"/>
    <w:rsid w:val="00654239"/>
    <w:rsid w:val="0065423B"/>
    <w:rsid w:val="00654308"/>
    <w:rsid w:val="0065448D"/>
    <w:rsid w:val="00654648"/>
    <w:rsid w:val="0065468D"/>
    <w:rsid w:val="006546BA"/>
    <w:rsid w:val="00654767"/>
    <w:rsid w:val="0065481A"/>
    <w:rsid w:val="00654B18"/>
    <w:rsid w:val="00654BD7"/>
    <w:rsid w:val="00654CD4"/>
    <w:rsid w:val="00654DFA"/>
    <w:rsid w:val="00654E09"/>
    <w:rsid w:val="00654E92"/>
    <w:rsid w:val="00654E9C"/>
    <w:rsid w:val="0065534D"/>
    <w:rsid w:val="00655356"/>
    <w:rsid w:val="0065537A"/>
    <w:rsid w:val="00655388"/>
    <w:rsid w:val="00655439"/>
    <w:rsid w:val="00655533"/>
    <w:rsid w:val="006555B3"/>
    <w:rsid w:val="006557C5"/>
    <w:rsid w:val="006557D0"/>
    <w:rsid w:val="00655859"/>
    <w:rsid w:val="00655CCA"/>
    <w:rsid w:val="00655D42"/>
    <w:rsid w:val="00655D64"/>
    <w:rsid w:val="00655E40"/>
    <w:rsid w:val="00655EBC"/>
    <w:rsid w:val="00655EEE"/>
    <w:rsid w:val="00656199"/>
    <w:rsid w:val="0065625F"/>
    <w:rsid w:val="006562C0"/>
    <w:rsid w:val="006563C6"/>
    <w:rsid w:val="00656498"/>
    <w:rsid w:val="006564DF"/>
    <w:rsid w:val="0065669A"/>
    <w:rsid w:val="0065673C"/>
    <w:rsid w:val="006567F2"/>
    <w:rsid w:val="006568AD"/>
    <w:rsid w:val="00656968"/>
    <w:rsid w:val="00656A94"/>
    <w:rsid w:val="00656CAB"/>
    <w:rsid w:val="00656D13"/>
    <w:rsid w:val="00656E98"/>
    <w:rsid w:val="00656F3F"/>
    <w:rsid w:val="0065724E"/>
    <w:rsid w:val="006572F4"/>
    <w:rsid w:val="0065738B"/>
    <w:rsid w:val="006575CF"/>
    <w:rsid w:val="0065767C"/>
    <w:rsid w:val="006577B9"/>
    <w:rsid w:val="0065787E"/>
    <w:rsid w:val="006579AF"/>
    <w:rsid w:val="00657A39"/>
    <w:rsid w:val="00657BD2"/>
    <w:rsid w:val="00657CB1"/>
    <w:rsid w:val="00657D21"/>
    <w:rsid w:val="00657DA7"/>
    <w:rsid w:val="00657DC6"/>
    <w:rsid w:val="00657E92"/>
    <w:rsid w:val="00657FB9"/>
    <w:rsid w:val="006602A5"/>
    <w:rsid w:val="006603BC"/>
    <w:rsid w:val="006603C5"/>
    <w:rsid w:val="0066046D"/>
    <w:rsid w:val="006604CD"/>
    <w:rsid w:val="006605C8"/>
    <w:rsid w:val="0066064F"/>
    <w:rsid w:val="006606CB"/>
    <w:rsid w:val="00660928"/>
    <w:rsid w:val="006609BA"/>
    <w:rsid w:val="00660A28"/>
    <w:rsid w:val="00660C9C"/>
    <w:rsid w:val="00660D10"/>
    <w:rsid w:val="00660E0A"/>
    <w:rsid w:val="00660FAD"/>
    <w:rsid w:val="0066112E"/>
    <w:rsid w:val="006611BE"/>
    <w:rsid w:val="00661227"/>
    <w:rsid w:val="00661315"/>
    <w:rsid w:val="006613A5"/>
    <w:rsid w:val="00661413"/>
    <w:rsid w:val="006614A3"/>
    <w:rsid w:val="006614ED"/>
    <w:rsid w:val="00661719"/>
    <w:rsid w:val="00661964"/>
    <w:rsid w:val="00661AD9"/>
    <w:rsid w:val="00661AE9"/>
    <w:rsid w:val="00661BE0"/>
    <w:rsid w:val="00661D51"/>
    <w:rsid w:val="00661DF2"/>
    <w:rsid w:val="00661ED0"/>
    <w:rsid w:val="00661EE4"/>
    <w:rsid w:val="00661F34"/>
    <w:rsid w:val="00661F84"/>
    <w:rsid w:val="00661F8B"/>
    <w:rsid w:val="0066219A"/>
    <w:rsid w:val="00662271"/>
    <w:rsid w:val="00662577"/>
    <w:rsid w:val="006625F0"/>
    <w:rsid w:val="006625FF"/>
    <w:rsid w:val="0066288A"/>
    <w:rsid w:val="006628AF"/>
    <w:rsid w:val="006629EF"/>
    <w:rsid w:val="00662ACF"/>
    <w:rsid w:val="00662DD5"/>
    <w:rsid w:val="00662E8D"/>
    <w:rsid w:val="00662F65"/>
    <w:rsid w:val="00662FEF"/>
    <w:rsid w:val="00663003"/>
    <w:rsid w:val="00663070"/>
    <w:rsid w:val="0066311B"/>
    <w:rsid w:val="00663120"/>
    <w:rsid w:val="006631DB"/>
    <w:rsid w:val="006631F5"/>
    <w:rsid w:val="006632EE"/>
    <w:rsid w:val="0066347E"/>
    <w:rsid w:val="00663496"/>
    <w:rsid w:val="0066354F"/>
    <w:rsid w:val="006635BB"/>
    <w:rsid w:val="00663614"/>
    <w:rsid w:val="006636FA"/>
    <w:rsid w:val="0066386D"/>
    <w:rsid w:val="00663942"/>
    <w:rsid w:val="00663BBB"/>
    <w:rsid w:val="00663CAA"/>
    <w:rsid w:val="00663D6D"/>
    <w:rsid w:val="00663E3B"/>
    <w:rsid w:val="00663E40"/>
    <w:rsid w:val="00663F54"/>
    <w:rsid w:val="00663F9F"/>
    <w:rsid w:val="006641E3"/>
    <w:rsid w:val="006641F1"/>
    <w:rsid w:val="006642E2"/>
    <w:rsid w:val="0066439E"/>
    <w:rsid w:val="006643F2"/>
    <w:rsid w:val="0066445F"/>
    <w:rsid w:val="0066452B"/>
    <w:rsid w:val="0066452F"/>
    <w:rsid w:val="006646F6"/>
    <w:rsid w:val="0066473A"/>
    <w:rsid w:val="006647F6"/>
    <w:rsid w:val="00664873"/>
    <w:rsid w:val="006648A9"/>
    <w:rsid w:val="006648F8"/>
    <w:rsid w:val="006649AB"/>
    <w:rsid w:val="006649B1"/>
    <w:rsid w:val="006649DF"/>
    <w:rsid w:val="00664AD9"/>
    <w:rsid w:val="00664C43"/>
    <w:rsid w:val="00664CD6"/>
    <w:rsid w:val="00664CE4"/>
    <w:rsid w:val="00664D3A"/>
    <w:rsid w:val="00664E9A"/>
    <w:rsid w:val="00664F06"/>
    <w:rsid w:val="00664FFF"/>
    <w:rsid w:val="00665022"/>
    <w:rsid w:val="006650F1"/>
    <w:rsid w:val="00665215"/>
    <w:rsid w:val="0066544A"/>
    <w:rsid w:val="006654BD"/>
    <w:rsid w:val="006654CA"/>
    <w:rsid w:val="006654D6"/>
    <w:rsid w:val="0066569B"/>
    <w:rsid w:val="006656A6"/>
    <w:rsid w:val="006657E0"/>
    <w:rsid w:val="00665928"/>
    <w:rsid w:val="00665A9D"/>
    <w:rsid w:val="00665B22"/>
    <w:rsid w:val="00665B4A"/>
    <w:rsid w:val="00665B8A"/>
    <w:rsid w:val="00665BCB"/>
    <w:rsid w:val="00665CB3"/>
    <w:rsid w:val="00665CD6"/>
    <w:rsid w:val="00665DF5"/>
    <w:rsid w:val="00665E07"/>
    <w:rsid w:val="00665FFB"/>
    <w:rsid w:val="00666174"/>
    <w:rsid w:val="006662BE"/>
    <w:rsid w:val="0066637E"/>
    <w:rsid w:val="006663BB"/>
    <w:rsid w:val="00666445"/>
    <w:rsid w:val="00666572"/>
    <w:rsid w:val="00666589"/>
    <w:rsid w:val="0066662A"/>
    <w:rsid w:val="006666A3"/>
    <w:rsid w:val="0066674B"/>
    <w:rsid w:val="00666963"/>
    <w:rsid w:val="00666A93"/>
    <w:rsid w:val="00666AC7"/>
    <w:rsid w:val="00666ADD"/>
    <w:rsid w:val="00666B0E"/>
    <w:rsid w:val="00666B96"/>
    <w:rsid w:val="00666BEE"/>
    <w:rsid w:val="00666C0B"/>
    <w:rsid w:val="00666DE1"/>
    <w:rsid w:val="00666E61"/>
    <w:rsid w:val="00666EFD"/>
    <w:rsid w:val="00666F04"/>
    <w:rsid w:val="0066711B"/>
    <w:rsid w:val="0066716D"/>
    <w:rsid w:val="00667199"/>
    <w:rsid w:val="00667280"/>
    <w:rsid w:val="0066729D"/>
    <w:rsid w:val="00667407"/>
    <w:rsid w:val="0066743B"/>
    <w:rsid w:val="006674BE"/>
    <w:rsid w:val="00667638"/>
    <w:rsid w:val="0066771C"/>
    <w:rsid w:val="006677B0"/>
    <w:rsid w:val="006678D3"/>
    <w:rsid w:val="00667AE8"/>
    <w:rsid w:val="00667DC6"/>
    <w:rsid w:val="00670177"/>
    <w:rsid w:val="006701BC"/>
    <w:rsid w:val="00670374"/>
    <w:rsid w:val="00670387"/>
    <w:rsid w:val="006703CF"/>
    <w:rsid w:val="00670402"/>
    <w:rsid w:val="0067040C"/>
    <w:rsid w:val="00670624"/>
    <w:rsid w:val="006706D6"/>
    <w:rsid w:val="006706E6"/>
    <w:rsid w:val="00670783"/>
    <w:rsid w:val="006707F6"/>
    <w:rsid w:val="00670AF1"/>
    <w:rsid w:val="00670BEF"/>
    <w:rsid w:val="00670CE0"/>
    <w:rsid w:val="00670CE3"/>
    <w:rsid w:val="00670DEC"/>
    <w:rsid w:val="006710CA"/>
    <w:rsid w:val="006710E9"/>
    <w:rsid w:val="0067114B"/>
    <w:rsid w:val="0067127C"/>
    <w:rsid w:val="00671409"/>
    <w:rsid w:val="00671499"/>
    <w:rsid w:val="00671534"/>
    <w:rsid w:val="006715B7"/>
    <w:rsid w:val="0067161C"/>
    <w:rsid w:val="00671644"/>
    <w:rsid w:val="006716E6"/>
    <w:rsid w:val="00671854"/>
    <w:rsid w:val="006719D1"/>
    <w:rsid w:val="00671BA1"/>
    <w:rsid w:val="00671C49"/>
    <w:rsid w:val="00671C9D"/>
    <w:rsid w:val="00671D0B"/>
    <w:rsid w:val="00671DC0"/>
    <w:rsid w:val="00671E7C"/>
    <w:rsid w:val="00671EF0"/>
    <w:rsid w:val="006720C7"/>
    <w:rsid w:val="0067225C"/>
    <w:rsid w:val="0067227A"/>
    <w:rsid w:val="006722A5"/>
    <w:rsid w:val="00672519"/>
    <w:rsid w:val="0067252D"/>
    <w:rsid w:val="006725CE"/>
    <w:rsid w:val="006727CF"/>
    <w:rsid w:val="006727D0"/>
    <w:rsid w:val="006729DF"/>
    <w:rsid w:val="00672AA4"/>
    <w:rsid w:val="00672AD6"/>
    <w:rsid w:val="00672AFA"/>
    <w:rsid w:val="00672B0E"/>
    <w:rsid w:val="00672B27"/>
    <w:rsid w:val="00672C1E"/>
    <w:rsid w:val="00672CE4"/>
    <w:rsid w:val="00672E54"/>
    <w:rsid w:val="006732FF"/>
    <w:rsid w:val="0067338B"/>
    <w:rsid w:val="006733CA"/>
    <w:rsid w:val="00673410"/>
    <w:rsid w:val="006734B5"/>
    <w:rsid w:val="006736DD"/>
    <w:rsid w:val="006737D5"/>
    <w:rsid w:val="00673907"/>
    <w:rsid w:val="0067391C"/>
    <w:rsid w:val="00673A10"/>
    <w:rsid w:val="00673BA0"/>
    <w:rsid w:val="00673BEA"/>
    <w:rsid w:val="00673C07"/>
    <w:rsid w:val="00673C1D"/>
    <w:rsid w:val="00673EB0"/>
    <w:rsid w:val="00673F6B"/>
    <w:rsid w:val="00674017"/>
    <w:rsid w:val="006740DF"/>
    <w:rsid w:val="0067413A"/>
    <w:rsid w:val="0067414A"/>
    <w:rsid w:val="0067414C"/>
    <w:rsid w:val="006743EF"/>
    <w:rsid w:val="0067451A"/>
    <w:rsid w:val="00674563"/>
    <w:rsid w:val="0067475E"/>
    <w:rsid w:val="00674974"/>
    <w:rsid w:val="00674A08"/>
    <w:rsid w:val="00674BE4"/>
    <w:rsid w:val="00674CC7"/>
    <w:rsid w:val="00674CFF"/>
    <w:rsid w:val="00674DD0"/>
    <w:rsid w:val="00674DFC"/>
    <w:rsid w:val="00674FCE"/>
    <w:rsid w:val="00675060"/>
    <w:rsid w:val="00675183"/>
    <w:rsid w:val="00675328"/>
    <w:rsid w:val="006753F9"/>
    <w:rsid w:val="006754CF"/>
    <w:rsid w:val="00675564"/>
    <w:rsid w:val="00675591"/>
    <w:rsid w:val="0067559F"/>
    <w:rsid w:val="0067563B"/>
    <w:rsid w:val="00675801"/>
    <w:rsid w:val="0067596C"/>
    <w:rsid w:val="006759C2"/>
    <w:rsid w:val="00675D8B"/>
    <w:rsid w:val="00675EAE"/>
    <w:rsid w:val="00675F8A"/>
    <w:rsid w:val="0067601B"/>
    <w:rsid w:val="006761D9"/>
    <w:rsid w:val="0067631B"/>
    <w:rsid w:val="006766A0"/>
    <w:rsid w:val="006766F9"/>
    <w:rsid w:val="006767FB"/>
    <w:rsid w:val="00676811"/>
    <w:rsid w:val="00676831"/>
    <w:rsid w:val="00676CE9"/>
    <w:rsid w:val="00676E28"/>
    <w:rsid w:val="00676FD2"/>
    <w:rsid w:val="006770F5"/>
    <w:rsid w:val="006771AA"/>
    <w:rsid w:val="006772BC"/>
    <w:rsid w:val="006772E0"/>
    <w:rsid w:val="00677368"/>
    <w:rsid w:val="00677372"/>
    <w:rsid w:val="006773A0"/>
    <w:rsid w:val="00677498"/>
    <w:rsid w:val="00677635"/>
    <w:rsid w:val="0067763F"/>
    <w:rsid w:val="00677659"/>
    <w:rsid w:val="006776B1"/>
    <w:rsid w:val="006776EE"/>
    <w:rsid w:val="0067786C"/>
    <w:rsid w:val="006778A2"/>
    <w:rsid w:val="006778D9"/>
    <w:rsid w:val="006778E8"/>
    <w:rsid w:val="00677936"/>
    <w:rsid w:val="006779A3"/>
    <w:rsid w:val="00677A58"/>
    <w:rsid w:val="00677A9F"/>
    <w:rsid w:val="00677FD9"/>
    <w:rsid w:val="006800EB"/>
    <w:rsid w:val="0068015C"/>
    <w:rsid w:val="0068020F"/>
    <w:rsid w:val="00680260"/>
    <w:rsid w:val="0068039E"/>
    <w:rsid w:val="00680483"/>
    <w:rsid w:val="006805A2"/>
    <w:rsid w:val="00680626"/>
    <w:rsid w:val="00680748"/>
    <w:rsid w:val="006807E5"/>
    <w:rsid w:val="0068083F"/>
    <w:rsid w:val="00680A6E"/>
    <w:rsid w:val="00680A76"/>
    <w:rsid w:val="00680B40"/>
    <w:rsid w:val="00680B87"/>
    <w:rsid w:val="00680BF0"/>
    <w:rsid w:val="00680C26"/>
    <w:rsid w:val="00680C68"/>
    <w:rsid w:val="00680D1C"/>
    <w:rsid w:val="00680D8F"/>
    <w:rsid w:val="00680DD6"/>
    <w:rsid w:val="00680E75"/>
    <w:rsid w:val="00680E87"/>
    <w:rsid w:val="00680EF7"/>
    <w:rsid w:val="00681029"/>
    <w:rsid w:val="00681040"/>
    <w:rsid w:val="0068111A"/>
    <w:rsid w:val="006811F7"/>
    <w:rsid w:val="00681239"/>
    <w:rsid w:val="0068124C"/>
    <w:rsid w:val="006812C0"/>
    <w:rsid w:val="00681475"/>
    <w:rsid w:val="00681595"/>
    <w:rsid w:val="006816AA"/>
    <w:rsid w:val="00681883"/>
    <w:rsid w:val="006818C4"/>
    <w:rsid w:val="00681917"/>
    <w:rsid w:val="00681B79"/>
    <w:rsid w:val="00681BC7"/>
    <w:rsid w:val="00681CA4"/>
    <w:rsid w:val="00681CA6"/>
    <w:rsid w:val="00681D92"/>
    <w:rsid w:val="00681EBC"/>
    <w:rsid w:val="00681F38"/>
    <w:rsid w:val="00681F45"/>
    <w:rsid w:val="00681FC6"/>
    <w:rsid w:val="00682027"/>
    <w:rsid w:val="006820D0"/>
    <w:rsid w:val="00682331"/>
    <w:rsid w:val="006823FB"/>
    <w:rsid w:val="0068245A"/>
    <w:rsid w:val="006824BA"/>
    <w:rsid w:val="006824DB"/>
    <w:rsid w:val="006828D1"/>
    <w:rsid w:val="0068297B"/>
    <w:rsid w:val="00682CB0"/>
    <w:rsid w:val="00682CB3"/>
    <w:rsid w:val="00682D0B"/>
    <w:rsid w:val="00682D14"/>
    <w:rsid w:val="00683076"/>
    <w:rsid w:val="006830C4"/>
    <w:rsid w:val="0068314E"/>
    <w:rsid w:val="006831A3"/>
    <w:rsid w:val="006831F7"/>
    <w:rsid w:val="0068321F"/>
    <w:rsid w:val="006832A1"/>
    <w:rsid w:val="00683607"/>
    <w:rsid w:val="0068368C"/>
    <w:rsid w:val="006836A5"/>
    <w:rsid w:val="00683722"/>
    <w:rsid w:val="00683847"/>
    <w:rsid w:val="006838A4"/>
    <w:rsid w:val="00683963"/>
    <w:rsid w:val="006839AA"/>
    <w:rsid w:val="00683D2C"/>
    <w:rsid w:val="00683DF8"/>
    <w:rsid w:val="00683E6F"/>
    <w:rsid w:val="00683EB7"/>
    <w:rsid w:val="00683EBB"/>
    <w:rsid w:val="00683EF7"/>
    <w:rsid w:val="00683F06"/>
    <w:rsid w:val="00684014"/>
    <w:rsid w:val="006841DC"/>
    <w:rsid w:val="0068423C"/>
    <w:rsid w:val="00684261"/>
    <w:rsid w:val="006842A5"/>
    <w:rsid w:val="00684320"/>
    <w:rsid w:val="006843CF"/>
    <w:rsid w:val="00684488"/>
    <w:rsid w:val="006847BF"/>
    <w:rsid w:val="00684810"/>
    <w:rsid w:val="00684841"/>
    <w:rsid w:val="0068487F"/>
    <w:rsid w:val="00684920"/>
    <w:rsid w:val="00684938"/>
    <w:rsid w:val="00684960"/>
    <w:rsid w:val="0068496B"/>
    <w:rsid w:val="0068499F"/>
    <w:rsid w:val="00684AA7"/>
    <w:rsid w:val="00684AB4"/>
    <w:rsid w:val="00684B0F"/>
    <w:rsid w:val="00684C84"/>
    <w:rsid w:val="00684C89"/>
    <w:rsid w:val="00684CE5"/>
    <w:rsid w:val="00685021"/>
    <w:rsid w:val="006851F3"/>
    <w:rsid w:val="006852DF"/>
    <w:rsid w:val="00685506"/>
    <w:rsid w:val="0068552D"/>
    <w:rsid w:val="0068555A"/>
    <w:rsid w:val="006857F1"/>
    <w:rsid w:val="006857F6"/>
    <w:rsid w:val="006858FE"/>
    <w:rsid w:val="00685946"/>
    <w:rsid w:val="00685A30"/>
    <w:rsid w:val="00685B42"/>
    <w:rsid w:val="00685B63"/>
    <w:rsid w:val="00685B77"/>
    <w:rsid w:val="00685B7E"/>
    <w:rsid w:val="00685BBF"/>
    <w:rsid w:val="00685D24"/>
    <w:rsid w:val="00685E4B"/>
    <w:rsid w:val="00685E55"/>
    <w:rsid w:val="00685F40"/>
    <w:rsid w:val="00685F78"/>
    <w:rsid w:val="0068638F"/>
    <w:rsid w:val="00686509"/>
    <w:rsid w:val="00686534"/>
    <w:rsid w:val="00686826"/>
    <w:rsid w:val="0068696B"/>
    <w:rsid w:val="006869A6"/>
    <w:rsid w:val="00686B62"/>
    <w:rsid w:val="00686E78"/>
    <w:rsid w:val="006870D5"/>
    <w:rsid w:val="00687144"/>
    <w:rsid w:val="0068723B"/>
    <w:rsid w:val="006872BF"/>
    <w:rsid w:val="0068735A"/>
    <w:rsid w:val="006873AA"/>
    <w:rsid w:val="00687427"/>
    <w:rsid w:val="006874BA"/>
    <w:rsid w:val="006875D6"/>
    <w:rsid w:val="006877A3"/>
    <w:rsid w:val="006877AD"/>
    <w:rsid w:val="006877F0"/>
    <w:rsid w:val="00687B21"/>
    <w:rsid w:val="00687BCC"/>
    <w:rsid w:val="00687C4E"/>
    <w:rsid w:val="00687D43"/>
    <w:rsid w:val="00687ED3"/>
    <w:rsid w:val="00687FCD"/>
    <w:rsid w:val="00690016"/>
    <w:rsid w:val="00690035"/>
    <w:rsid w:val="00690252"/>
    <w:rsid w:val="006902D6"/>
    <w:rsid w:val="00690451"/>
    <w:rsid w:val="00690527"/>
    <w:rsid w:val="00690601"/>
    <w:rsid w:val="00690604"/>
    <w:rsid w:val="006906C6"/>
    <w:rsid w:val="006906FC"/>
    <w:rsid w:val="00690865"/>
    <w:rsid w:val="00690A7F"/>
    <w:rsid w:val="00690C1C"/>
    <w:rsid w:val="00690D79"/>
    <w:rsid w:val="00690DA7"/>
    <w:rsid w:val="00690E3D"/>
    <w:rsid w:val="00690EA5"/>
    <w:rsid w:val="00690F30"/>
    <w:rsid w:val="00690F36"/>
    <w:rsid w:val="00690F45"/>
    <w:rsid w:val="00690F75"/>
    <w:rsid w:val="00691052"/>
    <w:rsid w:val="00691059"/>
    <w:rsid w:val="00691147"/>
    <w:rsid w:val="006911F8"/>
    <w:rsid w:val="00691290"/>
    <w:rsid w:val="006912EC"/>
    <w:rsid w:val="006912FA"/>
    <w:rsid w:val="006913FD"/>
    <w:rsid w:val="006914EA"/>
    <w:rsid w:val="00691766"/>
    <w:rsid w:val="006917D7"/>
    <w:rsid w:val="0069184B"/>
    <w:rsid w:val="006918A0"/>
    <w:rsid w:val="00691DCD"/>
    <w:rsid w:val="00691E1A"/>
    <w:rsid w:val="00691F4F"/>
    <w:rsid w:val="00691F5E"/>
    <w:rsid w:val="00692077"/>
    <w:rsid w:val="006920BC"/>
    <w:rsid w:val="00692348"/>
    <w:rsid w:val="00692431"/>
    <w:rsid w:val="006924EF"/>
    <w:rsid w:val="0069276A"/>
    <w:rsid w:val="006928B9"/>
    <w:rsid w:val="006928DD"/>
    <w:rsid w:val="006928EA"/>
    <w:rsid w:val="00692918"/>
    <w:rsid w:val="00692A40"/>
    <w:rsid w:val="00692C63"/>
    <w:rsid w:val="00692C92"/>
    <w:rsid w:val="00692D4D"/>
    <w:rsid w:val="00692E73"/>
    <w:rsid w:val="00692ECC"/>
    <w:rsid w:val="006932C4"/>
    <w:rsid w:val="006932FB"/>
    <w:rsid w:val="0069337A"/>
    <w:rsid w:val="006933A7"/>
    <w:rsid w:val="006933D7"/>
    <w:rsid w:val="0069353F"/>
    <w:rsid w:val="0069363F"/>
    <w:rsid w:val="00693666"/>
    <w:rsid w:val="006937D7"/>
    <w:rsid w:val="0069384E"/>
    <w:rsid w:val="00693886"/>
    <w:rsid w:val="00693977"/>
    <w:rsid w:val="00693B85"/>
    <w:rsid w:val="00693D06"/>
    <w:rsid w:val="00693DC2"/>
    <w:rsid w:val="00693E30"/>
    <w:rsid w:val="00693E61"/>
    <w:rsid w:val="00693EC4"/>
    <w:rsid w:val="00693F77"/>
    <w:rsid w:val="006940EE"/>
    <w:rsid w:val="006941F4"/>
    <w:rsid w:val="00694215"/>
    <w:rsid w:val="006942CF"/>
    <w:rsid w:val="0069430C"/>
    <w:rsid w:val="00694354"/>
    <w:rsid w:val="006943A3"/>
    <w:rsid w:val="00694488"/>
    <w:rsid w:val="006944CE"/>
    <w:rsid w:val="0069454C"/>
    <w:rsid w:val="006945AD"/>
    <w:rsid w:val="006945C8"/>
    <w:rsid w:val="00694639"/>
    <w:rsid w:val="00694665"/>
    <w:rsid w:val="00694746"/>
    <w:rsid w:val="006948BF"/>
    <w:rsid w:val="006949A8"/>
    <w:rsid w:val="006949C5"/>
    <w:rsid w:val="00694B5B"/>
    <w:rsid w:val="00694E1A"/>
    <w:rsid w:val="00694E85"/>
    <w:rsid w:val="00694F86"/>
    <w:rsid w:val="00695053"/>
    <w:rsid w:val="006950CC"/>
    <w:rsid w:val="006950F5"/>
    <w:rsid w:val="006951A0"/>
    <w:rsid w:val="00695243"/>
    <w:rsid w:val="00695262"/>
    <w:rsid w:val="00695326"/>
    <w:rsid w:val="00695397"/>
    <w:rsid w:val="00695543"/>
    <w:rsid w:val="006955EB"/>
    <w:rsid w:val="006956C0"/>
    <w:rsid w:val="006956E5"/>
    <w:rsid w:val="00695863"/>
    <w:rsid w:val="006958BA"/>
    <w:rsid w:val="00695A1E"/>
    <w:rsid w:val="00695A81"/>
    <w:rsid w:val="00695B8F"/>
    <w:rsid w:val="00695BB2"/>
    <w:rsid w:val="00695C33"/>
    <w:rsid w:val="00695C9B"/>
    <w:rsid w:val="00695EA9"/>
    <w:rsid w:val="00695ED3"/>
    <w:rsid w:val="00695F6C"/>
    <w:rsid w:val="00696011"/>
    <w:rsid w:val="00696200"/>
    <w:rsid w:val="0069621C"/>
    <w:rsid w:val="00696508"/>
    <w:rsid w:val="0069654C"/>
    <w:rsid w:val="0069668A"/>
    <w:rsid w:val="00696758"/>
    <w:rsid w:val="0069685C"/>
    <w:rsid w:val="006968FB"/>
    <w:rsid w:val="00696A54"/>
    <w:rsid w:val="00696C01"/>
    <w:rsid w:val="00696DB1"/>
    <w:rsid w:val="00696DEA"/>
    <w:rsid w:val="00696E83"/>
    <w:rsid w:val="00696F16"/>
    <w:rsid w:val="00696F30"/>
    <w:rsid w:val="00696FB7"/>
    <w:rsid w:val="00696FCE"/>
    <w:rsid w:val="00697002"/>
    <w:rsid w:val="0069703E"/>
    <w:rsid w:val="006970FF"/>
    <w:rsid w:val="00697250"/>
    <w:rsid w:val="00697252"/>
    <w:rsid w:val="00697295"/>
    <w:rsid w:val="00697395"/>
    <w:rsid w:val="0069739F"/>
    <w:rsid w:val="006976E3"/>
    <w:rsid w:val="00697928"/>
    <w:rsid w:val="0069795D"/>
    <w:rsid w:val="006979B4"/>
    <w:rsid w:val="00697A0D"/>
    <w:rsid w:val="00697ADA"/>
    <w:rsid w:val="00697B77"/>
    <w:rsid w:val="00697E12"/>
    <w:rsid w:val="00697EEB"/>
    <w:rsid w:val="00697F35"/>
    <w:rsid w:val="00697FC7"/>
    <w:rsid w:val="0069E64B"/>
    <w:rsid w:val="006A00DD"/>
    <w:rsid w:val="006A0125"/>
    <w:rsid w:val="006A0192"/>
    <w:rsid w:val="006A01E7"/>
    <w:rsid w:val="006A05B9"/>
    <w:rsid w:val="006A05C6"/>
    <w:rsid w:val="006A05DA"/>
    <w:rsid w:val="006A0663"/>
    <w:rsid w:val="006A067B"/>
    <w:rsid w:val="006A0818"/>
    <w:rsid w:val="006A0A3F"/>
    <w:rsid w:val="006A0ACF"/>
    <w:rsid w:val="006A0D3A"/>
    <w:rsid w:val="006A109B"/>
    <w:rsid w:val="006A12A0"/>
    <w:rsid w:val="006A1361"/>
    <w:rsid w:val="006A1400"/>
    <w:rsid w:val="006A15AA"/>
    <w:rsid w:val="006A1688"/>
    <w:rsid w:val="006A168A"/>
    <w:rsid w:val="006A189C"/>
    <w:rsid w:val="006A18B9"/>
    <w:rsid w:val="006A18C1"/>
    <w:rsid w:val="006A18E6"/>
    <w:rsid w:val="006A1913"/>
    <w:rsid w:val="006A192A"/>
    <w:rsid w:val="006A194E"/>
    <w:rsid w:val="006A1980"/>
    <w:rsid w:val="006A1989"/>
    <w:rsid w:val="006A1AA2"/>
    <w:rsid w:val="006A1B18"/>
    <w:rsid w:val="006A1B6A"/>
    <w:rsid w:val="006A1BB1"/>
    <w:rsid w:val="006A1C7D"/>
    <w:rsid w:val="006A1D47"/>
    <w:rsid w:val="006A1D7E"/>
    <w:rsid w:val="006A1DF1"/>
    <w:rsid w:val="006A1DF8"/>
    <w:rsid w:val="006A1E54"/>
    <w:rsid w:val="006A1F48"/>
    <w:rsid w:val="006A233D"/>
    <w:rsid w:val="006A242E"/>
    <w:rsid w:val="006A247E"/>
    <w:rsid w:val="006A25BB"/>
    <w:rsid w:val="006A278D"/>
    <w:rsid w:val="006A27FE"/>
    <w:rsid w:val="006A292B"/>
    <w:rsid w:val="006A292F"/>
    <w:rsid w:val="006A294F"/>
    <w:rsid w:val="006A2A02"/>
    <w:rsid w:val="006A2B94"/>
    <w:rsid w:val="006A2D46"/>
    <w:rsid w:val="006A2D9A"/>
    <w:rsid w:val="006A2E7F"/>
    <w:rsid w:val="006A2F41"/>
    <w:rsid w:val="006A2F64"/>
    <w:rsid w:val="006A2FD1"/>
    <w:rsid w:val="006A2FEF"/>
    <w:rsid w:val="006A2FF5"/>
    <w:rsid w:val="006A308D"/>
    <w:rsid w:val="006A30BA"/>
    <w:rsid w:val="006A3240"/>
    <w:rsid w:val="006A3256"/>
    <w:rsid w:val="006A3291"/>
    <w:rsid w:val="006A32A3"/>
    <w:rsid w:val="006A33B9"/>
    <w:rsid w:val="006A3666"/>
    <w:rsid w:val="006A36BE"/>
    <w:rsid w:val="006A3754"/>
    <w:rsid w:val="006A37AE"/>
    <w:rsid w:val="006A380D"/>
    <w:rsid w:val="006A3811"/>
    <w:rsid w:val="006A3826"/>
    <w:rsid w:val="006A393C"/>
    <w:rsid w:val="006A396D"/>
    <w:rsid w:val="006A3974"/>
    <w:rsid w:val="006A3BDC"/>
    <w:rsid w:val="006A3C3D"/>
    <w:rsid w:val="006A3EE2"/>
    <w:rsid w:val="006A410E"/>
    <w:rsid w:val="006A4233"/>
    <w:rsid w:val="006A42C3"/>
    <w:rsid w:val="006A4300"/>
    <w:rsid w:val="006A454C"/>
    <w:rsid w:val="006A457C"/>
    <w:rsid w:val="006A45B1"/>
    <w:rsid w:val="006A4776"/>
    <w:rsid w:val="006A47C4"/>
    <w:rsid w:val="006A497E"/>
    <w:rsid w:val="006A4B1B"/>
    <w:rsid w:val="006A4C07"/>
    <w:rsid w:val="006A4CB1"/>
    <w:rsid w:val="006A4E67"/>
    <w:rsid w:val="006A4E81"/>
    <w:rsid w:val="006A4F81"/>
    <w:rsid w:val="006A503D"/>
    <w:rsid w:val="006A5065"/>
    <w:rsid w:val="006A56E6"/>
    <w:rsid w:val="006A572F"/>
    <w:rsid w:val="006A57C1"/>
    <w:rsid w:val="006A5961"/>
    <w:rsid w:val="006A5A5F"/>
    <w:rsid w:val="006A5B40"/>
    <w:rsid w:val="006A5B72"/>
    <w:rsid w:val="006A5C71"/>
    <w:rsid w:val="006A5CB2"/>
    <w:rsid w:val="006A5CC7"/>
    <w:rsid w:val="006A5CE8"/>
    <w:rsid w:val="006A5D0B"/>
    <w:rsid w:val="006A5D72"/>
    <w:rsid w:val="006A5D7A"/>
    <w:rsid w:val="006A5F34"/>
    <w:rsid w:val="006A5F69"/>
    <w:rsid w:val="006A5FF1"/>
    <w:rsid w:val="006A60A6"/>
    <w:rsid w:val="006A61D9"/>
    <w:rsid w:val="006A621F"/>
    <w:rsid w:val="006A6452"/>
    <w:rsid w:val="006A6494"/>
    <w:rsid w:val="006A64E0"/>
    <w:rsid w:val="006A6558"/>
    <w:rsid w:val="006A657E"/>
    <w:rsid w:val="006A659D"/>
    <w:rsid w:val="006A66AD"/>
    <w:rsid w:val="006A66E3"/>
    <w:rsid w:val="006A67B0"/>
    <w:rsid w:val="006A6856"/>
    <w:rsid w:val="006A6909"/>
    <w:rsid w:val="006A6962"/>
    <w:rsid w:val="006A6972"/>
    <w:rsid w:val="006A69D4"/>
    <w:rsid w:val="006A69F2"/>
    <w:rsid w:val="006A6ABD"/>
    <w:rsid w:val="006A6ACC"/>
    <w:rsid w:val="006A6B32"/>
    <w:rsid w:val="006A6C00"/>
    <w:rsid w:val="006A6C39"/>
    <w:rsid w:val="006A6C94"/>
    <w:rsid w:val="006A6D37"/>
    <w:rsid w:val="006A6EA0"/>
    <w:rsid w:val="006A6F59"/>
    <w:rsid w:val="006A72A4"/>
    <w:rsid w:val="006A72CA"/>
    <w:rsid w:val="006A7414"/>
    <w:rsid w:val="006A7438"/>
    <w:rsid w:val="006A756A"/>
    <w:rsid w:val="006A75CC"/>
    <w:rsid w:val="006A75E3"/>
    <w:rsid w:val="006A76C8"/>
    <w:rsid w:val="006A783F"/>
    <w:rsid w:val="006A785E"/>
    <w:rsid w:val="006A786D"/>
    <w:rsid w:val="006A79B9"/>
    <w:rsid w:val="006A79CB"/>
    <w:rsid w:val="006A79D2"/>
    <w:rsid w:val="006A7BB1"/>
    <w:rsid w:val="006A7D78"/>
    <w:rsid w:val="006A7DD5"/>
    <w:rsid w:val="006A7E34"/>
    <w:rsid w:val="006A7F74"/>
    <w:rsid w:val="006B000B"/>
    <w:rsid w:val="006B01C2"/>
    <w:rsid w:val="006B02AC"/>
    <w:rsid w:val="006B03A1"/>
    <w:rsid w:val="006B04EC"/>
    <w:rsid w:val="006B05FD"/>
    <w:rsid w:val="006B0638"/>
    <w:rsid w:val="006B0746"/>
    <w:rsid w:val="006B07A3"/>
    <w:rsid w:val="006B0822"/>
    <w:rsid w:val="006B099F"/>
    <w:rsid w:val="006B0AF6"/>
    <w:rsid w:val="006B0B20"/>
    <w:rsid w:val="006B0B33"/>
    <w:rsid w:val="006B0BFC"/>
    <w:rsid w:val="006B0D6A"/>
    <w:rsid w:val="006B0DDA"/>
    <w:rsid w:val="006B0E05"/>
    <w:rsid w:val="006B0F57"/>
    <w:rsid w:val="006B10B6"/>
    <w:rsid w:val="006B12D9"/>
    <w:rsid w:val="006B1377"/>
    <w:rsid w:val="006B13B1"/>
    <w:rsid w:val="006B1511"/>
    <w:rsid w:val="006B15C5"/>
    <w:rsid w:val="006B15FD"/>
    <w:rsid w:val="006B161E"/>
    <w:rsid w:val="006B16CE"/>
    <w:rsid w:val="006B16DC"/>
    <w:rsid w:val="006B17EB"/>
    <w:rsid w:val="006B183C"/>
    <w:rsid w:val="006B1945"/>
    <w:rsid w:val="006B19FF"/>
    <w:rsid w:val="006B1A4F"/>
    <w:rsid w:val="006B1A74"/>
    <w:rsid w:val="006B1B91"/>
    <w:rsid w:val="006B1D04"/>
    <w:rsid w:val="006B1D23"/>
    <w:rsid w:val="006B1D3C"/>
    <w:rsid w:val="006B1E87"/>
    <w:rsid w:val="006B1FD2"/>
    <w:rsid w:val="006B1FE5"/>
    <w:rsid w:val="006B208F"/>
    <w:rsid w:val="006B215B"/>
    <w:rsid w:val="006B21FB"/>
    <w:rsid w:val="006B2278"/>
    <w:rsid w:val="006B22F3"/>
    <w:rsid w:val="006B2349"/>
    <w:rsid w:val="006B23A9"/>
    <w:rsid w:val="006B2421"/>
    <w:rsid w:val="006B249C"/>
    <w:rsid w:val="006B24A3"/>
    <w:rsid w:val="006B2517"/>
    <w:rsid w:val="006B26A5"/>
    <w:rsid w:val="006B270C"/>
    <w:rsid w:val="006B2726"/>
    <w:rsid w:val="006B2AB2"/>
    <w:rsid w:val="006B2BD1"/>
    <w:rsid w:val="006B2CA3"/>
    <w:rsid w:val="006B2E24"/>
    <w:rsid w:val="006B2ED8"/>
    <w:rsid w:val="006B2F86"/>
    <w:rsid w:val="006B2FB5"/>
    <w:rsid w:val="006B30AF"/>
    <w:rsid w:val="006B3136"/>
    <w:rsid w:val="006B32AD"/>
    <w:rsid w:val="006B34B2"/>
    <w:rsid w:val="006B354B"/>
    <w:rsid w:val="006B3574"/>
    <w:rsid w:val="006B35C8"/>
    <w:rsid w:val="006B37B8"/>
    <w:rsid w:val="006B3863"/>
    <w:rsid w:val="006B3914"/>
    <w:rsid w:val="006B3923"/>
    <w:rsid w:val="006B3A3F"/>
    <w:rsid w:val="006B3B25"/>
    <w:rsid w:val="006B3BDE"/>
    <w:rsid w:val="006B3BEF"/>
    <w:rsid w:val="006B3C5A"/>
    <w:rsid w:val="006B3CCF"/>
    <w:rsid w:val="006B3D39"/>
    <w:rsid w:val="006B3E74"/>
    <w:rsid w:val="006B3EFC"/>
    <w:rsid w:val="006B4016"/>
    <w:rsid w:val="006B41D8"/>
    <w:rsid w:val="006B426D"/>
    <w:rsid w:val="006B4362"/>
    <w:rsid w:val="006B43B9"/>
    <w:rsid w:val="006B43E9"/>
    <w:rsid w:val="006B4406"/>
    <w:rsid w:val="006B4717"/>
    <w:rsid w:val="006B49F7"/>
    <w:rsid w:val="006B4A28"/>
    <w:rsid w:val="006B4A4F"/>
    <w:rsid w:val="006B4CA1"/>
    <w:rsid w:val="006B4CD1"/>
    <w:rsid w:val="006B4EE4"/>
    <w:rsid w:val="006B4F57"/>
    <w:rsid w:val="006B4F7E"/>
    <w:rsid w:val="006B504A"/>
    <w:rsid w:val="006B5071"/>
    <w:rsid w:val="006B50B1"/>
    <w:rsid w:val="006B51AA"/>
    <w:rsid w:val="006B52C9"/>
    <w:rsid w:val="006B539C"/>
    <w:rsid w:val="006B55B4"/>
    <w:rsid w:val="006B55D6"/>
    <w:rsid w:val="006B55F8"/>
    <w:rsid w:val="006B5684"/>
    <w:rsid w:val="006B56AC"/>
    <w:rsid w:val="006B5773"/>
    <w:rsid w:val="006B57B2"/>
    <w:rsid w:val="006B5942"/>
    <w:rsid w:val="006B5BA1"/>
    <w:rsid w:val="006B5C24"/>
    <w:rsid w:val="006B5D4E"/>
    <w:rsid w:val="006B5D91"/>
    <w:rsid w:val="006B5EDE"/>
    <w:rsid w:val="006B5FE1"/>
    <w:rsid w:val="006B6109"/>
    <w:rsid w:val="006B6139"/>
    <w:rsid w:val="006B620E"/>
    <w:rsid w:val="006B63BA"/>
    <w:rsid w:val="006B63D2"/>
    <w:rsid w:val="006B6611"/>
    <w:rsid w:val="006B6851"/>
    <w:rsid w:val="006B6918"/>
    <w:rsid w:val="006B697E"/>
    <w:rsid w:val="006B6C48"/>
    <w:rsid w:val="006B6CFA"/>
    <w:rsid w:val="006B6D91"/>
    <w:rsid w:val="006B6FBC"/>
    <w:rsid w:val="006B6FF4"/>
    <w:rsid w:val="006B7058"/>
    <w:rsid w:val="006B7114"/>
    <w:rsid w:val="006B71D9"/>
    <w:rsid w:val="006B7222"/>
    <w:rsid w:val="006B73DE"/>
    <w:rsid w:val="006B7425"/>
    <w:rsid w:val="006B7542"/>
    <w:rsid w:val="006B755A"/>
    <w:rsid w:val="006B758C"/>
    <w:rsid w:val="006B75B1"/>
    <w:rsid w:val="006B7694"/>
    <w:rsid w:val="006B76C3"/>
    <w:rsid w:val="006B76C5"/>
    <w:rsid w:val="006B77BF"/>
    <w:rsid w:val="006B7869"/>
    <w:rsid w:val="006B78FE"/>
    <w:rsid w:val="006B7914"/>
    <w:rsid w:val="006B79EE"/>
    <w:rsid w:val="006B7A2C"/>
    <w:rsid w:val="006B7A8B"/>
    <w:rsid w:val="006B7B13"/>
    <w:rsid w:val="006B7CAF"/>
    <w:rsid w:val="006B7DE3"/>
    <w:rsid w:val="006B7E79"/>
    <w:rsid w:val="006B7EFF"/>
    <w:rsid w:val="006B7F31"/>
    <w:rsid w:val="006C0140"/>
    <w:rsid w:val="006C0356"/>
    <w:rsid w:val="006C03F1"/>
    <w:rsid w:val="006C0448"/>
    <w:rsid w:val="006C0484"/>
    <w:rsid w:val="006C0624"/>
    <w:rsid w:val="006C0664"/>
    <w:rsid w:val="006C077C"/>
    <w:rsid w:val="006C0A06"/>
    <w:rsid w:val="006C0B1D"/>
    <w:rsid w:val="006C0B91"/>
    <w:rsid w:val="006C0C13"/>
    <w:rsid w:val="006C0C93"/>
    <w:rsid w:val="006C0CE1"/>
    <w:rsid w:val="006C0EAA"/>
    <w:rsid w:val="006C0EDC"/>
    <w:rsid w:val="006C0FF8"/>
    <w:rsid w:val="006C109B"/>
    <w:rsid w:val="006C111C"/>
    <w:rsid w:val="006C1240"/>
    <w:rsid w:val="006C12DB"/>
    <w:rsid w:val="006C134A"/>
    <w:rsid w:val="006C149B"/>
    <w:rsid w:val="006C14A3"/>
    <w:rsid w:val="006C1670"/>
    <w:rsid w:val="006C16B4"/>
    <w:rsid w:val="006C180F"/>
    <w:rsid w:val="006C187E"/>
    <w:rsid w:val="006C1A78"/>
    <w:rsid w:val="006C1AE6"/>
    <w:rsid w:val="006C1C79"/>
    <w:rsid w:val="006C1D60"/>
    <w:rsid w:val="006C1F46"/>
    <w:rsid w:val="006C201B"/>
    <w:rsid w:val="006C202E"/>
    <w:rsid w:val="006C213E"/>
    <w:rsid w:val="006C215A"/>
    <w:rsid w:val="006C2180"/>
    <w:rsid w:val="006C2271"/>
    <w:rsid w:val="006C252B"/>
    <w:rsid w:val="006C2635"/>
    <w:rsid w:val="006C272A"/>
    <w:rsid w:val="006C284B"/>
    <w:rsid w:val="006C29EF"/>
    <w:rsid w:val="006C2B44"/>
    <w:rsid w:val="006C2C2F"/>
    <w:rsid w:val="006C2D3E"/>
    <w:rsid w:val="006C2EDF"/>
    <w:rsid w:val="006C2F68"/>
    <w:rsid w:val="006C2F7A"/>
    <w:rsid w:val="006C2F8B"/>
    <w:rsid w:val="006C2FA4"/>
    <w:rsid w:val="006C3003"/>
    <w:rsid w:val="006C3022"/>
    <w:rsid w:val="006C302E"/>
    <w:rsid w:val="006C30FC"/>
    <w:rsid w:val="006C31AD"/>
    <w:rsid w:val="006C3394"/>
    <w:rsid w:val="006C33D6"/>
    <w:rsid w:val="006C33D9"/>
    <w:rsid w:val="006C3444"/>
    <w:rsid w:val="006C3A0D"/>
    <w:rsid w:val="006C3A4B"/>
    <w:rsid w:val="006C3AAA"/>
    <w:rsid w:val="006C3B51"/>
    <w:rsid w:val="006C3B6D"/>
    <w:rsid w:val="006C3C07"/>
    <w:rsid w:val="006C3C53"/>
    <w:rsid w:val="006C3CAB"/>
    <w:rsid w:val="006C3DF2"/>
    <w:rsid w:val="006C3E47"/>
    <w:rsid w:val="006C3F8D"/>
    <w:rsid w:val="006C4035"/>
    <w:rsid w:val="006C4214"/>
    <w:rsid w:val="006C421A"/>
    <w:rsid w:val="006C438C"/>
    <w:rsid w:val="006C43AB"/>
    <w:rsid w:val="006C44F6"/>
    <w:rsid w:val="006C450D"/>
    <w:rsid w:val="006C451A"/>
    <w:rsid w:val="006C45A1"/>
    <w:rsid w:val="006C4605"/>
    <w:rsid w:val="006C4686"/>
    <w:rsid w:val="006C4934"/>
    <w:rsid w:val="006C49EB"/>
    <w:rsid w:val="006C4A6B"/>
    <w:rsid w:val="006C4E27"/>
    <w:rsid w:val="006C4E46"/>
    <w:rsid w:val="006C4ECF"/>
    <w:rsid w:val="006C4EE0"/>
    <w:rsid w:val="006C4FEC"/>
    <w:rsid w:val="006C4FF9"/>
    <w:rsid w:val="006C5007"/>
    <w:rsid w:val="006C5062"/>
    <w:rsid w:val="006C55A1"/>
    <w:rsid w:val="006C57A6"/>
    <w:rsid w:val="006C5890"/>
    <w:rsid w:val="006C58A0"/>
    <w:rsid w:val="006C59DF"/>
    <w:rsid w:val="006C5A57"/>
    <w:rsid w:val="006C5B73"/>
    <w:rsid w:val="006C5B99"/>
    <w:rsid w:val="006C5C89"/>
    <w:rsid w:val="006C5DC5"/>
    <w:rsid w:val="006C5DFD"/>
    <w:rsid w:val="006C5E0B"/>
    <w:rsid w:val="006C6115"/>
    <w:rsid w:val="006C6244"/>
    <w:rsid w:val="006C6276"/>
    <w:rsid w:val="006C62D8"/>
    <w:rsid w:val="006C6368"/>
    <w:rsid w:val="006C63D3"/>
    <w:rsid w:val="006C6411"/>
    <w:rsid w:val="006C65D7"/>
    <w:rsid w:val="006C6646"/>
    <w:rsid w:val="006C6717"/>
    <w:rsid w:val="006C6814"/>
    <w:rsid w:val="006C6952"/>
    <w:rsid w:val="006C69E4"/>
    <w:rsid w:val="006C6A82"/>
    <w:rsid w:val="006C6AB5"/>
    <w:rsid w:val="006C6C59"/>
    <w:rsid w:val="006C6D54"/>
    <w:rsid w:val="006C723D"/>
    <w:rsid w:val="006C72F8"/>
    <w:rsid w:val="006C734F"/>
    <w:rsid w:val="006C74B6"/>
    <w:rsid w:val="006C74B9"/>
    <w:rsid w:val="006C74D8"/>
    <w:rsid w:val="006C7536"/>
    <w:rsid w:val="006C75D2"/>
    <w:rsid w:val="006C7716"/>
    <w:rsid w:val="006C771C"/>
    <w:rsid w:val="006C77D7"/>
    <w:rsid w:val="006C787B"/>
    <w:rsid w:val="006C79F3"/>
    <w:rsid w:val="006C7BC0"/>
    <w:rsid w:val="006C7C68"/>
    <w:rsid w:val="006C7DA3"/>
    <w:rsid w:val="006C7EAB"/>
    <w:rsid w:val="006D00EA"/>
    <w:rsid w:val="006D0303"/>
    <w:rsid w:val="006D0393"/>
    <w:rsid w:val="006D03FD"/>
    <w:rsid w:val="006D040C"/>
    <w:rsid w:val="006D058B"/>
    <w:rsid w:val="006D05D1"/>
    <w:rsid w:val="006D07C2"/>
    <w:rsid w:val="006D0889"/>
    <w:rsid w:val="006D0980"/>
    <w:rsid w:val="006D0A6B"/>
    <w:rsid w:val="006D0B90"/>
    <w:rsid w:val="006D0D40"/>
    <w:rsid w:val="006D0E98"/>
    <w:rsid w:val="006D0EAA"/>
    <w:rsid w:val="006D0ED6"/>
    <w:rsid w:val="006D0F41"/>
    <w:rsid w:val="006D0FA5"/>
    <w:rsid w:val="006D13EA"/>
    <w:rsid w:val="006D1416"/>
    <w:rsid w:val="006D155E"/>
    <w:rsid w:val="006D162D"/>
    <w:rsid w:val="006D1630"/>
    <w:rsid w:val="006D1646"/>
    <w:rsid w:val="006D16A1"/>
    <w:rsid w:val="006D187A"/>
    <w:rsid w:val="006D1925"/>
    <w:rsid w:val="006D193A"/>
    <w:rsid w:val="006D19E8"/>
    <w:rsid w:val="006D1A1E"/>
    <w:rsid w:val="006D1B2D"/>
    <w:rsid w:val="006D1BF8"/>
    <w:rsid w:val="006D1CA6"/>
    <w:rsid w:val="006D1D36"/>
    <w:rsid w:val="006D1DDC"/>
    <w:rsid w:val="006D1E80"/>
    <w:rsid w:val="006D1EC0"/>
    <w:rsid w:val="006D1ECD"/>
    <w:rsid w:val="006D1FF5"/>
    <w:rsid w:val="006D215E"/>
    <w:rsid w:val="006D21B7"/>
    <w:rsid w:val="006D2274"/>
    <w:rsid w:val="006D22DB"/>
    <w:rsid w:val="006D249B"/>
    <w:rsid w:val="006D2592"/>
    <w:rsid w:val="006D269E"/>
    <w:rsid w:val="006D27B4"/>
    <w:rsid w:val="006D2927"/>
    <w:rsid w:val="006D29B2"/>
    <w:rsid w:val="006D2B8F"/>
    <w:rsid w:val="006D2B9D"/>
    <w:rsid w:val="006D2E1F"/>
    <w:rsid w:val="006D30C9"/>
    <w:rsid w:val="006D3135"/>
    <w:rsid w:val="006D329A"/>
    <w:rsid w:val="006D32DF"/>
    <w:rsid w:val="006D33B0"/>
    <w:rsid w:val="006D3581"/>
    <w:rsid w:val="006D36D8"/>
    <w:rsid w:val="006D36EE"/>
    <w:rsid w:val="006D37C1"/>
    <w:rsid w:val="006D389B"/>
    <w:rsid w:val="006D3A05"/>
    <w:rsid w:val="006D3BC1"/>
    <w:rsid w:val="006D3D9E"/>
    <w:rsid w:val="006D3E4B"/>
    <w:rsid w:val="006D408F"/>
    <w:rsid w:val="006D414A"/>
    <w:rsid w:val="006D416C"/>
    <w:rsid w:val="006D41F0"/>
    <w:rsid w:val="006D4448"/>
    <w:rsid w:val="006D452C"/>
    <w:rsid w:val="006D45CF"/>
    <w:rsid w:val="006D4716"/>
    <w:rsid w:val="006D478F"/>
    <w:rsid w:val="006D4846"/>
    <w:rsid w:val="006D4925"/>
    <w:rsid w:val="006D4A0E"/>
    <w:rsid w:val="006D4A3F"/>
    <w:rsid w:val="006D4A47"/>
    <w:rsid w:val="006D4A4C"/>
    <w:rsid w:val="006D4C17"/>
    <w:rsid w:val="006D4C67"/>
    <w:rsid w:val="006D4DC6"/>
    <w:rsid w:val="006D4DDE"/>
    <w:rsid w:val="006D4E42"/>
    <w:rsid w:val="006D5026"/>
    <w:rsid w:val="006D502E"/>
    <w:rsid w:val="006D50B2"/>
    <w:rsid w:val="006D50E2"/>
    <w:rsid w:val="006D51E3"/>
    <w:rsid w:val="006D5324"/>
    <w:rsid w:val="006D53E0"/>
    <w:rsid w:val="006D555F"/>
    <w:rsid w:val="006D5567"/>
    <w:rsid w:val="006D5568"/>
    <w:rsid w:val="006D559C"/>
    <w:rsid w:val="006D5788"/>
    <w:rsid w:val="006D57BA"/>
    <w:rsid w:val="006D5867"/>
    <w:rsid w:val="006D58B1"/>
    <w:rsid w:val="006D5A6F"/>
    <w:rsid w:val="006D5A7E"/>
    <w:rsid w:val="006D5B1D"/>
    <w:rsid w:val="006D5BE2"/>
    <w:rsid w:val="006D5DD3"/>
    <w:rsid w:val="006D5EEB"/>
    <w:rsid w:val="006D5F39"/>
    <w:rsid w:val="006D5F60"/>
    <w:rsid w:val="006D5FF2"/>
    <w:rsid w:val="006D618C"/>
    <w:rsid w:val="006D6198"/>
    <w:rsid w:val="006D626E"/>
    <w:rsid w:val="006D6323"/>
    <w:rsid w:val="006D63B0"/>
    <w:rsid w:val="006D63DE"/>
    <w:rsid w:val="006D641B"/>
    <w:rsid w:val="006D648B"/>
    <w:rsid w:val="006D64A0"/>
    <w:rsid w:val="006D655F"/>
    <w:rsid w:val="006D6568"/>
    <w:rsid w:val="006D65D8"/>
    <w:rsid w:val="006D6692"/>
    <w:rsid w:val="006D670D"/>
    <w:rsid w:val="006D675E"/>
    <w:rsid w:val="006D6788"/>
    <w:rsid w:val="006D67CA"/>
    <w:rsid w:val="006D6920"/>
    <w:rsid w:val="006D69B5"/>
    <w:rsid w:val="006D69F9"/>
    <w:rsid w:val="006D6B02"/>
    <w:rsid w:val="006D6C7C"/>
    <w:rsid w:val="006D6C94"/>
    <w:rsid w:val="006D6D83"/>
    <w:rsid w:val="006D6E44"/>
    <w:rsid w:val="006D6EA9"/>
    <w:rsid w:val="006D6F3C"/>
    <w:rsid w:val="006D7034"/>
    <w:rsid w:val="006D7108"/>
    <w:rsid w:val="006D715A"/>
    <w:rsid w:val="006D728E"/>
    <w:rsid w:val="006D72B4"/>
    <w:rsid w:val="006D7336"/>
    <w:rsid w:val="006D7345"/>
    <w:rsid w:val="006D739A"/>
    <w:rsid w:val="006D7611"/>
    <w:rsid w:val="006D775F"/>
    <w:rsid w:val="006D77C6"/>
    <w:rsid w:val="006D799D"/>
    <w:rsid w:val="006D7A02"/>
    <w:rsid w:val="006D7A6D"/>
    <w:rsid w:val="006D7BC6"/>
    <w:rsid w:val="006D7CA1"/>
    <w:rsid w:val="006D7CA7"/>
    <w:rsid w:val="006D7CB1"/>
    <w:rsid w:val="006D7E28"/>
    <w:rsid w:val="006D7EE3"/>
    <w:rsid w:val="006E016D"/>
    <w:rsid w:val="006E02C4"/>
    <w:rsid w:val="006E02CE"/>
    <w:rsid w:val="006E0404"/>
    <w:rsid w:val="006E0554"/>
    <w:rsid w:val="006E0564"/>
    <w:rsid w:val="006E0747"/>
    <w:rsid w:val="006E07BD"/>
    <w:rsid w:val="006E0915"/>
    <w:rsid w:val="006E096C"/>
    <w:rsid w:val="006E0ADD"/>
    <w:rsid w:val="006E0B76"/>
    <w:rsid w:val="006E0BA7"/>
    <w:rsid w:val="006E0C89"/>
    <w:rsid w:val="006E0C95"/>
    <w:rsid w:val="006E0D2C"/>
    <w:rsid w:val="006E0E49"/>
    <w:rsid w:val="006E0F98"/>
    <w:rsid w:val="006E0FA8"/>
    <w:rsid w:val="006E0FC8"/>
    <w:rsid w:val="006E1034"/>
    <w:rsid w:val="006E1300"/>
    <w:rsid w:val="006E14BA"/>
    <w:rsid w:val="006E157E"/>
    <w:rsid w:val="006E1753"/>
    <w:rsid w:val="006E176E"/>
    <w:rsid w:val="006E17C7"/>
    <w:rsid w:val="006E17CD"/>
    <w:rsid w:val="006E17E4"/>
    <w:rsid w:val="006E1896"/>
    <w:rsid w:val="006E1938"/>
    <w:rsid w:val="006E19DB"/>
    <w:rsid w:val="006E1A9A"/>
    <w:rsid w:val="006E1B2D"/>
    <w:rsid w:val="006E1B32"/>
    <w:rsid w:val="006E1B81"/>
    <w:rsid w:val="006E1BA3"/>
    <w:rsid w:val="006E1C46"/>
    <w:rsid w:val="006E1C7A"/>
    <w:rsid w:val="006E1D1A"/>
    <w:rsid w:val="006E1DAA"/>
    <w:rsid w:val="006E1DDB"/>
    <w:rsid w:val="006E1E04"/>
    <w:rsid w:val="006E1ED5"/>
    <w:rsid w:val="006E216B"/>
    <w:rsid w:val="006E233F"/>
    <w:rsid w:val="006E2376"/>
    <w:rsid w:val="006E23B6"/>
    <w:rsid w:val="006E2478"/>
    <w:rsid w:val="006E25AB"/>
    <w:rsid w:val="006E27FE"/>
    <w:rsid w:val="006E284E"/>
    <w:rsid w:val="006E28FE"/>
    <w:rsid w:val="006E2A0C"/>
    <w:rsid w:val="006E2AF4"/>
    <w:rsid w:val="006E2AFF"/>
    <w:rsid w:val="006E2BDA"/>
    <w:rsid w:val="006E2E9E"/>
    <w:rsid w:val="006E2F3F"/>
    <w:rsid w:val="006E304F"/>
    <w:rsid w:val="006E30ED"/>
    <w:rsid w:val="006E3262"/>
    <w:rsid w:val="006E33D6"/>
    <w:rsid w:val="006E35AF"/>
    <w:rsid w:val="006E36B7"/>
    <w:rsid w:val="006E3798"/>
    <w:rsid w:val="006E3863"/>
    <w:rsid w:val="006E39AE"/>
    <w:rsid w:val="006E39CF"/>
    <w:rsid w:val="006E3A0E"/>
    <w:rsid w:val="006E3A11"/>
    <w:rsid w:val="006E3A66"/>
    <w:rsid w:val="006E3A6D"/>
    <w:rsid w:val="006E40EF"/>
    <w:rsid w:val="006E41DB"/>
    <w:rsid w:val="006E429A"/>
    <w:rsid w:val="006E43F6"/>
    <w:rsid w:val="006E4436"/>
    <w:rsid w:val="006E45ED"/>
    <w:rsid w:val="006E4748"/>
    <w:rsid w:val="006E4A6D"/>
    <w:rsid w:val="006E4C95"/>
    <w:rsid w:val="006E4CAD"/>
    <w:rsid w:val="006E4DBF"/>
    <w:rsid w:val="006E4E6D"/>
    <w:rsid w:val="006E4EF6"/>
    <w:rsid w:val="006E4F24"/>
    <w:rsid w:val="006E4F4F"/>
    <w:rsid w:val="006E4F7E"/>
    <w:rsid w:val="006E503D"/>
    <w:rsid w:val="006E5048"/>
    <w:rsid w:val="006E5064"/>
    <w:rsid w:val="006E54AC"/>
    <w:rsid w:val="006E54F9"/>
    <w:rsid w:val="006E555C"/>
    <w:rsid w:val="006E5626"/>
    <w:rsid w:val="006E56E7"/>
    <w:rsid w:val="006E5817"/>
    <w:rsid w:val="006E59D8"/>
    <w:rsid w:val="006E5A3C"/>
    <w:rsid w:val="006E5A7F"/>
    <w:rsid w:val="006E5CB1"/>
    <w:rsid w:val="006E5DB8"/>
    <w:rsid w:val="006E6010"/>
    <w:rsid w:val="006E6094"/>
    <w:rsid w:val="006E61E7"/>
    <w:rsid w:val="006E6269"/>
    <w:rsid w:val="006E65DB"/>
    <w:rsid w:val="006E674C"/>
    <w:rsid w:val="006E6798"/>
    <w:rsid w:val="006E6866"/>
    <w:rsid w:val="006E6876"/>
    <w:rsid w:val="006E68AF"/>
    <w:rsid w:val="006E6A16"/>
    <w:rsid w:val="006E6A1F"/>
    <w:rsid w:val="006E6CB5"/>
    <w:rsid w:val="006E6CD6"/>
    <w:rsid w:val="006E6D9A"/>
    <w:rsid w:val="006E6F58"/>
    <w:rsid w:val="006E6FA9"/>
    <w:rsid w:val="006E6FD0"/>
    <w:rsid w:val="006E6FE0"/>
    <w:rsid w:val="006E6FE6"/>
    <w:rsid w:val="006E70A0"/>
    <w:rsid w:val="006E7138"/>
    <w:rsid w:val="006E72D0"/>
    <w:rsid w:val="006E739B"/>
    <w:rsid w:val="006E749B"/>
    <w:rsid w:val="006E7552"/>
    <w:rsid w:val="006E7607"/>
    <w:rsid w:val="006E76FA"/>
    <w:rsid w:val="006E772D"/>
    <w:rsid w:val="006E7746"/>
    <w:rsid w:val="006E77C6"/>
    <w:rsid w:val="006E7887"/>
    <w:rsid w:val="006E7915"/>
    <w:rsid w:val="006E7964"/>
    <w:rsid w:val="006E797B"/>
    <w:rsid w:val="006E79D0"/>
    <w:rsid w:val="006E7AE9"/>
    <w:rsid w:val="006E7C10"/>
    <w:rsid w:val="006E7C1D"/>
    <w:rsid w:val="006E7E03"/>
    <w:rsid w:val="006E7E42"/>
    <w:rsid w:val="006E7E53"/>
    <w:rsid w:val="006E7F70"/>
    <w:rsid w:val="006E7FB0"/>
    <w:rsid w:val="006F008E"/>
    <w:rsid w:val="006F02A8"/>
    <w:rsid w:val="006F02ED"/>
    <w:rsid w:val="006F0313"/>
    <w:rsid w:val="006F03B7"/>
    <w:rsid w:val="006F047F"/>
    <w:rsid w:val="006F04FC"/>
    <w:rsid w:val="006F05AD"/>
    <w:rsid w:val="006F0622"/>
    <w:rsid w:val="006F067F"/>
    <w:rsid w:val="006F06DF"/>
    <w:rsid w:val="006F06F2"/>
    <w:rsid w:val="006F077A"/>
    <w:rsid w:val="006F0789"/>
    <w:rsid w:val="006F0929"/>
    <w:rsid w:val="006F0A54"/>
    <w:rsid w:val="006F0A9C"/>
    <w:rsid w:val="006F0C7A"/>
    <w:rsid w:val="006F0CC0"/>
    <w:rsid w:val="006F0CEC"/>
    <w:rsid w:val="006F0D26"/>
    <w:rsid w:val="006F0D9C"/>
    <w:rsid w:val="006F0E82"/>
    <w:rsid w:val="006F10F6"/>
    <w:rsid w:val="006F124F"/>
    <w:rsid w:val="006F1389"/>
    <w:rsid w:val="006F13A9"/>
    <w:rsid w:val="006F14C0"/>
    <w:rsid w:val="006F14C5"/>
    <w:rsid w:val="006F14C8"/>
    <w:rsid w:val="006F15FD"/>
    <w:rsid w:val="006F1690"/>
    <w:rsid w:val="006F1701"/>
    <w:rsid w:val="006F1758"/>
    <w:rsid w:val="006F1859"/>
    <w:rsid w:val="006F194E"/>
    <w:rsid w:val="006F1B8E"/>
    <w:rsid w:val="006F1BDA"/>
    <w:rsid w:val="006F1C85"/>
    <w:rsid w:val="006F2209"/>
    <w:rsid w:val="006F2448"/>
    <w:rsid w:val="006F2484"/>
    <w:rsid w:val="006F24A4"/>
    <w:rsid w:val="006F24AE"/>
    <w:rsid w:val="006F25DD"/>
    <w:rsid w:val="006F266E"/>
    <w:rsid w:val="006F2701"/>
    <w:rsid w:val="006F2703"/>
    <w:rsid w:val="006F2791"/>
    <w:rsid w:val="006F27F7"/>
    <w:rsid w:val="006F2823"/>
    <w:rsid w:val="006F2853"/>
    <w:rsid w:val="006F2859"/>
    <w:rsid w:val="006F2975"/>
    <w:rsid w:val="006F29A7"/>
    <w:rsid w:val="006F2A0F"/>
    <w:rsid w:val="006F2B50"/>
    <w:rsid w:val="006F2BB7"/>
    <w:rsid w:val="006F2C54"/>
    <w:rsid w:val="006F2CE5"/>
    <w:rsid w:val="006F2E4C"/>
    <w:rsid w:val="006F2E5D"/>
    <w:rsid w:val="006F2F37"/>
    <w:rsid w:val="006F2F6F"/>
    <w:rsid w:val="006F3035"/>
    <w:rsid w:val="006F307C"/>
    <w:rsid w:val="006F3097"/>
    <w:rsid w:val="006F3185"/>
    <w:rsid w:val="006F3189"/>
    <w:rsid w:val="006F3373"/>
    <w:rsid w:val="006F34BF"/>
    <w:rsid w:val="006F35F8"/>
    <w:rsid w:val="006F376D"/>
    <w:rsid w:val="006F3775"/>
    <w:rsid w:val="006F3849"/>
    <w:rsid w:val="006F3AE2"/>
    <w:rsid w:val="006F3B0D"/>
    <w:rsid w:val="006F3B15"/>
    <w:rsid w:val="006F3D6A"/>
    <w:rsid w:val="006F3E00"/>
    <w:rsid w:val="006F3E2F"/>
    <w:rsid w:val="006F3F70"/>
    <w:rsid w:val="006F409A"/>
    <w:rsid w:val="006F414D"/>
    <w:rsid w:val="006F4206"/>
    <w:rsid w:val="006F42A0"/>
    <w:rsid w:val="006F432F"/>
    <w:rsid w:val="006F4363"/>
    <w:rsid w:val="006F4370"/>
    <w:rsid w:val="006F43DB"/>
    <w:rsid w:val="006F4446"/>
    <w:rsid w:val="006F44B7"/>
    <w:rsid w:val="006F4557"/>
    <w:rsid w:val="006F456D"/>
    <w:rsid w:val="006F4709"/>
    <w:rsid w:val="006F47BF"/>
    <w:rsid w:val="006F4826"/>
    <w:rsid w:val="006F482A"/>
    <w:rsid w:val="006F48C0"/>
    <w:rsid w:val="006F4A84"/>
    <w:rsid w:val="006F4AF4"/>
    <w:rsid w:val="006F4BF0"/>
    <w:rsid w:val="006F4C7C"/>
    <w:rsid w:val="006F4D0E"/>
    <w:rsid w:val="006F4E2E"/>
    <w:rsid w:val="006F4ECF"/>
    <w:rsid w:val="006F4F46"/>
    <w:rsid w:val="006F4F91"/>
    <w:rsid w:val="006F516B"/>
    <w:rsid w:val="006F528A"/>
    <w:rsid w:val="006F5388"/>
    <w:rsid w:val="006F53E7"/>
    <w:rsid w:val="006F543E"/>
    <w:rsid w:val="006F5573"/>
    <w:rsid w:val="006F55EB"/>
    <w:rsid w:val="006F5733"/>
    <w:rsid w:val="006F5780"/>
    <w:rsid w:val="006F5862"/>
    <w:rsid w:val="006F58ED"/>
    <w:rsid w:val="006F59C7"/>
    <w:rsid w:val="006F5CCD"/>
    <w:rsid w:val="006F5CD3"/>
    <w:rsid w:val="006F5E01"/>
    <w:rsid w:val="006F5F0D"/>
    <w:rsid w:val="006F5F14"/>
    <w:rsid w:val="006F5F20"/>
    <w:rsid w:val="006F5FDC"/>
    <w:rsid w:val="006F6029"/>
    <w:rsid w:val="006F602D"/>
    <w:rsid w:val="006F6128"/>
    <w:rsid w:val="006F62B7"/>
    <w:rsid w:val="006F62D3"/>
    <w:rsid w:val="006F6426"/>
    <w:rsid w:val="006F6563"/>
    <w:rsid w:val="006F65F0"/>
    <w:rsid w:val="006F65F3"/>
    <w:rsid w:val="006F6633"/>
    <w:rsid w:val="006F669F"/>
    <w:rsid w:val="006F68FD"/>
    <w:rsid w:val="006F6921"/>
    <w:rsid w:val="006F699D"/>
    <w:rsid w:val="006F6AB4"/>
    <w:rsid w:val="006F6AEC"/>
    <w:rsid w:val="006F6B35"/>
    <w:rsid w:val="006F6BE2"/>
    <w:rsid w:val="006F6CB2"/>
    <w:rsid w:val="006F6E2C"/>
    <w:rsid w:val="006F6E3A"/>
    <w:rsid w:val="006F6E71"/>
    <w:rsid w:val="006F6ED4"/>
    <w:rsid w:val="006F6F58"/>
    <w:rsid w:val="006F6F78"/>
    <w:rsid w:val="006F6FF5"/>
    <w:rsid w:val="006F7085"/>
    <w:rsid w:val="006F709E"/>
    <w:rsid w:val="006F735B"/>
    <w:rsid w:val="006F738D"/>
    <w:rsid w:val="006F73D8"/>
    <w:rsid w:val="006F74C3"/>
    <w:rsid w:val="006F75DE"/>
    <w:rsid w:val="006F761D"/>
    <w:rsid w:val="006F7668"/>
    <w:rsid w:val="006F76BF"/>
    <w:rsid w:val="006F7837"/>
    <w:rsid w:val="006F7928"/>
    <w:rsid w:val="006F7962"/>
    <w:rsid w:val="006F7A8A"/>
    <w:rsid w:val="006F7C3E"/>
    <w:rsid w:val="006F7CAE"/>
    <w:rsid w:val="0070011F"/>
    <w:rsid w:val="0070041B"/>
    <w:rsid w:val="00700512"/>
    <w:rsid w:val="0070053A"/>
    <w:rsid w:val="0070057A"/>
    <w:rsid w:val="00700589"/>
    <w:rsid w:val="007005A9"/>
    <w:rsid w:val="0070068F"/>
    <w:rsid w:val="007006BB"/>
    <w:rsid w:val="00700738"/>
    <w:rsid w:val="00700740"/>
    <w:rsid w:val="007007F8"/>
    <w:rsid w:val="00700878"/>
    <w:rsid w:val="00700889"/>
    <w:rsid w:val="00700896"/>
    <w:rsid w:val="007008F0"/>
    <w:rsid w:val="00700928"/>
    <w:rsid w:val="00700CE8"/>
    <w:rsid w:val="00700E43"/>
    <w:rsid w:val="00700F51"/>
    <w:rsid w:val="00701031"/>
    <w:rsid w:val="0070107B"/>
    <w:rsid w:val="007010C7"/>
    <w:rsid w:val="00701140"/>
    <w:rsid w:val="00701154"/>
    <w:rsid w:val="0070127D"/>
    <w:rsid w:val="007012B9"/>
    <w:rsid w:val="0070132A"/>
    <w:rsid w:val="007015EA"/>
    <w:rsid w:val="00701687"/>
    <w:rsid w:val="0070178C"/>
    <w:rsid w:val="0070179F"/>
    <w:rsid w:val="007017F1"/>
    <w:rsid w:val="0070194E"/>
    <w:rsid w:val="0070196C"/>
    <w:rsid w:val="00701AC6"/>
    <w:rsid w:val="00701DBF"/>
    <w:rsid w:val="00701E06"/>
    <w:rsid w:val="0070212D"/>
    <w:rsid w:val="00702257"/>
    <w:rsid w:val="00702341"/>
    <w:rsid w:val="0070244A"/>
    <w:rsid w:val="007024AE"/>
    <w:rsid w:val="00702761"/>
    <w:rsid w:val="00702780"/>
    <w:rsid w:val="00702901"/>
    <w:rsid w:val="00702941"/>
    <w:rsid w:val="00702A3F"/>
    <w:rsid w:val="00702C3A"/>
    <w:rsid w:val="00702C4A"/>
    <w:rsid w:val="00702E44"/>
    <w:rsid w:val="00702F1C"/>
    <w:rsid w:val="00702F96"/>
    <w:rsid w:val="00702F9E"/>
    <w:rsid w:val="00703051"/>
    <w:rsid w:val="00703086"/>
    <w:rsid w:val="007030D2"/>
    <w:rsid w:val="0070313E"/>
    <w:rsid w:val="00703221"/>
    <w:rsid w:val="00703291"/>
    <w:rsid w:val="00703294"/>
    <w:rsid w:val="007033D1"/>
    <w:rsid w:val="007033D3"/>
    <w:rsid w:val="007033D9"/>
    <w:rsid w:val="0070341A"/>
    <w:rsid w:val="00703548"/>
    <w:rsid w:val="00703571"/>
    <w:rsid w:val="00703587"/>
    <w:rsid w:val="007035FC"/>
    <w:rsid w:val="00703673"/>
    <w:rsid w:val="00703683"/>
    <w:rsid w:val="0070371D"/>
    <w:rsid w:val="0070385E"/>
    <w:rsid w:val="007038BD"/>
    <w:rsid w:val="007039B9"/>
    <w:rsid w:val="007039E3"/>
    <w:rsid w:val="00703A6D"/>
    <w:rsid w:val="00703BF5"/>
    <w:rsid w:val="00703C17"/>
    <w:rsid w:val="00703E8D"/>
    <w:rsid w:val="00703EA5"/>
    <w:rsid w:val="00703EC8"/>
    <w:rsid w:val="00703F64"/>
    <w:rsid w:val="007040AC"/>
    <w:rsid w:val="0070427B"/>
    <w:rsid w:val="00704499"/>
    <w:rsid w:val="0070456F"/>
    <w:rsid w:val="007046EF"/>
    <w:rsid w:val="00704840"/>
    <w:rsid w:val="0070486D"/>
    <w:rsid w:val="00704962"/>
    <w:rsid w:val="00704A91"/>
    <w:rsid w:val="00704C28"/>
    <w:rsid w:val="00704D32"/>
    <w:rsid w:val="00704D70"/>
    <w:rsid w:val="00704EF1"/>
    <w:rsid w:val="00704F6E"/>
    <w:rsid w:val="00705046"/>
    <w:rsid w:val="00705197"/>
    <w:rsid w:val="007051B4"/>
    <w:rsid w:val="007053F0"/>
    <w:rsid w:val="0070545F"/>
    <w:rsid w:val="0070550B"/>
    <w:rsid w:val="00705589"/>
    <w:rsid w:val="007056C8"/>
    <w:rsid w:val="007057BF"/>
    <w:rsid w:val="007057D9"/>
    <w:rsid w:val="007057F3"/>
    <w:rsid w:val="0070588D"/>
    <w:rsid w:val="007059D9"/>
    <w:rsid w:val="00705A58"/>
    <w:rsid w:val="00705BB7"/>
    <w:rsid w:val="00705BFD"/>
    <w:rsid w:val="00705CC6"/>
    <w:rsid w:val="00705CFC"/>
    <w:rsid w:val="00705E59"/>
    <w:rsid w:val="00705FD9"/>
    <w:rsid w:val="00706057"/>
    <w:rsid w:val="007060B2"/>
    <w:rsid w:val="0070634A"/>
    <w:rsid w:val="00706355"/>
    <w:rsid w:val="007063E0"/>
    <w:rsid w:val="007064AB"/>
    <w:rsid w:val="0070650C"/>
    <w:rsid w:val="00706520"/>
    <w:rsid w:val="007065C8"/>
    <w:rsid w:val="00706773"/>
    <w:rsid w:val="00706813"/>
    <w:rsid w:val="007069B1"/>
    <w:rsid w:val="00706A38"/>
    <w:rsid w:val="00706B3A"/>
    <w:rsid w:val="00706C70"/>
    <w:rsid w:val="00706D37"/>
    <w:rsid w:val="00706DAC"/>
    <w:rsid w:val="00706EB7"/>
    <w:rsid w:val="00706EE8"/>
    <w:rsid w:val="00706F5F"/>
    <w:rsid w:val="0070739A"/>
    <w:rsid w:val="007073A2"/>
    <w:rsid w:val="007074A6"/>
    <w:rsid w:val="007075A6"/>
    <w:rsid w:val="007075A7"/>
    <w:rsid w:val="00707627"/>
    <w:rsid w:val="00707741"/>
    <w:rsid w:val="00707889"/>
    <w:rsid w:val="007078C9"/>
    <w:rsid w:val="00707972"/>
    <w:rsid w:val="00707997"/>
    <w:rsid w:val="007079A1"/>
    <w:rsid w:val="00707A37"/>
    <w:rsid w:val="00707A63"/>
    <w:rsid w:val="00707BD4"/>
    <w:rsid w:val="00707EDA"/>
    <w:rsid w:val="0071002F"/>
    <w:rsid w:val="00710072"/>
    <w:rsid w:val="007101D3"/>
    <w:rsid w:val="0071022B"/>
    <w:rsid w:val="00710290"/>
    <w:rsid w:val="0071029B"/>
    <w:rsid w:val="00710342"/>
    <w:rsid w:val="0071039A"/>
    <w:rsid w:val="007103E8"/>
    <w:rsid w:val="00710410"/>
    <w:rsid w:val="00710528"/>
    <w:rsid w:val="0071052E"/>
    <w:rsid w:val="00710595"/>
    <w:rsid w:val="0071067F"/>
    <w:rsid w:val="007106FB"/>
    <w:rsid w:val="00710717"/>
    <w:rsid w:val="007107C6"/>
    <w:rsid w:val="00710C89"/>
    <w:rsid w:val="00710DD5"/>
    <w:rsid w:val="00710F26"/>
    <w:rsid w:val="00710FCA"/>
    <w:rsid w:val="00710FEC"/>
    <w:rsid w:val="0071100F"/>
    <w:rsid w:val="007111EE"/>
    <w:rsid w:val="007114DA"/>
    <w:rsid w:val="0071171B"/>
    <w:rsid w:val="00711762"/>
    <w:rsid w:val="007118CC"/>
    <w:rsid w:val="007118DF"/>
    <w:rsid w:val="007119DC"/>
    <w:rsid w:val="00711A37"/>
    <w:rsid w:val="00711A77"/>
    <w:rsid w:val="00711C7F"/>
    <w:rsid w:val="00711DB9"/>
    <w:rsid w:val="00711DCC"/>
    <w:rsid w:val="007120EF"/>
    <w:rsid w:val="00712154"/>
    <w:rsid w:val="007121E7"/>
    <w:rsid w:val="00712279"/>
    <w:rsid w:val="00712315"/>
    <w:rsid w:val="00712334"/>
    <w:rsid w:val="00712356"/>
    <w:rsid w:val="007123F2"/>
    <w:rsid w:val="00712451"/>
    <w:rsid w:val="0071254A"/>
    <w:rsid w:val="00712639"/>
    <w:rsid w:val="0071269A"/>
    <w:rsid w:val="00712AE6"/>
    <w:rsid w:val="00712D50"/>
    <w:rsid w:val="00712EA6"/>
    <w:rsid w:val="00712F7B"/>
    <w:rsid w:val="007130D1"/>
    <w:rsid w:val="007132CD"/>
    <w:rsid w:val="007133F4"/>
    <w:rsid w:val="007133FB"/>
    <w:rsid w:val="0071348D"/>
    <w:rsid w:val="007134A6"/>
    <w:rsid w:val="007134C2"/>
    <w:rsid w:val="007134DA"/>
    <w:rsid w:val="007136B5"/>
    <w:rsid w:val="0071373D"/>
    <w:rsid w:val="00713751"/>
    <w:rsid w:val="0071380A"/>
    <w:rsid w:val="00713822"/>
    <w:rsid w:val="007139FE"/>
    <w:rsid w:val="00713A5C"/>
    <w:rsid w:val="00713AEB"/>
    <w:rsid w:val="00713B0B"/>
    <w:rsid w:val="00713BC7"/>
    <w:rsid w:val="00713C1C"/>
    <w:rsid w:val="00713E03"/>
    <w:rsid w:val="00713FFE"/>
    <w:rsid w:val="00714001"/>
    <w:rsid w:val="00714082"/>
    <w:rsid w:val="007140B9"/>
    <w:rsid w:val="00714142"/>
    <w:rsid w:val="00714161"/>
    <w:rsid w:val="0071429A"/>
    <w:rsid w:val="00714461"/>
    <w:rsid w:val="00714683"/>
    <w:rsid w:val="007146D4"/>
    <w:rsid w:val="007146D8"/>
    <w:rsid w:val="00714723"/>
    <w:rsid w:val="00714843"/>
    <w:rsid w:val="007148E3"/>
    <w:rsid w:val="00714A01"/>
    <w:rsid w:val="00714A9B"/>
    <w:rsid w:val="00714CE4"/>
    <w:rsid w:val="00714D26"/>
    <w:rsid w:val="00714E42"/>
    <w:rsid w:val="00714F65"/>
    <w:rsid w:val="00715183"/>
    <w:rsid w:val="0071560A"/>
    <w:rsid w:val="007156C9"/>
    <w:rsid w:val="0071573E"/>
    <w:rsid w:val="00715762"/>
    <w:rsid w:val="007157CC"/>
    <w:rsid w:val="0071588D"/>
    <w:rsid w:val="0071590F"/>
    <w:rsid w:val="0071597D"/>
    <w:rsid w:val="0071598F"/>
    <w:rsid w:val="007159E6"/>
    <w:rsid w:val="00715AFA"/>
    <w:rsid w:val="00715B39"/>
    <w:rsid w:val="00715C7C"/>
    <w:rsid w:val="00715D1E"/>
    <w:rsid w:val="00715E97"/>
    <w:rsid w:val="00715F2D"/>
    <w:rsid w:val="00715F81"/>
    <w:rsid w:val="007161AC"/>
    <w:rsid w:val="007162F8"/>
    <w:rsid w:val="00716302"/>
    <w:rsid w:val="00716570"/>
    <w:rsid w:val="00716588"/>
    <w:rsid w:val="007165DE"/>
    <w:rsid w:val="007165F6"/>
    <w:rsid w:val="007166B2"/>
    <w:rsid w:val="00716767"/>
    <w:rsid w:val="0071682E"/>
    <w:rsid w:val="0071688E"/>
    <w:rsid w:val="00716920"/>
    <w:rsid w:val="0071699B"/>
    <w:rsid w:val="007169FD"/>
    <w:rsid w:val="00716A91"/>
    <w:rsid w:val="00716B45"/>
    <w:rsid w:val="00716F9F"/>
    <w:rsid w:val="007170A1"/>
    <w:rsid w:val="007170A6"/>
    <w:rsid w:val="0071718B"/>
    <w:rsid w:val="007171BC"/>
    <w:rsid w:val="007171DD"/>
    <w:rsid w:val="007171FE"/>
    <w:rsid w:val="00717249"/>
    <w:rsid w:val="00717406"/>
    <w:rsid w:val="00717434"/>
    <w:rsid w:val="0071752B"/>
    <w:rsid w:val="007175F7"/>
    <w:rsid w:val="007176AF"/>
    <w:rsid w:val="007178CD"/>
    <w:rsid w:val="007178CE"/>
    <w:rsid w:val="00717928"/>
    <w:rsid w:val="00717AA2"/>
    <w:rsid w:val="00717AC7"/>
    <w:rsid w:val="00717B2B"/>
    <w:rsid w:val="00717BE4"/>
    <w:rsid w:val="00717C75"/>
    <w:rsid w:val="00717DC8"/>
    <w:rsid w:val="00717F39"/>
    <w:rsid w:val="00717F6C"/>
    <w:rsid w:val="00720065"/>
    <w:rsid w:val="007200F0"/>
    <w:rsid w:val="00720221"/>
    <w:rsid w:val="00720263"/>
    <w:rsid w:val="00720320"/>
    <w:rsid w:val="00720393"/>
    <w:rsid w:val="007203D9"/>
    <w:rsid w:val="0072041C"/>
    <w:rsid w:val="00720747"/>
    <w:rsid w:val="007207B0"/>
    <w:rsid w:val="007207B5"/>
    <w:rsid w:val="00720825"/>
    <w:rsid w:val="007208E3"/>
    <w:rsid w:val="007208F5"/>
    <w:rsid w:val="00720B19"/>
    <w:rsid w:val="00720B85"/>
    <w:rsid w:val="00720CF5"/>
    <w:rsid w:val="00720D63"/>
    <w:rsid w:val="00721069"/>
    <w:rsid w:val="00721108"/>
    <w:rsid w:val="00721295"/>
    <w:rsid w:val="007212F6"/>
    <w:rsid w:val="007213CD"/>
    <w:rsid w:val="00721492"/>
    <w:rsid w:val="0072150C"/>
    <w:rsid w:val="00721552"/>
    <w:rsid w:val="00721567"/>
    <w:rsid w:val="00721576"/>
    <w:rsid w:val="00721618"/>
    <w:rsid w:val="0072163C"/>
    <w:rsid w:val="007217AF"/>
    <w:rsid w:val="0072182D"/>
    <w:rsid w:val="00721987"/>
    <w:rsid w:val="00721BA3"/>
    <w:rsid w:val="00721C60"/>
    <w:rsid w:val="00721F6A"/>
    <w:rsid w:val="00721F85"/>
    <w:rsid w:val="00721FAC"/>
    <w:rsid w:val="00722006"/>
    <w:rsid w:val="0072204F"/>
    <w:rsid w:val="0072207C"/>
    <w:rsid w:val="007221B7"/>
    <w:rsid w:val="00722209"/>
    <w:rsid w:val="0072226B"/>
    <w:rsid w:val="0072227B"/>
    <w:rsid w:val="007222A6"/>
    <w:rsid w:val="00722353"/>
    <w:rsid w:val="007224A8"/>
    <w:rsid w:val="0072256B"/>
    <w:rsid w:val="00722651"/>
    <w:rsid w:val="0072269D"/>
    <w:rsid w:val="00722A33"/>
    <w:rsid w:val="00722A36"/>
    <w:rsid w:val="00722A78"/>
    <w:rsid w:val="00722AF6"/>
    <w:rsid w:val="00722AF9"/>
    <w:rsid w:val="00722C3F"/>
    <w:rsid w:val="00722C7A"/>
    <w:rsid w:val="00722F59"/>
    <w:rsid w:val="007231B5"/>
    <w:rsid w:val="00723285"/>
    <w:rsid w:val="007232D0"/>
    <w:rsid w:val="007233F4"/>
    <w:rsid w:val="00723493"/>
    <w:rsid w:val="00723674"/>
    <w:rsid w:val="007236BB"/>
    <w:rsid w:val="007236DF"/>
    <w:rsid w:val="00723774"/>
    <w:rsid w:val="007237F1"/>
    <w:rsid w:val="0072380D"/>
    <w:rsid w:val="0072386A"/>
    <w:rsid w:val="007238AC"/>
    <w:rsid w:val="007238EA"/>
    <w:rsid w:val="00723A8D"/>
    <w:rsid w:val="00723AFF"/>
    <w:rsid w:val="00723C04"/>
    <w:rsid w:val="00723C14"/>
    <w:rsid w:val="00723E1A"/>
    <w:rsid w:val="00723E90"/>
    <w:rsid w:val="00724053"/>
    <w:rsid w:val="007242D6"/>
    <w:rsid w:val="00724340"/>
    <w:rsid w:val="00724384"/>
    <w:rsid w:val="00724446"/>
    <w:rsid w:val="007244B4"/>
    <w:rsid w:val="007244E0"/>
    <w:rsid w:val="00724526"/>
    <w:rsid w:val="0072453D"/>
    <w:rsid w:val="0072469A"/>
    <w:rsid w:val="0072475A"/>
    <w:rsid w:val="007247C9"/>
    <w:rsid w:val="007249BB"/>
    <w:rsid w:val="007249DA"/>
    <w:rsid w:val="00724BB2"/>
    <w:rsid w:val="00724C5E"/>
    <w:rsid w:val="00724CBD"/>
    <w:rsid w:val="00724CE0"/>
    <w:rsid w:val="00724DF4"/>
    <w:rsid w:val="00724FB8"/>
    <w:rsid w:val="0072503B"/>
    <w:rsid w:val="0072516F"/>
    <w:rsid w:val="007252AF"/>
    <w:rsid w:val="007252D4"/>
    <w:rsid w:val="00725421"/>
    <w:rsid w:val="0072552F"/>
    <w:rsid w:val="007255A9"/>
    <w:rsid w:val="00725603"/>
    <w:rsid w:val="0072563E"/>
    <w:rsid w:val="00725965"/>
    <w:rsid w:val="007259D7"/>
    <w:rsid w:val="00725BF0"/>
    <w:rsid w:val="00725C96"/>
    <w:rsid w:val="00725C9A"/>
    <w:rsid w:val="00725DF1"/>
    <w:rsid w:val="00725FC9"/>
    <w:rsid w:val="007260BB"/>
    <w:rsid w:val="0072613D"/>
    <w:rsid w:val="00726162"/>
    <w:rsid w:val="007261F5"/>
    <w:rsid w:val="0072631D"/>
    <w:rsid w:val="00726390"/>
    <w:rsid w:val="007265FC"/>
    <w:rsid w:val="00726956"/>
    <w:rsid w:val="007269FE"/>
    <w:rsid w:val="00726BEE"/>
    <w:rsid w:val="00726DE1"/>
    <w:rsid w:val="00726E47"/>
    <w:rsid w:val="00726E5E"/>
    <w:rsid w:val="00726FFA"/>
    <w:rsid w:val="00727065"/>
    <w:rsid w:val="007270FF"/>
    <w:rsid w:val="007271A3"/>
    <w:rsid w:val="007273BC"/>
    <w:rsid w:val="007273E4"/>
    <w:rsid w:val="007275AF"/>
    <w:rsid w:val="00727745"/>
    <w:rsid w:val="007277B9"/>
    <w:rsid w:val="007278D9"/>
    <w:rsid w:val="00727AE0"/>
    <w:rsid w:val="00727BCD"/>
    <w:rsid w:val="00727DF2"/>
    <w:rsid w:val="00730062"/>
    <w:rsid w:val="00730078"/>
    <w:rsid w:val="0073008E"/>
    <w:rsid w:val="00730137"/>
    <w:rsid w:val="0073014E"/>
    <w:rsid w:val="007301D1"/>
    <w:rsid w:val="007301F9"/>
    <w:rsid w:val="007302F7"/>
    <w:rsid w:val="00730533"/>
    <w:rsid w:val="0073060D"/>
    <w:rsid w:val="0073069E"/>
    <w:rsid w:val="00730712"/>
    <w:rsid w:val="00730760"/>
    <w:rsid w:val="007309D3"/>
    <w:rsid w:val="00730A58"/>
    <w:rsid w:val="00730CFC"/>
    <w:rsid w:val="00730F9F"/>
    <w:rsid w:val="0073117B"/>
    <w:rsid w:val="007311CD"/>
    <w:rsid w:val="00731234"/>
    <w:rsid w:val="00731436"/>
    <w:rsid w:val="007315E0"/>
    <w:rsid w:val="007317A8"/>
    <w:rsid w:val="007317AD"/>
    <w:rsid w:val="00731CAF"/>
    <w:rsid w:val="00731D08"/>
    <w:rsid w:val="007320C9"/>
    <w:rsid w:val="00732377"/>
    <w:rsid w:val="00732602"/>
    <w:rsid w:val="00732668"/>
    <w:rsid w:val="007326AB"/>
    <w:rsid w:val="007327F4"/>
    <w:rsid w:val="00732869"/>
    <w:rsid w:val="007329D0"/>
    <w:rsid w:val="00732A1D"/>
    <w:rsid w:val="00732AD9"/>
    <w:rsid w:val="00732B1A"/>
    <w:rsid w:val="00732C04"/>
    <w:rsid w:val="00732C29"/>
    <w:rsid w:val="00732CAA"/>
    <w:rsid w:val="00732CD4"/>
    <w:rsid w:val="00732CFF"/>
    <w:rsid w:val="00732DB8"/>
    <w:rsid w:val="00732F39"/>
    <w:rsid w:val="00732F50"/>
    <w:rsid w:val="00733022"/>
    <w:rsid w:val="0073320A"/>
    <w:rsid w:val="0073321A"/>
    <w:rsid w:val="0073362A"/>
    <w:rsid w:val="0073373A"/>
    <w:rsid w:val="00733741"/>
    <w:rsid w:val="0073396E"/>
    <w:rsid w:val="00733A1D"/>
    <w:rsid w:val="00733B08"/>
    <w:rsid w:val="00733D85"/>
    <w:rsid w:val="00733DC7"/>
    <w:rsid w:val="0073404A"/>
    <w:rsid w:val="007341D4"/>
    <w:rsid w:val="007341D9"/>
    <w:rsid w:val="0073434B"/>
    <w:rsid w:val="00734367"/>
    <w:rsid w:val="00734386"/>
    <w:rsid w:val="007343A9"/>
    <w:rsid w:val="007344E3"/>
    <w:rsid w:val="0073458D"/>
    <w:rsid w:val="0073459D"/>
    <w:rsid w:val="007345A0"/>
    <w:rsid w:val="00734697"/>
    <w:rsid w:val="007346C7"/>
    <w:rsid w:val="00734803"/>
    <w:rsid w:val="00734832"/>
    <w:rsid w:val="007349C8"/>
    <w:rsid w:val="007349FE"/>
    <w:rsid w:val="00734A55"/>
    <w:rsid w:val="00734AA2"/>
    <w:rsid w:val="00734D17"/>
    <w:rsid w:val="00734EC4"/>
    <w:rsid w:val="00734F0F"/>
    <w:rsid w:val="00734F54"/>
    <w:rsid w:val="00735051"/>
    <w:rsid w:val="007350E2"/>
    <w:rsid w:val="007351EB"/>
    <w:rsid w:val="00735655"/>
    <w:rsid w:val="0073587E"/>
    <w:rsid w:val="0073594C"/>
    <w:rsid w:val="0073598A"/>
    <w:rsid w:val="00735A4F"/>
    <w:rsid w:val="00735A8A"/>
    <w:rsid w:val="00735AC7"/>
    <w:rsid w:val="00735ACD"/>
    <w:rsid w:val="00735B93"/>
    <w:rsid w:val="00735EB6"/>
    <w:rsid w:val="00735F59"/>
    <w:rsid w:val="00736042"/>
    <w:rsid w:val="00736052"/>
    <w:rsid w:val="0073606A"/>
    <w:rsid w:val="007361A2"/>
    <w:rsid w:val="0073621E"/>
    <w:rsid w:val="00736388"/>
    <w:rsid w:val="0073639D"/>
    <w:rsid w:val="007363A5"/>
    <w:rsid w:val="007363AF"/>
    <w:rsid w:val="007363F8"/>
    <w:rsid w:val="007364DE"/>
    <w:rsid w:val="007364F5"/>
    <w:rsid w:val="007365F3"/>
    <w:rsid w:val="00736609"/>
    <w:rsid w:val="00736623"/>
    <w:rsid w:val="007367A7"/>
    <w:rsid w:val="007367AA"/>
    <w:rsid w:val="0073686F"/>
    <w:rsid w:val="00736A7D"/>
    <w:rsid w:val="00736C13"/>
    <w:rsid w:val="00736CEB"/>
    <w:rsid w:val="00736D49"/>
    <w:rsid w:val="00736E1E"/>
    <w:rsid w:val="00736F0E"/>
    <w:rsid w:val="00737002"/>
    <w:rsid w:val="0073701B"/>
    <w:rsid w:val="0073736E"/>
    <w:rsid w:val="007375DC"/>
    <w:rsid w:val="0073770A"/>
    <w:rsid w:val="00737756"/>
    <w:rsid w:val="007377E6"/>
    <w:rsid w:val="007378B2"/>
    <w:rsid w:val="00737A57"/>
    <w:rsid w:val="00737D5C"/>
    <w:rsid w:val="00737DE8"/>
    <w:rsid w:val="00737EB2"/>
    <w:rsid w:val="00737EF8"/>
    <w:rsid w:val="00737FAE"/>
    <w:rsid w:val="00738509"/>
    <w:rsid w:val="0074001C"/>
    <w:rsid w:val="0074012B"/>
    <w:rsid w:val="007401BD"/>
    <w:rsid w:val="007401C5"/>
    <w:rsid w:val="00740321"/>
    <w:rsid w:val="007403AC"/>
    <w:rsid w:val="0074070B"/>
    <w:rsid w:val="0074076F"/>
    <w:rsid w:val="00740815"/>
    <w:rsid w:val="0074082A"/>
    <w:rsid w:val="00740866"/>
    <w:rsid w:val="00740881"/>
    <w:rsid w:val="0074088E"/>
    <w:rsid w:val="007409A4"/>
    <w:rsid w:val="00740A0B"/>
    <w:rsid w:val="00740B8B"/>
    <w:rsid w:val="00740C4A"/>
    <w:rsid w:val="00740EE9"/>
    <w:rsid w:val="007412A5"/>
    <w:rsid w:val="007412C7"/>
    <w:rsid w:val="007412ED"/>
    <w:rsid w:val="00741375"/>
    <w:rsid w:val="00741424"/>
    <w:rsid w:val="0074143A"/>
    <w:rsid w:val="00741474"/>
    <w:rsid w:val="00741486"/>
    <w:rsid w:val="007414B7"/>
    <w:rsid w:val="007414BF"/>
    <w:rsid w:val="007414F0"/>
    <w:rsid w:val="00741595"/>
    <w:rsid w:val="007415E2"/>
    <w:rsid w:val="00741695"/>
    <w:rsid w:val="007417DA"/>
    <w:rsid w:val="0074186D"/>
    <w:rsid w:val="00741889"/>
    <w:rsid w:val="00741A0D"/>
    <w:rsid w:val="00741BFA"/>
    <w:rsid w:val="00741D01"/>
    <w:rsid w:val="00741D60"/>
    <w:rsid w:val="00741DC4"/>
    <w:rsid w:val="00741E46"/>
    <w:rsid w:val="00741F34"/>
    <w:rsid w:val="00741FA1"/>
    <w:rsid w:val="00741FAD"/>
    <w:rsid w:val="00742022"/>
    <w:rsid w:val="00742029"/>
    <w:rsid w:val="007421C8"/>
    <w:rsid w:val="00742205"/>
    <w:rsid w:val="00742259"/>
    <w:rsid w:val="007422B8"/>
    <w:rsid w:val="0074234F"/>
    <w:rsid w:val="007423C0"/>
    <w:rsid w:val="007424A3"/>
    <w:rsid w:val="007424D9"/>
    <w:rsid w:val="007424F3"/>
    <w:rsid w:val="00742516"/>
    <w:rsid w:val="0074259A"/>
    <w:rsid w:val="00742625"/>
    <w:rsid w:val="007426EA"/>
    <w:rsid w:val="007426FF"/>
    <w:rsid w:val="007427C8"/>
    <w:rsid w:val="007428D0"/>
    <w:rsid w:val="00742952"/>
    <w:rsid w:val="00742A79"/>
    <w:rsid w:val="00742B11"/>
    <w:rsid w:val="00742BB0"/>
    <w:rsid w:val="00742C36"/>
    <w:rsid w:val="00742C7B"/>
    <w:rsid w:val="00742CB8"/>
    <w:rsid w:val="00742CDD"/>
    <w:rsid w:val="00742D91"/>
    <w:rsid w:val="00743079"/>
    <w:rsid w:val="007431A6"/>
    <w:rsid w:val="007431A8"/>
    <w:rsid w:val="007431AE"/>
    <w:rsid w:val="0074324D"/>
    <w:rsid w:val="00743250"/>
    <w:rsid w:val="00743311"/>
    <w:rsid w:val="00743476"/>
    <w:rsid w:val="007434B4"/>
    <w:rsid w:val="007434BD"/>
    <w:rsid w:val="00743613"/>
    <w:rsid w:val="007438DD"/>
    <w:rsid w:val="007438EC"/>
    <w:rsid w:val="007438FB"/>
    <w:rsid w:val="00743909"/>
    <w:rsid w:val="007439F1"/>
    <w:rsid w:val="00743ACC"/>
    <w:rsid w:val="00743B93"/>
    <w:rsid w:val="00743C7E"/>
    <w:rsid w:val="00743CE1"/>
    <w:rsid w:val="00743E88"/>
    <w:rsid w:val="00743FD8"/>
    <w:rsid w:val="00744069"/>
    <w:rsid w:val="007440D4"/>
    <w:rsid w:val="007441AB"/>
    <w:rsid w:val="00744206"/>
    <w:rsid w:val="00744360"/>
    <w:rsid w:val="00744419"/>
    <w:rsid w:val="007445DB"/>
    <w:rsid w:val="00744603"/>
    <w:rsid w:val="00744717"/>
    <w:rsid w:val="00744949"/>
    <w:rsid w:val="0074499F"/>
    <w:rsid w:val="00744AE7"/>
    <w:rsid w:val="00744B83"/>
    <w:rsid w:val="00744BDA"/>
    <w:rsid w:val="00744BDB"/>
    <w:rsid w:val="00744C38"/>
    <w:rsid w:val="00744C77"/>
    <w:rsid w:val="00744E65"/>
    <w:rsid w:val="00745113"/>
    <w:rsid w:val="00745121"/>
    <w:rsid w:val="00745186"/>
    <w:rsid w:val="00745191"/>
    <w:rsid w:val="00745254"/>
    <w:rsid w:val="007452C1"/>
    <w:rsid w:val="007453AB"/>
    <w:rsid w:val="007453AE"/>
    <w:rsid w:val="00745515"/>
    <w:rsid w:val="0074555C"/>
    <w:rsid w:val="0074557B"/>
    <w:rsid w:val="007455FF"/>
    <w:rsid w:val="0074564D"/>
    <w:rsid w:val="0074569B"/>
    <w:rsid w:val="007456C3"/>
    <w:rsid w:val="0074581D"/>
    <w:rsid w:val="007459E7"/>
    <w:rsid w:val="00745C83"/>
    <w:rsid w:val="00745D90"/>
    <w:rsid w:val="00745EA8"/>
    <w:rsid w:val="00745FD4"/>
    <w:rsid w:val="00746010"/>
    <w:rsid w:val="00746076"/>
    <w:rsid w:val="007460B9"/>
    <w:rsid w:val="00746188"/>
    <w:rsid w:val="00746385"/>
    <w:rsid w:val="00746392"/>
    <w:rsid w:val="00746478"/>
    <w:rsid w:val="00746558"/>
    <w:rsid w:val="00746648"/>
    <w:rsid w:val="007466D6"/>
    <w:rsid w:val="00746787"/>
    <w:rsid w:val="00746815"/>
    <w:rsid w:val="0074682E"/>
    <w:rsid w:val="007468E0"/>
    <w:rsid w:val="0074693A"/>
    <w:rsid w:val="00746974"/>
    <w:rsid w:val="007469C2"/>
    <w:rsid w:val="00746B37"/>
    <w:rsid w:val="00746BD4"/>
    <w:rsid w:val="00746E3C"/>
    <w:rsid w:val="00746F74"/>
    <w:rsid w:val="00746FE8"/>
    <w:rsid w:val="00747080"/>
    <w:rsid w:val="00747150"/>
    <w:rsid w:val="007473B0"/>
    <w:rsid w:val="0074743B"/>
    <w:rsid w:val="0074777E"/>
    <w:rsid w:val="007477C5"/>
    <w:rsid w:val="00747805"/>
    <w:rsid w:val="007478E1"/>
    <w:rsid w:val="00747943"/>
    <w:rsid w:val="0074797B"/>
    <w:rsid w:val="00747C13"/>
    <w:rsid w:val="00747C47"/>
    <w:rsid w:val="00747D8A"/>
    <w:rsid w:val="00747F9F"/>
    <w:rsid w:val="00747FC0"/>
    <w:rsid w:val="00750036"/>
    <w:rsid w:val="007502CA"/>
    <w:rsid w:val="007503D5"/>
    <w:rsid w:val="00750478"/>
    <w:rsid w:val="007508D9"/>
    <w:rsid w:val="00750B0D"/>
    <w:rsid w:val="00750B92"/>
    <w:rsid w:val="00750C7D"/>
    <w:rsid w:val="00750D54"/>
    <w:rsid w:val="00750E7C"/>
    <w:rsid w:val="00750FCD"/>
    <w:rsid w:val="007510E2"/>
    <w:rsid w:val="00751107"/>
    <w:rsid w:val="00751299"/>
    <w:rsid w:val="007513AA"/>
    <w:rsid w:val="00751519"/>
    <w:rsid w:val="007515DD"/>
    <w:rsid w:val="00751649"/>
    <w:rsid w:val="007516C3"/>
    <w:rsid w:val="007517C5"/>
    <w:rsid w:val="007518E0"/>
    <w:rsid w:val="00751A52"/>
    <w:rsid w:val="00751BFE"/>
    <w:rsid w:val="00751C84"/>
    <w:rsid w:val="00751D50"/>
    <w:rsid w:val="00751DC3"/>
    <w:rsid w:val="00751DEC"/>
    <w:rsid w:val="00752028"/>
    <w:rsid w:val="007520EE"/>
    <w:rsid w:val="00752195"/>
    <w:rsid w:val="00752314"/>
    <w:rsid w:val="00752385"/>
    <w:rsid w:val="0075238E"/>
    <w:rsid w:val="0075239E"/>
    <w:rsid w:val="007523F7"/>
    <w:rsid w:val="0075241D"/>
    <w:rsid w:val="00752473"/>
    <w:rsid w:val="007526FE"/>
    <w:rsid w:val="00752705"/>
    <w:rsid w:val="007527DE"/>
    <w:rsid w:val="0075286E"/>
    <w:rsid w:val="007528DA"/>
    <w:rsid w:val="00752903"/>
    <w:rsid w:val="00752B0A"/>
    <w:rsid w:val="00752C40"/>
    <w:rsid w:val="00752EEA"/>
    <w:rsid w:val="00752F13"/>
    <w:rsid w:val="00752F59"/>
    <w:rsid w:val="00752F7C"/>
    <w:rsid w:val="0075316A"/>
    <w:rsid w:val="00753287"/>
    <w:rsid w:val="0075334D"/>
    <w:rsid w:val="0075353E"/>
    <w:rsid w:val="00753581"/>
    <w:rsid w:val="00753588"/>
    <w:rsid w:val="007537CE"/>
    <w:rsid w:val="00753809"/>
    <w:rsid w:val="00753840"/>
    <w:rsid w:val="0075392F"/>
    <w:rsid w:val="007539A4"/>
    <w:rsid w:val="00753A18"/>
    <w:rsid w:val="00753C01"/>
    <w:rsid w:val="00753C5E"/>
    <w:rsid w:val="00753C6F"/>
    <w:rsid w:val="00753C88"/>
    <w:rsid w:val="00753C8E"/>
    <w:rsid w:val="00753CFC"/>
    <w:rsid w:val="00753D96"/>
    <w:rsid w:val="00753EA1"/>
    <w:rsid w:val="0075407E"/>
    <w:rsid w:val="0075418B"/>
    <w:rsid w:val="0075420C"/>
    <w:rsid w:val="0075438D"/>
    <w:rsid w:val="007543E7"/>
    <w:rsid w:val="007544B4"/>
    <w:rsid w:val="007544C8"/>
    <w:rsid w:val="0075458A"/>
    <w:rsid w:val="00754727"/>
    <w:rsid w:val="00754794"/>
    <w:rsid w:val="00754804"/>
    <w:rsid w:val="007548E9"/>
    <w:rsid w:val="00754909"/>
    <w:rsid w:val="00754AFB"/>
    <w:rsid w:val="00754B24"/>
    <w:rsid w:val="00754B53"/>
    <w:rsid w:val="00754B6E"/>
    <w:rsid w:val="00754BEB"/>
    <w:rsid w:val="00754CE4"/>
    <w:rsid w:val="00754DCA"/>
    <w:rsid w:val="00754EA7"/>
    <w:rsid w:val="00755017"/>
    <w:rsid w:val="007550A7"/>
    <w:rsid w:val="00755402"/>
    <w:rsid w:val="00755418"/>
    <w:rsid w:val="00755426"/>
    <w:rsid w:val="0075575F"/>
    <w:rsid w:val="007558AA"/>
    <w:rsid w:val="00755983"/>
    <w:rsid w:val="00755B37"/>
    <w:rsid w:val="00755F00"/>
    <w:rsid w:val="007560E2"/>
    <w:rsid w:val="00756202"/>
    <w:rsid w:val="00756343"/>
    <w:rsid w:val="007563A3"/>
    <w:rsid w:val="00756440"/>
    <w:rsid w:val="00756518"/>
    <w:rsid w:val="007565C7"/>
    <w:rsid w:val="0075674F"/>
    <w:rsid w:val="007568A5"/>
    <w:rsid w:val="0075696D"/>
    <w:rsid w:val="00756BC3"/>
    <w:rsid w:val="00756BFE"/>
    <w:rsid w:val="00756C17"/>
    <w:rsid w:val="00756CB7"/>
    <w:rsid w:val="00756CBE"/>
    <w:rsid w:val="00756DA1"/>
    <w:rsid w:val="00756E6E"/>
    <w:rsid w:val="0075723C"/>
    <w:rsid w:val="00757262"/>
    <w:rsid w:val="007575B9"/>
    <w:rsid w:val="0075762D"/>
    <w:rsid w:val="0075782F"/>
    <w:rsid w:val="00757835"/>
    <w:rsid w:val="00757933"/>
    <w:rsid w:val="00757974"/>
    <w:rsid w:val="00757A35"/>
    <w:rsid w:val="00757A68"/>
    <w:rsid w:val="00757BF5"/>
    <w:rsid w:val="00757C55"/>
    <w:rsid w:val="00757D44"/>
    <w:rsid w:val="00757E96"/>
    <w:rsid w:val="00757E97"/>
    <w:rsid w:val="00757F14"/>
    <w:rsid w:val="00757F1E"/>
    <w:rsid w:val="007600F3"/>
    <w:rsid w:val="007603AB"/>
    <w:rsid w:val="00760563"/>
    <w:rsid w:val="0076058A"/>
    <w:rsid w:val="007606BC"/>
    <w:rsid w:val="0076079B"/>
    <w:rsid w:val="007608E3"/>
    <w:rsid w:val="007609C0"/>
    <w:rsid w:val="007609F5"/>
    <w:rsid w:val="00760B45"/>
    <w:rsid w:val="00760CB1"/>
    <w:rsid w:val="00760CF7"/>
    <w:rsid w:val="00760D2D"/>
    <w:rsid w:val="00760DD1"/>
    <w:rsid w:val="00760FBA"/>
    <w:rsid w:val="0076118E"/>
    <w:rsid w:val="007611B6"/>
    <w:rsid w:val="007613AB"/>
    <w:rsid w:val="007614D1"/>
    <w:rsid w:val="00761593"/>
    <w:rsid w:val="0076165D"/>
    <w:rsid w:val="007619CA"/>
    <w:rsid w:val="00761A87"/>
    <w:rsid w:val="00761B15"/>
    <w:rsid w:val="00761B1C"/>
    <w:rsid w:val="00761D52"/>
    <w:rsid w:val="00761E22"/>
    <w:rsid w:val="00761EA9"/>
    <w:rsid w:val="00761EC5"/>
    <w:rsid w:val="00761F6E"/>
    <w:rsid w:val="0076201C"/>
    <w:rsid w:val="007620BF"/>
    <w:rsid w:val="0076215B"/>
    <w:rsid w:val="00762167"/>
    <w:rsid w:val="0076223F"/>
    <w:rsid w:val="00762319"/>
    <w:rsid w:val="00762405"/>
    <w:rsid w:val="00762445"/>
    <w:rsid w:val="007626A1"/>
    <w:rsid w:val="007627F3"/>
    <w:rsid w:val="00762808"/>
    <w:rsid w:val="00762889"/>
    <w:rsid w:val="007629E8"/>
    <w:rsid w:val="00762A1D"/>
    <w:rsid w:val="00762A85"/>
    <w:rsid w:val="00762AB7"/>
    <w:rsid w:val="00762ADC"/>
    <w:rsid w:val="00762F82"/>
    <w:rsid w:val="00762FAB"/>
    <w:rsid w:val="00763065"/>
    <w:rsid w:val="007630DB"/>
    <w:rsid w:val="00763294"/>
    <w:rsid w:val="00763311"/>
    <w:rsid w:val="00763330"/>
    <w:rsid w:val="007633C7"/>
    <w:rsid w:val="007633F7"/>
    <w:rsid w:val="00763569"/>
    <w:rsid w:val="007635D1"/>
    <w:rsid w:val="007636D1"/>
    <w:rsid w:val="0076379A"/>
    <w:rsid w:val="007637DB"/>
    <w:rsid w:val="00763892"/>
    <w:rsid w:val="00763958"/>
    <w:rsid w:val="00763B0B"/>
    <w:rsid w:val="00763BA5"/>
    <w:rsid w:val="00763DC4"/>
    <w:rsid w:val="00763EBE"/>
    <w:rsid w:val="00763F24"/>
    <w:rsid w:val="00763FDB"/>
    <w:rsid w:val="00764106"/>
    <w:rsid w:val="00764150"/>
    <w:rsid w:val="0076416D"/>
    <w:rsid w:val="00764237"/>
    <w:rsid w:val="00764322"/>
    <w:rsid w:val="0076466E"/>
    <w:rsid w:val="0076484F"/>
    <w:rsid w:val="00764C2E"/>
    <w:rsid w:val="00764CC0"/>
    <w:rsid w:val="00764CDC"/>
    <w:rsid w:val="00764D64"/>
    <w:rsid w:val="00764DE3"/>
    <w:rsid w:val="00764E27"/>
    <w:rsid w:val="00764EEA"/>
    <w:rsid w:val="00765004"/>
    <w:rsid w:val="00765151"/>
    <w:rsid w:val="0076549A"/>
    <w:rsid w:val="00765546"/>
    <w:rsid w:val="0076567F"/>
    <w:rsid w:val="00765718"/>
    <w:rsid w:val="0076582C"/>
    <w:rsid w:val="0076587D"/>
    <w:rsid w:val="007658CE"/>
    <w:rsid w:val="007658DB"/>
    <w:rsid w:val="00765956"/>
    <w:rsid w:val="00765959"/>
    <w:rsid w:val="00765AD8"/>
    <w:rsid w:val="00765B1D"/>
    <w:rsid w:val="00765BF9"/>
    <w:rsid w:val="00765C6C"/>
    <w:rsid w:val="00765DA5"/>
    <w:rsid w:val="00765DF2"/>
    <w:rsid w:val="00765E49"/>
    <w:rsid w:val="00765EB1"/>
    <w:rsid w:val="00766137"/>
    <w:rsid w:val="00766198"/>
    <w:rsid w:val="007661CC"/>
    <w:rsid w:val="007661F7"/>
    <w:rsid w:val="00766216"/>
    <w:rsid w:val="007664B6"/>
    <w:rsid w:val="007664D4"/>
    <w:rsid w:val="007665D6"/>
    <w:rsid w:val="0076669A"/>
    <w:rsid w:val="007666F6"/>
    <w:rsid w:val="00766AB3"/>
    <w:rsid w:val="00766B19"/>
    <w:rsid w:val="00766B4F"/>
    <w:rsid w:val="00766BBE"/>
    <w:rsid w:val="00766C80"/>
    <w:rsid w:val="00766DFF"/>
    <w:rsid w:val="00766E8D"/>
    <w:rsid w:val="00766F27"/>
    <w:rsid w:val="0076711E"/>
    <w:rsid w:val="0076713B"/>
    <w:rsid w:val="007671DB"/>
    <w:rsid w:val="007671EF"/>
    <w:rsid w:val="00767203"/>
    <w:rsid w:val="00767260"/>
    <w:rsid w:val="007672BF"/>
    <w:rsid w:val="00767375"/>
    <w:rsid w:val="00767521"/>
    <w:rsid w:val="00767650"/>
    <w:rsid w:val="00767755"/>
    <w:rsid w:val="0076786F"/>
    <w:rsid w:val="00767C9F"/>
    <w:rsid w:val="00767D34"/>
    <w:rsid w:val="00767D82"/>
    <w:rsid w:val="00767DCC"/>
    <w:rsid w:val="00767FDF"/>
    <w:rsid w:val="0077005E"/>
    <w:rsid w:val="007701EC"/>
    <w:rsid w:val="00770210"/>
    <w:rsid w:val="007703C1"/>
    <w:rsid w:val="00770465"/>
    <w:rsid w:val="0077050D"/>
    <w:rsid w:val="0077069D"/>
    <w:rsid w:val="007706E5"/>
    <w:rsid w:val="00770744"/>
    <w:rsid w:val="007708E3"/>
    <w:rsid w:val="00770BA2"/>
    <w:rsid w:val="00770BF9"/>
    <w:rsid w:val="00770C54"/>
    <w:rsid w:val="00770C79"/>
    <w:rsid w:val="00770D76"/>
    <w:rsid w:val="00770E6D"/>
    <w:rsid w:val="007710B2"/>
    <w:rsid w:val="007710CA"/>
    <w:rsid w:val="007710D0"/>
    <w:rsid w:val="00771277"/>
    <w:rsid w:val="007712D0"/>
    <w:rsid w:val="00771364"/>
    <w:rsid w:val="00771423"/>
    <w:rsid w:val="00771479"/>
    <w:rsid w:val="007714F1"/>
    <w:rsid w:val="007715DF"/>
    <w:rsid w:val="00771792"/>
    <w:rsid w:val="00771B76"/>
    <w:rsid w:val="00771CDC"/>
    <w:rsid w:val="00771D1B"/>
    <w:rsid w:val="00771E55"/>
    <w:rsid w:val="00771EDA"/>
    <w:rsid w:val="007720C5"/>
    <w:rsid w:val="00772192"/>
    <w:rsid w:val="007721FF"/>
    <w:rsid w:val="00772280"/>
    <w:rsid w:val="007723D9"/>
    <w:rsid w:val="00772534"/>
    <w:rsid w:val="00772682"/>
    <w:rsid w:val="0077270E"/>
    <w:rsid w:val="007727FF"/>
    <w:rsid w:val="0077295E"/>
    <w:rsid w:val="00772971"/>
    <w:rsid w:val="007729EC"/>
    <w:rsid w:val="00772A39"/>
    <w:rsid w:val="00772AF6"/>
    <w:rsid w:val="00772AFE"/>
    <w:rsid w:val="00772D16"/>
    <w:rsid w:val="00772F68"/>
    <w:rsid w:val="00772FFD"/>
    <w:rsid w:val="007732C9"/>
    <w:rsid w:val="0077337F"/>
    <w:rsid w:val="007733B2"/>
    <w:rsid w:val="0077349F"/>
    <w:rsid w:val="007734A9"/>
    <w:rsid w:val="007735EE"/>
    <w:rsid w:val="007735F3"/>
    <w:rsid w:val="0077366B"/>
    <w:rsid w:val="007736BD"/>
    <w:rsid w:val="00773702"/>
    <w:rsid w:val="007738F3"/>
    <w:rsid w:val="007738FF"/>
    <w:rsid w:val="007739B7"/>
    <w:rsid w:val="00773A37"/>
    <w:rsid w:val="00773AEE"/>
    <w:rsid w:val="00773B2B"/>
    <w:rsid w:val="00773B8B"/>
    <w:rsid w:val="00773BFF"/>
    <w:rsid w:val="00773C90"/>
    <w:rsid w:val="00773E41"/>
    <w:rsid w:val="00773E4B"/>
    <w:rsid w:val="00773F7E"/>
    <w:rsid w:val="0077401C"/>
    <w:rsid w:val="0077406E"/>
    <w:rsid w:val="007740A5"/>
    <w:rsid w:val="007742F6"/>
    <w:rsid w:val="0077430F"/>
    <w:rsid w:val="007744A9"/>
    <w:rsid w:val="007744D3"/>
    <w:rsid w:val="007744E2"/>
    <w:rsid w:val="007744FF"/>
    <w:rsid w:val="00774B6C"/>
    <w:rsid w:val="00774BC1"/>
    <w:rsid w:val="00774BF7"/>
    <w:rsid w:val="00774CAD"/>
    <w:rsid w:val="00774CB6"/>
    <w:rsid w:val="00774EB7"/>
    <w:rsid w:val="00774F46"/>
    <w:rsid w:val="00774FCB"/>
    <w:rsid w:val="00775102"/>
    <w:rsid w:val="007752BB"/>
    <w:rsid w:val="0077533A"/>
    <w:rsid w:val="0077577A"/>
    <w:rsid w:val="0077583B"/>
    <w:rsid w:val="007759B7"/>
    <w:rsid w:val="00775B5E"/>
    <w:rsid w:val="00775B76"/>
    <w:rsid w:val="00775C67"/>
    <w:rsid w:val="00775C7E"/>
    <w:rsid w:val="00775CAE"/>
    <w:rsid w:val="00775D41"/>
    <w:rsid w:val="00775D8F"/>
    <w:rsid w:val="00775DF1"/>
    <w:rsid w:val="007760E6"/>
    <w:rsid w:val="00776104"/>
    <w:rsid w:val="0077634A"/>
    <w:rsid w:val="00776376"/>
    <w:rsid w:val="007765A5"/>
    <w:rsid w:val="007765B3"/>
    <w:rsid w:val="007765E1"/>
    <w:rsid w:val="00776604"/>
    <w:rsid w:val="0077674C"/>
    <w:rsid w:val="0077678E"/>
    <w:rsid w:val="00776872"/>
    <w:rsid w:val="007768FB"/>
    <w:rsid w:val="00776930"/>
    <w:rsid w:val="00776942"/>
    <w:rsid w:val="00776959"/>
    <w:rsid w:val="0077697A"/>
    <w:rsid w:val="00776A3D"/>
    <w:rsid w:val="00776A5B"/>
    <w:rsid w:val="00776B20"/>
    <w:rsid w:val="00776E21"/>
    <w:rsid w:val="00776E46"/>
    <w:rsid w:val="00776EB8"/>
    <w:rsid w:val="00776FD2"/>
    <w:rsid w:val="00777083"/>
    <w:rsid w:val="007772FC"/>
    <w:rsid w:val="00777319"/>
    <w:rsid w:val="007774B5"/>
    <w:rsid w:val="00777546"/>
    <w:rsid w:val="0077754F"/>
    <w:rsid w:val="00777796"/>
    <w:rsid w:val="007778D5"/>
    <w:rsid w:val="00777A67"/>
    <w:rsid w:val="00777B6E"/>
    <w:rsid w:val="00777BE7"/>
    <w:rsid w:val="00777D61"/>
    <w:rsid w:val="00777DBA"/>
    <w:rsid w:val="00777DCB"/>
    <w:rsid w:val="00777E3A"/>
    <w:rsid w:val="00777EE5"/>
    <w:rsid w:val="00777F5C"/>
    <w:rsid w:val="00777FD2"/>
    <w:rsid w:val="007801C1"/>
    <w:rsid w:val="0078026C"/>
    <w:rsid w:val="00780343"/>
    <w:rsid w:val="00780391"/>
    <w:rsid w:val="007803ED"/>
    <w:rsid w:val="00780404"/>
    <w:rsid w:val="00780437"/>
    <w:rsid w:val="00780583"/>
    <w:rsid w:val="007807FD"/>
    <w:rsid w:val="00780926"/>
    <w:rsid w:val="00780936"/>
    <w:rsid w:val="007809A8"/>
    <w:rsid w:val="00780B02"/>
    <w:rsid w:val="00780B46"/>
    <w:rsid w:val="00780C4E"/>
    <w:rsid w:val="00780C80"/>
    <w:rsid w:val="00780F49"/>
    <w:rsid w:val="00780F4C"/>
    <w:rsid w:val="00780FBE"/>
    <w:rsid w:val="00781117"/>
    <w:rsid w:val="00781160"/>
    <w:rsid w:val="007811EA"/>
    <w:rsid w:val="00781211"/>
    <w:rsid w:val="00781212"/>
    <w:rsid w:val="007812B8"/>
    <w:rsid w:val="00781376"/>
    <w:rsid w:val="00781384"/>
    <w:rsid w:val="0078140A"/>
    <w:rsid w:val="0078140C"/>
    <w:rsid w:val="00781434"/>
    <w:rsid w:val="00781477"/>
    <w:rsid w:val="00781727"/>
    <w:rsid w:val="0078183C"/>
    <w:rsid w:val="0078183D"/>
    <w:rsid w:val="0078191C"/>
    <w:rsid w:val="00781A00"/>
    <w:rsid w:val="00781B67"/>
    <w:rsid w:val="00781C0C"/>
    <w:rsid w:val="00781C38"/>
    <w:rsid w:val="00781DDE"/>
    <w:rsid w:val="00781FED"/>
    <w:rsid w:val="007820CE"/>
    <w:rsid w:val="007821FB"/>
    <w:rsid w:val="00782488"/>
    <w:rsid w:val="0078248E"/>
    <w:rsid w:val="007827C1"/>
    <w:rsid w:val="00782889"/>
    <w:rsid w:val="0078290B"/>
    <w:rsid w:val="0078291C"/>
    <w:rsid w:val="007829AB"/>
    <w:rsid w:val="00782AAE"/>
    <w:rsid w:val="00782AB4"/>
    <w:rsid w:val="00782B93"/>
    <w:rsid w:val="00782C5C"/>
    <w:rsid w:val="00782D82"/>
    <w:rsid w:val="00782EB4"/>
    <w:rsid w:val="00782F0B"/>
    <w:rsid w:val="00782F0E"/>
    <w:rsid w:val="00782FCB"/>
    <w:rsid w:val="007830DE"/>
    <w:rsid w:val="007830E6"/>
    <w:rsid w:val="007832BD"/>
    <w:rsid w:val="00783479"/>
    <w:rsid w:val="00783485"/>
    <w:rsid w:val="007834C2"/>
    <w:rsid w:val="00783563"/>
    <w:rsid w:val="007835CA"/>
    <w:rsid w:val="007837CF"/>
    <w:rsid w:val="00783A2A"/>
    <w:rsid w:val="00783B93"/>
    <w:rsid w:val="00783CFE"/>
    <w:rsid w:val="00783D53"/>
    <w:rsid w:val="00784090"/>
    <w:rsid w:val="0078412E"/>
    <w:rsid w:val="00784183"/>
    <w:rsid w:val="007842BE"/>
    <w:rsid w:val="007843AC"/>
    <w:rsid w:val="007845C8"/>
    <w:rsid w:val="00784610"/>
    <w:rsid w:val="0078474F"/>
    <w:rsid w:val="0078481B"/>
    <w:rsid w:val="00784850"/>
    <w:rsid w:val="0078492F"/>
    <w:rsid w:val="0078493C"/>
    <w:rsid w:val="0078498E"/>
    <w:rsid w:val="007849F6"/>
    <w:rsid w:val="00784A3D"/>
    <w:rsid w:val="00784A55"/>
    <w:rsid w:val="00784AAE"/>
    <w:rsid w:val="00784AC0"/>
    <w:rsid w:val="00784C4B"/>
    <w:rsid w:val="00784CA5"/>
    <w:rsid w:val="00784CC8"/>
    <w:rsid w:val="00784D38"/>
    <w:rsid w:val="00784EC6"/>
    <w:rsid w:val="00784F2D"/>
    <w:rsid w:val="007851B5"/>
    <w:rsid w:val="0078525C"/>
    <w:rsid w:val="00785365"/>
    <w:rsid w:val="0078570E"/>
    <w:rsid w:val="007857B9"/>
    <w:rsid w:val="0078589B"/>
    <w:rsid w:val="00785A05"/>
    <w:rsid w:val="00785ACF"/>
    <w:rsid w:val="00785CB2"/>
    <w:rsid w:val="00785D59"/>
    <w:rsid w:val="00785DB8"/>
    <w:rsid w:val="00785E3A"/>
    <w:rsid w:val="00785E49"/>
    <w:rsid w:val="00785E5B"/>
    <w:rsid w:val="00785F07"/>
    <w:rsid w:val="007861BC"/>
    <w:rsid w:val="007861DD"/>
    <w:rsid w:val="00786305"/>
    <w:rsid w:val="007863E9"/>
    <w:rsid w:val="007863F6"/>
    <w:rsid w:val="007866EC"/>
    <w:rsid w:val="007867B4"/>
    <w:rsid w:val="007868C5"/>
    <w:rsid w:val="00786A10"/>
    <w:rsid w:val="00786A8D"/>
    <w:rsid w:val="00786B17"/>
    <w:rsid w:val="00786B9A"/>
    <w:rsid w:val="0078704C"/>
    <w:rsid w:val="00787107"/>
    <w:rsid w:val="0078713A"/>
    <w:rsid w:val="00787204"/>
    <w:rsid w:val="00787249"/>
    <w:rsid w:val="0078724F"/>
    <w:rsid w:val="00787338"/>
    <w:rsid w:val="007873D4"/>
    <w:rsid w:val="0078741C"/>
    <w:rsid w:val="007874D6"/>
    <w:rsid w:val="00787561"/>
    <w:rsid w:val="007875AE"/>
    <w:rsid w:val="00787623"/>
    <w:rsid w:val="00787678"/>
    <w:rsid w:val="00787769"/>
    <w:rsid w:val="007878C9"/>
    <w:rsid w:val="00787903"/>
    <w:rsid w:val="007879B2"/>
    <w:rsid w:val="00787BB8"/>
    <w:rsid w:val="00787BBD"/>
    <w:rsid w:val="00787BC9"/>
    <w:rsid w:val="00787BFF"/>
    <w:rsid w:val="00787C82"/>
    <w:rsid w:val="00787C90"/>
    <w:rsid w:val="00787CBF"/>
    <w:rsid w:val="007900F4"/>
    <w:rsid w:val="007902DE"/>
    <w:rsid w:val="00790388"/>
    <w:rsid w:val="007903EA"/>
    <w:rsid w:val="0079044F"/>
    <w:rsid w:val="0079048F"/>
    <w:rsid w:val="00790536"/>
    <w:rsid w:val="00790573"/>
    <w:rsid w:val="0079070E"/>
    <w:rsid w:val="007907C0"/>
    <w:rsid w:val="007907D3"/>
    <w:rsid w:val="00790812"/>
    <w:rsid w:val="0079087C"/>
    <w:rsid w:val="00790936"/>
    <w:rsid w:val="00790A1F"/>
    <w:rsid w:val="00790A51"/>
    <w:rsid w:val="00790B00"/>
    <w:rsid w:val="00790B83"/>
    <w:rsid w:val="00790DEC"/>
    <w:rsid w:val="00790E26"/>
    <w:rsid w:val="00790E9B"/>
    <w:rsid w:val="00790F33"/>
    <w:rsid w:val="00790F65"/>
    <w:rsid w:val="00790F7B"/>
    <w:rsid w:val="0079107A"/>
    <w:rsid w:val="0079113F"/>
    <w:rsid w:val="0079128C"/>
    <w:rsid w:val="007912B1"/>
    <w:rsid w:val="00791332"/>
    <w:rsid w:val="00791442"/>
    <w:rsid w:val="0079151F"/>
    <w:rsid w:val="007916D8"/>
    <w:rsid w:val="00791853"/>
    <w:rsid w:val="0079189D"/>
    <w:rsid w:val="007919D5"/>
    <w:rsid w:val="00791AFD"/>
    <w:rsid w:val="00791BD4"/>
    <w:rsid w:val="00791C72"/>
    <w:rsid w:val="00791E9F"/>
    <w:rsid w:val="00792103"/>
    <w:rsid w:val="0079212E"/>
    <w:rsid w:val="00792364"/>
    <w:rsid w:val="00792557"/>
    <w:rsid w:val="0079259B"/>
    <w:rsid w:val="0079268D"/>
    <w:rsid w:val="007926C0"/>
    <w:rsid w:val="007926D6"/>
    <w:rsid w:val="007926E8"/>
    <w:rsid w:val="0079283D"/>
    <w:rsid w:val="007929C0"/>
    <w:rsid w:val="007929D7"/>
    <w:rsid w:val="00792A5D"/>
    <w:rsid w:val="00792BC9"/>
    <w:rsid w:val="00792CEC"/>
    <w:rsid w:val="00792DC6"/>
    <w:rsid w:val="00792EE3"/>
    <w:rsid w:val="0079307B"/>
    <w:rsid w:val="007932B5"/>
    <w:rsid w:val="0079335F"/>
    <w:rsid w:val="007933A0"/>
    <w:rsid w:val="00793418"/>
    <w:rsid w:val="007934EC"/>
    <w:rsid w:val="007936EC"/>
    <w:rsid w:val="007938E5"/>
    <w:rsid w:val="00793A69"/>
    <w:rsid w:val="00793B4B"/>
    <w:rsid w:val="00793B7A"/>
    <w:rsid w:val="00793BAF"/>
    <w:rsid w:val="00793C15"/>
    <w:rsid w:val="00793C90"/>
    <w:rsid w:val="00793DA2"/>
    <w:rsid w:val="00793F71"/>
    <w:rsid w:val="00793FBE"/>
    <w:rsid w:val="007942BF"/>
    <w:rsid w:val="007942FC"/>
    <w:rsid w:val="00794362"/>
    <w:rsid w:val="0079459F"/>
    <w:rsid w:val="00794612"/>
    <w:rsid w:val="007946BB"/>
    <w:rsid w:val="007947CD"/>
    <w:rsid w:val="00794A8C"/>
    <w:rsid w:val="00794AF1"/>
    <w:rsid w:val="00794C71"/>
    <w:rsid w:val="00794E98"/>
    <w:rsid w:val="00794EB6"/>
    <w:rsid w:val="00794F6E"/>
    <w:rsid w:val="00794F90"/>
    <w:rsid w:val="00795063"/>
    <w:rsid w:val="007950F5"/>
    <w:rsid w:val="00795150"/>
    <w:rsid w:val="007951DD"/>
    <w:rsid w:val="00795312"/>
    <w:rsid w:val="00795320"/>
    <w:rsid w:val="00795344"/>
    <w:rsid w:val="00795407"/>
    <w:rsid w:val="00795533"/>
    <w:rsid w:val="007956B7"/>
    <w:rsid w:val="007956C5"/>
    <w:rsid w:val="00795700"/>
    <w:rsid w:val="00795843"/>
    <w:rsid w:val="00795922"/>
    <w:rsid w:val="00795BE4"/>
    <w:rsid w:val="00795E2E"/>
    <w:rsid w:val="00795E84"/>
    <w:rsid w:val="00795EC4"/>
    <w:rsid w:val="00795EFD"/>
    <w:rsid w:val="00795F9C"/>
    <w:rsid w:val="00796200"/>
    <w:rsid w:val="007962B0"/>
    <w:rsid w:val="007962E1"/>
    <w:rsid w:val="00796448"/>
    <w:rsid w:val="0079652F"/>
    <w:rsid w:val="007965C7"/>
    <w:rsid w:val="0079660D"/>
    <w:rsid w:val="007966F0"/>
    <w:rsid w:val="00796815"/>
    <w:rsid w:val="007969C4"/>
    <w:rsid w:val="00796C02"/>
    <w:rsid w:val="00796C20"/>
    <w:rsid w:val="00796DBC"/>
    <w:rsid w:val="00796EB6"/>
    <w:rsid w:val="00796F3B"/>
    <w:rsid w:val="0079719C"/>
    <w:rsid w:val="007971C1"/>
    <w:rsid w:val="007971E4"/>
    <w:rsid w:val="00797238"/>
    <w:rsid w:val="007973B6"/>
    <w:rsid w:val="007974F8"/>
    <w:rsid w:val="00797682"/>
    <w:rsid w:val="00797768"/>
    <w:rsid w:val="00797925"/>
    <w:rsid w:val="007979F9"/>
    <w:rsid w:val="00797A73"/>
    <w:rsid w:val="00797B12"/>
    <w:rsid w:val="00797BA4"/>
    <w:rsid w:val="00797BC2"/>
    <w:rsid w:val="00797F96"/>
    <w:rsid w:val="007A007E"/>
    <w:rsid w:val="007A00D4"/>
    <w:rsid w:val="007A00F4"/>
    <w:rsid w:val="007A01EB"/>
    <w:rsid w:val="007A0207"/>
    <w:rsid w:val="007A02D1"/>
    <w:rsid w:val="007A0614"/>
    <w:rsid w:val="007A0675"/>
    <w:rsid w:val="007A0726"/>
    <w:rsid w:val="007A073E"/>
    <w:rsid w:val="007A07F9"/>
    <w:rsid w:val="007A0930"/>
    <w:rsid w:val="007A09EE"/>
    <w:rsid w:val="007A0A2F"/>
    <w:rsid w:val="007A0A57"/>
    <w:rsid w:val="007A0AE6"/>
    <w:rsid w:val="007A0B45"/>
    <w:rsid w:val="007A0C9D"/>
    <w:rsid w:val="007A0DA0"/>
    <w:rsid w:val="007A0ED3"/>
    <w:rsid w:val="007A0FC8"/>
    <w:rsid w:val="007A1043"/>
    <w:rsid w:val="007A10CB"/>
    <w:rsid w:val="007A1141"/>
    <w:rsid w:val="007A11EA"/>
    <w:rsid w:val="007A137A"/>
    <w:rsid w:val="007A1470"/>
    <w:rsid w:val="007A149B"/>
    <w:rsid w:val="007A1B47"/>
    <w:rsid w:val="007A1B4B"/>
    <w:rsid w:val="007A1BA7"/>
    <w:rsid w:val="007A1BE2"/>
    <w:rsid w:val="007A1C85"/>
    <w:rsid w:val="007A1D5E"/>
    <w:rsid w:val="007A1F7B"/>
    <w:rsid w:val="007A1F9A"/>
    <w:rsid w:val="007A213A"/>
    <w:rsid w:val="007A2232"/>
    <w:rsid w:val="007A2397"/>
    <w:rsid w:val="007A24F3"/>
    <w:rsid w:val="007A2527"/>
    <w:rsid w:val="007A25A6"/>
    <w:rsid w:val="007A268F"/>
    <w:rsid w:val="007A27A2"/>
    <w:rsid w:val="007A27FC"/>
    <w:rsid w:val="007A296F"/>
    <w:rsid w:val="007A29A8"/>
    <w:rsid w:val="007A2CFE"/>
    <w:rsid w:val="007A2E59"/>
    <w:rsid w:val="007A3160"/>
    <w:rsid w:val="007A31AC"/>
    <w:rsid w:val="007A31B4"/>
    <w:rsid w:val="007A3260"/>
    <w:rsid w:val="007A3271"/>
    <w:rsid w:val="007A3276"/>
    <w:rsid w:val="007A32E1"/>
    <w:rsid w:val="007A3383"/>
    <w:rsid w:val="007A33F7"/>
    <w:rsid w:val="007A3407"/>
    <w:rsid w:val="007A3413"/>
    <w:rsid w:val="007A3487"/>
    <w:rsid w:val="007A3712"/>
    <w:rsid w:val="007A372C"/>
    <w:rsid w:val="007A3841"/>
    <w:rsid w:val="007A3856"/>
    <w:rsid w:val="007A38ED"/>
    <w:rsid w:val="007A3A34"/>
    <w:rsid w:val="007A3A9B"/>
    <w:rsid w:val="007A3B5F"/>
    <w:rsid w:val="007A3B8F"/>
    <w:rsid w:val="007A3C90"/>
    <w:rsid w:val="007A3CCE"/>
    <w:rsid w:val="007A3D53"/>
    <w:rsid w:val="007A3E3D"/>
    <w:rsid w:val="007A3EA7"/>
    <w:rsid w:val="007A3EC5"/>
    <w:rsid w:val="007A3ED1"/>
    <w:rsid w:val="007A3FDC"/>
    <w:rsid w:val="007A3FF0"/>
    <w:rsid w:val="007A4085"/>
    <w:rsid w:val="007A4255"/>
    <w:rsid w:val="007A42CA"/>
    <w:rsid w:val="007A436B"/>
    <w:rsid w:val="007A44F7"/>
    <w:rsid w:val="007A4649"/>
    <w:rsid w:val="007A46C9"/>
    <w:rsid w:val="007A46CF"/>
    <w:rsid w:val="007A49D5"/>
    <w:rsid w:val="007A4A59"/>
    <w:rsid w:val="007A4ACE"/>
    <w:rsid w:val="007A4B58"/>
    <w:rsid w:val="007A4B7B"/>
    <w:rsid w:val="007A4BA7"/>
    <w:rsid w:val="007A4C46"/>
    <w:rsid w:val="007A4D5D"/>
    <w:rsid w:val="007A4D91"/>
    <w:rsid w:val="007A4FD7"/>
    <w:rsid w:val="007A50E1"/>
    <w:rsid w:val="007A5283"/>
    <w:rsid w:val="007A532A"/>
    <w:rsid w:val="007A55C2"/>
    <w:rsid w:val="007A55FD"/>
    <w:rsid w:val="007A562A"/>
    <w:rsid w:val="007A570C"/>
    <w:rsid w:val="007A57B0"/>
    <w:rsid w:val="007A57CB"/>
    <w:rsid w:val="007A58BB"/>
    <w:rsid w:val="007A592F"/>
    <w:rsid w:val="007A5C00"/>
    <w:rsid w:val="007A5C0D"/>
    <w:rsid w:val="007A5C14"/>
    <w:rsid w:val="007A5FA6"/>
    <w:rsid w:val="007A60DD"/>
    <w:rsid w:val="007A60F0"/>
    <w:rsid w:val="007A61EF"/>
    <w:rsid w:val="007A62A1"/>
    <w:rsid w:val="007A6354"/>
    <w:rsid w:val="007A63F9"/>
    <w:rsid w:val="007A6665"/>
    <w:rsid w:val="007A6686"/>
    <w:rsid w:val="007A6774"/>
    <w:rsid w:val="007A67BE"/>
    <w:rsid w:val="007A695D"/>
    <w:rsid w:val="007A69D2"/>
    <w:rsid w:val="007A6A45"/>
    <w:rsid w:val="007A6C40"/>
    <w:rsid w:val="007A6D07"/>
    <w:rsid w:val="007A6D8A"/>
    <w:rsid w:val="007A6DC7"/>
    <w:rsid w:val="007A6E17"/>
    <w:rsid w:val="007A702E"/>
    <w:rsid w:val="007A7582"/>
    <w:rsid w:val="007A765A"/>
    <w:rsid w:val="007A7699"/>
    <w:rsid w:val="007A76DE"/>
    <w:rsid w:val="007A7764"/>
    <w:rsid w:val="007A7892"/>
    <w:rsid w:val="007A792A"/>
    <w:rsid w:val="007A7ADD"/>
    <w:rsid w:val="007A7BEB"/>
    <w:rsid w:val="007A7D48"/>
    <w:rsid w:val="007A7E33"/>
    <w:rsid w:val="007A7EB2"/>
    <w:rsid w:val="007A7ECD"/>
    <w:rsid w:val="007B0011"/>
    <w:rsid w:val="007B0048"/>
    <w:rsid w:val="007B013F"/>
    <w:rsid w:val="007B01FE"/>
    <w:rsid w:val="007B0261"/>
    <w:rsid w:val="007B028E"/>
    <w:rsid w:val="007B0325"/>
    <w:rsid w:val="007B035D"/>
    <w:rsid w:val="007B03F3"/>
    <w:rsid w:val="007B042F"/>
    <w:rsid w:val="007B049C"/>
    <w:rsid w:val="007B04CE"/>
    <w:rsid w:val="007B0533"/>
    <w:rsid w:val="007B05C5"/>
    <w:rsid w:val="007B05D7"/>
    <w:rsid w:val="007B05DA"/>
    <w:rsid w:val="007B06E3"/>
    <w:rsid w:val="007B07BD"/>
    <w:rsid w:val="007B0B33"/>
    <w:rsid w:val="007B0B46"/>
    <w:rsid w:val="007B0B52"/>
    <w:rsid w:val="007B0D05"/>
    <w:rsid w:val="007B0FC4"/>
    <w:rsid w:val="007B10A8"/>
    <w:rsid w:val="007B1147"/>
    <w:rsid w:val="007B1170"/>
    <w:rsid w:val="007B12A6"/>
    <w:rsid w:val="007B12C2"/>
    <w:rsid w:val="007B13AE"/>
    <w:rsid w:val="007B1473"/>
    <w:rsid w:val="007B147F"/>
    <w:rsid w:val="007B1498"/>
    <w:rsid w:val="007B162B"/>
    <w:rsid w:val="007B166A"/>
    <w:rsid w:val="007B1748"/>
    <w:rsid w:val="007B18CF"/>
    <w:rsid w:val="007B18FF"/>
    <w:rsid w:val="007B1AE1"/>
    <w:rsid w:val="007B1C07"/>
    <w:rsid w:val="007B1D00"/>
    <w:rsid w:val="007B1DA3"/>
    <w:rsid w:val="007B1E21"/>
    <w:rsid w:val="007B1EC9"/>
    <w:rsid w:val="007B1EF5"/>
    <w:rsid w:val="007B2065"/>
    <w:rsid w:val="007B2218"/>
    <w:rsid w:val="007B223B"/>
    <w:rsid w:val="007B235D"/>
    <w:rsid w:val="007B2475"/>
    <w:rsid w:val="007B249F"/>
    <w:rsid w:val="007B2574"/>
    <w:rsid w:val="007B2667"/>
    <w:rsid w:val="007B27F2"/>
    <w:rsid w:val="007B27F8"/>
    <w:rsid w:val="007B28EF"/>
    <w:rsid w:val="007B296C"/>
    <w:rsid w:val="007B29A7"/>
    <w:rsid w:val="007B2A2F"/>
    <w:rsid w:val="007B2B06"/>
    <w:rsid w:val="007B2B1D"/>
    <w:rsid w:val="007B2BE9"/>
    <w:rsid w:val="007B2E38"/>
    <w:rsid w:val="007B2E67"/>
    <w:rsid w:val="007B2ECC"/>
    <w:rsid w:val="007B2EFF"/>
    <w:rsid w:val="007B2F22"/>
    <w:rsid w:val="007B2F2F"/>
    <w:rsid w:val="007B3196"/>
    <w:rsid w:val="007B31E1"/>
    <w:rsid w:val="007B345F"/>
    <w:rsid w:val="007B34BB"/>
    <w:rsid w:val="007B35D7"/>
    <w:rsid w:val="007B37BF"/>
    <w:rsid w:val="007B38CB"/>
    <w:rsid w:val="007B3AA0"/>
    <w:rsid w:val="007B3EC5"/>
    <w:rsid w:val="007B3FD0"/>
    <w:rsid w:val="007B4066"/>
    <w:rsid w:val="007B417F"/>
    <w:rsid w:val="007B4300"/>
    <w:rsid w:val="007B430C"/>
    <w:rsid w:val="007B44B5"/>
    <w:rsid w:val="007B454C"/>
    <w:rsid w:val="007B4618"/>
    <w:rsid w:val="007B47D8"/>
    <w:rsid w:val="007B48F5"/>
    <w:rsid w:val="007B4927"/>
    <w:rsid w:val="007B49C9"/>
    <w:rsid w:val="007B49EA"/>
    <w:rsid w:val="007B4AF4"/>
    <w:rsid w:val="007B4F68"/>
    <w:rsid w:val="007B4FFE"/>
    <w:rsid w:val="007B5447"/>
    <w:rsid w:val="007B54C8"/>
    <w:rsid w:val="007B5640"/>
    <w:rsid w:val="007B576F"/>
    <w:rsid w:val="007B5853"/>
    <w:rsid w:val="007B5967"/>
    <w:rsid w:val="007B5E86"/>
    <w:rsid w:val="007B5F5B"/>
    <w:rsid w:val="007B5F98"/>
    <w:rsid w:val="007B5FE1"/>
    <w:rsid w:val="007B6014"/>
    <w:rsid w:val="007B622D"/>
    <w:rsid w:val="007B62BD"/>
    <w:rsid w:val="007B6422"/>
    <w:rsid w:val="007B6658"/>
    <w:rsid w:val="007B66C8"/>
    <w:rsid w:val="007B670F"/>
    <w:rsid w:val="007B67F9"/>
    <w:rsid w:val="007B68B6"/>
    <w:rsid w:val="007B69F4"/>
    <w:rsid w:val="007B6A02"/>
    <w:rsid w:val="007B6A39"/>
    <w:rsid w:val="007B6AFE"/>
    <w:rsid w:val="007B6B27"/>
    <w:rsid w:val="007B6CD0"/>
    <w:rsid w:val="007B6EBE"/>
    <w:rsid w:val="007B7059"/>
    <w:rsid w:val="007B7111"/>
    <w:rsid w:val="007B712A"/>
    <w:rsid w:val="007B726C"/>
    <w:rsid w:val="007B7383"/>
    <w:rsid w:val="007B7409"/>
    <w:rsid w:val="007B744B"/>
    <w:rsid w:val="007B755D"/>
    <w:rsid w:val="007B75D3"/>
    <w:rsid w:val="007B762F"/>
    <w:rsid w:val="007B772F"/>
    <w:rsid w:val="007B7739"/>
    <w:rsid w:val="007B7793"/>
    <w:rsid w:val="007B786C"/>
    <w:rsid w:val="007B7871"/>
    <w:rsid w:val="007B78D8"/>
    <w:rsid w:val="007B78FE"/>
    <w:rsid w:val="007B7A33"/>
    <w:rsid w:val="007B7B01"/>
    <w:rsid w:val="007B7B64"/>
    <w:rsid w:val="007B7BDC"/>
    <w:rsid w:val="007B7C1A"/>
    <w:rsid w:val="007B7DB4"/>
    <w:rsid w:val="007B7F78"/>
    <w:rsid w:val="007B7FC3"/>
    <w:rsid w:val="007C02E5"/>
    <w:rsid w:val="007C033A"/>
    <w:rsid w:val="007C044C"/>
    <w:rsid w:val="007C054E"/>
    <w:rsid w:val="007C0801"/>
    <w:rsid w:val="007C086D"/>
    <w:rsid w:val="007C0952"/>
    <w:rsid w:val="007C0A9C"/>
    <w:rsid w:val="007C0AA1"/>
    <w:rsid w:val="007C0BC3"/>
    <w:rsid w:val="007C0CAD"/>
    <w:rsid w:val="007C0CCB"/>
    <w:rsid w:val="007C0E55"/>
    <w:rsid w:val="007C0F24"/>
    <w:rsid w:val="007C1005"/>
    <w:rsid w:val="007C1417"/>
    <w:rsid w:val="007C1516"/>
    <w:rsid w:val="007C1590"/>
    <w:rsid w:val="007C15FC"/>
    <w:rsid w:val="007C198A"/>
    <w:rsid w:val="007C1AD6"/>
    <w:rsid w:val="007C1B9F"/>
    <w:rsid w:val="007C1DF4"/>
    <w:rsid w:val="007C1E8A"/>
    <w:rsid w:val="007C1EBF"/>
    <w:rsid w:val="007C1ED3"/>
    <w:rsid w:val="007C20C4"/>
    <w:rsid w:val="007C223B"/>
    <w:rsid w:val="007C2335"/>
    <w:rsid w:val="007C23DD"/>
    <w:rsid w:val="007C26BC"/>
    <w:rsid w:val="007C270E"/>
    <w:rsid w:val="007C2726"/>
    <w:rsid w:val="007C2793"/>
    <w:rsid w:val="007C27D2"/>
    <w:rsid w:val="007C29F3"/>
    <w:rsid w:val="007C2E08"/>
    <w:rsid w:val="007C2F6F"/>
    <w:rsid w:val="007C31BB"/>
    <w:rsid w:val="007C32DE"/>
    <w:rsid w:val="007C34EF"/>
    <w:rsid w:val="007C38F8"/>
    <w:rsid w:val="007C393D"/>
    <w:rsid w:val="007C3A1B"/>
    <w:rsid w:val="007C3AA1"/>
    <w:rsid w:val="007C3BB3"/>
    <w:rsid w:val="007C3C6E"/>
    <w:rsid w:val="007C3CF5"/>
    <w:rsid w:val="007C3D0F"/>
    <w:rsid w:val="007C3DB4"/>
    <w:rsid w:val="007C3E55"/>
    <w:rsid w:val="007C3F64"/>
    <w:rsid w:val="007C3FBC"/>
    <w:rsid w:val="007C423B"/>
    <w:rsid w:val="007C43AB"/>
    <w:rsid w:val="007C45E4"/>
    <w:rsid w:val="007C45F0"/>
    <w:rsid w:val="007C4622"/>
    <w:rsid w:val="007C4645"/>
    <w:rsid w:val="007C465F"/>
    <w:rsid w:val="007C4673"/>
    <w:rsid w:val="007C48AB"/>
    <w:rsid w:val="007C4D3B"/>
    <w:rsid w:val="007C4D44"/>
    <w:rsid w:val="007C4DB1"/>
    <w:rsid w:val="007C4DD8"/>
    <w:rsid w:val="007C4F18"/>
    <w:rsid w:val="007C5005"/>
    <w:rsid w:val="007C507A"/>
    <w:rsid w:val="007C51A2"/>
    <w:rsid w:val="007C51AC"/>
    <w:rsid w:val="007C5256"/>
    <w:rsid w:val="007C52F3"/>
    <w:rsid w:val="007C5377"/>
    <w:rsid w:val="007C5394"/>
    <w:rsid w:val="007C53F6"/>
    <w:rsid w:val="007C5454"/>
    <w:rsid w:val="007C549C"/>
    <w:rsid w:val="007C54D4"/>
    <w:rsid w:val="007C55CE"/>
    <w:rsid w:val="007C5674"/>
    <w:rsid w:val="007C5926"/>
    <w:rsid w:val="007C5930"/>
    <w:rsid w:val="007C5A03"/>
    <w:rsid w:val="007C5A5F"/>
    <w:rsid w:val="007C5AB4"/>
    <w:rsid w:val="007C5C72"/>
    <w:rsid w:val="007C5D32"/>
    <w:rsid w:val="007C5D41"/>
    <w:rsid w:val="007C5D4B"/>
    <w:rsid w:val="007C5E9A"/>
    <w:rsid w:val="007C5F68"/>
    <w:rsid w:val="007C5FCD"/>
    <w:rsid w:val="007C6014"/>
    <w:rsid w:val="007C6063"/>
    <w:rsid w:val="007C6097"/>
    <w:rsid w:val="007C635C"/>
    <w:rsid w:val="007C638E"/>
    <w:rsid w:val="007C6426"/>
    <w:rsid w:val="007C67CD"/>
    <w:rsid w:val="007C69DB"/>
    <w:rsid w:val="007C6A23"/>
    <w:rsid w:val="007C6AAD"/>
    <w:rsid w:val="007C6ABC"/>
    <w:rsid w:val="007C6AE4"/>
    <w:rsid w:val="007C6BB9"/>
    <w:rsid w:val="007C6E12"/>
    <w:rsid w:val="007C701A"/>
    <w:rsid w:val="007C708E"/>
    <w:rsid w:val="007C70B6"/>
    <w:rsid w:val="007C71B1"/>
    <w:rsid w:val="007C732D"/>
    <w:rsid w:val="007C7519"/>
    <w:rsid w:val="007C7557"/>
    <w:rsid w:val="007C76AB"/>
    <w:rsid w:val="007C7739"/>
    <w:rsid w:val="007C7778"/>
    <w:rsid w:val="007C7A88"/>
    <w:rsid w:val="007C7B8E"/>
    <w:rsid w:val="007C7BC5"/>
    <w:rsid w:val="007C7BD5"/>
    <w:rsid w:val="007C7C50"/>
    <w:rsid w:val="007C7C60"/>
    <w:rsid w:val="007C7C82"/>
    <w:rsid w:val="007C7C9B"/>
    <w:rsid w:val="007C7DEA"/>
    <w:rsid w:val="007C7E1A"/>
    <w:rsid w:val="007C7E47"/>
    <w:rsid w:val="007C7EAF"/>
    <w:rsid w:val="007C7ED1"/>
    <w:rsid w:val="007C7EEA"/>
    <w:rsid w:val="007C7F07"/>
    <w:rsid w:val="007C7FC2"/>
    <w:rsid w:val="007D01DA"/>
    <w:rsid w:val="007D0227"/>
    <w:rsid w:val="007D03E0"/>
    <w:rsid w:val="007D04C3"/>
    <w:rsid w:val="007D06C8"/>
    <w:rsid w:val="007D0861"/>
    <w:rsid w:val="007D0950"/>
    <w:rsid w:val="007D0B9D"/>
    <w:rsid w:val="007D0C07"/>
    <w:rsid w:val="007D0C45"/>
    <w:rsid w:val="007D0CC0"/>
    <w:rsid w:val="007D0D14"/>
    <w:rsid w:val="007D0DAC"/>
    <w:rsid w:val="007D0DAE"/>
    <w:rsid w:val="007D0F7F"/>
    <w:rsid w:val="007D0FA5"/>
    <w:rsid w:val="007D0FC3"/>
    <w:rsid w:val="007D106D"/>
    <w:rsid w:val="007D1104"/>
    <w:rsid w:val="007D1239"/>
    <w:rsid w:val="007D1332"/>
    <w:rsid w:val="007D13F7"/>
    <w:rsid w:val="007D146E"/>
    <w:rsid w:val="007D1530"/>
    <w:rsid w:val="007D1564"/>
    <w:rsid w:val="007D15A9"/>
    <w:rsid w:val="007D1633"/>
    <w:rsid w:val="007D166D"/>
    <w:rsid w:val="007D17B7"/>
    <w:rsid w:val="007D17BC"/>
    <w:rsid w:val="007D1911"/>
    <w:rsid w:val="007D1973"/>
    <w:rsid w:val="007D1A74"/>
    <w:rsid w:val="007D1AFB"/>
    <w:rsid w:val="007D1B60"/>
    <w:rsid w:val="007D1BB9"/>
    <w:rsid w:val="007D1CD6"/>
    <w:rsid w:val="007D1D1E"/>
    <w:rsid w:val="007D1E41"/>
    <w:rsid w:val="007D209A"/>
    <w:rsid w:val="007D224B"/>
    <w:rsid w:val="007D2285"/>
    <w:rsid w:val="007D2510"/>
    <w:rsid w:val="007D25B1"/>
    <w:rsid w:val="007D2700"/>
    <w:rsid w:val="007D2756"/>
    <w:rsid w:val="007D27E2"/>
    <w:rsid w:val="007D28A3"/>
    <w:rsid w:val="007D2936"/>
    <w:rsid w:val="007D2ADC"/>
    <w:rsid w:val="007D2B45"/>
    <w:rsid w:val="007D2B77"/>
    <w:rsid w:val="007D2B86"/>
    <w:rsid w:val="007D2E6D"/>
    <w:rsid w:val="007D301C"/>
    <w:rsid w:val="007D30E2"/>
    <w:rsid w:val="007D3104"/>
    <w:rsid w:val="007D33FD"/>
    <w:rsid w:val="007D3556"/>
    <w:rsid w:val="007D37A7"/>
    <w:rsid w:val="007D397E"/>
    <w:rsid w:val="007D39F8"/>
    <w:rsid w:val="007D3B4B"/>
    <w:rsid w:val="007D3BBF"/>
    <w:rsid w:val="007D3F23"/>
    <w:rsid w:val="007D3FC6"/>
    <w:rsid w:val="007D40CF"/>
    <w:rsid w:val="007D437F"/>
    <w:rsid w:val="007D44B0"/>
    <w:rsid w:val="007D458F"/>
    <w:rsid w:val="007D466B"/>
    <w:rsid w:val="007D46CF"/>
    <w:rsid w:val="007D48C9"/>
    <w:rsid w:val="007D4A64"/>
    <w:rsid w:val="007D4A7F"/>
    <w:rsid w:val="007D4B01"/>
    <w:rsid w:val="007D4B80"/>
    <w:rsid w:val="007D4DA4"/>
    <w:rsid w:val="007D5203"/>
    <w:rsid w:val="007D52B2"/>
    <w:rsid w:val="007D53FB"/>
    <w:rsid w:val="007D5415"/>
    <w:rsid w:val="007D5420"/>
    <w:rsid w:val="007D54E4"/>
    <w:rsid w:val="007D5501"/>
    <w:rsid w:val="007D5554"/>
    <w:rsid w:val="007D56B9"/>
    <w:rsid w:val="007D57B4"/>
    <w:rsid w:val="007D59E7"/>
    <w:rsid w:val="007D5A0D"/>
    <w:rsid w:val="007D5A12"/>
    <w:rsid w:val="007D5A37"/>
    <w:rsid w:val="007D5AE7"/>
    <w:rsid w:val="007D5B06"/>
    <w:rsid w:val="007D5CDF"/>
    <w:rsid w:val="007D5E94"/>
    <w:rsid w:val="007D5E95"/>
    <w:rsid w:val="007D5EA9"/>
    <w:rsid w:val="007D6361"/>
    <w:rsid w:val="007D63A4"/>
    <w:rsid w:val="007D63E6"/>
    <w:rsid w:val="007D648B"/>
    <w:rsid w:val="007D649C"/>
    <w:rsid w:val="007D64C0"/>
    <w:rsid w:val="007D64E6"/>
    <w:rsid w:val="007D66AB"/>
    <w:rsid w:val="007D6768"/>
    <w:rsid w:val="007D689D"/>
    <w:rsid w:val="007D6DF6"/>
    <w:rsid w:val="007D6F84"/>
    <w:rsid w:val="007D712D"/>
    <w:rsid w:val="007D7260"/>
    <w:rsid w:val="007D72E1"/>
    <w:rsid w:val="007D73A3"/>
    <w:rsid w:val="007D73EC"/>
    <w:rsid w:val="007D740E"/>
    <w:rsid w:val="007D741A"/>
    <w:rsid w:val="007D751D"/>
    <w:rsid w:val="007D7583"/>
    <w:rsid w:val="007D79E7"/>
    <w:rsid w:val="007D79EC"/>
    <w:rsid w:val="007D7A72"/>
    <w:rsid w:val="007D7B0C"/>
    <w:rsid w:val="007D7BC5"/>
    <w:rsid w:val="007D7C68"/>
    <w:rsid w:val="007D7CB3"/>
    <w:rsid w:val="007D7CD9"/>
    <w:rsid w:val="007D7DE3"/>
    <w:rsid w:val="007D7E38"/>
    <w:rsid w:val="007D7E46"/>
    <w:rsid w:val="007D7E53"/>
    <w:rsid w:val="007D7F23"/>
    <w:rsid w:val="007D7FC4"/>
    <w:rsid w:val="007E0062"/>
    <w:rsid w:val="007E01E1"/>
    <w:rsid w:val="007E02A8"/>
    <w:rsid w:val="007E04BC"/>
    <w:rsid w:val="007E0503"/>
    <w:rsid w:val="007E05DE"/>
    <w:rsid w:val="007E061B"/>
    <w:rsid w:val="007E061F"/>
    <w:rsid w:val="007E0715"/>
    <w:rsid w:val="007E072A"/>
    <w:rsid w:val="007E073C"/>
    <w:rsid w:val="007E073D"/>
    <w:rsid w:val="007E07C6"/>
    <w:rsid w:val="007E0970"/>
    <w:rsid w:val="007E0A0D"/>
    <w:rsid w:val="007E0A40"/>
    <w:rsid w:val="007E0BC8"/>
    <w:rsid w:val="007E0C24"/>
    <w:rsid w:val="007E0C2B"/>
    <w:rsid w:val="007E0C35"/>
    <w:rsid w:val="007E0C61"/>
    <w:rsid w:val="007E0CBE"/>
    <w:rsid w:val="007E0CC4"/>
    <w:rsid w:val="007E0D1E"/>
    <w:rsid w:val="007E0D64"/>
    <w:rsid w:val="007E0DC5"/>
    <w:rsid w:val="007E0EBB"/>
    <w:rsid w:val="007E10AB"/>
    <w:rsid w:val="007E10C3"/>
    <w:rsid w:val="007E11E9"/>
    <w:rsid w:val="007E1330"/>
    <w:rsid w:val="007E1341"/>
    <w:rsid w:val="007E1469"/>
    <w:rsid w:val="007E14AF"/>
    <w:rsid w:val="007E151F"/>
    <w:rsid w:val="007E1577"/>
    <w:rsid w:val="007E1643"/>
    <w:rsid w:val="007E1697"/>
    <w:rsid w:val="007E16F8"/>
    <w:rsid w:val="007E19F4"/>
    <w:rsid w:val="007E1A91"/>
    <w:rsid w:val="007E1B02"/>
    <w:rsid w:val="007E1C98"/>
    <w:rsid w:val="007E22AE"/>
    <w:rsid w:val="007E237E"/>
    <w:rsid w:val="007E23D9"/>
    <w:rsid w:val="007E260F"/>
    <w:rsid w:val="007E2637"/>
    <w:rsid w:val="007E26A9"/>
    <w:rsid w:val="007E26C6"/>
    <w:rsid w:val="007E27F1"/>
    <w:rsid w:val="007E2AE0"/>
    <w:rsid w:val="007E2B16"/>
    <w:rsid w:val="007E2BB3"/>
    <w:rsid w:val="007E2E44"/>
    <w:rsid w:val="007E2EDA"/>
    <w:rsid w:val="007E2FD8"/>
    <w:rsid w:val="007E2FE2"/>
    <w:rsid w:val="007E3186"/>
    <w:rsid w:val="007E31D3"/>
    <w:rsid w:val="007E32F9"/>
    <w:rsid w:val="007E348F"/>
    <w:rsid w:val="007E34EC"/>
    <w:rsid w:val="007E3567"/>
    <w:rsid w:val="007E35CB"/>
    <w:rsid w:val="007E36A7"/>
    <w:rsid w:val="007E377D"/>
    <w:rsid w:val="007E38CF"/>
    <w:rsid w:val="007E39D7"/>
    <w:rsid w:val="007E3A48"/>
    <w:rsid w:val="007E3AD1"/>
    <w:rsid w:val="007E3E44"/>
    <w:rsid w:val="007E3EA0"/>
    <w:rsid w:val="007E3EBD"/>
    <w:rsid w:val="007E3F77"/>
    <w:rsid w:val="007E3FB0"/>
    <w:rsid w:val="007E404C"/>
    <w:rsid w:val="007E4326"/>
    <w:rsid w:val="007E46F0"/>
    <w:rsid w:val="007E4822"/>
    <w:rsid w:val="007E49EB"/>
    <w:rsid w:val="007E4A40"/>
    <w:rsid w:val="007E4B05"/>
    <w:rsid w:val="007E4BCD"/>
    <w:rsid w:val="007E4CA4"/>
    <w:rsid w:val="007E4CAF"/>
    <w:rsid w:val="007E4F61"/>
    <w:rsid w:val="007E5004"/>
    <w:rsid w:val="007E500F"/>
    <w:rsid w:val="007E5063"/>
    <w:rsid w:val="007E506A"/>
    <w:rsid w:val="007E5208"/>
    <w:rsid w:val="007E523D"/>
    <w:rsid w:val="007E5290"/>
    <w:rsid w:val="007E52BD"/>
    <w:rsid w:val="007E52FC"/>
    <w:rsid w:val="007E54BA"/>
    <w:rsid w:val="007E54F3"/>
    <w:rsid w:val="007E567F"/>
    <w:rsid w:val="007E5685"/>
    <w:rsid w:val="007E57BC"/>
    <w:rsid w:val="007E5940"/>
    <w:rsid w:val="007E5963"/>
    <w:rsid w:val="007E5A70"/>
    <w:rsid w:val="007E5B73"/>
    <w:rsid w:val="007E5BBB"/>
    <w:rsid w:val="007E5E21"/>
    <w:rsid w:val="007E5E9B"/>
    <w:rsid w:val="007E5EA4"/>
    <w:rsid w:val="007E5F75"/>
    <w:rsid w:val="007E60BB"/>
    <w:rsid w:val="007E613B"/>
    <w:rsid w:val="007E621F"/>
    <w:rsid w:val="007E6314"/>
    <w:rsid w:val="007E632D"/>
    <w:rsid w:val="007E6408"/>
    <w:rsid w:val="007E6511"/>
    <w:rsid w:val="007E6657"/>
    <w:rsid w:val="007E6822"/>
    <w:rsid w:val="007E6892"/>
    <w:rsid w:val="007E69A2"/>
    <w:rsid w:val="007E6A41"/>
    <w:rsid w:val="007E6C77"/>
    <w:rsid w:val="007E6E62"/>
    <w:rsid w:val="007E6ED2"/>
    <w:rsid w:val="007E6F5A"/>
    <w:rsid w:val="007E6FAD"/>
    <w:rsid w:val="007E6FD1"/>
    <w:rsid w:val="007E70B7"/>
    <w:rsid w:val="007E70D5"/>
    <w:rsid w:val="007E7188"/>
    <w:rsid w:val="007E72F8"/>
    <w:rsid w:val="007E74CC"/>
    <w:rsid w:val="007E75C1"/>
    <w:rsid w:val="007E788E"/>
    <w:rsid w:val="007E7999"/>
    <w:rsid w:val="007E7AC0"/>
    <w:rsid w:val="007E7B8A"/>
    <w:rsid w:val="007E7C40"/>
    <w:rsid w:val="007E7EA0"/>
    <w:rsid w:val="007E7EAA"/>
    <w:rsid w:val="007E7F0F"/>
    <w:rsid w:val="007F008D"/>
    <w:rsid w:val="007F009C"/>
    <w:rsid w:val="007F025F"/>
    <w:rsid w:val="007F04DF"/>
    <w:rsid w:val="007F0600"/>
    <w:rsid w:val="007F06EE"/>
    <w:rsid w:val="007F0AA1"/>
    <w:rsid w:val="007F0AD2"/>
    <w:rsid w:val="007F0AF7"/>
    <w:rsid w:val="007F0BB2"/>
    <w:rsid w:val="007F0D55"/>
    <w:rsid w:val="007F1003"/>
    <w:rsid w:val="007F10D8"/>
    <w:rsid w:val="007F10EF"/>
    <w:rsid w:val="007F110D"/>
    <w:rsid w:val="007F1110"/>
    <w:rsid w:val="007F1129"/>
    <w:rsid w:val="007F1137"/>
    <w:rsid w:val="007F1148"/>
    <w:rsid w:val="007F1171"/>
    <w:rsid w:val="007F11F5"/>
    <w:rsid w:val="007F125A"/>
    <w:rsid w:val="007F13ED"/>
    <w:rsid w:val="007F156C"/>
    <w:rsid w:val="007F16A8"/>
    <w:rsid w:val="007F1775"/>
    <w:rsid w:val="007F1899"/>
    <w:rsid w:val="007F18A2"/>
    <w:rsid w:val="007F18ED"/>
    <w:rsid w:val="007F1B61"/>
    <w:rsid w:val="007F1C79"/>
    <w:rsid w:val="007F1CE6"/>
    <w:rsid w:val="007F1CF7"/>
    <w:rsid w:val="007F1F3A"/>
    <w:rsid w:val="007F1FA6"/>
    <w:rsid w:val="007F22CC"/>
    <w:rsid w:val="007F23A0"/>
    <w:rsid w:val="007F23F2"/>
    <w:rsid w:val="007F260F"/>
    <w:rsid w:val="007F2661"/>
    <w:rsid w:val="007F2799"/>
    <w:rsid w:val="007F28B5"/>
    <w:rsid w:val="007F2A72"/>
    <w:rsid w:val="007F2B6A"/>
    <w:rsid w:val="007F2C66"/>
    <w:rsid w:val="007F2F5D"/>
    <w:rsid w:val="007F2F81"/>
    <w:rsid w:val="007F2FD6"/>
    <w:rsid w:val="007F3080"/>
    <w:rsid w:val="007F30C1"/>
    <w:rsid w:val="007F313F"/>
    <w:rsid w:val="007F31CB"/>
    <w:rsid w:val="007F32BB"/>
    <w:rsid w:val="007F3515"/>
    <w:rsid w:val="007F381B"/>
    <w:rsid w:val="007F3884"/>
    <w:rsid w:val="007F3910"/>
    <w:rsid w:val="007F3958"/>
    <w:rsid w:val="007F3A89"/>
    <w:rsid w:val="007F3AA1"/>
    <w:rsid w:val="007F3B2C"/>
    <w:rsid w:val="007F3B48"/>
    <w:rsid w:val="007F3C93"/>
    <w:rsid w:val="007F3D2D"/>
    <w:rsid w:val="007F4018"/>
    <w:rsid w:val="007F41CA"/>
    <w:rsid w:val="007F4206"/>
    <w:rsid w:val="007F4227"/>
    <w:rsid w:val="007F430B"/>
    <w:rsid w:val="007F4340"/>
    <w:rsid w:val="007F436C"/>
    <w:rsid w:val="007F4524"/>
    <w:rsid w:val="007F4622"/>
    <w:rsid w:val="007F477A"/>
    <w:rsid w:val="007F490A"/>
    <w:rsid w:val="007F4A60"/>
    <w:rsid w:val="007F4BB8"/>
    <w:rsid w:val="007F4C57"/>
    <w:rsid w:val="007F4C8F"/>
    <w:rsid w:val="007F4CAA"/>
    <w:rsid w:val="007F4CAC"/>
    <w:rsid w:val="007F4CC7"/>
    <w:rsid w:val="007F4CDF"/>
    <w:rsid w:val="007F4D14"/>
    <w:rsid w:val="007F50F7"/>
    <w:rsid w:val="007F52BB"/>
    <w:rsid w:val="007F539E"/>
    <w:rsid w:val="007F53B1"/>
    <w:rsid w:val="007F53D2"/>
    <w:rsid w:val="007F5422"/>
    <w:rsid w:val="007F545A"/>
    <w:rsid w:val="007F564A"/>
    <w:rsid w:val="007F56D9"/>
    <w:rsid w:val="007F5814"/>
    <w:rsid w:val="007F5827"/>
    <w:rsid w:val="007F596A"/>
    <w:rsid w:val="007F5A1D"/>
    <w:rsid w:val="007F5A59"/>
    <w:rsid w:val="007F5C25"/>
    <w:rsid w:val="007F5C69"/>
    <w:rsid w:val="007F5CFC"/>
    <w:rsid w:val="007F5D02"/>
    <w:rsid w:val="007F5D64"/>
    <w:rsid w:val="007F5EA4"/>
    <w:rsid w:val="007F5F13"/>
    <w:rsid w:val="007F5FC0"/>
    <w:rsid w:val="007F60FF"/>
    <w:rsid w:val="007F6113"/>
    <w:rsid w:val="007F6116"/>
    <w:rsid w:val="007F6149"/>
    <w:rsid w:val="007F618C"/>
    <w:rsid w:val="007F62C8"/>
    <w:rsid w:val="007F660B"/>
    <w:rsid w:val="007F6618"/>
    <w:rsid w:val="007F67B9"/>
    <w:rsid w:val="007F6887"/>
    <w:rsid w:val="007F688D"/>
    <w:rsid w:val="007F68D3"/>
    <w:rsid w:val="007F6928"/>
    <w:rsid w:val="007F693E"/>
    <w:rsid w:val="007F6967"/>
    <w:rsid w:val="007F6A60"/>
    <w:rsid w:val="007F6B27"/>
    <w:rsid w:val="007F6DF9"/>
    <w:rsid w:val="007F700A"/>
    <w:rsid w:val="007F72AA"/>
    <w:rsid w:val="007F730F"/>
    <w:rsid w:val="007F769B"/>
    <w:rsid w:val="007F76EC"/>
    <w:rsid w:val="007F7807"/>
    <w:rsid w:val="007F7859"/>
    <w:rsid w:val="007F79E5"/>
    <w:rsid w:val="007F79F0"/>
    <w:rsid w:val="007F7AD7"/>
    <w:rsid w:val="007F7B33"/>
    <w:rsid w:val="007F7BDA"/>
    <w:rsid w:val="007F7C29"/>
    <w:rsid w:val="007F7D2A"/>
    <w:rsid w:val="007F7E53"/>
    <w:rsid w:val="007F7E56"/>
    <w:rsid w:val="008001F0"/>
    <w:rsid w:val="008003F2"/>
    <w:rsid w:val="00800459"/>
    <w:rsid w:val="008004AA"/>
    <w:rsid w:val="00800537"/>
    <w:rsid w:val="008005E6"/>
    <w:rsid w:val="00800622"/>
    <w:rsid w:val="00800828"/>
    <w:rsid w:val="0080098B"/>
    <w:rsid w:val="00800AEB"/>
    <w:rsid w:val="00800C6C"/>
    <w:rsid w:val="00800CFA"/>
    <w:rsid w:val="00800DBB"/>
    <w:rsid w:val="00800E1E"/>
    <w:rsid w:val="00800F18"/>
    <w:rsid w:val="0080109B"/>
    <w:rsid w:val="008010F8"/>
    <w:rsid w:val="00801251"/>
    <w:rsid w:val="00801349"/>
    <w:rsid w:val="00801617"/>
    <w:rsid w:val="00801653"/>
    <w:rsid w:val="00801660"/>
    <w:rsid w:val="008019A5"/>
    <w:rsid w:val="00801C77"/>
    <w:rsid w:val="00801D4F"/>
    <w:rsid w:val="00801EEA"/>
    <w:rsid w:val="00801F90"/>
    <w:rsid w:val="00801F96"/>
    <w:rsid w:val="00802016"/>
    <w:rsid w:val="00802277"/>
    <w:rsid w:val="00802325"/>
    <w:rsid w:val="0080233D"/>
    <w:rsid w:val="0080239F"/>
    <w:rsid w:val="008023E5"/>
    <w:rsid w:val="008025C6"/>
    <w:rsid w:val="008027F0"/>
    <w:rsid w:val="00802860"/>
    <w:rsid w:val="0080297F"/>
    <w:rsid w:val="008029F1"/>
    <w:rsid w:val="00802A1F"/>
    <w:rsid w:val="00802AB2"/>
    <w:rsid w:val="00802C2D"/>
    <w:rsid w:val="00802C51"/>
    <w:rsid w:val="00802D07"/>
    <w:rsid w:val="00802E20"/>
    <w:rsid w:val="0080300D"/>
    <w:rsid w:val="00803197"/>
    <w:rsid w:val="00803270"/>
    <w:rsid w:val="008032BB"/>
    <w:rsid w:val="00803376"/>
    <w:rsid w:val="008033E7"/>
    <w:rsid w:val="008033F3"/>
    <w:rsid w:val="008034A4"/>
    <w:rsid w:val="0080388D"/>
    <w:rsid w:val="00803989"/>
    <w:rsid w:val="008039A6"/>
    <w:rsid w:val="00803C0D"/>
    <w:rsid w:val="00803C2A"/>
    <w:rsid w:val="00803E6F"/>
    <w:rsid w:val="00803EA7"/>
    <w:rsid w:val="00803FF1"/>
    <w:rsid w:val="0080401D"/>
    <w:rsid w:val="00804063"/>
    <w:rsid w:val="008040BD"/>
    <w:rsid w:val="00804291"/>
    <w:rsid w:val="0080453B"/>
    <w:rsid w:val="008045CE"/>
    <w:rsid w:val="00804687"/>
    <w:rsid w:val="00804758"/>
    <w:rsid w:val="008047B3"/>
    <w:rsid w:val="0080491F"/>
    <w:rsid w:val="00804941"/>
    <w:rsid w:val="00804ABC"/>
    <w:rsid w:val="00804B0E"/>
    <w:rsid w:val="00804BE6"/>
    <w:rsid w:val="00804C61"/>
    <w:rsid w:val="00804CDE"/>
    <w:rsid w:val="00804E6E"/>
    <w:rsid w:val="00804E9B"/>
    <w:rsid w:val="00804EBE"/>
    <w:rsid w:val="00804FD9"/>
    <w:rsid w:val="00805013"/>
    <w:rsid w:val="008051D4"/>
    <w:rsid w:val="0080520F"/>
    <w:rsid w:val="008053CA"/>
    <w:rsid w:val="00805552"/>
    <w:rsid w:val="00805686"/>
    <w:rsid w:val="008057E4"/>
    <w:rsid w:val="0080586F"/>
    <w:rsid w:val="008058D5"/>
    <w:rsid w:val="00805921"/>
    <w:rsid w:val="00805964"/>
    <w:rsid w:val="008059A9"/>
    <w:rsid w:val="008059CA"/>
    <w:rsid w:val="008059D5"/>
    <w:rsid w:val="00805AD8"/>
    <w:rsid w:val="00805BAE"/>
    <w:rsid w:val="00805C5C"/>
    <w:rsid w:val="00805CCD"/>
    <w:rsid w:val="00805D74"/>
    <w:rsid w:val="00805DD2"/>
    <w:rsid w:val="00806115"/>
    <w:rsid w:val="0080620F"/>
    <w:rsid w:val="008062E6"/>
    <w:rsid w:val="008064A3"/>
    <w:rsid w:val="00806513"/>
    <w:rsid w:val="00806630"/>
    <w:rsid w:val="0080666A"/>
    <w:rsid w:val="00806706"/>
    <w:rsid w:val="00806719"/>
    <w:rsid w:val="00806749"/>
    <w:rsid w:val="008068E5"/>
    <w:rsid w:val="00806A64"/>
    <w:rsid w:val="00806ADF"/>
    <w:rsid w:val="00806B60"/>
    <w:rsid w:val="00806BC4"/>
    <w:rsid w:val="00806C81"/>
    <w:rsid w:val="00806CA3"/>
    <w:rsid w:val="00806ED1"/>
    <w:rsid w:val="00806F15"/>
    <w:rsid w:val="00806F44"/>
    <w:rsid w:val="00806F91"/>
    <w:rsid w:val="00806FD6"/>
    <w:rsid w:val="008070EA"/>
    <w:rsid w:val="00807196"/>
    <w:rsid w:val="00807240"/>
    <w:rsid w:val="00807369"/>
    <w:rsid w:val="00807414"/>
    <w:rsid w:val="00807423"/>
    <w:rsid w:val="008074F7"/>
    <w:rsid w:val="00807506"/>
    <w:rsid w:val="00807548"/>
    <w:rsid w:val="008075D6"/>
    <w:rsid w:val="0080775A"/>
    <w:rsid w:val="0080788E"/>
    <w:rsid w:val="008078FC"/>
    <w:rsid w:val="00807954"/>
    <w:rsid w:val="00807969"/>
    <w:rsid w:val="0080797F"/>
    <w:rsid w:val="00807BF9"/>
    <w:rsid w:val="00807D18"/>
    <w:rsid w:val="00807E3C"/>
    <w:rsid w:val="00807FE5"/>
    <w:rsid w:val="00807FF0"/>
    <w:rsid w:val="0081001D"/>
    <w:rsid w:val="008100BC"/>
    <w:rsid w:val="008100F0"/>
    <w:rsid w:val="00810278"/>
    <w:rsid w:val="0081053F"/>
    <w:rsid w:val="0081062C"/>
    <w:rsid w:val="0081064D"/>
    <w:rsid w:val="00810675"/>
    <w:rsid w:val="0081074E"/>
    <w:rsid w:val="00810786"/>
    <w:rsid w:val="008108B4"/>
    <w:rsid w:val="0081095E"/>
    <w:rsid w:val="00810BDC"/>
    <w:rsid w:val="00810D7F"/>
    <w:rsid w:val="00810E30"/>
    <w:rsid w:val="00810E37"/>
    <w:rsid w:val="00810EEA"/>
    <w:rsid w:val="00811079"/>
    <w:rsid w:val="00811220"/>
    <w:rsid w:val="00811230"/>
    <w:rsid w:val="0081146D"/>
    <w:rsid w:val="00811513"/>
    <w:rsid w:val="00811526"/>
    <w:rsid w:val="00811532"/>
    <w:rsid w:val="008118B9"/>
    <w:rsid w:val="00811B09"/>
    <w:rsid w:val="00811D57"/>
    <w:rsid w:val="00811D93"/>
    <w:rsid w:val="00812181"/>
    <w:rsid w:val="008121E9"/>
    <w:rsid w:val="008122EE"/>
    <w:rsid w:val="0081257E"/>
    <w:rsid w:val="008125CE"/>
    <w:rsid w:val="00812660"/>
    <w:rsid w:val="00812718"/>
    <w:rsid w:val="0081280D"/>
    <w:rsid w:val="00812810"/>
    <w:rsid w:val="00812828"/>
    <w:rsid w:val="0081283F"/>
    <w:rsid w:val="00812840"/>
    <w:rsid w:val="00812BA1"/>
    <w:rsid w:val="00812D84"/>
    <w:rsid w:val="00812E3B"/>
    <w:rsid w:val="00812E7D"/>
    <w:rsid w:val="00813041"/>
    <w:rsid w:val="008130B4"/>
    <w:rsid w:val="00813170"/>
    <w:rsid w:val="008131B6"/>
    <w:rsid w:val="008133AE"/>
    <w:rsid w:val="0081349A"/>
    <w:rsid w:val="0081365E"/>
    <w:rsid w:val="0081371D"/>
    <w:rsid w:val="00813782"/>
    <w:rsid w:val="0081379E"/>
    <w:rsid w:val="00813833"/>
    <w:rsid w:val="00813871"/>
    <w:rsid w:val="008138CA"/>
    <w:rsid w:val="008138EC"/>
    <w:rsid w:val="0081398E"/>
    <w:rsid w:val="008139AE"/>
    <w:rsid w:val="008139EB"/>
    <w:rsid w:val="008139F8"/>
    <w:rsid w:val="00813A70"/>
    <w:rsid w:val="00813AA9"/>
    <w:rsid w:val="00813AAE"/>
    <w:rsid w:val="00813C0A"/>
    <w:rsid w:val="00813DCC"/>
    <w:rsid w:val="00814208"/>
    <w:rsid w:val="00814448"/>
    <w:rsid w:val="0081449C"/>
    <w:rsid w:val="008145F2"/>
    <w:rsid w:val="008145FF"/>
    <w:rsid w:val="00814673"/>
    <w:rsid w:val="00814680"/>
    <w:rsid w:val="008147DE"/>
    <w:rsid w:val="00814869"/>
    <w:rsid w:val="008148CF"/>
    <w:rsid w:val="008149C0"/>
    <w:rsid w:val="00814A04"/>
    <w:rsid w:val="00814BF5"/>
    <w:rsid w:val="00814C9F"/>
    <w:rsid w:val="00814D3A"/>
    <w:rsid w:val="00814DA9"/>
    <w:rsid w:val="00814F8D"/>
    <w:rsid w:val="00814F98"/>
    <w:rsid w:val="0081507E"/>
    <w:rsid w:val="008150A9"/>
    <w:rsid w:val="008150B3"/>
    <w:rsid w:val="0081542F"/>
    <w:rsid w:val="0081563F"/>
    <w:rsid w:val="0081573E"/>
    <w:rsid w:val="008157EF"/>
    <w:rsid w:val="008158A3"/>
    <w:rsid w:val="008159C9"/>
    <w:rsid w:val="008159D2"/>
    <w:rsid w:val="00815A46"/>
    <w:rsid w:val="00815CB3"/>
    <w:rsid w:val="00815D4D"/>
    <w:rsid w:val="00815DBC"/>
    <w:rsid w:val="00815EB3"/>
    <w:rsid w:val="00815F56"/>
    <w:rsid w:val="00815F80"/>
    <w:rsid w:val="00815F8F"/>
    <w:rsid w:val="00815FE1"/>
    <w:rsid w:val="00815FE3"/>
    <w:rsid w:val="0081611B"/>
    <w:rsid w:val="0081613E"/>
    <w:rsid w:val="0081626F"/>
    <w:rsid w:val="008162B9"/>
    <w:rsid w:val="0081638D"/>
    <w:rsid w:val="0081658B"/>
    <w:rsid w:val="00816706"/>
    <w:rsid w:val="0081672C"/>
    <w:rsid w:val="00816774"/>
    <w:rsid w:val="008168D0"/>
    <w:rsid w:val="00816A03"/>
    <w:rsid w:val="00816A14"/>
    <w:rsid w:val="00816AC0"/>
    <w:rsid w:val="00816B85"/>
    <w:rsid w:val="00816C66"/>
    <w:rsid w:val="00816C90"/>
    <w:rsid w:val="00816D1C"/>
    <w:rsid w:val="00816D47"/>
    <w:rsid w:val="00816E2E"/>
    <w:rsid w:val="00816E8F"/>
    <w:rsid w:val="00816F1C"/>
    <w:rsid w:val="00816F40"/>
    <w:rsid w:val="008170EF"/>
    <w:rsid w:val="0081718C"/>
    <w:rsid w:val="0081724B"/>
    <w:rsid w:val="008173D9"/>
    <w:rsid w:val="008175AA"/>
    <w:rsid w:val="008175CA"/>
    <w:rsid w:val="00817623"/>
    <w:rsid w:val="0081765C"/>
    <w:rsid w:val="00817677"/>
    <w:rsid w:val="008176AF"/>
    <w:rsid w:val="008176DE"/>
    <w:rsid w:val="0081777F"/>
    <w:rsid w:val="0081783B"/>
    <w:rsid w:val="008178B6"/>
    <w:rsid w:val="00817947"/>
    <w:rsid w:val="008179F4"/>
    <w:rsid w:val="00817A21"/>
    <w:rsid w:val="00817B35"/>
    <w:rsid w:val="00817CD1"/>
    <w:rsid w:val="00817EFE"/>
    <w:rsid w:val="0082012B"/>
    <w:rsid w:val="00820342"/>
    <w:rsid w:val="00820388"/>
    <w:rsid w:val="0082041E"/>
    <w:rsid w:val="008205AD"/>
    <w:rsid w:val="008205CD"/>
    <w:rsid w:val="0082065D"/>
    <w:rsid w:val="008207CA"/>
    <w:rsid w:val="0082087F"/>
    <w:rsid w:val="008208AB"/>
    <w:rsid w:val="00820C7E"/>
    <w:rsid w:val="00820D43"/>
    <w:rsid w:val="00820DA3"/>
    <w:rsid w:val="008210B1"/>
    <w:rsid w:val="00821247"/>
    <w:rsid w:val="008212A3"/>
    <w:rsid w:val="008212AC"/>
    <w:rsid w:val="008212B0"/>
    <w:rsid w:val="0082153A"/>
    <w:rsid w:val="008215AA"/>
    <w:rsid w:val="008215C2"/>
    <w:rsid w:val="00821625"/>
    <w:rsid w:val="008216DC"/>
    <w:rsid w:val="008217DE"/>
    <w:rsid w:val="0082182B"/>
    <w:rsid w:val="0082182F"/>
    <w:rsid w:val="008218C0"/>
    <w:rsid w:val="00821933"/>
    <w:rsid w:val="00821957"/>
    <w:rsid w:val="00821B7B"/>
    <w:rsid w:val="00821D2C"/>
    <w:rsid w:val="00821E48"/>
    <w:rsid w:val="00821E5C"/>
    <w:rsid w:val="00821FC3"/>
    <w:rsid w:val="0082220A"/>
    <w:rsid w:val="00822284"/>
    <w:rsid w:val="008222B6"/>
    <w:rsid w:val="008223E7"/>
    <w:rsid w:val="008226C2"/>
    <w:rsid w:val="0082271A"/>
    <w:rsid w:val="00822A20"/>
    <w:rsid w:val="00822A23"/>
    <w:rsid w:val="00822AD8"/>
    <w:rsid w:val="00822B90"/>
    <w:rsid w:val="00822BA6"/>
    <w:rsid w:val="00822C94"/>
    <w:rsid w:val="00822CD9"/>
    <w:rsid w:val="00822DCF"/>
    <w:rsid w:val="00822E68"/>
    <w:rsid w:val="00822EF8"/>
    <w:rsid w:val="00822F56"/>
    <w:rsid w:val="00822F7D"/>
    <w:rsid w:val="00822FF8"/>
    <w:rsid w:val="00823022"/>
    <w:rsid w:val="008230AC"/>
    <w:rsid w:val="00823163"/>
    <w:rsid w:val="0082318F"/>
    <w:rsid w:val="00823208"/>
    <w:rsid w:val="008232D8"/>
    <w:rsid w:val="0082342E"/>
    <w:rsid w:val="00823470"/>
    <w:rsid w:val="00823725"/>
    <w:rsid w:val="00823863"/>
    <w:rsid w:val="008238AA"/>
    <w:rsid w:val="00823A12"/>
    <w:rsid w:val="00823A2B"/>
    <w:rsid w:val="00823D46"/>
    <w:rsid w:val="008240C5"/>
    <w:rsid w:val="00824272"/>
    <w:rsid w:val="00824423"/>
    <w:rsid w:val="0082443F"/>
    <w:rsid w:val="0082446A"/>
    <w:rsid w:val="00824504"/>
    <w:rsid w:val="00824510"/>
    <w:rsid w:val="00824673"/>
    <w:rsid w:val="00824699"/>
    <w:rsid w:val="008246C9"/>
    <w:rsid w:val="008246EE"/>
    <w:rsid w:val="0082475F"/>
    <w:rsid w:val="00824845"/>
    <w:rsid w:val="0082493B"/>
    <w:rsid w:val="00824978"/>
    <w:rsid w:val="00824A76"/>
    <w:rsid w:val="00824BFD"/>
    <w:rsid w:val="00824C2A"/>
    <w:rsid w:val="00824C53"/>
    <w:rsid w:val="00824CD8"/>
    <w:rsid w:val="00824D6B"/>
    <w:rsid w:val="00824E3C"/>
    <w:rsid w:val="00824FC0"/>
    <w:rsid w:val="00824FC9"/>
    <w:rsid w:val="00825110"/>
    <w:rsid w:val="00825186"/>
    <w:rsid w:val="00825386"/>
    <w:rsid w:val="008254CD"/>
    <w:rsid w:val="008254E1"/>
    <w:rsid w:val="00825509"/>
    <w:rsid w:val="0082559E"/>
    <w:rsid w:val="00825823"/>
    <w:rsid w:val="008259A0"/>
    <w:rsid w:val="008259C1"/>
    <w:rsid w:val="00825BD6"/>
    <w:rsid w:val="00825C80"/>
    <w:rsid w:val="00825DA6"/>
    <w:rsid w:val="00825E46"/>
    <w:rsid w:val="00825EA3"/>
    <w:rsid w:val="0082609E"/>
    <w:rsid w:val="00826172"/>
    <w:rsid w:val="0082617A"/>
    <w:rsid w:val="008262CC"/>
    <w:rsid w:val="00826324"/>
    <w:rsid w:val="00826375"/>
    <w:rsid w:val="008263A6"/>
    <w:rsid w:val="008263DC"/>
    <w:rsid w:val="0082643C"/>
    <w:rsid w:val="008265DA"/>
    <w:rsid w:val="008266E2"/>
    <w:rsid w:val="00826720"/>
    <w:rsid w:val="008268CB"/>
    <w:rsid w:val="008268EC"/>
    <w:rsid w:val="0082691B"/>
    <w:rsid w:val="00826963"/>
    <w:rsid w:val="00826A38"/>
    <w:rsid w:val="00826AD1"/>
    <w:rsid w:val="00826B19"/>
    <w:rsid w:val="00826BF1"/>
    <w:rsid w:val="00826C88"/>
    <w:rsid w:val="00826D20"/>
    <w:rsid w:val="00826F2F"/>
    <w:rsid w:val="00826F56"/>
    <w:rsid w:val="00826F89"/>
    <w:rsid w:val="008270E0"/>
    <w:rsid w:val="0082713B"/>
    <w:rsid w:val="008271DD"/>
    <w:rsid w:val="0082739D"/>
    <w:rsid w:val="008273BB"/>
    <w:rsid w:val="0082748A"/>
    <w:rsid w:val="0082761E"/>
    <w:rsid w:val="00827782"/>
    <w:rsid w:val="008279B2"/>
    <w:rsid w:val="00827B08"/>
    <w:rsid w:val="00827B7E"/>
    <w:rsid w:val="00827CCE"/>
    <w:rsid w:val="00827E31"/>
    <w:rsid w:val="00827F4B"/>
    <w:rsid w:val="00827FC5"/>
    <w:rsid w:val="00830056"/>
    <w:rsid w:val="0083008F"/>
    <w:rsid w:val="008300F6"/>
    <w:rsid w:val="008302A1"/>
    <w:rsid w:val="00830363"/>
    <w:rsid w:val="0083036A"/>
    <w:rsid w:val="008303E6"/>
    <w:rsid w:val="00830418"/>
    <w:rsid w:val="00830797"/>
    <w:rsid w:val="00830863"/>
    <w:rsid w:val="00830923"/>
    <w:rsid w:val="00830A6C"/>
    <w:rsid w:val="00830B2E"/>
    <w:rsid w:val="00830BED"/>
    <w:rsid w:val="00830D33"/>
    <w:rsid w:val="00830F73"/>
    <w:rsid w:val="00830F75"/>
    <w:rsid w:val="00831032"/>
    <w:rsid w:val="00831087"/>
    <w:rsid w:val="008310A1"/>
    <w:rsid w:val="008310C8"/>
    <w:rsid w:val="008311C3"/>
    <w:rsid w:val="008312ED"/>
    <w:rsid w:val="0083139A"/>
    <w:rsid w:val="008314A4"/>
    <w:rsid w:val="008314EC"/>
    <w:rsid w:val="0083153A"/>
    <w:rsid w:val="0083153E"/>
    <w:rsid w:val="00831559"/>
    <w:rsid w:val="0083159D"/>
    <w:rsid w:val="008316FA"/>
    <w:rsid w:val="0083183F"/>
    <w:rsid w:val="0083199F"/>
    <w:rsid w:val="00831A59"/>
    <w:rsid w:val="00831AB1"/>
    <w:rsid w:val="00831C15"/>
    <w:rsid w:val="00831C39"/>
    <w:rsid w:val="00831D90"/>
    <w:rsid w:val="00831DE4"/>
    <w:rsid w:val="00831FEB"/>
    <w:rsid w:val="008320DE"/>
    <w:rsid w:val="0083227A"/>
    <w:rsid w:val="008322AA"/>
    <w:rsid w:val="00832463"/>
    <w:rsid w:val="0083253F"/>
    <w:rsid w:val="0083254C"/>
    <w:rsid w:val="00832565"/>
    <w:rsid w:val="008325FF"/>
    <w:rsid w:val="00832601"/>
    <w:rsid w:val="0083274E"/>
    <w:rsid w:val="008327AF"/>
    <w:rsid w:val="00832981"/>
    <w:rsid w:val="00832A48"/>
    <w:rsid w:val="00832B85"/>
    <w:rsid w:val="00832C41"/>
    <w:rsid w:val="00832CA1"/>
    <w:rsid w:val="00832CA6"/>
    <w:rsid w:val="00832CCB"/>
    <w:rsid w:val="00832DAA"/>
    <w:rsid w:val="00832DE2"/>
    <w:rsid w:val="00832E31"/>
    <w:rsid w:val="008330EB"/>
    <w:rsid w:val="008332C3"/>
    <w:rsid w:val="0083334C"/>
    <w:rsid w:val="00833436"/>
    <w:rsid w:val="00833457"/>
    <w:rsid w:val="00833504"/>
    <w:rsid w:val="0083352A"/>
    <w:rsid w:val="008335DA"/>
    <w:rsid w:val="00833638"/>
    <w:rsid w:val="00833678"/>
    <w:rsid w:val="008336F5"/>
    <w:rsid w:val="00833885"/>
    <w:rsid w:val="00833B53"/>
    <w:rsid w:val="00833BA2"/>
    <w:rsid w:val="00833BE4"/>
    <w:rsid w:val="00833D04"/>
    <w:rsid w:val="00833D3F"/>
    <w:rsid w:val="00833DA0"/>
    <w:rsid w:val="00833EDD"/>
    <w:rsid w:val="00833F45"/>
    <w:rsid w:val="00833F6C"/>
    <w:rsid w:val="00833F70"/>
    <w:rsid w:val="00833F9D"/>
    <w:rsid w:val="008340B7"/>
    <w:rsid w:val="008342E3"/>
    <w:rsid w:val="00834339"/>
    <w:rsid w:val="0083442A"/>
    <w:rsid w:val="008345D5"/>
    <w:rsid w:val="008346DB"/>
    <w:rsid w:val="00834812"/>
    <w:rsid w:val="00834820"/>
    <w:rsid w:val="00834BD6"/>
    <w:rsid w:val="00834D38"/>
    <w:rsid w:val="00834DA3"/>
    <w:rsid w:val="00834F04"/>
    <w:rsid w:val="00834F6C"/>
    <w:rsid w:val="0083504B"/>
    <w:rsid w:val="00835057"/>
    <w:rsid w:val="008350BB"/>
    <w:rsid w:val="00835185"/>
    <w:rsid w:val="008352A1"/>
    <w:rsid w:val="00835402"/>
    <w:rsid w:val="00835505"/>
    <w:rsid w:val="00835517"/>
    <w:rsid w:val="008355B9"/>
    <w:rsid w:val="008356C5"/>
    <w:rsid w:val="00835739"/>
    <w:rsid w:val="0083589A"/>
    <w:rsid w:val="00835A56"/>
    <w:rsid w:val="00835A60"/>
    <w:rsid w:val="00835A63"/>
    <w:rsid w:val="00835CA5"/>
    <w:rsid w:val="00835D1E"/>
    <w:rsid w:val="00835E8C"/>
    <w:rsid w:val="00835EE5"/>
    <w:rsid w:val="00835FB5"/>
    <w:rsid w:val="008360A5"/>
    <w:rsid w:val="008361F8"/>
    <w:rsid w:val="008362A5"/>
    <w:rsid w:val="00836316"/>
    <w:rsid w:val="00836427"/>
    <w:rsid w:val="00836791"/>
    <w:rsid w:val="008368CC"/>
    <w:rsid w:val="00836964"/>
    <w:rsid w:val="00836B55"/>
    <w:rsid w:val="00836CCE"/>
    <w:rsid w:val="00836DAF"/>
    <w:rsid w:val="00836E28"/>
    <w:rsid w:val="00836ECA"/>
    <w:rsid w:val="00837020"/>
    <w:rsid w:val="00837044"/>
    <w:rsid w:val="008371D1"/>
    <w:rsid w:val="008371F5"/>
    <w:rsid w:val="00837236"/>
    <w:rsid w:val="00837299"/>
    <w:rsid w:val="008374EC"/>
    <w:rsid w:val="00837634"/>
    <w:rsid w:val="00837692"/>
    <w:rsid w:val="0083770A"/>
    <w:rsid w:val="008379D2"/>
    <w:rsid w:val="00837BAD"/>
    <w:rsid w:val="0084000B"/>
    <w:rsid w:val="0084007C"/>
    <w:rsid w:val="008401E1"/>
    <w:rsid w:val="0084029F"/>
    <w:rsid w:val="008403FD"/>
    <w:rsid w:val="00840460"/>
    <w:rsid w:val="00840538"/>
    <w:rsid w:val="008406B0"/>
    <w:rsid w:val="0084083B"/>
    <w:rsid w:val="008408C1"/>
    <w:rsid w:val="008409D8"/>
    <w:rsid w:val="00840A8E"/>
    <w:rsid w:val="00840B15"/>
    <w:rsid w:val="00840B30"/>
    <w:rsid w:val="00840B8B"/>
    <w:rsid w:val="00840BDB"/>
    <w:rsid w:val="00840C7A"/>
    <w:rsid w:val="00840D5D"/>
    <w:rsid w:val="00840DCE"/>
    <w:rsid w:val="00840DD2"/>
    <w:rsid w:val="00840EC6"/>
    <w:rsid w:val="00840F64"/>
    <w:rsid w:val="00840FE3"/>
    <w:rsid w:val="008410F1"/>
    <w:rsid w:val="0084125E"/>
    <w:rsid w:val="0084128E"/>
    <w:rsid w:val="008412E1"/>
    <w:rsid w:val="00841377"/>
    <w:rsid w:val="008413D6"/>
    <w:rsid w:val="008413F2"/>
    <w:rsid w:val="008414FC"/>
    <w:rsid w:val="0084155B"/>
    <w:rsid w:val="008416ED"/>
    <w:rsid w:val="00841732"/>
    <w:rsid w:val="008418C2"/>
    <w:rsid w:val="008419D4"/>
    <w:rsid w:val="00841AB1"/>
    <w:rsid w:val="00841B4E"/>
    <w:rsid w:val="00841B6E"/>
    <w:rsid w:val="00841C8D"/>
    <w:rsid w:val="00841E88"/>
    <w:rsid w:val="00841F3B"/>
    <w:rsid w:val="00842202"/>
    <w:rsid w:val="00842203"/>
    <w:rsid w:val="008422BB"/>
    <w:rsid w:val="00842579"/>
    <w:rsid w:val="008427B8"/>
    <w:rsid w:val="008428E8"/>
    <w:rsid w:val="00842932"/>
    <w:rsid w:val="00842983"/>
    <w:rsid w:val="00842A45"/>
    <w:rsid w:val="00842B41"/>
    <w:rsid w:val="00842E92"/>
    <w:rsid w:val="00842F79"/>
    <w:rsid w:val="00842FE6"/>
    <w:rsid w:val="008431E6"/>
    <w:rsid w:val="00843241"/>
    <w:rsid w:val="00843246"/>
    <w:rsid w:val="00843426"/>
    <w:rsid w:val="00843429"/>
    <w:rsid w:val="0084345C"/>
    <w:rsid w:val="00843544"/>
    <w:rsid w:val="0084359C"/>
    <w:rsid w:val="008436B1"/>
    <w:rsid w:val="0084378E"/>
    <w:rsid w:val="008438BA"/>
    <w:rsid w:val="0084390A"/>
    <w:rsid w:val="00843965"/>
    <w:rsid w:val="00843A62"/>
    <w:rsid w:val="00843C03"/>
    <w:rsid w:val="00843DC1"/>
    <w:rsid w:val="0084409D"/>
    <w:rsid w:val="0084418F"/>
    <w:rsid w:val="008442FF"/>
    <w:rsid w:val="0084430E"/>
    <w:rsid w:val="00844501"/>
    <w:rsid w:val="0084450E"/>
    <w:rsid w:val="00844671"/>
    <w:rsid w:val="00844692"/>
    <w:rsid w:val="008447ED"/>
    <w:rsid w:val="008448AB"/>
    <w:rsid w:val="008448C7"/>
    <w:rsid w:val="008448DA"/>
    <w:rsid w:val="008449F2"/>
    <w:rsid w:val="00844A4A"/>
    <w:rsid w:val="00844BF8"/>
    <w:rsid w:val="00844D57"/>
    <w:rsid w:val="00844E49"/>
    <w:rsid w:val="00844E71"/>
    <w:rsid w:val="00844EE6"/>
    <w:rsid w:val="00844F89"/>
    <w:rsid w:val="00844FC3"/>
    <w:rsid w:val="00845164"/>
    <w:rsid w:val="00845475"/>
    <w:rsid w:val="0084569A"/>
    <w:rsid w:val="00845741"/>
    <w:rsid w:val="00845743"/>
    <w:rsid w:val="0084587F"/>
    <w:rsid w:val="008458F4"/>
    <w:rsid w:val="0084592F"/>
    <w:rsid w:val="00845B8E"/>
    <w:rsid w:val="00845BDE"/>
    <w:rsid w:val="00845FF7"/>
    <w:rsid w:val="00846149"/>
    <w:rsid w:val="008462C2"/>
    <w:rsid w:val="00846503"/>
    <w:rsid w:val="0084652C"/>
    <w:rsid w:val="008465D2"/>
    <w:rsid w:val="008467AC"/>
    <w:rsid w:val="008467C7"/>
    <w:rsid w:val="00846BBF"/>
    <w:rsid w:val="00846C21"/>
    <w:rsid w:val="00846CCE"/>
    <w:rsid w:val="00846D3A"/>
    <w:rsid w:val="00846D7C"/>
    <w:rsid w:val="00846DAB"/>
    <w:rsid w:val="00846DB0"/>
    <w:rsid w:val="00846DF3"/>
    <w:rsid w:val="00846EB7"/>
    <w:rsid w:val="00846EDC"/>
    <w:rsid w:val="00846F74"/>
    <w:rsid w:val="00847056"/>
    <w:rsid w:val="00847092"/>
    <w:rsid w:val="008471BD"/>
    <w:rsid w:val="00847326"/>
    <w:rsid w:val="00847331"/>
    <w:rsid w:val="008473E3"/>
    <w:rsid w:val="0084745E"/>
    <w:rsid w:val="008474CF"/>
    <w:rsid w:val="008474D7"/>
    <w:rsid w:val="008475EF"/>
    <w:rsid w:val="0084763A"/>
    <w:rsid w:val="00847661"/>
    <w:rsid w:val="008478B0"/>
    <w:rsid w:val="008478B5"/>
    <w:rsid w:val="008478BA"/>
    <w:rsid w:val="0084793D"/>
    <w:rsid w:val="00847AC5"/>
    <w:rsid w:val="00847DCE"/>
    <w:rsid w:val="00847E76"/>
    <w:rsid w:val="00847F01"/>
    <w:rsid w:val="00847F4B"/>
    <w:rsid w:val="0084C472"/>
    <w:rsid w:val="0084EB11"/>
    <w:rsid w:val="0085000E"/>
    <w:rsid w:val="0085002E"/>
    <w:rsid w:val="00850347"/>
    <w:rsid w:val="00850360"/>
    <w:rsid w:val="008503AA"/>
    <w:rsid w:val="0085040A"/>
    <w:rsid w:val="008504C4"/>
    <w:rsid w:val="00850616"/>
    <w:rsid w:val="00850633"/>
    <w:rsid w:val="008508D4"/>
    <w:rsid w:val="008509CF"/>
    <w:rsid w:val="00850A7B"/>
    <w:rsid w:val="00850B60"/>
    <w:rsid w:val="00850BCB"/>
    <w:rsid w:val="00850C44"/>
    <w:rsid w:val="00850C59"/>
    <w:rsid w:val="00850D1A"/>
    <w:rsid w:val="00850D61"/>
    <w:rsid w:val="00850ED8"/>
    <w:rsid w:val="00850F38"/>
    <w:rsid w:val="00851019"/>
    <w:rsid w:val="0085128A"/>
    <w:rsid w:val="008512A0"/>
    <w:rsid w:val="0085134F"/>
    <w:rsid w:val="008513B8"/>
    <w:rsid w:val="008513DA"/>
    <w:rsid w:val="008515E3"/>
    <w:rsid w:val="00851638"/>
    <w:rsid w:val="008516A5"/>
    <w:rsid w:val="008516B2"/>
    <w:rsid w:val="0085198B"/>
    <w:rsid w:val="00851A06"/>
    <w:rsid w:val="00851A53"/>
    <w:rsid w:val="00851ADA"/>
    <w:rsid w:val="00851C25"/>
    <w:rsid w:val="00851C74"/>
    <w:rsid w:val="00851E30"/>
    <w:rsid w:val="00851F68"/>
    <w:rsid w:val="00852189"/>
    <w:rsid w:val="0085234E"/>
    <w:rsid w:val="008523EF"/>
    <w:rsid w:val="008523FD"/>
    <w:rsid w:val="008524E5"/>
    <w:rsid w:val="008525D5"/>
    <w:rsid w:val="00852729"/>
    <w:rsid w:val="00852818"/>
    <w:rsid w:val="008528EF"/>
    <w:rsid w:val="008529BA"/>
    <w:rsid w:val="00852CAB"/>
    <w:rsid w:val="0085302F"/>
    <w:rsid w:val="008530E8"/>
    <w:rsid w:val="00853108"/>
    <w:rsid w:val="008532DB"/>
    <w:rsid w:val="0085343A"/>
    <w:rsid w:val="00853466"/>
    <w:rsid w:val="00853502"/>
    <w:rsid w:val="0085372E"/>
    <w:rsid w:val="00853735"/>
    <w:rsid w:val="00853737"/>
    <w:rsid w:val="008537F4"/>
    <w:rsid w:val="008538A9"/>
    <w:rsid w:val="008538B8"/>
    <w:rsid w:val="00853B60"/>
    <w:rsid w:val="00853C8B"/>
    <w:rsid w:val="00853E65"/>
    <w:rsid w:val="00853E94"/>
    <w:rsid w:val="00853EAE"/>
    <w:rsid w:val="00853F93"/>
    <w:rsid w:val="00853FB2"/>
    <w:rsid w:val="00853FF3"/>
    <w:rsid w:val="00854066"/>
    <w:rsid w:val="00854083"/>
    <w:rsid w:val="00854175"/>
    <w:rsid w:val="008541BD"/>
    <w:rsid w:val="008542B7"/>
    <w:rsid w:val="008543A2"/>
    <w:rsid w:val="008544E2"/>
    <w:rsid w:val="00854522"/>
    <w:rsid w:val="0085459C"/>
    <w:rsid w:val="00854719"/>
    <w:rsid w:val="00854751"/>
    <w:rsid w:val="00854766"/>
    <w:rsid w:val="00854823"/>
    <w:rsid w:val="00854854"/>
    <w:rsid w:val="0085494B"/>
    <w:rsid w:val="008549E5"/>
    <w:rsid w:val="00854DA8"/>
    <w:rsid w:val="00854E3D"/>
    <w:rsid w:val="00854E61"/>
    <w:rsid w:val="008550B7"/>
    <w:rsid w:val="008551EA"/>
    <w:rsid w:val="00855228"/>
    <w:rsid w:val="00855259"/>
    <w:rsid w:val="0085535C"/>
    <w:rsid w:val="0085535E"/>
    <w:rsid w:val="00855410"/>
    <w:rsid w:val="008557FE"/>
    <w:rsid w:val="00855802"/>
    <w:rsid w:val="0085594E"/>
    <w:rsid w:val="00855A15"/>
    <w:rsid w:val="00855A23"/>
    <w:rsid w:val="00855A3D"/>
    <w:rsid w:val="00855AD4"/>
    <w:rsid w:val="00855B1B"/>
    <w:rsid w:val="00855CCA"/>
    <w:rsid w:val="00855DB3"/>
    <w:rsid w:val="00855E96"/>
    <w:rsid w:val="00855F1D"/>
    <w:rsid w:val="0085605F"/>
    <w:rsid w:val="00856130"/>
    <w:rsid w:val="00856251"/>
    <w:rsid w:val="008562B1"/>
    <w:rsid w:val="008563EC"/>
    <w:rsid w:val="0085642C"/>
    <w:rsid w:val="008564E3"/>
    <w:rsid w:val="00856590"/>
    <w:rsid w:val="008565F8"/>
    <w:rsid w:val="008566DD"/>
    <w:rsid w:val="008566EC"/>
    <w:rsid w:val="0085674A"/>
    <w:rsid w:val="0085674F"/>
    <w:rsid w:val="008569EE"/>
    <w:rsid w:val="00856AF3"/>
    <w:rsid w:val="00856BD2"/>
    <w:rsid w:val="00856C69"/>
    <w:rsid w:val="00856E80"/>
    <w:rsid w:val="00856E94"/>
    <w:rsid w:val="00856EF8"/>
    <w:rsid w:val="008570DB"/>
    <w:rsid w:val="00857355"/>
    <w:rsid w:val="0085736C"/>
    <w:rsid w:val="00857421"/>
    <w:rsid w:val="0085746A"/>
    <w:rsid w:val="00857516"/>
    <w:rsid w:val="0085758D"/>
    <w:rsid w:val="00857591"/>
    <w:rsid w:val="00857638"/>
    <w:rsid w:val="0085766D"/>
    <w:rsid w:val="0085767B"/>
    <w:rsid w:val="00857750"/>
    <w:rsid w:val="008577F3"/>
    <w:rsid w:val="0085783B"/>
    <w:rsid w:val="00857876"/>
    <w:rsid w:val="00857A38"/>
    <w:rsid w:val="00857B46"/>
    <w:rsid w:val="00857D61"/>
    <w:rsid w:val="00857E25"/>
    <w:rsid w:val="00857E65"/>
    <w:rsid w:val="00857EA9"/>
    <w:rsid w:val="00857FC8"/>
    <w:rsid w:val="0086002F"/>
    <w:rsid w:val="008600D6"/>
    <w:rsid w:val="008600DE"/>
    <w:rsid w:val="00860195"/>
    <w:rsid w:val="008601C5"/>
    <w:rsid w:val="00860299"/>
    <w:rsid w:val="008602F2"/>
    <w:rsid w:val="00860331"/>
    <w:rsid w:val="00860524"/>
    <w:rsid w:val="00860588"/>
    <w:rsid w:val="008606B1"/>
    <w:rsid w:val="00860730"/>
    <w:rsid w:val="008607A9"/>
    <w:rsid w:val="008607F7"/>
    <w:rsid w:val="00860913"/>
    <w:rsid w:val="00860943"/>
    <w:rsid w:val="00860986"/>
    <w:rsid w:val="00860990"/>
    <w:rsid w:val="00860B4C"/>
    <w:rsid w:val="00860F4C"/>
    <w:rsid w:val="00860F57"/>
    <w:rsid w:val="00860F92"/>
    <w:rsid w:val="008610A9"/>
    <w:rsid w:val="008610E8"/>
    <w:rsid w:val="00861162"/>
    <w:rsid w:val="008611E5"/>
    <w:rsid w:val="00861200"/>
    <w:rsid w:val="00861217"/>
    <w:rsid w:val="008612FD"/>
    <w:rsid w:val="00861377"/>
    <w:rsid w:val="00861385"/>
    <w:rsid w:val="00861655"/>
    <w:rsid w:val="0086167C"/>
    <w:rsid w:val="00861849"/>
    <w:rsid w:val="00861871"/>
    <w:rsid w:val="008619AD"/>
    <w:rsid w:val="00861A6F"/>
    <w:rsid w:val="00861B00"/>
    <w:rsid w:val="00861B32"/>
    <w:rsid w:val="00861E38"/>
    <w:rsid w:val="00861FD2"/>
    <w:rsid w:val="00862107"/>
    <w:rsid w:val="0086222F"/>
    <w:rsid w:val="00862285"/>
    <w:rsid w:val="0086228C"/>
    <w:rsid w:val="0086255B"/>
    <w:rsid w:val="00862630"/>
    <w:rsid w:val="008626CF"/>
    <w:rsid w:val="00862836"/>
    <w:rsid w:val="00862857"/>
    <w:rsid w:val="008629AA"/>
    <w:rsid w:val="008629BA"/>
    <w:rsid w:val="008629DE"/>
    <w:rsid w:val="00862C7B"/>
    <w:rsid w:val="00862D60"/>
    <w:rsid w:val="00862E10"/>
    <w:rsid w:val="00862EB0"/>
    <w:rsid w:val="00862EB1"/>
    <w:rsid w:val="0086305E"/>
    <w:rsid w:val="00863161"/>
    <w:rsid w:val="008631BE"/>
    <w:rsid w:val="0086326E"/>
    <w:rsid w:val="00863336"/>
    <w:rsid w:val="008634EF"/>
    <w:rsid w:val="00863612"/>
    <w:rsid w:val="0086364E"/>
    <w:rsid w:val="0086369A"/>
    <w:rsid w:val="00863829"/>
    <w:rsid w:val="00863A2F"/>
    <w:rsid w:val="00863A4E"/>
    <w:rsid w:val="00863B34"/>
    <w:rsid w:val="00863C8F"/>
    <w:rsid w:val="00863CAF"/>
    <w:rsid w:val="00863DDD"/>
    <w:rsid w:val="00863EEE"/>
    <w:rsid w:val="00863F1F"/>
    <w:rsid w:val="00863F6B"/>
    <w:rsid w:val="00863F9A"/>
    <w:rsid w:val="0086403F"/>
    <w:rsid w:val="00864126"/>
    <w:rsid w:val="00864179"/>
    <w:rsid w:val="008642A0"/>
    <w:rsid w:val="0086440A"/>
    <w:rsid w:val="0086444C"/>
    <w:rsid w:val="0086459F"/>
    <w:rsid w:val="008645F5"/>
    <w:rsid w:val="008647BD"/>
    <w:rsid w:val="008647CF"/>
    <w:rsid w:val="00864832"/>
    <w:rsid w:val="008648CC"/>
    <w:rsid w:val="00864978"/>
    <w:rsid w:val="0086497D"/>
    <w:rsid w:val="00864B27"/>
    <w:rsid w:val="00864B8A"/>
    <w:rsid w:val="00864C3A"/>
    <w:rsid w:val="00864D98"/>
    <w:rsid w:val="00864EA2"/>
    <w:rsid w:val="00865009"/>
    <w:rsid w:val="00865106"/>
    <w:rsid w:val="00865170"/>
    <w:rsid w:val="008652AC"/>
    <w:rsid w:val="008652D0"/>
    <w:rsid w:val="00865333"/>
    <w:rsid w:val="00865529"/>
    <w:rsid w:val="00865586"/>
    <w:rsid w:val="00865673"/>
    <w:rsid w:val="008656CA"/>
    <w:rsid w:val="008656D4"/>
    <w:rsid w:val="008656FF"/>
    <w:rsid w:val="0086572F"/>
    <w:rsid w:val="0086579A"/>
    <w:rsid w:val="008657A6"/>
    <w:rsid w:val="0086581F"/>
    <w:rsid w:val="0086585F"/>
    <w:rsid w:val="00865A3C"/>
    <w:rsid w:val="00865ACE"/>
    <w:rsid w:val="00865B20"/>
    <w:rsid w:val="00865B75"/>
    <w:rsid w:val="00865C0B"/>
    <w:rsid w:val="00865CFA"/>
    <w:rsid w:val="00865E1D"/>
    <w:rsid w:val="00865E22"/>
    <w:rsid w:val="00865E7A"/>
    <w:rsid w:val="00865F66"/>
    <w:rsid w:val="00865F73"/>
    <w:rsid w:val="00865FB0"/>
    <w:rsid w:val="00866086"/>
    <w:rsid w:val="0086614A"/>
    <w:rsid w:val="008661A9"/>
    <w:rsid w:val="00866248"/>
    <w:rsid w:val="008663A5"/>
    <w:rsid w:val="008663A9"/>
    <w:rsid w:val="0086654A"/>
    <w:rsid w:val="0086661E"/>
    <w:rsid w:val="008666C2"/>
    <w:rsid w:val="008667CF"/>
    <w:rsid w:val="00866BFB"/>
    <w:rsid w:val="00866C52"/>
    <w:rsid w:val="00866EB6"/>
    <w:rsid w:val="00867027"/>
    <w:rsid w:val="0086705A"/>
    <w:rsid w:val="008671A7"/>
    <w:rsid w:val="008671BD"/>
    <w:rsid w:val="00867208"/>
    <w:rsid w:val="008672A4"/>
    <w:rsid w:val="00867381"/>
    <w:rsid w:val="0086746D"/>
    <w:rsid w:val="0086750E"/>
    <w:rsid w:val="00867518"/>
    <w:rsid w:val="0086757B"/>
    <w:rsid w:val="008676BA"/>
    <w:rsid w:val="00867787"/>
    <w:rsid w:val="00867AFC"/>
    <w:rsid w:val="00867C3A"/>
    <w:rsid w:val="00867C6B"/>
    <w:rsid w:val="00867C87"/>
    <w:rsid w:val="00867CBD"/>
    <w:rsid w:val="00867CD6"/>
    <w:rsid w:val="00867D64"/>
    <w:rsid w:val="00867E02"/>
    <w:rsid w:val="0087004C"/>
    <w:rsid w:val="008700CA"/>
    <w:rsid w:val="00870172"/>
    <w:rsid w:val="008701A4"/>
    <w:rsid w:val="00870265"/>
    <w:rsid w:val="008702E1"/>
    <w:rsid w:val="0087031B"/>
    <w:rsid w:val="0087037D"/>
    <w:rsid w:val="0087049A"/>
    <w:rsid w:val="008704E4"/>
    <w:rsid w:val="008704EC"/>
    <w:rsid w:val="00870503"/>
    <w:rsid w:val="0087054A"/>
    <w:rsid w:val="0087057E"/>
    <w:rsid w:val="008705F3"/>
    <w:rsid w:val="008705FE"/>
    <w:rsid w:val="00870623"/>
    <w:rsid w:val="008707E9"/>
    <w:rsid w:val="00870830"/>
    <w:rsid w:val="00870868"/>
    <w:rsid w:val="008708B8"/>
    <w:rsid w:val="0087097F"/>
    <w:rsid w:val="008709DA"/>
    <w:rsid w:val="00870A5D"/>
    <w:rsid w:val="00870B6E"/>
    <w:rsid w:val="00870D38"/>
    <w:rsid w:val="00870D89"/>
    <w:rsid w:val="00870EED"/>
    <w:rsid w:val="00870F68"/>
    <w:rsid w:val="0087106C"/>
    <w:rsid w:val="00871080"/>
    <w:rsid w:val="008710ED"/>
    <w:rsid w:val="0087134D"/>
    <w:rsid w:val="008714A1"/>
    <w:rsid w:val="008715B9"/>
    <w:rsid w:val="008716E9"/>
    <w:rsid w:val="008718C0"/>
    <w:rsid w:val="00871CEB"/>
    <w:rsid w:val="00871D31"/>
    <w:rsid w:val="00871E58"/>
    <w:rsid w:val="00871EB2"/>
    <w:rsid w:val="00871F8E"/>
    <w:rsid w:val="00871F9D"/>
    <w:rsid w:val="00871FEB"/>
    <w:rsid w:val="0087211A"/>
    <w:rsid w:val="00872169"/>
    <w:rsid w:val="0087220F"/>
    <w:rsid w:val="0087225C"/>
    <w:rsid w:val="0087228A"/>
    <w:rsid w:val="008722BA"/>
    <w:rsid w:val="008722E8"/>
    <w:rsid w:val="008723B8"/>
    <w:rsid w:val="008724C7"/>
    <w:rsid w:val="008727D9"/>
    <w:rsid w:val="008728F9"/>
    <w:rsid w:val="00872914"/>
    <w:rsid w:val="00872926"/>
    <w:rsid w:val="008729AA"/>
    <w:rsid w:val="00872A6D"/>
    <w:rsid w:val="00872AC0"/>
    <w:rsid w:val="00872AD8"/>
    <w:rsid w:val="00872BCD"/>
    <w:rsid w:val="00872BEE"/>
    <w:rsid w:val="00872EBC"/>
    <w:rsid w:val="00873056"/>
    <w:rsid w:val="00873135"/>
    <w:rsid w:val="0087314C"/>
    <w:rsid w:val="00873212"/>
    <w:rsid w:val="008733AF"/>
    <w:rsid w:val="008733D2"/>
    <w:rsid w:val="008736F5"/>
    <w:rsid w:val="00873A12"/>
    <w:rsid w:val="00873CD0"/>
    <w:rsid w:val="00873D4E"/>
    <w:rsid w:val="00873D7B"/>
    <w:rsid w:val="00873F36"/>
    <w:rsid w:val="00873F8C"/>
    <w:rsid w:val="008740BF"/>
    <w:rsid w:val="00874169"/>
    <w:rsid w:val="00874231"/>
    <w:rsid w:val="00874242"/>
    <w:rsid w:val="0087428A"/>
    <w:rsid w:val="0087435D"/>
    <w:rsid w:val="0087463E"/>
    <w:rsid w:val="008748C8"/>
    <w:rsid w:val="008749E8"/>
    <w:rsid w:val="008749F3"/>
    <w:rsid w:val="00874B86"/>
    <w:rsid w:val="00874BA1"/>
    <w:rsid w:val="00874C14"/>
    <w:rsid w:val="00874C47"/>
    <w:rsid w:val="00874CEA"/>
    <w:rsid w:val="00874EF2"/>
    <w:rsid w:val="00874FB6"/>
    <w:rsid w:val="008752F3"/>
    <w:rsid w:val="0087531F"/>
    <w:rsid w:val="00875438"/>
    <w:rsid w:val="0087548E"/>
    <w:rsid w:val="00875586"/>
    <w:rsid w:val="008758F3"/>
    <w:rsid w:val="0087594D"/>
    <w:rsid w:val="008759D5"/>
    <w:rsid w:val="00875A38"/>
    <w:rsid w:val="00875A4D"/>
    <w:rsid w:val="00875ACF"/>
    <w:rsid w:val="00875B00"/>
    <w:rsid w:val="00875C0E"/>
    <w:rsid w:val="00875C6C"/>
    <w:rsid w:val="00875DCF"/>
    <w:rsid w:val="00875E52"/>
    <w:rsid w:val="00875EB6"/>
    <w:rsid w:val="00875FEF"/>
    <w:rsid w:val="00875FF9"/>
    <w:rsid w:val="00876010"/>
    <w:rsid w:val="00876025"/>
    <w:rsid w:val="00876028"/>
    <w:rsid w:val="00876041"/>
    <w:rsid w:val="00876062"/>
    <w:rsid w:val="00876088"/>
    <w:rsid w:val="008760B6"/>
    <w:rsid w:val="008762E5"/>
    <w:rsid w:val="00876372"/>
    <w:rsid w:val="0087639F"/>
    <w:rsid w:val="008763F4"/>
    <w:rsid w:val="0087667B"/>
    <w:rsid w:val="00876903"/>
    <w:rsid w:val="00876932"/>
    <w:rsid w:val="00876A76"/>
    <w:rsid w:val="00876B28"/>
    <w:rsid w:val="00876B2B"/>
    <w:rsid w:val="00876C22"/>
    <w:rsid w:val="00876CB9"/>
    <w:rsid w:val="00876EDD"/>
    <w:rsid w:val="00876FA7"/>
    <w:rsid w:val="00876FEE"/>
    <w:rsid w:val="00877171"/>
    <w:rsid w:val="0087719C"/>
    <w:rsid w:val="008771D4"/>
    <w:rsid w:val="008771EC"/>
    <w:rsid w:val="008771F7"/>
    <w:rsid w:val="00877267"/>
    <w:rsid w:val="00877282"/>
    <w:rsid w:val="008772CB"/>
    <w:rsid w:val="008772FD"/>
    <w:rsid w:val="0087739C"/>
    <w:rsid w:val="0087755F"/>
    <w:rsid w:val="008775FD"/>
    <w:rsid w:val="008776C0"/>
    <w:rsid w:val="008776E4"/>
    <w:rsid w:val="00877855"/>
    <w:rsid w:val="00877899"/>
    <w:rsid w:val="00877924"/>
    <w:rsid w:val="00877965"/>
    <w:rsid w:val="00877981"/>
    <w:rsid w:val="00877990"/>
    <w:rsid w:val="00877A74"/>
    <w:rsid w:val="00877C69"/>
    <w:rsid w:val="00877CED"/>
    <w:rsid w:val="00877D4B"/>
    <w:rsid w:val="00877D50"/>
    <w:rsid w:val="00877D78"/>
    <w:rsid w:val="00877D87"/>
    <w:rsid w:val="00877FA2"/>
    <w:rsid w:val="00880034"/>
    <w:rsid w:val="00880045"/>
    <w:rsid w:val="0088008A"/>
    <w:rsid w:val="008800FA"/>
    <w:rsid w:val="0088027B"/>
    <w:rsid w:val="00880315"/>
    <w:rsid w:val="008803E7"/>
    <w:rsid w:val="008804ED"/>
    <w:rsid w:val="00880647"/>
    <w:rsid w:val="00880650"/>
    <w:rsid w:val="00880675"/>
    <w:rsid w:val="0088068E"/>
    <w:rsid w:val="00880868"/>
    <w:rsid w:val="008809D3"/>
    <w:rsid w:val="00880B94"/>
    <w:rsid w:val="00880BCD"/>
    <w:rsid w:val="00880D11"/>
    <w:rsid w:val="00880D18"/>
    <w:rsid w:val="00880DE8"/>
    <w:rsid w:val="00880E2D"/>
    <w:rsid w:val="00881056"/>
    <w:rsid w:val="008812F2"/>
    <w:rsid w:val="00881302"/>
    <w:rsid w:val="00881338"/>
    <w:rsid w:val="008813C8"/>
    <w:rsid w:val="00881471"/>
    <w:rsid w:val="008815DC"/>
    <w:rsid w:val="00881661"/>
    <w:rsid w:val="00881765"/>
    <w:rsid w:val="0088179C"/>
    <w:rsid w:val="0088180D"/>
    <w:rsid w:val="008818D4"/>
    <w:rsid w:val="0088190B"/>
    <w:rsid w:val="008819CD"/>
    <w:rsid w:val="00881A80"/>
    <w:rsid w:val="00881ABB"/>
    <w:rsid w:val="00881AD7"/>
    <w:rsid w:val="00881B02"/>
    <w:rsid w:val="00881B47"/>
    <w:rsid w:val="00881B98"/>
    <w:rsid w:val="00881CC2"/>
    <w:rsid w:val="00881D50"/>
    <w:rsid w:val="00881D67"/>
    <w:rsid w:val="00881DE6"/>
    <w:rsid w:val="00881E02"/>
    <w:rsid w:val="00881E0F"/>
    <w:rsid w:val="00881E70"/>
    <w:rsid w:val="00881EAE"/>
    <w:rsid w:val="00882000"/>
    <w:rsid w:val="00882006"/>
    <w:rsid w:val="0088204B"/>
    <w:rsid w:val="008820DA"/>
    <w:rsid w:val="008820F9"/>
    <w:rsid w:val="0088215D"/>
    <w:rsid w:val="0088215E"/>
    <w:rsid w:val="008821E3"/>
    <w:rsid w:val="00882211"/>
    <w:rsid w:val="008822A8"/>
    <w:rsid w:val="008824C4"/>
    <w:rsid w:val="00882584"/>
    <w:rsid w:val="00882808"/>
    <w:rsid w:val="008828E7"/>
    <w:rsid w:val="00882958"/>
    <w:rsid w:val="008829A6"/>
    <w:rsid w:val="00882A58"/>
    <w:rsid w:val="00882D90"/>
    <w:rsid w:val="00882DA7"/>
    <w:rsid w:val="00882DF1"/>
    <w:rsid w:val="00882F8F"/>
    <w:rsid w:val="00882FB9"/>
    <w:rsid w:val="00882FEA"/>
    <w:rsid w:val="008830C2"/>
    <w:rsid w:val="008831DD"/>
    <w:rsid w:val="008833BE"/>
    <w:rsid w:val="008834D0"/>
    <w:rsid w:val="0088365D"/>
    <w:rsid w:val="0088370C"/>
    <w:rsid w:val="00883833"/>
    <w:rsid w:val="00883A8D"/>
    <w:rsid w:val="00883B0D"/>
    <w:rsid w:val="00883B9D"/>
    <w:rsid w:val="00883CE1"/>
    <w:rsid w:val="00883E7A"/>
    <w:rsid w:val="00883FE1"/>
    <w:rsid w:val="008840AA"/>
    <w:rsid w:val="00884144"/>
    <w:rsid w:val="008841B1"/>
    <w:rsid w:val="0088428A"/>
    <w:rsid w:val="008842D7"/>
    <w:rsid w:val="0088437B"/>
    <w:rsid w:val="0088450D"/>
    <w:rsid w:val="0088464A"/>
    <w:rsid w:val="008848EE"/>
    <w:rsid w:val="00884945"/>
    <w:rsid w:val="0088499C"/>
    <w:rsid w:val="008849F8"/>
    <w:rsid w:val="00884B7B"/>
    <w:rsid w:val="00884BA1"/>
    <w:rsid w:val="00884BDD"/>
    <w:rsid w:val="00884CAD"/>
    <w:rsid w:val="00884CD0"/>
    <w:rsid w:val="00884CD5"/>
    <w:rsid w:val="00884CFC"/>
    <w:rsid w:val="00884D17"/>
    <w:rsid w:val="00884F75"/>
    <w:rsid w:val="008850A2"/>
    <w:rsid w:val="008850E4"/>
    <w:rsid w:val="00885207"/>
    <w:rsid w:val="00885288"/>
    <w:rsid w:val="008854B3"/>
    <w:rsid w:val="0088552F"/>
    <w:rsid w:val="008855B4"/>
    <w:rsid w:val="008855EC"/>
    <w:rsid w:val="008857AA"/>
    <w:rsid w:val="00885A25"/>
    <w:rsid w:val="00885A63"/>
    <w:rsid w:val="00885C6C"/>
    <w:rsid w:val="00885CA4"/>
    <w:rsid w:val="00885D2E"/>
    <w:rsid w:val="00885E14"/>
    <w:rsid w:val="00885E1D"/>
    <w:rsid w:val="00885E73"/>
    <w:rsid w:val="00885EAB"/>
    <w:rsid w:val="00885EBD"/>
    <w:rsid w:val="00885F4C"/>
    <w:rsid w:val="0088613F"/>
    <w:rsid w:val="0088616A"/>
    <w:rsid w:val="0088622D"/>
    <w:rsid w:val="008862A0"/>
    <w:rsid w:val="008862EF"/>
    <w:rsid w:val="00886365"/>
    <w:rsid w:val="00886600"/>
    <w:rsid w:val="00886766"/>
    <w:rsid w:val="00886909"/>
    <w:rsid w:val="00886A63"/>
    <w:rsid w:val="00886A8D"/>
    <w:rsid w:val="00886ADA"/>
    <w:rsid w:val="00886BB1"/>
    <w:rsid w:val="00886C58"/>
    <w:rsid w:val="00886CE4"/>
    <w:rsid w:val="00886DDA"/>
    <w:rsid w:val="00886E32"/>
    <w:rsid w:val="00886E3D"/>
    <w:rsid w:val="00886F5C"/>
    <w:rsid w:val="00886F67"/>
    <w:rsid w:val="00886FCB"/>
    <w:rsid w:val="00886FE6"/>
    <w:rsid w:val="00886FE8"/>
    <w:rsid w:val="00887113"/>
    <w:rsid w:val="00887121"/>
    <w:rsid w:val="0088721F"/>
    <w:rsid w:val="008872BB"/>
    <w:rsid w:val="00887451"/>
    <w:rsid w:val="008874D1"/>
    <w:rsid w:val="008874E0"/>
    <w:rsid w:val="0088758A"/>
    <w:rsid w:val="00887609"/>
    <w:rsid w:val="0088783A"/>
    <w:rsid w:val="0088784F"/>
    <w:rsid w:val="00887868"/>
    <w:rsid w:val="00887890"/>
    <w:rsid w:val="008878FF"/>
    <w:rsid w:val="00887AD9"/>
    <w:rsid w:val="00887AE5"/>
    <w:rsid w:val="00887BB4"/>
    <w:rsid w:val="00887BC7"/>
    <w:rsid w:val="00887C0C"/>
    <w:rsid w:val="00887C4E"/>
    <w:rsid w:val="00887C8A"/>
    <w:rsid w:val="00887FA8"/>
    <w:rsid w:val="00890003"/>
    <w:rsid w:val="00890238"/>
    <w:rsid w:val="00890414"/>
    <w:rsid w:val="00890491"/>
    <w:rsid w:val="00890532"/>
    <w:rsid w:val="0089069B"/>
    <w:rsid w:val="00890725"/>
    <w:rsid w:val="00890909"/>
    <w:rsid w:val="008909A9"/>
    <w:rsid w:val="00890A22"/>
    <w:rsid w:val="00890A25"/>
    <w:rsid w:val="00890BA4"/>
    <w:rsid w:val="00890BD7"/>
    <w:rsid w:val="00890E26"/>
    <w:rsid w:val="00890E9C"/>
    <w:rsid w:val="00890F56"/>
    <w:rsid w:val="00890F9B"/>
    <w:rsid w:val="00890FFC"/>
    <w:rsid w:val="00891015"/>
    <w:rsid w:val="0089113F"/>
    <w:rsid w:val="00891265"/>
    <w:rsid w:val="008912C7"/>
    <w:rsid w:val="00891335"/>
    <w:rsid w:val="00891396"/>
    <w:rsid w:val="00891410"/>
    <w:rsid w:val="0089143A"/>
    <w:rsid w:val="00891673"/>
    <w:rsid w:val="0089169B"/>
    <w:rsid w:val="00891913"/>
    <w:rsid w:val="0089196C"/>
    <w:rsid w:val="00891A6E"/>
    <w:rsid w:val="00891CF4"/>
    <w:rsid w:val="00891D42"/>
    <w:rsid w:val="00891D5C"/>
    <w:rsid w:val="00891DB4"/>
    <w:rsid w:val="00892052"/>
    <w:rsid w:val="00892232"/>
    <w:rsid w:val="008922F1"/>
    <w:rsid w:val="008923CA"/>
    <w:rsid w:val="008923D3"/>
    <w:rsid w:val="00892531"/>
    <w:rsid w:val="00892768"/>
    <w:rsid w:val="008927BD"/>
    <w:rsid w:val="00892823"/>
    <w:rsid w:val="008929BE"/>
    <w:rsid w:val="008929C2"/>
    <w:rsid w:val="00892BCC"/>
    <w:rsid w:val="00892C18"/>
    <w:rsid w:val="00892C8D"/>
    <w:rsid w:val="00892D6C"/>
    <w:rsid w:val="00892F2A"/>
    <w:rsid w:val="00892F9A"/>
    <w:rsid w:val="00893101"/>
    <w:rsid w:val="00893126"/>
    <w:rsid w:val="00893140"/>
    <w:rsid w:val="008931A1"/>
    <w:rsid w:val="008932D7"/>
    <w:rsid w:val="008933FE"/>
    <w:rsid w:val="0089347A"/>
    <w:rsid w:val="00893544"/>
    <w:rsid w:val="00893719"/>
    <w:rsid w:val="00893750"/>
    <w:rsid w:val="0089377E"/>
    <w:rsid w:val="0089379B"/>
    <w:rsid w:val="008937AA"/>
    <w:rsid w:val="00893937"/>
    <w:rsid w:val="00893999"/>
    <w:rsid w:val="008939A2"/>
    <w:rsid w:val="008939E8"/>
    <w:rsid w:val="00893B4A"/>
    <w:rsid w:val="00893C14"/>
    <w:rsid w:val="00893DEF"/>
    <w:rsid w:val="00893E50"/>
    <w:rsid w:val="00893F33"/>
    <w:rsid w:val="00894001"/>
    <w:rsid w:val="008941B7"/>
    <w:rsid w:val="0089423F"/>
    <w:rsid w:val="008942BA"/>
    <w:rsid w:val="008942CB"/>
    <w:rsid w:val="0089441F"/>
    <w:rsid w:val="00894427"/>
    <w:rsid w:val="00894480"/>
    <w:rsid w:val="00894497"/>
    <w:rsid w:val="0089452D"/>
    <w:rsid w:val="0089458C"/>
    <w:rsid w:val="008945E5"/>
    <w:rsid w:val="0089461F"/>
    <w:rsid w:val="008948D4"/>
    <w:rsid w:val="008949F0"/>
    <w:rsid w:val="00894AC3"/>
    <w:rsid w:val="00894AD8"/>
    <w:rsid w:val="00894B60"/>
    <w:rsid w:val="00894CB5"/>
    <w:rsid w:val="00894CD1"/>
    <w:rsid w:val="00894D7D"/>
    <w:rsid w:val="00894E9B"/>
    <w:rsid w:val="00894E9D"/>
    <w:rsid w:val="00894EF2"/>
    <w:rsid w:val="00894F74"/>
    <w:rsid w:val="008950D3"/>
    <w:rsid w:val="008951FB"/>
    <w:rsid w:val="00895287"/>
    <w:rsid w:val="008952BB"/>
    <w:rsid w:val="00895409"/>
    <w:rsid w:val="0089546F"/>
    <w:rsid w:val="00895693"/>
    <w:rsid w:val="00895996"/>
    <w:rsid w:val="00895ABE"/>
    <w:rsid w:val="00895B60"/>
    <w:rsid w:val="00895B8C"/>
    <w:rsid w:val="00895D74"/>
    <w:rsid w:val="00895DAC"/>
    <w:rsid w:val="00895E54"/>
    <w:rsid w:val="00895E84"/>
    <w:rsid w:val="00895FA1"/>
    <w:rsid w:val="00896214"/>
    <w:rsid w:val="00896249"/>
    <w:rsid w:val="00896367"/>
    <w:rsid w:val="00896706"/>
    <w:rsid w:val="00896721"/>
    <w:rsid w:val="00896767"/>
    <w:rsid w:val="008967D9"/>
    <w:rsid w:val="0089680F"/>
    <w:rsid w:val="008968EB"/>
    <w:rsid w:val="0089697E"/>
    <w:rsid w:val="00896A5B"/>
    <w:rsid w:val="00896A69"/>
    <w:rsid w:val="00896BBC"/>
    <w:rsid w:val="00896C0D"/>
    <w:rsid w:val="00896C61"/>
    <w:rsid w:val="00896F5E"/>
    <w:rsid w:val="00896F8C"/>
    <w:rsid w:val="0089703B"/>
    <w:rsid w:val="008970DD"/>
    <w:rsid w:val="008971B5"/>
    <w:rsid w:val="00897335"/>
    <w:rsid w:val="008973D7"/>
    <w:rsid w:val="00897427"/>
    <w:rsid w:val="00897518"/>
    <w:rsid w:val="0089755E"/>
    <w:rsid w:val="00897616"/>
    <w:rsid w:val="0089761E"/>
    <w:rsid w:val="00897689"/>
    <w:rsid w:val="00897747"/>
    <w:rsid w:val="008977CD"/>
    <w:rsid w:val="00897999"/>
    <w:rsid w:val="008979C0"/>
    <w:rsid w:val="00897A6F"/>
    <w:rsid w:val="00897AE5"/>
    <w:rsid w:val="00897B5F"/>
    <w:rsid w:val="00897D3C"/>
    <w:rsid w:val="00897E0C"/>
    <w:rsid w:val="00897F7F"/>
    <w:rsid w:val="00897FEE"/>
    <w:rsid w:val="008A0123"/>
    <w:rsid w:val="008A0128"/>
    <w:rsid w:val="008A0169"/>
    <w:rsid w:val="008A01AB"/>
    <w:rsid w:val="008A0224"/>
    <w:rsid w:val="008A028E"/>
    <w:rsid w:val="008A036E"/>
    <w:rsid w:val="008A0529"/>
    <w:rsid w:val="008A0683"/>
    <w:rsid w:val="008A07CD"/>
    <w:rsid w:val="008A07DD"/>
    <w:rsid w:val="008A0898"/>
    <w:rsid w:val="008A09A3"/>
    <w:rsid w:val="008A0ADA"/>
    <w:rsid w:val="008A0CAF"/>
    <w:rsid w:val="008A0DD0"/>
    <w:rsid w:val="008A0F2E"/>
    <w:rsid w:val="008A110E"/>
    <w:rsid w:val="008A1114"/>
    <w:rsid w:val="008A113A"/>
    <w:rsid w:val="008A1294"/>
    <w:rsid w:val="008A13E4"/>
    <w:rsid w:val="008A145E"/>
    <w:rsid w:val="008A155B"/>
    <w:rsid w:val="008A1723"/>
    <w:rsid w:val="008A177C"/>
    <w:rsid w:val="008A18EE"/>
    <w:rsid w:val="008A194F"/>
    <w:rsid w:val="008A197A"/>
    <w:rsid w:val="008A1A74"/>
    <w:rsid w:val="008A1AC8"/>
    <w:rsid w:val="008A1D64"/>
    <w:rsid w:val="008A1DB3"/>
    <w:rsid w:val="008A1DEA"/>
    <w:rsid w:val="008A1E67"/>
    <w:rsid w:val="008A1E7B"/>
    <w:rsid w:val="008A2007"/>
    <w:rsid w:val="008A20B1"/>
    <w:rsid w:val="008A2135"/>
    <w:rsid w:val="008A2395"/>
    <w:rsid w:val="008A247B"/>
    <w:rsid w:val="008A24B3"/>
    <w:rsid w:val="008A2522"/>
    <w:rsid w:val="008A270F"/>
    <w:rsid w:val="008A282A"/>
    <w:rsid w:val="008A2855"/>
    <w:rsid w:val="008A2A21"/>
    <w:rsid w:val="008A2AAF"/>
    <w:rsid w:val="008A2B0C"/>
    <w:rsid w:val="008A2B84"/>
    <w:rsid w:val="008A2BF2"/>
    <w:rsid w:val="008A2C63"/>
    <w:rsid w:val="008A2CE9"/>
    <w:rsid w:val="008A2CF2"/>
    <w:rsid w:val="008A2DA5"/>
    <w:rsid w:val="008A2DC2"/>
    <w:rsid w:val="008A2E08"/>
    <w:rsid w:val="008A3014"/>
    <w:rsid w:val="008A3039"/>
    <w:rsid w:val="008A327B"/>
    <w:rsid w:val="008A327C"/>
    <w:rsid w:val="008A32C5"/>
    <w:rsid w:val="008A32ED"/>
    <w:rsid w:val="008A33F4"/>
    <w:rsid w:val="008A3512"/>
    <w:rsid w:val="008A3527"/>
    <w:rsid w:val="008A3847"/>
    <w:rsid w:val="008A3884"/>
    <w:rsid w:val="008A3894"/>
    <w:rsid w:val="008A38B3"/>
    <w:rsid w:val="008A3A56"/>
    <w:rsid w:val="008A3B33"/>
    <w:rsid w:val="008A3BA3"/>
    <w:rsid w:val="008A3F9D"/>
    <w:rsid w:val="008A403B"/>
    <w:rsid w:val="008A405C"/>
    <w:rsid w:val="008A405E"/>
    <w:rsid w:val="008A410B"/>
    <w:rsid w:val="008A4259"/>
    <w:rsid w:val="008A42A8"/>
    <w:rsid w:val="008A4520"/>
    <w:rsid w:val="008A46CE"/>
    <w:rsid w:val="008A47BA"/>
    <w:rsid w:val="008A482E"/>
    <w:rsid w:val="008A48EF"/>
    <w:rsid w:val="008A496B"/>
    <w:rsid w:val="008A4A9A"/>
    <w:rsid w:val="008A4B1E"/>
    <w:rsid w:val="008A4BE2"/>
    <w:rsid w:val="008A4C35"/>
    <w:rsid w:val="008A4D3A"/>
    <w:rsid w:val="008A4D54"/>
    <w:rsid w:val="008A4DD1"/>
    <w:rsid w:val="008A51A2"/>
    <w:rsid w:val="008A51C6"/>
    <w:rsid w:val="008A51D2"/>
    <w:rsid w:val="008A5238"/>
    <w:rsid w:val="008A5510"/>
    <w:rsid w:val="008A5618"/>
    <w:rsid w:val="008A5692"/>
    <w:rsid w:val="008A56EB"/>
    <w:rsid w:val="008A5736"/>
    <w:rsid w:val="008A5830"/>
    <w:rsid w:val="008A58CB"/>
    <w:rsid w:val="008A59BA"/>
    <w:rsid w:val="008A59D2"/>
    <w:rsid w:val="008A5A4A"/>
    <w:rsid w:val="008A5AA8"/>
    <w:rsid w:val="008A5B5B"/>
    <w:rsid w:val="008A5B6A"/>
    <w:rsid w:val="008A5C09"/>
    <w:rsid w:val="008A5C1B"/>
    <w:rsid w:val="008A5C38"/>
    <w:rsid w:val="008A5C7F"/>
    <w:rsid w:val="008A5D0A"/>
    <w:rsid w:val="008A5D54"/>
    <w:rsid w:val="008A5D5D"/>
    <w:rsid w:val="008A5DB3"/>
    <w:rsid w:val="008A5EAA"/>
    <w:rsid w:val="008A5F80"/>
    <w:rsid w:val="008A60A3"/>
    <w:rsid w:val="008A618E"/>
    <w:rsid w:val="008A63B2"/>
    <w:rsid w:val="008A6482"/>
    <w:rsid w:val="008A65DE"/>
    <w:rsid w:val="008A666E"/>
    <w:rsid w:val="008A686D"/>
    <w:rsid w:val="008A6938"/>
    <w:rsid w:val="008A6990"/>
    <w:rsid w:val="008A69FC"/>
    <w:rsid w:val="008A6CF2"/>
    <w:rsid w:val="008A6F0C"/>
    <w:rsid w:val="008A70FD"/>
    <w:rsid w:val="008A71D0"/>
    <w:rsid w:val="008A7297"/>
    <w:rsid w:val="008A74C5"/>
    <w:rsid w:val="008A7A74"/>
    <w:rsid w:val="008A7CA6"/>
    <w:rsid w:val="008A7D8C"/>
    <w:rsid w:val="008A7DBC"/>
    <w:rsid w:val="008A7DD7"/>
    <w:rsid w:val="008A7DFE"/>
    <w:rsid w:val="008A7E15"/>
    <w:rsid w:val="008A7E5D"/>
    <w:rsid w:val="008A7EFF"/>
    <w:rsid w:val="008B007D"/>
    <w:rsid w:val="008B00B3"/>
    <w:rsid w:val="008B011D"/>
    <w:rsid w:val="008B0133"/>
    <w:rsid w:val="008B0232"/>
    <w:rsid w:val="008B0252"/>
    <w:rsid w:val="008B028C"/>
    <w:rsid w:val="008B02C2"/>
    <w:rsid w:val="008B02F2"/>
    <w:rsid w:val="008B0413"/>
    <w:rsid w:val="008B04FB"/>
    <w:rsid w:val="008B051E"/>
    <w:rsid w:val="008B061F"/>
    <w:rsid w:val="008B0705"/>
    <w:rsid w:val="008B0782"/>
    <w:rsid w:val="008B0832"/>
    <w:rsid w:val="008B08DD"/>
    <w:rsid w:val="008B0922"/>
    <w:rsid w:val="008B092F"/>
    <w:rsid w:val="008B0977"/>
    <w:rsid w:val="008B0993"/>
    <w:rsid w:val="008B0A05"/>
    <w:rsid w:val="008B0A39"/>
    <w:rsid w:val="008B0AF7"/>
    <w:rsid w:val="008B0B58"/>
    <w:rsid w:val="008B0BDB"/>
    <w:rsid w:val="008B0CC2"/>
    <w:rsid w:val="008B0E23"/>
    <w:rsid w:val="008B0EB3"/>
    <w:rsid w:val="008B0EBC"/>
    <w:rsid w:val="008B0F45"/>
    <w:rsid w:val="008B0F5C"/>
    <w:rsid w:val="008B0FC5"/>
    <w:rsid w:val="008B0FF4"/>
    <w:rsid w:val="008B109E"/>
    <w:rsid w:val="008B10AD"/>
    <w:rsid w:val="008B10D2"/>
    <w:rsid w:val="008B1119"/>
    <w:rsid w:val="008B1143"/>
    <w:rsid w:val="008B1421"/>
    <w:rsid w:val="008B14ED"/>
    <w:rsid w:val="008B1704"/>
    <w:rsid w:val="008B172E"/>
    <w:rsid w:val="008B1874"/>
    <w:rsid w:val="008B18D2"/>
    <w:rsid w:val="008B1945"/>
    <w:rsid w:val="008B1B0D"/>
    <w:rsid w:val="008B1C75"/>
    <w:rsid w:val="008B1CC2"/>
    <w:rsid w:val="008B1F70"/>
    <w:rsid w:val="008B203E"/>
    <w:rsid w:val="008B2046"/>
    <w:rsid w:val="008B210B"/>
    <w:rsid w:val="008B2117"/>
    <w:rsid w:val="008B2259"/>
    <w:rsid w:val="008B2299"/>
    <w:rsid w:val="008B234A"/>
    <w:rsid w:val="008B2375"/>
    <w:rsid w:val="008B2507"/>
    <w:rsid w:val="008B2998"/>
    <w:rsid w:val="008B2A4C"/>
    <w:rsid w:val="008B2A8A"/>
    <w:rsid w:val="008B2EB2"/>
    <w:rsid w:val="008B2EC4"/>
    <w:rsid w:val="008B3010"/>
    <w:rsid w:val="008B3306"/>
    <w:rsid w:val="008B33A7"/>
    <w:rsid w:val="008B3488"/>
    <w:rsid w:val="008B3628"/>
    <w:rsid w:val="008B3633"/>
    <w:rsid w:val="008B3663"/>
    <w:rsid w:val="008B36BE"/>
    <w:rsid w:val="008B36DB"/>
    <w:rsid w:val="008B36E8"/>
    <w:rsid w:val="008B3796"/>
    <w:rsid w:val="008B3855"/>
    <w:rsid w:val="008B38C6"/>
    <w:rsid w:val="008B3B26"/>
    <w:rsid w:val="008B3B87"/>
    <w:rsid w:val="008B3BB0"/>
    <w:rsid w:val="008B3C1D"/>
    <w:rsid w:val="008B3CC5"/>
    <w:rsid w:val="008B3D8A"/>
    <w:rsid w:val="008B3DD4"/>
    <w:rsid w:val="008B3E61"/>
    <w:rsid w:val="008B3F9B"/>
    <w:rsid w:val="008B414F"/>
    <w:rsid w:val="008B423F"/>
    <w:rsid w:val="008B42D7"/>
    <w:rsid w:val="008B42E2"/>
    <w:rsid w:val="008B43D3"/>
    <w:rsid w:val="008B43DE"/>
    <w:rsid w:val="008B4518"/>
    <w:rsid w:val="008B451C"/>
    <w:rsid w:val="008B45DF"/>
    <w:rsid w:val="008B488A"/>
    <w:rsid w:val="008B4AA2"/>
    <w:rsid w:val="008B4ADC"/>
    <w:rsid w:val="008B4B09"/>
    <w:rsid w:val="008B4C62"/>
    <w:rsid w:val="008B4C6C"/>
    <w:rsid w:val="008B4DC5"/>
    <w:rsid w:val="008B4E8E"/>
    <w:rsid w:val="008B4F4C"/>
    <w:rsid w:val="008B4FC2"/>
    <w:rsid w:val="008B4FCA"/>
    <w:rsid w:val="008B4FF4"/>
    <w:rsid w:val="008B5014"/>
    <w:rsid w:val="008B509E"/>
    <w:rsid w:val="008B50D8"/>
    <w:rsid w:val="008B5159"/>
    <w:rsid w:val="008B51ED"/>
    <w:rsid w:val="008B5210"/>
    <w:rsid w:val="008B5213"/>
    <w:rsid w:val="008B522A"/>
    <w:rsid w:val="008B52DF"/>
    <w:rsid w:val="008B5473"/>
    <w:rsid w:val="008B5475"/>
    <w:rsid w:val="008B5588"/>
    <w:rsid w:val="008B5607"/>
    <w:rsid w:val="008B56BE"/>
    <w:rsid w:val="008B5840"/>
    <w:rsid w:val="008B58E0"/>
    <w:rsid w:val="008B58F4"/>
    <w:rsid w:val="008B5948"/>
    <w:rsid w:val="008B5972"/>
    <w:rsid w:val="008B59DA"/>
    <w:rsid w:val="008B5A29"/>
    <w:rsid w:val="008B5B83"/>
    <w:rsid w:val="008B5C76"/>
    <w:rsid w:val="008B5D57"/>
    <w:rsid w:val="008B5D5B"/>
    <w:rsid w:val="008B5D5D"/>
    <w:rsid w:val="008B5E6D"/>
    <w:rsid w:val="008B5FAB"/>
    <w:rsid w:val="008B5FC7"/>
    <w:rsid w:val="008B618B"/>
    <w:rsid w:val="008B620A"/>
    <w:rsid w:val="008B6390"/>
    <w:rsid w:val="008B64A5"/>
    <w:rsid w:val="008B6652"/>
    <w:rsid w:val="008B66BE"/>
    <w:rsid w:val="008B6785"/>
    <w:rsid w:val="008B67BC"/>
    <w:rsid w:val="008B67D0"/>
    <w:rsid w:val="008B687D"/>
    <w:rsid w:val="008B6A32"/>
    <w:rsid w:val="008B6A69"/>
    <w:rsid w:val="008B6A6D"/>
    <w:rsid w:val="008B6AD3"/>
    <w:rsid w:val="008B6ADA"/>
    <w:rsid w:val="008B6B27"/>
    <w:rsid w:val="008B6B37"/>
    <w:rsid w:val="008B6DDA"/>
    <w:rsid w:val="008B6E01"/>
    <w:rsid w:val="008B6EF8"/>
    <w:rsid w:val="008B6F97"/>
    <w:rsid w:val="008B7013"/>
    <w:rsid w:val="008B71A9"/>
    <w:rsid w:val="008B724E"/>
    <w:rsid w:val="008B726B"/>
    <w:rsid w:val="008B735F"/>
    <w:rsid w:val="008B7378"/>
    <w:rsid w:val="008B7414"/>
    <w:rsid w:val="008B741C"/>
    <w:rsid w:val="008B7444"/>
    <w:rsid w:val="008B747B"/>
    <w:rsid w:val="008B76A8"/>
    <w:rsid w:val="008B7779"/>
    <w:rsid w:val="008B77BD"/>
    <w:rsid w:val="008B7937"/>
    <w:rsid w:val="008B7AF1"/>
    <w:rsid w:val="008B7B69"/>
    <w:rsid w:val="008BD6DF"/>
    <w:rsid w:val="008C00AD"/>
    <w:rsid w:val="008C0176"/>
    <w:rsid w:val="008C0185"/>
    <w:rsid w:val="008C02E4"/>
    <w:rsid w:val="008C031B"/>
    <w:rsid w:val="008C0346"/>
    <w:rsid w:val="008C034D"/>
    <w:rsid w:val="008C0435"/>
    <w:rsid w:val="008C06B0"/>
    <w:rsid w:val="008C0752"/>
    <w:rsid w:val="008C07BC"/>
    <w:rsid w:val="008C0838"/>
    <w:rsid w:val="008C097F"/>
    <w:rsid w:val="008C09FD"/>
    <w:rsid w:val="008C0B65"/>
    <w:rsid w:val="008C0B7D"/>
    <w:rsid w:val="008C0B99"/>
    <w:rsid w:val="008C0C3D"/>
    <w:rsid w:val="008C0C55"/>
    <w:rsid w:val="008C0D05"/>
    <w:rsid w:val="008C0DF3"/>
    <w:rsid w:val="008C0DF8"/>
    <w:rsid w:val="008C0DFC"/>
    <w:rsid w:val="008C0EDD"/>
    <w:rsid w:val="008C0EFB"/>
    <w:rsid w:val="008C0F72"/>
    <w:rsid w:val="008C0FE6"/>
    <w:rsid w:val="008C1037"/>
    <w:rsid w:val="008C10A9"/>
    <w:rsid w:val="008C1158"/>
    <w:rsid w:val="008C119D"/>
    <w:rsid w:val="008C13D2"/>
    <w:rsid w:val="008C143C"/>
    <w:rsid w:val="008C152F"/>
    <w:rsid w:val="008C1565"/>
    <w:rsid w:val="008C18BD"/>
    <w:rsid w:val="008C1993"/>
    <w:rsid w:val="008C19AC"/>
    <w:rsid w:val="008C1AB8"/>
    <w:rsid w:val="008C1B97"/>
    <w:rsid w:val="008C1BC5"/>
    <w:rsid w:val="008C1C65"/>
    <w:rsid w:val="008C1E34"/>
    <w:rsid w:val="008C1E4D"/>
    <w:rsid w:val="008C1ECC"/>
    <w:rsid w:val="008C2114"/>
    <w:rsid w:val="008C21DB"/>
    <w:rsid w:val="008C224B"/>
    <w:rsid w:val="008C25F2"/>
    <w:rsid w:val="008C2602"/>
    <w:rsid w:val="008C2991"/>
    <w:rsid w:val="008C29B2"/>
    <w:rsid w:val="008C2A15"/>
    <w:rsid w:val="008C2B0D"/>
    <w:rsid w:val="008C2B5F"/>
    <w:rsid w:val="008C2B6B"/>
    <w:rsid w:val="008C2BD1"/>
    <w:rsid w:val="008C2CAA"/>
    <w:rsid w:val="008C2CF5"/>
    <w:rsid w:val="008C2D1B"/>
    <w:rsid w:val="008C2D1F"/>
    <w:rsid w:val="008C2D30"/>
    <w:rsid w:val="008C2DA3"/>
    <w:rsid w:val="008C2E31"/>
    <w:rsid w:val="008C2FCE"/>
    <w:rsid w:val="008C310C"/>
    <w:rsid w:val="008C3481"/>
    <w:rsid w:val="008C34A2"/>
    <w:rsid w:val="008C34E7"/>
    <w:rsid w:val="008C35AA"/>
    <w:rsid w:val="008C35DA"/>
    <w:rsid w:val="008C3696"/>
    <w:rsid w:val="008C37FD"/>
    <w:rsid w:val="008C3843"/>
    <w:rsid w:val="008C38C1"/>
    <w:rsid w:val="008C39AD"/>
    <w:rsid w:val="008C3AE1"/>
    <w:rsid w:val="008C3B25"/>
    <w:rsid w:val="008C3CA0"/>
    <w:rsid w:val="008C3D5A"/>
    <w:rsid w:val="008C3EB9"/>
    <w:rsid w:val="008C3FCD"/>
    <w:rsid w:val="008C3FDB"/>
    <w:rsid w:val="008C40C3"/>
    <w:rsid w:val="008C4182"/>
    <w:rsid w:val="008C427F"/>
    <w:rsid w:val="008C428F"/>
    <w:rsid w:val="008C42FE"/>
    <w:rsid w:val="008C4368"/>
    <w:rsid w:val="008C4527"/>
    <w:rsid w:val="008C45EE"/>
    <w:rsid w:val="008C463C"/>
    <w:rsid w:val="008C4769"/>
    <w:rsid w:val="008C4775"/>
    <w:rsid w:val="008C478C"/>
    <w:rsid w:val="008C490A"/>
    <w:rsid w:val="008C4A0F"/>
    <w:rsid w:val="008C4AC8"/>
    <w:rsid w:val="008C4B25"/>
    <w:rsid w:val="008C4C5E"/>
    <w:rsid w:val="008C4D38"/>
    <w:rsid w:val="008C4E2C"/>
    <w:rsid w:val="008C4E61"/>
    <w:rsid w:val="008C50A0"/>
    <w:rsid w:val="008C50AB"/>
    <w:rsid w:val="008C5219"/>
    <w:rsid w:val="008C52BB"/>
    <w:rsid w:val="008C5367"/>
    <w:rsid w:val="008C549E"/>
    <w:rsid w:val="008C55D8"/>
    <w:rsid w:val="008C5646"/>
    <w:rsid w:val="008C5703"/>
    <w:rsid w:val="008C578A"/>
    <w:rsid w:val="008C580D"/>
    <w:rsid w:val="008C589F"/>
    <w:rsid w:val="008C5B30"/>
    <w:rsid w:val="008C5B31"/>
    <w:rsid w:val="008C5BB5"/>
    <w:rsid w:val="008C5C02"/>
    <w:rsid w:val="008C5C32"/>
    <w:rsid w:val="008C5D10"/>
    <w:rsid w:val="008C5D5E"/>
    <w:rsid w:val="008C5DA7"/>
    <w:rsid w:val="008C5F45"/>
    <w:rsid w:val="008C6020"/>
    <w:rsid w:val="008C61A2"/>
    <w:rsid w:val="008C61C3"/>
    <w:rsid w:val="008C64AF"/>
    <w:rsid w:val="008C651D"/>
    <w:rsid w:val="008C6681"/>
    <w:rsid w:val="008C6786"/>
    <w:rsid w:val="008C6855"/>
    <w:rsid w:val="008C6879"/>
    <w:rsid w:val="008C689F"/>
    <w:rsid w:val="008C6B62"/>
    <w:rsid w:val="008C6CE0"/>
    <w:rsid w:val="008C6F35"/>
    <w:rsid w:val="008C6FEE"/>
    <w:rsid w:val="008C7009"/>
    <w:rsid w:val="008C7038"/>
    <w:rsid w:val="008C7072"/>
    <w:rsid w:val="008C7241"/>
    <w:rsid w:val="008C72E1"/>
    <w:rsid w:val="008C72F1"/>
    <w:rsid w:val="008C732A"/>
    <w:rsid w:val="008C74FC"/>
    <w:rsid w:val="008C75BD"/>
    <w:rsid w:val="008C75EF"/>
    <w:rsid w:val="008C769C"/>
    <w:rsid w:val="008C777F"/>
    <w:rsid w:val="008C7A18"/>
    <w:rsid w:val="008C7AA9"/>
    <w:rsid w:val="008C7B16"/>
    <w:rsid w:val="008C7BE4"/>
    <w:rsid w:val="008C7C59"/>
    <w:rsid w:val="008C7EDA"/>
    <w:rsid w:val="008D010B"/>
    <w:rsid w:val="008D01B8"/>
    <w:rsid w:val="008D03A4"/>
    <w:rsid w:val="008D04C9"/>
    <w:rsid w:val="008D04CE"/>
    <w:rsid w:val="008D05B5"/>
    <w:rsid w:val="008D0615"/>
    <w:rsid w:val="008D0832"/>
    <w:rsid w:val="008D08E5"/>
    <w:rsid w:val="008D08E9"/>
    <w:rsid w:val="008D0929"/>
    <w:rsid w:val="008D0B97"/>
    <w:rsid w:val="008D0BC6"/>
    <w:rsid w:val="008D0C45"/>
    <w:rsid w:val="008D0D16"/>
    <w:rsid w:val="008D0DD8"/>
    <w:rsid w:val="008D0E9B"/>
    <w:rsid w:val="008D0FD2"/>
    <w:rsid w:val="008D0FFB"/>
    <w:rsid w:val="008D100D"/>
    <w:rsid w:val="008D1080"/>
    <w:rsid w:val="008D112D"/>
    <w:rsid w:val="008D1314"/>
    <w:rsid w:val="008D1452"/>
    <w:rsid w:val="008D148B"/>
    <w:rsid w:val="008D148C"/>
    <w:rsid w:val="008D15CE"/>
    <w:rsid w:val="008D183D"/>
    <w:rsid w:val="008D18F0"/>
    <w:rsid w:val="008D1A60"/>
    <w:rsid w:val="008D1C7D"/>
    <w:rsid w:val="008D1D16"/>
    <w:rsid w:val="008D1DE4"/>
    <w:rsid w:val="008D1DF8"/>
    <w:rsid w:val="008D1EA2"/>
    <w:rsid w:val="008D1F7A"/>
    <w:rsid w:val="008D1FBD"/>
    <w:rsid w:val="008D2076"/>
    <w:rsid w:val="008D20A6"/>
    <w:rsid w:val="008D20F4"/>
    <w:rsid w:val="008D20F5"/>
    <w:rsid w:val="008D21DE"/>
    <w:rsid w:val="008D229B"/>
    <w:rsid w:val="008D2467"/>
    <w:rsid w:val="008D2468"/>
    <w:rsid w:val="008D25B1"/>
    <w:rsid w:val="008D27BF"/>
    <w:rsid w:val="008D2834"/>
    <w:rsid w:val="008D289A"/>
    <w:rsid w:val="008D2947"/>
    <w:rsid w:val="008D2994"/>
    <w:rsid w:val="008D29A0"/>
    <w:rsid w:val="008D2A64"/>
    <w:rsid w:val="008D2B84"/>
    <w:rsid w:val="008D2CC6"/>
    <w:rsid w:val="008D2F78"/>
    <w:rsid w:val="008D2FB4"/>
    <w:rsid w:val="008D30B2"/>
    <w:rsid w:val="008D3197"/>
    <w:rsid w:val="008D31D7"/>
    <w:rsid w:val="008D31F8"/>
    <w:rsid w:val="008D328C"/>
    <w:rsid w:val="008D334A"/>
    <w:rsid w:val="008D3369"/>
    <w:rsid w:val="008D3490"/>
    <w:rsid w:val="008D34EB"/>
    <w:rsid w:val="008D354E"/>
    <w:rsid w:val="008D3634"/>
    <w:rsid w:val="008D366D"/>
    <w:rsid w:val="008D371B"/>
    <w:rsid w:val="008D392B"/>
    <w:rsid w:val="008D3992"/>
    <w:rsid w:val="008D3B01"/>
    <w:rsid w:val="008D3B45"/>
    <w:rsid w:val="008D3C79"/>
    <w:rsid w:val="008D3DEB"/>
    <w:rsid w:val="008D3E17"/>
    <w:rsid w:val="008D3EBA"/>
    <w:rsid w:val="008D41C2"/>
    <w:rsid w:val="008D424B"/>
    <w:rsid w:val="008D437A"/>
    <w:rsid w:val="008D4408"/>
    <w:rsid w:val="008D4659"/>
    <w:rsid w:val="008D46BA"/>
    <w:rsid w:val="008D4785"/>
    <w:rsid w:val="008D47FF"/>
    <w:rsid w:val="008D4877"/>
    <w:rsid w:val="008D48AB"/>
    <w:rsid w:val="008D49EC"/>
    <w:rsid w:val="008D4D2D"/>
    <w:rsid w:val="008D4FBA"/>
    <w:rsid w:val="008D5057"/>
    <w:rsid w:val="008D5076"/>
    <w:rsid w:val="008D511E"/>
    <w:rsid w:val="008D5125"/>
    <w:rsid w:val="008D5134"/>
    <w:rsid w:val="008D5144"/>
    <w:rsid w:val="008D5154"/>
    <w:rsid w:val="008D5162"/>
    <w:rsid w:val="008D5404"/>
    <w:rsid w:val="008D555E"/>
    <w:rsid w:val="008D562C"/>
    <w:rsid w:val="008D5720"/>
    <w:rsid w:val="008D573E"/>
    <w:rsid w:val="008D5BD1"/>
    <w:rsid w:val="008D5C9B"/>
    <w:rsid w:val="008D5CF2"/>
    <w:rsid w:val="008D5DC5"/>
    <w:rsid w:val="008D5E56"/>
    <w:rsid w:val="008D611A"/>
    <w:rsid w:val="008D6148"/>
    <w:rsid w:val="008D6195"/>
    <w:rsid w:val="008D62AA"/>
    <w:rsid w:val="008D6374"/>
    <w:rsid w:val="008D649F"/>
    <w:rsid w:val="008D64E9"/>
    <w:rsid w:val="008D6633"/>
    <w:rsid w:val="008D6854"/>
    <w:rsid w:val="008D6865"/>
    <w:rsid w:val="008D69E7"/>
    <w:rsid w:val="008D6A89"/>
    <w:rsid w:val="008D6AD8"/>
    <w:rsid w:val="008D6AEE"/>
    <w:rsid w:val="008D6B14"/>
    <w:rsid w:val="008D6CEC"/>
    <w:rsid w:val="008D6D0E"/>
    <w:rsid w:val="008D7064"/>
    <w:rsid w:val="008D70AF"/>
    <w:rsid w:val="008D718B"/>
    <w:rsid w:val="008D7196"/>
    <w:rsid w:val="008D72D5"/>
    <w:rsid w:val="008D72E4"/>
    <w:rsid w:val="008D73C9"/>
    <w:rsid w:val="008D74D4"/>
    <w:rsid w:val="008D74F9"/>
    <w:rsid w:val="008D76C3"/>
    <w:rsid w:val="008D7763"/>
    <w:rsid w:val="008D78FC"/>
    <w:rsid w:val="008D7BDD"/>
    <w:rsid w:val="008D7C8A"/>
    <w:rsid w:val="008D7CAF"/>
    <w:rsid w:val="008D7CC0"/>
    <w:rsid w:val="008D7E7B"/>
    <w:rsid w:val="008E004E"/>
    <w:rsid w:val="008E0105"/>
    <w:rsid w:val="008E018D"/>
    <w:rsid w:val="008E0248"/>
    <w:rsid w:val="008E0323"/>
    <w:rsid w:val="008E035B"/>
    <w:rsid w:val="008E03CF"/>
    <w:rsid w:val="008E0539"/>
    <w:rsid w:val="008E066D"/>
    <w:rsid w:val="008E06E5"/>
    <w:rsid w:val="008E090C"/>
    <w:rsid w:val="008E0CA9"/>
    <w:rsid w:val="008E0D49"/>
    <w:rsid w:val="008E0D6A"/>
    <w:rsid w:val="008E0E9E"/>
    <w:rsid w:val="008E0F59"/>
    <w:rsid w:val="008E1237"/>
    <w:rsid w:val="008E12F0"/>
    <w:rsid w:val="008E145F"/>
    <w:rsid w:val="008E15D5"/>
    <w:rsid w:val="008E1646"/>
    <w:rsid w:val="008E16E5"/>
    <w:rsid w:val="008E17E4"/>
    <w:rsid w:val="008E180B"/>
    <w:rsid w:val="008E1A6E"/>
    <w:rsid w:val="008E1B02"/>
    <w:rsid w:val="008E1B21"/>
    <w:rsid w:val="008E1C76"/>
    <w:rsid w:val="008E1C8A"/>
    <w:rsid w:val="008E1D9C"/>
    <w:rsid w:val="008E1EFA"/>
    <w:rsid w:val="008E2181"/>
    <w:rsid w:val="008E21D2"/>
    <w:rsid w:val="008E2499"/>
    <w:rsid w:val="008E2538"/>
    <w:rsid w:val="008E253F"/>
    <w:rsid w:val="008E2610"/>
    <w:rsid w:val="008E2656"/>
    <w:rsid w:val="008E26B5"/>
    <w:rsid w:val="008E277E"/>
    <w:rsid w:val="008E28E0"/>
    <w:rsid w:val="008E28EB"/>
    <w:rsid w:val="008E296D"/>
    <w:rsid w:val="008E2A0F"/>
    <w:rsid w:val="008E2C8B"/>
    <w:rsid w:val="008E2CB8"/>
    <w:rsid w:val="008E2CDE"/>
    <w:rsid w:val="008E2CF3"/>
    <w:rsid w:val="008E2D5C"/>
    <w:rsid w:val="008E3070"/>
    <w:rsid w:val="008E3106"/>
    <w:rsid w:val="008E32AD"/>
    <w:rsid w:val="008E349D"/>
    <w:rsid w:val="008E34C8"/>
    <w:rsid w:val="008E3594"/>
    <w:rsid w:val="008E35C7"/>
    <w:rsid w:val="008E3662"/>
    <w:rsid w:val="008E36EC"/>
    <w:rsid w:val="008E3722"/>
    <w:rsid w:val="008E3872"/>
    <w:rsid w:val="008E3A6A"/>
    <w:rsid w:val="008E3AA0"/>
    <w:rsid w:val="008E3B1F"/>
    <w:rsid w:val="008E3E04"/>
    <w:rsid w:val="008E3E56"/>
    <w:rsid w:val="008E3E71"/>
    <w:rsid w:val="008E3EF1"/>
    <w:rsid w:val="008E414C"/>
    <w:rsid w:val="008E4171"/>
    <w:rsid w:val="008E42AF"/>
    <w:rsid w:val="008E4385"/>
    <w:rsid w:val="008E4614"/>
    <w:rsid w:val="008E465E"/>
    <w:rsid w:val="008E46C0"/>
    <w:rsid w:val="008E4742"/>
    <w:rsid w:val="008E4A34"/>
    <w:rsid w:val="008E4C1B"/>
    <w:rsid w:val="008E4C37"/>
    <w:rsid w:val="008E4C54"/>
    <w:rsid w:val="008E4CAC"/>
    <w:rsid w:val="008E4CC2"/>
    <w:rsid w:val="008E4D10"/>
    <w:rsid w:val="008E4D54"/>
    <w:rsid w:val="008E4DB9"/>
    <w:rsid w:val="008E4E70"/>
    <w:rsid w:val="008E4E98"/>
    <w:rsid w:val="008E5121"/>
    <w:rsid w:val="008E51B2"/>
    <w:rsid w:val="008E54B6"/>
    <w:rsid w:val="008E5545"/>
    <w:rsid w:val="008E5749"/>
    <w:rsid w:val="008E5791"/>
    <w:rsid w:val="008E57C8"/>
    <w:rsid w:val="008E5803"/>
    <w:rsid w:val="008E5818"/>
    <w:rsid w:val="008E581A"/>
    <w:rsid w:val="008E58B7"/>
    <w:rsid w:val="008E5A1A"/>
    <w:rsid w:val="008E5CAB"/>
    <w:rsid w:val="008E5CE3"/>
    <w:rsid w:val="008E5D4B"/>
    <w:rsid w:val="008E5D52"/>
    <w:rsid w:val="008E5E5F"/>
    <w:rsid w:val="008E5EFE"/>
    <w:rsid w:val="008E5FCF"/>
    <w:rsid w:val="008E6211"/>
    <w:rsid w:val="008E627A"/>
    <w:rsid w:val="008E64F4"/>
    <w:rsid w:val="008E669B"/>
    <w:rsid w:val="008E6758"/>
    <w:rsid w:val="008E67AB"/>
    <w:rsid w:val="008E6847"/>
    <w:rsid w:val="008E6D6E"/>
    <w:rsid w:val="008E6E1E"/>
    <w:rsid w:val="008E6E52"/>
    <w:rsid w:val="008E6F2F"/>
    <w:rsid w:val="008E6FA4"/>
    <w:rsid w:val="008E7056"/>
    <w:rsid w:val="008E70BB"/>
    <w:rsid w:val="008E70EA"/>
    <w:rsid w:val="008E713D"/>
    <w:rsid w:val="008E725E"/>
    <w:rsid w:val="008E7281"/>
    <w:rsid w:val="008E7315"/>
    <w:rsid w:val="008E732D"/>
    <w:rsid w:val="008E735F"/>
    <w:rsid w:val="008E7685"/>
    <w:rsid w:val="008E7978"/>
    <w:rsid w:val="008E7AFB"/>
    <w:rsid w:val="008E7B65"/>
    <w:rsid w:val="008E7D0C"/>
    <w:rsid w:val="008E7DEC"/>
    <w:rsid w:val="008E7FA8"/>
    <w:rsid w:val="008E7FEE"/>
    <w:rsid w:val="008F0045"/>
    <w:rsid w:val="008F0150"/>
    <w:rsid w:val="008F0231"/>
    <w:rsid w:val="008F02A5"/>
    <w:rsid w:val="008F07AC"/>
    <w:rsid w:val="008F08D4"/>
    <w:rsid w:val="008F0A40"/>
    <w:rsid w:val="008F0E13"/>
    <w:rsid w:val="008F0FF0"/>
    <w:rsid w:val="008F1086"/>
    <w:rsid w:val="008F10AA"/>
    <w:rsid w:val="008F10C0"/>
    <w:rsid w:val="008F10C4"/>
    <w:rsid w:val="008F1194"/>
    <w:rsid w:val="008F12BE"/>
    <w:rsid w:val="008F13A7"/>
    <w:rsid w:val="008F152D"/>
    <w:rsid w:val="008F16F8"/>
    <w:rsid w:val="008F178C"/>
    <w:rsid w:val="008F194C"/>
    <w:rsid w:val="008F1A8C"/>
    <w:rsid w:val="008F1AD9"/>
    <w:rsid w:val="008F1CFA"/>
    <w:rsid w:val="008F1ED0"/>
    <w:rsid w:val="008F1FB7"/>
    <w:rsid w:val="008F1FF9"/>
    <w:rsid w:val="008F2035"/>
    <w:rsid w:val="008F2175"/>
    <w:rsid w:val="008F2223"/>
    <w:rsid w:val="008F224B"/>
    <w:rsid w:val="008F22D5"/>
    <w:rsid w:val="008F22F2"/>
    <w:rsid w:val="008F236F"/>
    <w:rsid w:val="008F24E0"/>
    <w:rsid w:val="008F259C"/>
    <w:rsid w:val="008F2616"/>
    <w:rsid w:val="008F273A"/>
    <w:rsid w:val="008F27B6"/>
    <w:rsid w:val="008F2801"/>
    <w:rsid w:val="008F2995"/>
    <w:rsid w:val="008F29D2"/>
    <w:rsid w:val="008F2ACA"/>
    <w:rsid w:val="008F2B89"/>
    <w:rsid w:val="008F2BA7"/>
    <w:rsid w:val="008F2BAF"/>
    <w:rsid w:val="008F2D39"/>
    <w:rsid w:val="008F2EED"/>
    <w:rsid w:val="008F2F4E"/>
    <w:rsid w:val="008F2F54"/>
    <w:rsid w:val="008F312F"/>
    <w:rsid w:val="008F3180"/>
    <w:rsid w:val="008F31A2"/>
    <w:rsid w:val="008F32FC"/>
    <w:rsid w:val="008F3477"/>
    <w:rsid w:val="008F34DB"/>
    <w:rsid w:val="008F38ED"/>
    <w:rsid w:val="008F38F2"/>
    <w:rsid w:val="008F38F3"/>
    <w:rsid w:val="008F3908"/>
    <w:rsid w:val="008F3A13"/>
    <w:rsid w:val="008F3A7A"/>
    <w:rsid w:val="008F3A7C"/>
    <w:rsid w:val="008F3B03"/>
    <w:rsid w:val="008F3B0C"/>
    <w:rsid w:val="008F3B10"/>
    <w:rsid w:val="008F3B94"/>
    <w:rsid w:val="008F3E61"/>
    <w:rsid w:val="008F3FDA"/>
    <w:rsid w:val="008F3FE5"/>
    <w:rsid w:val="008F42DC"/>
    <w:rsid w:val="008F43B7"/>
    <w:rsid w:val="008F453A"/>
    <w:rsid w:val="008F454A"/>
    <w:rsid w:val="008F45D0"/>
    <w:rsid w:val="008F4679"/>
    <w:rsid w:val="008F481A"/>
    <w:rsid w:val="008F488B"/>
    <w:rsid w:val="008F495F"/>
    <w:rsid w:val="008F4A5C"/>
    <w:rsid w:val="008F4B60"/>
    <w:rsid w:val="008F4C6F"/>
    <w:rsid w:val="008F4D1E"/>
    <w:rsid w:val="008F4D95"/>
    <w:rsid w:val="008F4F2F"/>
    <w:rsid w:val="008F51F6"/>
    <w:rsid w:val="008F5252"/>
    <w:rsid w:val="008F52A7"/>
    <w:rsid w:val="008F5319"/>
    <w:rsid w:val="008F5332"/>
    <w:rsid w:val="008F5389"/>
    <w:rsid w:val="008F556D"/>
    <w:rsid w:val="008F56E1"/>
    <w:rsid w:val="008F572F"/>
    <w:rsid w:val="008F57A1"/>
    <w:rsid w:val="008F5908"/>
    <w:rsid w:val="008F5A32"/>
    <w:rsid w:val="008F5A6E"/>
    <w:rsid w:val="008F5B70"/>
    <w:rsid w:val="008F5BD9"/>
    <w:rsid w:val="008F5E01"/>
    <w:rsid w:val="008F5EA7"/>
    <w:rsid w:val="008F5EC8"/>
    <w:rsid w:val="008F5F0F"/>
    <w:rsid w:val="008F5F35"/>
    <w:rsid w:val="008F5F9B"/>
    <w:rsid w:val="008F5FA6"/>
    <w:rsid w:val="008F608F"/>
    <w:rsid w:val="008F6171"/>
    <w:rsid w:val="008F61A1"/>
    <w:rsid w:val="008F634B"/>
    <w:rsid w:val="008F64BD"/>
    <w:rsid w:val="008F6536"/>
    <w:rsid w:val="008F66B1"/>
    <w:rsid w:val="008F66CB"/>
    <w:rsid w:val="008F6798"/>
    <w:rsid w:val="008F699A"/>
    <w:rsid w:val="008F6A2A"/>
    <w:rsid w:val="008F6A4B"/>
    <w:rsid w:val="008F6B8B"/>
    <w:rsid w:val="008F6D9D"/>
    <w:rsid w:val="008F6EB0"/>
    <w:rsid w:val="008F6EC4"/>
    <w:rsid w:val="008F7030"/>
    <w:rsid w:val="008F70B4"/>
    <w:rsid w:val="008F71D6"/>
    <w:rsid w:val="008F7291"/>
    <w:rsid w:val="008F7341"/>
    <w:rsid w:val="008F749D"/>
    <w:rsid w:val="008F74D3"/>
    <w:rsid w:val="008F75CF"/>
    <w:rsid w:val="008F7703"/>
    <w:rsid w:val="008F796D"/>
    <w:rsid w:val="008F79F6"/>
    <w:rsid w:val="008F7A9C"/>
    <w:rsid w:val="008F7B76"/>
    <w:rsid w:val="008F7C65"/>
    <w:rsid w:val="008F7ED1"/>
    <w:rsid w:val="008F7FB9"/>
    <w:rsid w:val="00900099"/>
    <w:rsid w:val="009000CF"/>
    <w:rsid w:val="00900114"/>
    <w:rsid w:val="0090018F"/>
    <w:rsid w:val="00900207"/>
    <w:rsid w:val="00900310"/>
    <w:rsid w:val="009004CF"/>
    <w:rsid w:val="00900503"/>
    <w:rsid w:val="0090055B"/>
    <w:rsid w:val="009005BB"/>
    <w:rsid w:val="009006B9"/>
    <w:rsid w:val="009007DD"/>
    <w:rsid w:val="00900863"/>
    <w:rsid w:val="009009EF"/>
    <w:rsid w:val="00900A20"/>
    <w:rsid w:val="00900A2F"/>
    <w:rsid w:val="00900AE0"/>
    <w:rsid w:val="00900AF7"/>
    <w:rsid w:val="00900BA2"/>
    <w:rsid w:val="00900C89"/>
    <w:rsid w:val="00900DEA"/>
    <w:rsid w:val="00900E87"/>
    <w:rsid w:val="00900F4D"/>
    <w:rsid w:val="00900FEB"/>
    <w:rsid w:val="0090107B"/>
    <w:rsid w:val="0090122F"/>
    <w:rsid w:val="00901266"/>
    <w:rsid w:val="009012FD"/>
    <w:rsid w:val="00901340"/>
    <w:rsid w:val="009013AD"/>
    <w:rsid w:val="0090145D"/>
    <w:rsid w:val="009015C6"/>
    <w:rsid w:val="009017F5"/>
    <w:rsid w:val="009019F4"/>
    <w:rsid w:val="00901AF7"/>
    <w:rsid w:val="00901B1E"/>
    <w:rsid w:val="00901BD2"/>
    <w:rsid w:val="00901C0F"/>
    <w:rsid w:val="00901D11"/>
    <w:rsid w:val="00901D65"/>
    <w:rsid w:val="00901DEB"/>
    <w:rsid w:val="00902008"/>
    <w:rsid w:val="009020AA"/>
    <w:rsid w:val="0090212A"/>
    <w:rsid w:val="00902150"/>
    <w:rsid w:val="0090228C"/>
    <w:rsid w:val="009022C5"/>
    <w:rsid w:val="009022E1"/>
    <w:rsid w:val="00902307"/>
    <w:rsid w:val="009023CF"/>
    <w:rsid w:val="0090242E"/>
    <w:rsid w:val="009024D9"/>
    <w:rsid w:val="0090266E"/>
    <w:rsid w:val="00902734"/>
    <w:rsid w:val="00902820"/>
    <w:rsid w:val="0090288A"/>
    <w:rsid w:val="009028C5"/>
    <w:rsid w:val="0090299F"/>
    <w:rsid w:val="009029A9"/>
    <w:rsid w:val="00902A3B"/>
    <w:rsid w:val="00902F00"/>
    <w:rsid w:val="00902FE1"/>
    <w:rsid w:val="00903159"/>
    <w:rsid w:val="0090317E"/>
    <w:rsid w:val="009031D7"/>
    <w:rsid w:val="009031F6"/>
    <w:rsid w:val="0090321B"/>
    <w:rsid w:val="00903274"/>
    <w:rsid w:val="0090331D"/>
    <w:rsid w:val="009033DF"/>
    <w:rsid w:val="00903404"/>
    <w:rsid w:val="00903558"/>
    <w:rsid w:val="009035B4"/>
    <w:rsid w:val="00903665"/>
    <w:rsid w:val="009036CD"/>
    <w:rsid w:val="00903790"/>
    <w:rsid w:val="0090380C"/>
    <w:rsid w:val="009038C3"/>
    <w:rsid w:val="00903993"/>
    <w:rsid w:val="00903A81"/>
    <w:rsid w:val="00903B02"/>
    <w:rsid w:val="00903BAE"/>
    <w:rsid w:val="00903C8E"/>
    <w:rsid w:val="00903E0D"/>
    <w:rsid w:val="00903ECD"/>
    <w:rsid w:val="00903EFE"/>
    <w:rsid w:val="009041F9"/>
    <w:rsid w:val="00904288"/>
    <w:rsid w:val="00904635"/>
    <w:rsid w:val="009047E8"/>
    <w:rsid w:val="00904800"/>
    <w:rsid w:val="00904AAC"/>
    <w:rsid w:val="00904B17"/>
    <w:rsid w:val="00904BA5"/>
    <w:rsid w:val="00904BB5"/>
    <w:rsid w:val="00904C16"/>
    <w:rsid w:val="00904CBB"/>
    <w:rsid w:val="00904D0F"/>
    <w:rsid w:val="00904D87"/>
    <w:rsid w:val="00904DC8"/>
    <w:rsid w:val="00904DCB"/>
    <w:rsid w:val="00904E67"/>
    <w:rsid w:val="00905247"/>
    <w:rsid w:val="00905274"/>
    <w:rsid w:val="00905352"/>
    <w:rsid w:val="0090549B"/>
    <w:rsid w:val="009055FA"/>
    <w:rsid w:val="009056FC"/>
    <w:rsid w:val="0090581A"/>
    <w:rsid w:val="009059B4"/>
    <w:rsid w:val="00905C23"/>
    <w:rsid w:val="00905C43"/>
    <w:rsid w:val="00905CD8"/>
    <w:rsid w:val="00905D5E"/>
    <w:rsid w:val="00905D81"/>
    <w:rsid w:val="00905DD9"/>
    <w:rsid w:val="00905F00"/>
    <w:rsid w:val="00905F34"/>
    <w:rsid w:val="00905FCC"/>
    <w:rsid w:val="00905FF4"/>
    <w:rsid w:val="00906020"/>
    <w:rsid w:val="00906060"/>
    <w:rsid w:val="009060B1"/>
    <w:rsid w:val="00906101"/>
    <w:rsid w:val="00906252"/>
    <w:rsid w:val="00906437"/>
    <w:rsid w:val="00906479"/>
    <w:rsid w:val="0090662B"/>
    <w:rsid w:val="009068A3"/>
    <w:rsid w:val="009069F1"/>
    <w:rsid w:val="00906CB4"/>
    <w:rsid w:val="00906D07"/>
    <w:rsid w:val="00906D5B"/>
    <w:rsid w:val="00906E31"/>
    <w:rsid w:val="00906E97"/>
    <w:rsid w:val="00906EBD"/>
    <w:rsid w:val="00906F27"/>
    <w:rsid w:val="0090705D"/>
    <w:rsid w:val="009071FA"/>
    <w:rsid w:val="0090720C"/>
    <w:rsid w:val="00907309"/>
    <w:rsid w:val="00907458"/>
    <w:rsid w:val="009075CD"/>
    <w:rsid w:val="0090761B"/>
    <w:rsid w:val="00907707"/>
    <w:rsid w:val="0090770F"/>
    <w:rsid w:val="00907807"/>
    <w:rsid w:val="0090780F"/>
    <w:rsid w:val="0090785F"/>
    <w:rsid w:val="00907912"/>
    <w:rsid w:val="00907B25"/>
    <w:rsid w:val="00907B70"/>
    <w:rsid w:val="00907BF8"/>
    <w:rsid w:val="00907D13"/>
    <w:rsid w:val="00907D75"/>
    <w:rsid w:val="00907E0E"/>
    <w:rsid w:val="00907E2A"/>
    <w:rsid w:val="00907FE6"/>
    <w:rsid w:val="0091008B"/>
    <w:rsid w:val="00910093"/>
    <w:rsid w:val="009101F8"/>
    <w:rsid w:val="00910391"/>
    <w:rsid w:val="009103AF"/>
    <w:rsid w:val="00910476"/>
    <w:rsid w:val="009104D5"/>
    <w:rsid w:val="0091053C"/>
    <w:rsid w:val="0091072C"/>
    <w:rsid w:val="009107C6"/>
    <w:rsid w:val="0091086D"/>
    <w:rsid w:val="009108FE"/>
    <w:rsid w:val="00910A7C"/>
    <w:rsid w:val="00910B56"/>
    <w:rsid w:val="00910BBC"/>
    <w:rsid w:val="00910D36"/>
    <w:rsid w:val="00910E32"/>
    <w:rsid w:val="00910E70"/>
    <w:rsid w:val="00910F7D"/>
    <w:rsid w:val="00911209"/>
    <w:rsid w:val="0091127B"/>
    <w:rsid w:val="0091127E"/>
    <w:rsid w:val="00911314"/>
    <w:rsid w:val="00911349"/>
    <w:rsid w:val="009114FD"/>
    <w:rsid w:val="0091157C"/>
    <w:rsid w:val="009115C2"/>
    <w:rsid w:val="009115F4"/>
    <w:rsid w:val="009116D4"/>
    <w:rsid w:val="0091170D"/>
    <w:rsid w:val="0091181F"/>
    <w:rsid w:val="0091194B"/>
    <w:rsid w:val="00911A04"/>
    <w:rsid w:val="00911A3B"/>
    <w:rsid w:val="00911B7B"/>
    <w:rsid w:val="00911C55"/>
    <w:rsid w:val="00911CBC"/>
    <w:rsid w:val="00911DA3"/>
    <w:rsid w:val="00911DB0"/>
    <w:rsid w:val="00911F98"/>
    <w:rsid w:val="009120B6"/>
    <w:rsid w:val="00912252"/>
    <w:rsid w:val="00912350"/>
    <w:rsid w:val="00912370"/>
    <w:rsid w:val="0091238F"/>
    <w:rsid w:val="009126E7"/>
    <w:rsid w:val="0091275C"/>
    <w:rsid w:val="00912852"/>
    <w:rsid w:val="00912977"/>
    <w:rsid w:val="0091299A"/>
    <w:rsid w:val="00912B80"/>
    <w:rsid w:val="00912E40"/>
    <w:rsid w:val="0091309A"/>
    <w:rsid w:val="00913156"/>
    <w:rsid w:val="009133FD"/>
    <w:rsid w:val="009134E3"/>
    <w:rsid w:val="00913533"/>
    <w:rsid w:val="0091362C"/>
    <w:rsid w:val="009139AE"/>
    <w:rsid w:val="00913A45"/>
    <w:rsid w:val="00913A80"/>
    <w:rsid w:val="00913AC4"/>
    <w:rsid w:val="00913BFE"/>
    <w:rsid w:val="00913DC0"/>
    <w:rsid w:val="00913E60"/>
    <w:rsid w:val="00913EA0"/>
    <w:rsid w:val="00913FB7"/>
    <w:rsid w:val="00913FCC"/>
    <w:rsid w:val="0091404C"/>
    <w:rsid w:val="009140B0"/>
    <w:rsid w:val="009140BB"/>
    <w:rsid w:val="0091420D"/>
    <w:rsid w:val="00914294"/>
    <w:rsid w:val="009143AA"/>
    <w:rsid w:val="00914536"/>
    <w:rsid w:val="00914764"/>
    <w:rsid w:val="00914B19"/>
    <w:rsid w:val="00914BC5"/>
    <w:rsid w:val="00914CD0"/>
    <w:rsid w:val="00914DE1"/>
    <w:rsid w:val="00914F33"/>
    <w:rsid w:val="00915029"/>
    <w:rsid w:val="00915116"/>
    <w:rsid w:val="00915267"/>
    <w:rsid w:val="0091530F"/>
    <w:rsid w:val="0091539C"/>
    <w:rsid w:val="009154EB"/>
    <w:rsid w:val="0091560A"/>
    <w:rsid w:val="00915657"/>
    <w:rsid w:val="0091586A"/>
    <w:rsid w:val="009159AE"/>
    <w:rsid w:val="009159FE"/>
    <w:rsid w:val="00915A7B"/>
    <w:rsid w:val="00915C1E"/>
    <w:rsid w:val="00915C72"/>
    <w:rsid w:val="00915C8E"/>
    <w:rsid w:val="00915D8B"/>
    <w:rsid w:val="00915E14"/>
    <w:rsid w:val="00915F1D"/>
    <w:rsid w:val="009161F0"/>
    <w:rsid w:val="00916224"/>
    <w:rsid w:val="00916304"/>
    <w:rsid w:val="0091639D"/>
    <w:rsid w:val="00916462"/>
    <w:rsid w:val="00916579"/>
    <w:rsid w:val="009165AB"/>
    <w:rsid w:val="00916652"/>
    <w:rsid w:val="009167AE"/>
    <w:rsid w:val="0091692F"/>
    <w:rsid w:val="009169A1"/>
    <w:rsid w:val="009169AE"/>
    <w:rsid w:val="00916A13"/>
    <w:rsid w:val="00916A26"/>
    <w:rsid w:val="00916B61"/>
    <w:rsid w:val="00916B79"/>
    <w:rsid w:val="00916C5B"/>
    <w:rsid w:val="00916DB6"/>
    <w:rsid w:val="00916ECD"/>
    <w:rsid w:val="00916EDA"/>
    <w:rsid w:val="009170A6"/>
    <w:rsid w:val="009170E4"/>
    <w:rsid w:val="00917104"/>
    <w:rsid w:val="00917286"/>
    <w:rsid w:val="009172EB"/>
    <w:rsid w:val="009173A6"/>
    <w:rsid w:val="0091745D"/>
    <w:rsid w:val="00917514"/>
    <w:rsid w:val="00917815"/>
    <w:rsid w:val="00917822"/>
    <w:rsid w:val="0091791D"/>
    <w:rsid w:val="00917AED"/>
    <w:rsid w:val="00917B72"/>
    <w:rsid w:val="00917D0E"/>
    <w:rsid w:val="00917D60"/>
    <w:rsid w:val="00917D76"/>
    <w:rsid w:val="00917DB6"/>
    <w:rsid w:val="00917E84"/>
    <w:rsid w:val="00917FCC"/>
    <w:rsid w:val="009200AE"/>
    <w:rsid w:val="00920195"/>
    <w:rsid w:val="009202AE"/>
    <w:rsid w:val="00920361"/>
    <w:rsid w:val="009203E5"/>
    <w:rsid w:val="0092044D"/>
    <w:rsid w:val="00920471"/>
    <w:rsid w:val="0092063D"/>
    <w:rsid w:val="00920643"/>
    <w:rsid w:val="009206B7"/>
    <w:rsid w:val="00920780"/>
    <w:rsid w:val="00920791"/>
    <w:rsid w:val="00920939"/>
    <w:rsid w:val="009209C7"/>
    <w:rsid w:val="00920C59"/>
    <w:rsid w:val="00920CBC"/>
    <w:rsid w:val="00920D0C"/>
    <w:rsid w:val="00920D23"/>
    <w:rsid w:val="00920E7B"/>
    <w:rsid w:val="00920FC9"/>
    <w:rsid w:val="00921239"/>
    <w:rsid w:val="00921244"/>
    <w:rsid w:val="00921251"/>
    <w:rsid w:val="009212D6"/>
    <w:rsid w:val="0092134F"/>
    <w:rsid w:val="00921391"/>
    <w:rsid w:val="00921515"/>
    <w:rsid w:val="009215B7"/>
    <w:rsid w:val="009215DA"/>
    <w:rsid w:val="009218E4"/>
    <w:rsid w:val="00921979"/>
    <w:rsid w:val="00921A21"/>
    <w:rsid w:val="00921C42"/>
    <w:rsid w:val="00921C9F"/>
    <w:rsid w:val="00921CCD"/>
    <w:rsid w:val="00921DA6"/>
    <w:rsid w:val="00921DBD"/>
    <w:rsid w:val="00921E05"/>
    <w:rsid w:val="00921EA7"/>
    <w:rsid w:val="00921F26"/>
    <w:rsid w:val="00921FEF"/>
    <w:rsid w:val="0092202C"/>
    <w:rsid w:val="00922152"/>
    <w:rsid w:val="009221DA"/>
    <w:rsid w:val="00922243"/>
    <w:rsid w:val="00922367"/>
    <w:rsid w:val="0092258A"/>
    <w:rsid w:val="0092262C"/>
    <w:rsid w:val="009226DD"/>
    <w:rsid w:val="009226E0"/>
    <w:rsid w:val="00922885"/>
    <w:rsid w:val="00922946"/>
    <w:rsid w:val="00922A23"/>
    <w:rsid w:val="00922A69"/>
    <w:rsid w:val="00922D90"/>
    <w:rsid w:val="00922D9E"/>
    <w:rsid w:val="00922F01"/>
    <w:rsid w:val="00922F83"/>
    <w:rsid w:val="009231A2"/>
    <w:rsid w:val="009234B2"/>
    <w:rsid w:val="0092350B"/>
    <w:rsid w:val="009235C1"/>
    <w:rsid w:val="0092378D"/>
    <w:rsid w:val="009237B9"/>
    <w:rsid w:val="009237E2"/>
    <w:rsid w:val="0092383E"/>
    <w:rsid w:val="009238A3"/>
    <w:rsid w:val="009238C0"/>
    <w:rsid w:val="0092393A"/>
    <w:rsid w:val="00923988"/>
    <w:rsid w:val="009239BD"/>
    <w:rsid w:val="009239E8"/>
    <w:rsid w:val="00923AE1"/>
    <w:rsid w:val="00923AEB"/>
    <w:rsid w:val="00923AF5"/>
    <w:rsid w:val="00923B4B"/>
    <w:rsid w:val="00923BA8"/>
    <w:rsid w:val="00923BB8"/>
    <w:rsid w:val="00923E3C"/>
    <w:rsid w:val="00923F34"/>
    <w:rsid w:val="0092403A"/>
    <w:rsid w:val="009240E6"/>
    <w:rsid w:val="009240F4"/>
    <w:rsid w:val="00924524"/>
    <w:rsid w:val="0092469E"/>
    <w:rsid w:val="00924708"/>
    <w:rsid w:val="00924795"/>
    <w:rsid w:val="009247A7"/>
    <w:rsid w:val="00924982"/>
    <w:rsid w:val="00924AA2"/>
    <w:rsid w:val="00924C01"/>
    <w:rsid w:val="00924D99"/>
    <w:rsid w:val="00924E15"/>
    <w:rsid w:val="00924E46"/>
    <w:rsid w:val="00924E58"/>
    <w:rsid w:val="00924E7A"/>
    <w:rsid w:val="00924EDF"/>
    <w:rsid w:val="00924F50"/>
    <w:rsid w:val="00925026"/>
    <w:rsid w:val="00925038"/>
    <w:rsid w:val="0092505B"/>
    <w:rsid w:val="00925157"/>
    <w:rsid w:val="009251D9"/>
    <w:rsid w:val="009251DD"/>
    <w:rsid w:val="009251FA"/>
    <w:rsid w:val="0092539A"/>
    <w:rsid w:val="009254AD"/>
    <w:rsid w:val="009254D9"/>
    <w:rsid w:val="00925560"/>
    <w:rsid w:val="00925657"/>
    <w:rsid w:val="009256F8"/>
    <w:rsid w:val="009258C3"/>
    <w:rsid w:val="009258CA"/>
    <w:rsid w:val="009258E5"/>
    <w:rsid w:val="009259CC"/>
    <w:rsid w:val="00925BAA"/>
    <w:rsid w:val="00925CA5"/>
    <w:rsid w:val="00925D20"/>
    <w:rsid w:val="00925E03"/>
    <w:rsid w:val="00925EE3"/>
    <w:rsid w:val="00925F7D"/>
    <w:rsid w:val="00925F89"/>
    <w:rsid w:val="009260E0"/>
    <w:rsid w:val="009263E1"/>
    <w:rsid w:val="00926479"/>
    <w:rsid w:val="00926584"/>
    <w:rsid w:val="009266AE"/>
    <w:rsid w:val="00926766"/>
    <w:rsid w:val="009267D7"/>
    <w:rsid w:val="00926A5E"/>
    <w:rsid w:val="00926A8F"/>
    <w:rsid w:val="00926C0B"/>
    <w:rsid w:val="00926C30"/>
    <w:rsid w:val="00926C6E"/>
    <w:rsid w:val="00926E8D"/>
    <w:rsid w:val="00926F82"/>
    <w:rsid w:val="00926FC3"/>
    <w:rsid w:val="00927028"/>
    <w:rsid w:val="00927047"/>
    <w:rsid w:val="009271A1"/>
    <w:rsid w:val="00927324"/>
    <w:rsid w:val="0092767C"/>
    <w:rsid w:val="00927682"/>
    <w:rsid w:val="009276FE"/>
    <w:rsid w:val="00927762"/>
    <w:rsid w:val="00927917"/>
    <w:rsid w:val="0092796F"/>
    <w:rsid w:val="00927A4D"/>
    <w:rsid w:val="00927B37"/>
    <w:rsid w:val="00927B44"/>
    <w:rsid w:val="00927B82"/>
    <w:rsid w:val="00927C28"/>
    <w:rsid w:val="00927C46"/>
    <w:rsid w:val="00927C49"/>
    <w:rsid w:val="00927E23"/>
    <w:rsid w:val="00927EB8"/>
    <w:rsid w:val="00930024"/>
    <w:rsid w:val="00930086"/>
    <w:rsid w:val="00930131"/>
    <w:rsid w:val="00930260"/>
    <w:rsid w:val="0093028E"/>
    <w:rsid w:val="009302D1"/>
    <w:rsid w:val="00930369"/>
    <w:rsid w:val="009303A7"/>
    <w:rsid w:val="0093041C"/>
    <w:rsid w:val="00930677"/>
    <w:rsid w:val="0093072D"/>
    <w:rsid w:val="0093072F"/>
    <w:rsid w:val="009307CB"/>
    <w:rsid w:val="00930A67"/>
    <w:rsid w:val="00930C7D"/>
    <w:rsid w:val="00930C99"/>
    <w:rsid w:val="00930CF7"/>
    <w:rsid w:val="00930D47"/>
    <w:rsid w:val="00930DAF"/>
    <w:rsid w:val="00930DDA"/>
    <w:rsid w:val="00930F98"/>
    <w:rsid w:val="0093111C"/>
    <w:rsid w:val="0093133E"/>
    <w:rsid w:val="00931396"/>
    <w:rsid w:val="00931465"/>
    <w:rsid w:val="009315EB"/>
    <w:rsid w:val="009315F7"/>
    <w:rsid w:val="009317F7"/>
    <w:rsid w:val="00931A87"/>
    <w:rsid w:val="00931BA6"/>
    <w:rsid w:val="00931C9F"/>
    <w:rsid w:val="00931E2A"/>
    <w:rsid w:val="00932051"/>
    <w:rsid w:val="009320CB"/>
    <w:rsid w:val="00932155"/>
    <w:rsid w:val="00932157"/>
    <w:rsid w:val="00932265"/>
    <w:rsid w:val="009322BE"/>
    <w:rsid w:val="009323A8"/>
    <w:rsid w:val="00932436"/>
    <w:rsid w:val="0093247F"/>
    <w:rsid w:val="009324D4"/>
    <w:rsid w:val="0093260A"/>
    <w:rsid w:val="0093263C"/>
    <w:rsid w:val="009326A0"/>
    <w:rsid w:val="009326A9"/>
    <w:rsid w:val="00932819"/>
    <w:rsid w:val="009328FC"/>
    <w:rsid w:val="00932935"/>
    <w:rsid w:val="00932A33"/>
    <w:rsid w:val="00932C40"/>
    <w:rsid w:val="00932D92"/>
    <w:rsid w:val="00932F24"/>
    <w:rsid w:val="00933029"/>
    <w:rsid w:val="00933114"/>
    <w:rsid w:val="009331B7"/>
    <w:rsid w:val="009332C5"/>
    <w:rsid w:val="00933477"/>
    <w:rsid w:val="0093347D"/>
    <w:rsid w:val="0093376E"/>
    <w:rsid w:val="0093387A"/>
    <w:rsid w:val="0093395F"/>
    <w:rsid w:val="00933ABA"/>
    <w:rsid w:val="00933BC5"/>
    <w:rsid w:val="00933C64"/>
    <w:rsid w:val="00933D7D"/>
    <w:rsid w:val="00933E7D"/>
    <w:rsid w:val="00933F21"/>
    <w:rsid w:val="00933FF6"/>
    <w:rsid w:val="0093405E"/>
    <w:rsid w:val="009340EA"/>
    <w:rsid w:val="00934143"/>
    <w:rsid w:val="00934182"/>
    <w:rsid w:val="009342DD"/>
    <w:rsid w:val="009342E7"/>
    <w:rsid w:val="009343F4"/>
    <w:rsid w:val="0093443D"/>
    <w:rsid w:val="009344FE"/>
    <w:rsid w:val="009345AA"/>
    <w:rsid w:val="00934631"/>
    <w:rsid w:val="009347D2"/>
    <w:rsid w:val="009348AB"/>
    <w:rsid w:val="00934A0C"/>
    <w:rsid w:val="00934A71"/>
    <w:rsid w:val="00934C06"/>
    <w:rsid w:val="00934C64"/>
    <w:rsid w:val="00934D16"/>
    <w:rsid w:val="00934D77"/>
    <w:rsid w:val="00934F3A"/>
    <w:rsid w:val="00934F53"/>
    <w:rsid w:val="00934FA2"/>
    <w:rsid w:val="009350C7"/>
    <w:rsid w:val="009352B7"/>
    <w:rsid w:val="009352F6"/>
    <w:rsid w:val="00935416"/>
    <w:rsid w:val="00935484"/>
    <w:rsid w:val="00935589"/>
    <w:rsid w:val="009355D2"/>
    <w:rsid w:val="009355D7"/>
    <w:rsid w:val="009356E0"/>
    <w:rsid w:val="0093570B"/>
    <w:rsid w:val="009357CD"/>
    <w:rsid w:val="00935878"/>
    <w:rsid w:val="00935968"/>
    <w:rsid w:val="0093599C"/>
    <w:rsid w:val="00935CDB"/>
    <w:rsid w:val="00935F56"/>
    <w:rsid w:val="00936080"/>
    <w:rsid w:val="009360C5"/>
    <w:rsid w:val="009362CB"/>
    <w:rsid w:val="0093634F"/>
    <w:rsid w:val="009363C4"/>
    <w:rsid w:val="009363DA"/>
    <w:rsid w:val="009364CF"/>
    <w:rsid w:val="0093651D"/>
    <w:rsid w:val="00936544"/>
    <w:rsid w:val="00936691"/>
    <w:rsid w:val="00936702"/>
    <w:rsid w:val="0093678A"/>
    <w:rsid w:val="0093681B"/>
    <w:rsid w:val="0093687D"/>
    <w:rsid w:val="0093696E"/>
    <w:rsid w:val="0093699E"/>
    <w:rsid w:val="00936A11"/>
    <w:rsid w:val="00936A8D"/>
    <w:rsid w:val="00936AE7"/>
    <w:rsid w:val="00936B59"/>
    <w:rsid w:val="00936B60"/>
    <w:rsid w:val="00936BEB"/>
    <w:rsid w:val="00936CBA"/>
    <w:rsid w:val="00936ECD"/>
    <w:rsid w:val="00936FCA"/>
    <w:rsid w:val="00937333"/>
    <w:rsid w:val="00937351"/>
    <w:rsid w:val="0093749A"/>
    <w:rsid w:val="00937538"/>
    <w:rsid w:val="009375B4"/>
    <w:rsid w:val="0093766F"/>
    <w:rsid w:val="0093768D"/>
    <w:rsid w:val="009376C4"/>
    <w:rsid w:val="00937794"/>
    <w:rsid w:val="0093795A"/>
    <w:rsid w:val="00937984"/>
    <w:rsid w:val="00937A73"/>
    <w:rsid w:val="00937B2F"/>
    <w:rsid w:val="00937D0D"/>
    <w:rsid w:val="00937E31"/>
    <w:rsid w:val="00937F52"/>
    <w:rsid w:val="00940149"/>
    <w:rsid w:val="009401C1"/>
    <w:rsid w:val="0094026F"/>
    <w:rsid w:val="0094047D"/>
    <w:rsid w:val="009404B5"/>
    <w:rsid w:val="009404D2"/>
    <w:rsid w:val="009405A8"/>
    <w:rsid w:val="00940662"/>
    <w:rsid w:val="009407CE"/>
    <w:rsid w:val="0094081C"/>
    <w:rsid w:val="0094098E"/>
    <w:rsid w:val="0094099B"/>
    <w:rsid w:val="00940A72"/>
    <w:rsid w:val="00940A75"/>
    <w:rsid w:val="00940AF4"/>
    <w:rsid w:val="00940AF9"/>
    <w:rsid w:val="00940C0F"/>
    <w:rsid w:val="00941175"/>
    <w:rsid w:val="0094118B"/>
    <w:rsid w:val="009411CF"/>
    <w:rsid w:val="0094135D"/>
    <w:rsid w:val="0094139C"/>
    <w:rsid w:val="00941484"/>
    <w:rsid w:val="009414D5"/>
    <w:rsid w:val="009415D1"/>
    <w:rsid w:val="0094169E"/>
    <w:rsid w:val="009416BC"/>
    <w:rsid w:val="00941963"/>
    <w:rsid w:val="00941966"/>
    <w:rsid w:val="009419AE"/>
    <w:rsid w:val="00941A62"/>
    <w:rsid w:val="00941AE4"/>
    <w:rsid w:val="00941BC5"/>
    <w:rsid w:val="00941C3C"/>
    <w:rsid w:val="00941D26"/>
    <w:rsid w:val="00941D34"/>
    <w:rsid w:val="00941D60"/>
    <w:rsid w:val="00941EEB"/>
    <w:rsid w:val="0094202B"/>
    <w:rsid w:val="009420F8"/>
    <w:rsid w:val="00942129"/>
    <w:rsid w:val="0094214C"/>
    <w:rsid w:val="009421BE"/>
    <w:rsid w:val="009421D7"/>
    <w:rsid w:val="00942337"/>
    <w:rsid w:val="00942382"/>
    <w:rsid w:val="0094252D"/>
    <w:rsid w:val="009425AC"/>
    <w:rsid w:val="009425DD"/>
    <w:rsid w:val="00942729"/>
    <w:rsid w:val="009427F5"/>
    <w:rsid w:val="0094292F"/>
    <w:rsid w:val="00942979"/>
    <w:rsid w:val="009429D1"/>
    <w:rsid w:val="00942B32"/>
    <w:rsid w:val="00942BAC"/>
    <w:rsid w:val="00942C12"/>
    <w:rsid w:val="00942CDC"/>
    <w:rsid w:val="00942CDD"/>
    <w:rsid w:val="00942D6A"/>
    <w:rsid w:val="00942E48"/>
    <w:rsid w:val="00942E81"/>
    <w:rsid w:val="00942F01"/>
    <w:rsid w:val="00942FF7"/>
    <w:rsid w:val="0094313A"/>
    <w:rsid w:val="0094313E"/>
    <w:rsid w:val="00943168"/>
    <w:rsid w:val="0094338B"/>
    <w:rsid w:val="0094368E"/>
    <w:rsid w:val="0094378D"/>
    <w:rsid w:val="009439BA"/>
    <w:rsid w:val="00943BDE"/>
    <w:rsid w:val="00943CAF"/>
    <w:rsid w:val="00943D5E"/>
    <w:rsid w:val="00943E67"/>
    <w:rsid w:val="00944028"/>
    <w:rsid w:val="00944249"/>
    <w:rsid w:val="009442BB"/>
    <w:rsid w:val="009443CB"/>
    <w:rsid w:val="00944443"/>
    <w:rsid w:val="00944448"/>
    <w:rsid w:val="0094455B"/>
    <w:rsid w:val="00944755"/>
    <w:rsid w:val="00944DD2"/>
    <w:rsid w:val="00944E1E"/>
    <w:rsid w:val="00944F07"/>
    <w:rsid w:val="00944F09"/>
    <w:rsid w:val="00944FAD"/>
    <w:rsid w:val="00945054"/>
    <w:rsid w:val="009451BA"/>
    <w:rsid w:val="00945265"/>
    <w:rsid w:val="00945284"/>
    <w:rsid w:val="00945483"/>
    <w:rsid w:val="00945543"/>
    <w:rsid w:val="009455D5"/>
    <w:rsid w:val="009456C6"/>
    <w:rsid w:val="0094573C"/>
    <w:rsid w:val="0094592D"/>
    <w:rsid w:val="00945B95"/>
    <w:rsid w:val="00945D12"/>
    <w:rsid w:val="00945D30"/>
    <w:rsid w:val="00945DC6"/>
    <w:rsid w:val="00946100"/>
    <w:rsid w:val="009461F3"/>
    <w:rsid w:val="00946418"/>
    <w:rsid w:val="00946485"/>
    <w:rsid w:val="00946695"/>
    <w:rsid w:val="0094674E"/>
    <w:rsid w:val="00946890"/>
    <w:rsid w:val="009469BB"/>
    <w:rsid w:val="00946AC9"/>
    <w:rsid w:val="00946B84"/>
    <w:rsid w:val="00946BFF"/>
    <w:rsid w:val="00946C67"/>
    <w:rsid w:val="00946D5F"/>
    <w:rsid w:val="00946DAF"/>
    <w:rsid w:val="00946E25"/>
    <w:rsid w:val="00946F6C"/>
    <w:rsid w:val="009472FB"/>
    <w:rsid w:val="0094733E"/>
    <w:rsid w:val="00947477"/>
    <w:rsid w:val="00947511"/>
    <w:rsid w:val="00947568"/>
    <w:rsid w:val="009475E0"/>
    <w:rsid w:val="00947649"/>
    <w:rsid w:val="0094767C"/>
    <w:rsid w:val="0094777E"/>
    <w:rsid w:val="009477B1"/>
    <w:rsid w:val="009477DF"/>
    <w:rsid w:val="00947907"/>
    <w:rsid w:val="00947A48"/>
    <w:rsid w:val="00947B6F"/>
    <w:rsid w:val="00947BFD"/>
    <w:rsid w:val="00947DB9"/>
    <w:rsid w:val="00947DD4"/>
    <w:rsid w:val="00947E11"/>
    <w:rsid w:val="00947FE5"/>
    <w:rsid w:val="00950034"/>
    <w:rsid w:val="009500C7"/>
    <w:rsid w:val="0095018E"/>
    <w:rsid w:val="00950272"/>
    <w:rsid w:val="00950331"/>
    <w:rsid w:val="009503C8"/>
    <w:rsid w:val="00950414"/>
    <w:rsid w:val="0095047F"/>
    <w:rsid w:val="0095048A"/>
    <w:rsid w:val="009504AF"/>
    <w:rsid w:val="009504C3"/>
    <w:rsid w:val="0095052E"/>
    <w:rsid w:val="0095055A"/>
    <w:rsid w:val="00950659"/>
    <w:rsid w:val="00950680"/>
    <w:rsid w:val="00950717"/>
    <w:rsid w:val="00950763"/>
    <w:rsid w:val="00950767"/>
    <w:rsid w:val="009507DA"/>
    <w:rsid w:val="00950842"/>
    <w:rsid w:val="0095099E"/>
    <w:rsid w:val="00950A86"/>
    <w:rsid w:val="00950A9E"/>
    <w:rsid w:val="00950BD8"/>
    <w:rsid w:val="00950C49"/>
    <w:rsid w:val="00950C55"/>
    <w:rsid w:val="00950CA4"/>
    <w:rsid w:val="00950D74"/>
    <w:rsid w:val="00950DBA"/>
    <w:rsid w:val="00950ED6"/>
    <w:rsid w:val="00950FD0"/>
    <w:rsid w:val="009510BD"/>
    <w:rsid w:val="00951123"/>
    <w:rsid w:val="00951501"/>
    <w:rsid w:val="0095150B"/>
    <w:rsid w:val="00951539"/>
    <w:rsid w:val="009516FD"/>
    <w:rsid w:val="009517A4"/>
    <w:rsid w:val="00951805"/>
    <w:rsid w:val="00951836"/>
    <w:rsid w:val="00951B19"/>
    <w:rsid w:val="00951BB0"/>
    <w:rsid w:val="00951C02"/>
    <w:rsid w:val="00951DAF"/>
    <w:rsid w:val="00951DEE"/>
    <w:rsid w:val="00951E01"/>
    <w:rsid w:val="009521C2"/>
    <w:rsid w:val="0095238D"/>
    <w:rsid w:val="009523D8"/>
    <w:rsid w:val="00952771"/>
    <w:rsid w:val="00952B14"/>
    <w:rsid w:val="00952BD0"/>
    <w:rsid w:val="00952C00"/>
    <w:rsid w:val="00952C6C"/>
    <w:rsid w:val="00952C88"/>
    <w:rsid w:val="00952CD4"/>
    <w:rsid w:val="00952D34"/>
    <w:rsid w:val="00952DA2"/>
    <w:rsid w:val="00952F43"/>
    <w:rsid w:val="00952FB3"/>
    <w:rsid w:val="00952FBD"/>
    <w:rsid w:val="00952FC9"/>
    <w:rsid w:val="0095319C"/>
    <w:rsid w:val="0095333F"/>
    <w:rsid w:val="0095335A"/>
    <w:rsid w:val="00953430"/>
    <w:rsid w:val="0095363E"/>
    <w:rsid w:val="009536C8"/>
    <w:rsid w:val="00953878"/>
    <w:rsid w:val="00953AC0"/>
    <w:rsid w:val="00953AEA"/>
    <w:rsid w:val="00953AF3"/>
    <w:rsid w:val="00953E79"/>
    <w:rsid w:val="00953E93"/>
    <w:rsid w:val="00953FB9"/>
    <w:rsid w:val="009540D6"/>
    <w:rsid w:val="00954141"/>
    <w:rsid w:val="009541B8"/>
    <w:rsid w:val="009541F2"/>
    <w:rsid w:val="00954232"/>
    <w:rsid w:val="0095437A"/>
    <w:rsid w:val="00954435"/>
    <w:rsid w:val="00954441"/>
    <w:rsid w:val="009545B3"/>
    <w:rsid w:val="009545CE"/>
    <w:rsid w:val="009547BB"/>
    <w:rsid w:val="00954968"/>
    <w:rsid w:val="0095496E"/>
    <w:rsid w:val="00954ABD"/>
    <w:rsid w:val="00954C87"/>
    <w:rsid w:val="00954CC4"/>
    <w:rsid w:val="00954D52"/>
    <w:rsid w:val="00954D6E"/>
    <w:rsid w:val="009552BC"/>
    <w:rsid w:val="0095543D"/>
    <w:rsid w:val="00955595"/>
    <w:rsid w:val="00955643"/>
    <w:rsid w:val="00955696"/>
    <w:rsid w:val="00955713"/>
    <w:rsid w:val="00955904"/>
    <w:rsid w:val="00955A79"/>
    <w:rsid w:val="00955A7E"/>
    <w:rsid w:val="00955C15"/>
    <w:rsid w:val="00955C93"/>
    <w:rsid w:val="00955CCB"/>
    <w:rsid w:val="00955DF1"/>
    <w:rsid w:val="00955E12"/>
    <w:rsid w:val="00955F2B"/>
    <w:rsid w:val="009560F5"/>
    <w:rsid w:val="009561CE"/>
    <w:rsid w:val="009562A7"/>
    <w:rsid w:val="00956373"/>
    <w:rsid w:val="009563CD"/>
    <w:rsid w:val="00956422"/>
    <w:rsid w:val="00956489"/>
    <w:rsid w:val="009564F5"/>
    <w:rsid w:val="00956500"/>
    <w:rsid w:val="0095656F"/>
    <w:rsid w:val="009565AB"/>
    <w:rsid w:val="0095669B"/>
    <w:rsid w:val="0095674C"/>
    <w:rsid w:val="00956868"/>
    <w:rsid w:val="00956884"/>
    <w:rsid w:val="009568EE"/>
    <w:rsid w:val="009569E2"/>
    <w:rsid w:val="00956AFC"/>
    <w:rsid w:val="00956E23"/>
    <w:rsid w:val="00956E94"/>
    <w:rsid w:val="00956F17"/>
    <w:rsid w:val="00956F6A"/>
    <w:rsid w:val="009570B1"/>
    <w:rsid w:val="009570F0"/>
    <w:rsid w:val="00957152"/>
    <w:rsid w:val="00957183"/>
    <w:rsid w:val="00957249"/>
    <w:rsid w:val="009572B8"/>
    <w:rsid w:val="009573D4"/>
    <w:rsid w:val="0095775C"/>
    <w:rsid w:val="009578E3"/>
    <w:rsid w:val="00957905"/>
    <w:rsid w:val="009579DF"/>
    <w:rsid w:val="00957AC1"/>
    <w:rsid w:val="00957BA4"/>
    <w:rsid w:val="00957C0B"/>
    <w:rsid w:val="00957C83"/>
    <w:rsid w:val="00957E5E"/>
    <w:rsid w:val="00957F28"/>
    <w:rsid w:val="00960008"/>
    <w:rsid w:val="00960141"/>
    <w:rsid w:val="00960165"/>
    <w:rsid w:val="009601B9"/>
    <w:rsid w:val="009601CB"/>
    <w:rsid w:val="009602F9"/>
    <w:rsid w:val="00960443"/>
    <w:rsid w:val="00960461"/>
    <w:rsid w:val="0096064B"/>
    <w:rsid w:val="009606ED"/>
    <w:rsid w:val="00960740"/>
    <w:rsid w:val="0096075B"/>
    <w:rsid w:val="009609ED"/>
    <w:rsid w:val="00960A4B"/>
    <w:rsid w:val="00960D0B"/>
    <w:rsid w:val="00960D14"/>
    <w:rsid w:val="00960EBF"/>
    <w:rsid w:val="00960EF8"/>
    <w:rsid w:val="009610AA"/>
    <w:rsid w:val="009610CD"/>
    <w:rsid w:val="00961278"/>
    <w:rsid w:val="009616A8"/>
    <w:rsid w:val="009616CD"/>
    <w:rsid w:val="0096175E"/>
    <w:rsid w:val="0096176C"/>
    <w:rsid w:val="00961793"/>
    <w:rsid w:val="0096180A"/>
    <w:rsid w:val="00961BCF"/>
    <w:rsid w:val="00961FA6"/>
    <w:rsid w:val="00962030"/>
    <w:rsid w:val="0096223C"/>
    <w:rsid w:val="009622B8"/>
    <w:rsid w:val="009622BB"/>
    <w:rsid w:val="00962470"/>
    <w:rsid w:val="009624DA"/>
    <w:rsid w:val="00962521"/>
    <w:rsid w:val="00962686"/>
    <w:rsid w:val="0096283E"/>
    <w:rsid w:val="00962845"/>
    <w:rsid w:val="00962A4E"/>
    <w:rsid w:val="00962A59"/>
    <w:rsid w:val="00962AE9"/>
    <w:rsid w:val="00962AEE"/>
    <w:rsid w:val="00962B1A"/>
    <w:rsid w:val="00962B64"/>
    <w:rsid w:val="00962BEC"/>
    <w:rsid w:val="00962C63"/>
    <w:rsid w:val="00962CA9"/>
    <w:rsid w:val="00962D40"/>
    <w:rsid w:val="00962DC1"/>
    <w:rsid w:val="00962DE6"/>
    <w:rsid w:val="009630F2"/>
    <w:rsid w:val="0096325C"/>
    <w:rsid w:val="0096337C"/>
    <w:rsid w:val="00963493"/>
    <w:rsid w:val="00963568"/>
    <w:rsid w:val="0096371E"/>
    <w:rsid w:val="00963798"/>
    <w:rsid w:val="00963912"/>
    <w:rsid w:val="009639B9"/>
    <w:rsid w:val="009639EB"/>
    <w:rsid w:val="00963AC2"/>
    <w:rsid w:val="00963E9B"/>
    <w:rsid w:val="00963F33"/>
    <w:rsid w:val="0096424A"/>
    <w:rsid w:val="0096424D"/>
    <w:rsid w:val="00964445"/>
    <w:rsid w:val="009644F1"/>
    <w:rsid w:val="00964500"/>
    <w:rsid w:val="00964546"/>
    <w:rsid w:val="00964621"/>
    <w:rsid w:val="0096464B"/>
    <w:rsid w:val="009646BD"/>
    <w:rsid w:val="009646BE"/>
    <w:rsid w:val="009646E3"/>
    <w:rsid w:val="009646E6"/>
    <w:rsid w:val="00964805"/>
    <w:rsid w:val="00964940"/>
    <w:rsid w:val="009649EA"/>
    <w:rsid w:val="00964C72"/>
    <w:rsid w:val="00964D45"/>
    <w:rsid w:val="00964DC0"/>
    <w:rsid w:val="00964E56"/>
    <w:rsid w:val="00964E68"/>
    <w:rsid w:val="00964F61"/>
    <w:rsid w:val="00964FF5"/>
    <w:rsid w:val="00965025"/>
    <w:rsid w:val="009650D5"/>
    <w:rsid w:val="0096512D"/>
    <w:rsid w:val="0096516D"/>
    <w:rsid w:val="009651ED"/>
    <w:rsid w:val="00965414"/>
    <w:rsid w:val="009654FE"/>
    <w:rsid w:val="009655C5"/>
    <w:rsid w:val="009655C9"/>
    <w:rsid w:val="009655F4"/>
    <w:rsid w:val="0096568A"/>
    <w:rsid w:val="0096571C"/>
    <w:rsid w:val="0096574C"/>
    <w:rsid w:val="00965792"/>
    <w:rsid w:val="00965866"/>
    <w:rsid w:val="00965A8B"/>
    <w:rsid w:val="00965A95"/>
    <w:rsid w:val="00965AF7"/>
    <w:rsid w:val="00965B75"/>
    <w:rsid w:val="00965C85"/>
    <w:rsid w:val="00965DE3"/>
    <w:rsid w:val="00965DE7"/>
    <w:rsid w:val="00966178"/>
    <w:rsid w:val="009661B5"/>
    <w:rsid w:val="009665EE"/>
    <w:rsid w:val="00966717"/>
    <w:rsid w:val="0096679C"/>
    <w:rsid w:val="00966840"/>
    <w:rsid w:val="00966902"/>
    <w:rsid w:val="00966909"/>
    <w:rsid w:val="00966B15"/>
    <w:rsid w:val="00966CB4"/>
    <w:rsid w:val="00966CF1"/>
    <w:rsid w:val="00966D2C"/>
    <w:rsid w:val="00966DCD"/>
    <w:rsid w:val="00966FA1"/>
    <w:rsid w:val="009670BA"/>
    <w:rsid w:val="00967401"/>
    <w:rsid w:val="009674F6"/>
    <w:rsid w:val="00967518"/>
    <w:rsid w:val="00967580"/>
    <w:rsid w:val="0096762E"/>
    <w:rsid w:val="00967659"/>
    <w:rsid w:val="009676D2"/>
    <w:rsid w:val="00967731"/>
    <w:rsid w:val="009678B6"/>
    <w:rsid w:val="00967A7F"/>
    <w:rsid w:val="00967AA0"/>
    <w:rsid w:val="00967D79"/>
    <w:rsid w:val="00967EAE"/>
    <w:rsid w:val="00967EDD"/>
    <w:rsid w:val="00967F36"/>
    <w:rsid w:val="00967F66"/>
    <w:rsid w:val="00970075"/>
    <w:rsid w:val="0097007B"/>
    <w:rsid w:val="00970213"/>
    <w:rsid w:val="0097021A"/>
    <w:rsid w:val="009702D9"/>
    <w:rsid w:val="00970366"/>
    <w:rsid w:val="009703E3"/>
    <w:rsid w:val="009704B0"/>
    <w:rsid w:val="009705A9"/>
    <w:rsid w:val="009706CD"/>
    <w:rsid w:val="009707E3"/>
    <w:rsid w:val="00970B83"/>
    <w:rsid w:val="00970DDE"/>
    <w:rsid w:val="00970EDE"/>
    <w:rsid w:val="00970FDE"/>
    <w:rsid w:val="00970FE8"/>
    <w:rsid w:val="0097105F"/>
    <w:rsid w:val="00971170"/>
    <w:rsid w:val="00971339"/>
    <w:rsid w:val="009713C4"/>
    <w:rsid w:val="009714D2"/>
    <w:rsid w:val="009715F0"/>
    <w:rsid w:val="00971685"/>
    <w:rsid w:val="0097174B"/>
    <w:rsid w:val="009717BE"/>
    <w:rsid w:val="009718B2"/>
    <w:rsid w:val="0097190D"/>
    <w:rsid w:val="0097196A"/>
    <w:rsid w:val="00971993"/>
    <w:rsid w:val="00971AD0"/>
    <w:rsid w:val="00971B10"/>
    <w:rsid w:val="00971B6C"/>
    <w:rsid w:val="00971BFC"/>
    <w:rsid w:val="00971C06"/>
    <w:rsid w:val="00971D1D"/>
    <w:rsid w:val="00971F2F"/>
    <w:rsid w:val="00971F97"/>
    <w:rsid w:val="00972036"/>
    <w:rsid w:val="0097204B"/>
    <w:rsid w:val="00972205"/>
    <w:rsid w:val="0097221A"/>
    <w:rsid w:val="0097236D"/>
    <w:rsid w:val="00972467"/>
    <w:rsid w:val="009724CC"/>
    <w:rsid w:val="009725C5"/>
    <w:rsid w:val="009726F6"/>
    <w:rsid w:val="009727A4"/>
    <w:rsid w:val="009727C9"/>
    <w:rsid w:val="00972865"/>
    <w:rsid w:val="00972886"/>
    <w:rsid w:val="00972896"/>
    <w:rsid w:val="009728DB"/>
    <w:rsid w:val="009729CC"/>
    <w:rsid w:val="009729D8"/>
    <w:rsid w:val="00972A1F"/>
    <w:rsid w:val="00972BBB"/>
    <w:rsid w:val="00972BF0"/>
    <w:rsid w:val="00972C49"/>
    <w:rsid w:val="00972CEC"/>
    <w:rsid w:val="00972D52"/>
    <w:rsid w:val="00972DC4"/>
    <w:rsid w:val="00972F77"/>
    <w:rsid w:val="00972FB3"/>
    <w:rsid w:val="0097303C"/>
    <w:rsid w:val="0097324D"/>
    <w:rsid w:val="0097346A"/>
    <w:rsid w:val="009735E4"/>
    <w:rsid w:val="009737DB"/>
    <w:rsid w:val="009738F5"/>
    <w:rsid w:val="009739FA"/>
    <w:rsid w:val="00973C2A"/>
    <w:rsid w:val="00973ECA"/>
    <w:rsid w:val="00973F0B"/>
    <w:rsid w:val="00973F4C"/>
    <w:rsid w:val="00973FE2"/>
    <w:rsid w:val="0097403D"/>
    <w:rsid w:val="00974244"/>
    <w:rsid w:val="00974269"/>
    <w:rsid w:val="00974402"/>
    <w:rsid w:val="00974420"/>
    <w:rsid w:val="00974476"/>
    <w:rsid w:val="00974508"/>
    <w:rsid w:val="009745AB"/>
    <w:rsid w:val="00974601"/>
    <w:rsid w:val="009746CD"/>
    <w:rsid w:val="0097470A"/>
    <w:rsid w:val="00974735"/>
    <w:rsid w:val="009748A7"/>
    <w:rsid w:val="0097494F"/>
    <w:rsid w:val="00974BEF"/>
    <w:rsid w:val="00974CF2"/>
    <w:rsid w:val="00974D72"/>
    <w:rsid w:val="00974F95"/>
    <w:rsid w:val="00974FB0"/>
    <w:rsid w:val="00975137"/>
    <w:rsid w:val="0097513F"/>
    <w:rsid w:val="009751A6"/>
    <w:rsid w:val="009751C0"/>
    <w:rsid w:val="00975231"/>
    <w:rsid w:val="00975241"/>
    <w:rsid w:val="0097524B"/>
    <w:rsid w:val="00975300"/>
    <w:rsid w:val="00975531"/>
    <w:rsid w:val="009757D7"/>
    <w:rsid w:val="0097582B"/>
    <w:rsid w:val="0097583E"/>
    <w:rsid w:val="00975954"/>
    <w:rsid w:val="0097596F"/>
    <w:rsid w:val="00975A03"/>
    <w:rsid w:val="00975A7D"/>
    <w:rsid w:val="00975B1A"/>
    <w:rsid w:val="00975FA7"/>
    <w:rsid w:val="0097615C"/>
    <w:rsid w:val="009761A8"/>
    <w:rsid w:val="009765A7"/>
    <w:rsid w:val="009765F4"/>
    <w:rsid w:val="00976617"/>
    <w:rsid w:val="00976634"/>
    <w:rsid w:val="009766DF"/>
    <w:rsid w:val="009767A0"/>
    <w:rsid w:val="0097689A"/>
    <w:rsid w:val="0097692C"/>
    <w:rsid w:val="0097692E"/>
    <w:rsid w:val="0097693B"/>
    <w:rsid w:val="00976B4F"/>
    <w:rsid w:val="00976C1C"/>
    <w:rsid w:val="00976DF6"/>
    <w:rsid w:val="00976E93"/>
    <w:rsid w:val="00976EF9"/>
    <w:rsid w:val="00976F1E"/>
    <w:rsid w:val="0097701C"/>
    <w:rsid w:val="0097702A"/>
    <w:rsid w:val="00977072"/>
    <w:rsid w:val="009770B0"/>
    <w:rsid w:val="009770D1"/>
    <w:rsid w:val="009770DE"/>
    <w:rsid w:val="00977149"/>
    <w:rsid w:val="0097714D"/>
    <w:rsid w:val="00977215"/>
    <w:rsid w:val="009772A2"/>
    <w:rsid w:val="00977667"/>
    <w:rsid w:val="009777AA"/>
    <w:rsid w:val="009779C9"/>
    <w:rsid w:val="009800D0"/>
    <w:rsid w:val="0098011A"/>
    <w:rsid w:val="0098024F"/>
    <w:rsid w:val="0098027F"/>
    <w:rsid w:val="00980461"/>
    <w:rsid w:val="009804DD"/>
    <w:rsid w:val="0098073F"/>
    <w:rsid w:val="009807CD"/>
    <w:rsid w:val="00980970"/>
    <w:rsid w:val="009809BE"/>
    <w:rsid w:val="00980A30"/>
    <w:rsid w:val="00980B75"/>
    <w:rsid w:val="00980E44"/>
    <w:rsid w:val="00980F13"/>
    <w:rsid w:val="00980F8D"/>
    <w:rsid w:val="00981015"/>
    <w:rsid w:val="009812A1"/>
    <w:rsid w:val="009812BB"/>
    <w:rsid w:val="009812F6"/>
    <w:rsid w:val="0098145F"/>
    <w:rsid w:val="009815BE"/>
    <w:rsid w:val="009815C7"/>
    <w:rsid w:val="009816BA"/>
    <w:rsid w:val="00981898"/>
    <w:rsid w:val="00981987"/>
    <w:rsid w:val="00981CC0"/>
    <w:rsid w:val="00981D49"/>
    <w:rsid w:val="00981F76"/>
    <w:rsid w:val="0098200F"/>
    <w:rsid w:val="00982067"/>
    <w:rsid w:val="00982174"/>
    <w:rsid w:val="00982368"/>
    <w:rsid w:val="009823CB"/>
    <w:rsid w:val="009824DE"/>
    <w:rsid w:val="009825CF"/>
    <w:rsid w:val="00982613"/>
    <w:rsid w:val="009826E3"/>
    <w:rsid w:val="0098281A"/>
    <w:rsid w:val="00982828"/>
    <w:rsid w:val="00982931"/>
    <w:rsid w:val="00982954"/>
    <w:rsid w:val="00982AED"/>
    <w:rsid w:val="00982AF7"/>
    <w:rsid w:val="00982B16"/>
    <w:rsid w:val="00982B82"/>
    <w:rsid w:val="00982D03"/>
    <w:rsid w:val="00982EC2"/>
    <w:rsid w:val="009830D4"/>
    <w:rsid w:val="009830D8"/>
    <w:rsid w:val="0098311E"/>
    <w:rsid w:val="00983283"/>
    <w:rsid w:val="00983377"/>
    <w:rsid w:val="00983565"/>
    <w:rsid w:val="0098358A"/>
    <w:rsid w:val="009835CC"/>
    <w:rsid w:val="00983604"/>
    <w:rsid w:val="00983609"/>
    <w:rsid w:val="00983615"/>
    <w:rsid w:val="0098378E"/>
    <w:rsid w:val="0098381C"/>
    <w:rsid w:val="00983956"/>
    <w:rsid w:val="0098399E"/>
    <w:rsid w:val="009839B0"/>
    <w:rsid w:val="00983D14"/>
    <w:rsid w:val="00983DFD"/>
    <w:rsid w:val="00983EB2"/>
    <w:rsid w:val="00983F19"/>
    <w:rsid w:val="00983F32"/>
    <w:rsid w:val="00983F40"/>
    <w:rsid w:val="00983F6A"/>
    <w:rsid w:val="009843C6"/>
    <w:rsid w:val="0098446A"/>
    <w:rsid w:val="009844F9"/>
    <w:rsid w:val="0098468F"/>
    <w:rsid w:val="009846E4"/>
    <w:rsid w:val="00984890"/>
    <w:rsid w:val="009848E7"/>
    <w:rsid w:val="0098493E"/>
    <w:rsid w:val="009849EC"/>
    <w:rsid w:val="00984CB0"/>
    <w:rsid w:val="00984CB1"/>
    <w:rsid w:val="00984DC3"/>
    <w:rsid w:val="00984ECF"/>
    <w:rsid w:val="009850B6"/>
    <w:rsid w:val="0098527D"/>
    <w:rsid w:val="00985345"/>
    <w:rsid w:val="00985377"/>
    <w:rsid w:val="009853D7"/>
    <w:rsid w:val="009853FD"/>
    <w:rsid w:val="00985402"/>
    <w:rsid w:val="009855A0"/>
    <w:rsid w:val="009855B6"/>
    <w:rsid w:val="00985861"/>
    <w:rsid w:val="0098587A"/>
    <w:rsid w:val="0098595A"/>
    <w:rsid w:val="009859C3"/>
    <w:rsid w:val="00985C98"/>
    <w:rsid w:val="00985DA3"/>
    <w:rsid w:val="00985FE3"/>
    <w:rsid w:val="0098640F"/>
    <w:rsid w:val="009864FD"/>
    <w:rsid w:val="0098651A"/>
    <w:rsid w:val="0098651D"/>
    <w:rsid w:val="0098655F"/>
    <w:rsid w:val="009865B6"/>
    <w:rsid w:val="009865BC"/>
    <w:rsid w:val="009866A1"/>
    <w:rsid w:val="0098670E"/>
    <w:rsid w:val="00986787"/>
    <w:rsid w:val="00986813"/>
    <w:rsid w:val="009868DF"/>
    <w:rsid w:val="00986A29"/>
    <w:rsid w:val="00986AD8"/>
    <w:rsid w:val="00986D0F"/>
    <w:rsid w:val="00986E7F"/>
    <w:rsid w:val="00986ECE"/>
    <w:rsid w:val="00986F71"/>
    <w:rsid w:val="00986FAC"/>
    <w:rsid w:val="00987045"/>
    <w:rsid w:val="0098721C"/>
    <w:rsid w:val="0098727A"/>
    <w:rsid w:val="009873EB"/>
    <w:rsid w:val="009874C6"/>
    <w:rsid w:val="009874DE"/>
    <w:rsid w:val="009874FA"/>
    <w:rsid w:val="0098757E"/>
    <w:rsid w:val="0098776C"/>
    <w:rsid w:val="00987853"/>
    <w:rsid w:val="00987878"/>
    <w:rsid w:val="0098796B"/>
    <w:rsid w:val="009879E2"/>
    <w:rsid w:val="00987A05"/>
    <w:rsid w:val="00987DDB"/>
    <w:rsid w:val="00987E1D"/>
    <w:rsid w:val="00987E25"/>
    <w:rsid w:val="00987E80"/>
    <w:rsid w:val="00987EA6"/>
    <w:rsid w:val="00987EFA"/>
    <w:rsid w:val="00987FF0"/>
    <w:rsid w:val="00989934"/>
    <w:rsid w:val="0099009F"/>
    <w:rsid w:val="00990225"/>
    <w:rsid w:val="0099025C"/>
    <w:rsid w:val="0099033C"/>
    <w:rsid w:val="00990430"/>
    <w:rsid w:val="00990471"/>
    <w:rsid w:val="00990496"/>
    <w:rsid w:val="009905A3"/>
    <w:rsid w:val="009906B7"/>
    <w:rsid w:val="009906DA"/>
    <w:rsid w:val="0099089C"/>
    <w:rsid w:val="0099095C"/>
    <w:rsid w:val="00990964"/>
    <w:rsid w:val="009909B2"/>
    <w:rsid w:val="00990A42"/>
    <w:rsid w:val="00990BBB"/>
    <w:rsid w:val="00990C5F"/>
    <w:rsid w:val="00990CF6"/>
    <w:rsid w:val="00990D64"/>
    <w:rsid w:val="00990D88"/>
    <w:rsid w:val="00990D95"/>
    <w:rsid w:val="00990E5F"/>
    <w:rsid w:val="00990ED5"/>
    <w:rsid w:val="00991038"/>
    <w:rsid w:val="0099103F"/>
    <w:rsid w:val="009910B8"/>
    <w:rsid w:val="00991114"/>
    <w:rsid w:val="009913E0"/>
    <w:rsid w:val="0099148B"/>
    <w:rsid w:val="009914FA"/>
    <w:rsid w:val="00991580"/>
    <w:rsid w:val="00991655"/>
    <w:rsid w:val="00991879"/>
    <w:rsid w:val="00991A79"/>
    <w:rsid w:val="00991ADC"/>
    <w:rsid w:val="00991B0E"/>
    <w:rsid w:val="00991B6D"/>
    <w:rsid w:val="00991C67"/>
    <w:rsid w:val="00991D87"/>
    <w:rsid w:val="00991F7D"/>
    <w:rsid w:val="009920D4"/>
    <w:rsid w:val="00992141"/>
    <w:rsid w:val="00992168"/>
    <w:rsid w:val="00992171"/>
    <w:rsid w:val="0099229A"/>
    <w:rsid w:val="0099240E"/>
    <w:rsid w:val="009924DB"/>
    <w:rsid w:val="009924E0"/>
    <w:rsid w:val="00992564"/>
    <w:rsid w:val="0099258A"/>
    <w:rsid w:val="009925F8"/>
    <w:rsid w:val="00992613"/>
    <w:rsid w:val="00992630"/>
    <w:rsid w:val="00992645"/>
    <w:rsid w:val="00992839"/>
    <w:rsid w:val="00992AAD"/>
    <w:rsid w:val="00992B84"/>
    <w:rsid w:val="00992BD2"/>
    <w:rsid w:val="00992D37"/>
    <w:rsid w:val="00992DE8"/>
    <w:rsid w:val="00992F64"/>
    <w:rsid w:val="0099323E"/>
    <w:rsid w:val="0099340F"/>
    <w:rsid w:val="009935E7"/>
    <w:rsid w:val="009936C5"/>
    <w:rsid w:val="009938A7"/>
    <w:rsid w:val="009938A8"/>
    <w:rsid w:val="009938D1"/>
    <w:rsid w:val="00993B43"/>
    <w:rsid w:val="00993BDD"/>
    <w:rsid w:val="00993C07"/>
    <w:rsid w:val="00993D72"/>
    <w:rsid w:val="00993DC4"/>
    <w:rsid w:val="00993E6B"/>
    <w:rsid w:val="00993EF4"/>
    <w:rsid w:val="00993F71"/>
    <w:rsid w:val="00993FA6"/>
    <w:rsid w:val="00993FFD"/>
    <w:rsid w:val="0099400E"/>
    <w:rsid w:val="00994076"/>
    <w:rsid w:val="009940AD"/>
    <w:rsid w:val="009940FB"/>
    <w:rsid w:val="0099429B"/>
    <w:rsid w:val="00994329"/>
    <w:rsid w:val="0099432D"/>
    <w:rsid w:val="0099432F"/>
    <w:rsid w:val="00994459"/>
    <w:rsid w:val="0099448D"/>
    <w:rsid w:val="009944E8"/>
    <w:rsid w:val="009945E1"/>
    <w:rsid w:val="0099460A"/>
    <w:rsid w:val="0099461F"/>
    <w:rsid w:val="009948E4"/>
    <w:rsid w:val="00994A98"/>
    <w:rsid w:val="00994B00"/>
    <w:rsid w:val="00994B22"/>
    <w:rsid w:val="00994B84"/>
    <w:rsid w:val="00994D21"/>
    <w:rsid w:val="00994D6D"/>
    <w:rsid w:val="00994E45"/>
    <w:rsid w:val="009950B0"/>
    <w:rsid w:val="0099513E"/>
    <w:rsid w:val="00995172"/>
    <w:rsid w:val="009951DB"/>
    <w:rsid w:val="00995203"/>
    <w:rsid w:val="009952EB"/>
    <w:rsid w:val="0099540E"/>
    <w:rsid w:val="009954CC"/>
    <w:rsid w:val="00995619"/>
    <w:rsid w:val="0099567A"/>
    <w:rsid w:val="009957BB"/>
    <w:rsid w:val="00995893"/>
    <w:rsid w:val="009958C1"/>
    <w:rsid w:val="009959BB"/>
    <w:rsid w:val="009959E9"/>
    <w:rsid w:val="00995ADD"/>
    <w:rsid w:val="00995B1E"/>
    <w:rsid w:val="00995C8A"/>
    <w:rsid w:val="00995CEE"/>
    <w:rsid w:val="00995D43"/>
    <w:rsid w:val="00995D45"/>
    <w:rsid w:val="00995D7E"/>
    <w:rsid w:val="00995EA3"/>
    <w:rsid w:val="00996007"/>
    <w:rsid w:val="00996032"/>
    <w:rsid w:val="00996048"/>
    <w:rsid w:val="0099609C"/>
    <w:rsid w:val="009960B0"/>
    <w:rsid w:val="0099615D"/>
    <w:rsid w:val="00996227"/>
    <w:rsid w:val="00996351"/>
    <w:rsid w:val="00996479"/>
    <w:rsid w:val="009964C4"/>
    <w:rsid w:val="009964E7"/>
    <w:rsid w:val="009967B3"/>
    <w:rsid w:val="0099694B"/>
    <w:rsid w:val="009969A6"/>
    <w:rsid w:val="00996ACA"/>
    <w:rsid w:val="00996B12"/>
    <w:rsid w:val="00996B25"/>
    <w:rsid w:val="00996BFD"/>
    <w:rsid w:val="00996C21"/>
    <w:rsid w:val="00996C87"/>
    <w:rsid w:val="00996CB9"/>
    <w:rsid w:val="00996D9B"/>
    <w:rsid w:val="00996E3E"/>
    <w:rsid w:val="00996E66"/>
    <w:rsid w:val="00996EC8"/>
    <w:rsid w:val="009970CD"/>
    <w:rsid w:val="00997189"/>
    <w:rsid w:val="00997267"/>
    <w:rsid w:val="009972FC"/>
    <w:rsid w:val="009973CA"/>
    <w:rsid w:val="00997800"/>
    <w:rsid w:val="009978B3"/>
    <w:rsid w:val="009978DE"/>
    <w:rsid w:val="009978EC"/>
    <w:rsid w:val="00997AAE"/>
    <w:rsid w:val="00997B4B"/>
    <w:rsid w:val="00997BA4"/>
    <w:rsid w:val="00997C8D"/>
    <w:rsid w:val="00997CB9"/>
    <w:rsid w:val="00997E21"/>
    <w:rsid w:val="00997E25"/>
    <w:rsid w:val="009A01AB"/>
    <w:rsid w:val="009A01BF"/>
    <w:rsid w:val="009A01E3"/>
    <w:rsid w:val="009A0332"/>
    <w:rsid w:val="009A03C5"/>
    <w:rsid w:val="009A0421"/>
    <w:rsid w:val="009A05C1"/>
    <w:rsid w:val="009A0676"/>
    <w:rsid w:val="009A06D6"/>
    <w:rsid w:val="009A074E"/>
    <w:rsid w:val="009A088F"/>
    <w:rsid w:val="009A08EB"/>
    <w:rsid w:val="009A09D5"/>
    <w:rsid w:val="009A09F0"/>
    <w:rsid w:val="009A0AF3"/>
    <w:rsid w:val="009A0B1E"/>
    <w:rsid w:val="009A0C95"/>
    <w:rsid w:val="009A0CA1"/>
    <w:rsid w:val="009A0D55"/>
    <w:rsid w:val="009A1053"/>
    <w:rsid w:val="009A114F"/>
    <w:rsid w:val="009A116A"/>
    <w:rsid w:val="009A1194"/>
    <w:rsid w:val="009A11A0"/>
    <w:rsid w:val="009A12E9"/>
    <w:rsid w:val="009A12F9"/>
    <w:rsid w:val="009A148F"/>
    <w:rsid w:val="009A14CA"/>
    <w:rsid w:val="009A1622"/>
    <w:rsid w:val="009A167E"/>
    <w:rsid w:val="009A1796"/>
    <w:rsid w:val="009A180F"/>
    <w:rsid w:val="009A1859"/>
    <w:rsid w:val="009A1872"/>
    <w:rsid w:val="009A1941"/>
    <w:rsid w:val="009A1990"/>
    <w:rsid w:val="009A19A7"/>
    <w:rsid w:val="009A19FD"/>
    <w:rsid w:val="009A1B21"/>
    <w:rsid w:val="009A1BF7"/>
    <w:rsid w:val="009A1CCE"/>
    <w:rsid w:val="009A1D01"/>
    <w:rsid w:val="009A1E87"/>
    <w:rsid w:val="009A1FFD"/>
    <w:rsid w:val="009A20E5"/>
    <w:rsid w:val="009A21C5"/>
    <w:rsid w:val="009A229E"/>
    <w:rsid w:val="009A2395"/>
    <w:rsid w:val="009A2442"/>
    <w:rsid w:val="009A25DA"/>
    <w:rsid w:val="009A2634"/>
    <w:rsid w:val="009A26B0"/>
    <w:rsid w:val="009A26B4"/>
    <w:rsid w:val="009A26F4"/>
    <w:rsid w:val="009A279B"/>
    <w:rsid w:val="009A27AF"/>
    <w:rsid w:val="009A28D1"/>
    <w:rsid w:val="009A296B"/>
    <w:rsid w:val="009A298E"/>
    <w:rsid w:val="009A2A4B"/>
    <w:rsid w:val="009A2A80"/>
    <w:rsid w:val="009A2BC4"/>
    <w:rsid w:val="009A2C9F"/>
    <w:rsid w:val="009A2D0B"/>
    <w:rsid w:val="009A2D88"/>
    <w:rsid w:val="009A2E68"/>
    <w:rsid w:val="009A2EA4"/>
    <w:rsid w:val="009A2ECA"/>
    <w:rsid w:val="009A2F8C"/>
    <w:rsid w:val="009A2FBA"/>
    <w:rsid w:val="009A3052"/>
    <w:rsid w:val="009A3163"/>
    <w:rsid w:val="009A324C"/>
    <w:rsid w:val="009A3835"/>
    <w:rsid w:val="009A3A0B"/>
    <w:rsid w:val="009A3ACF"/>
    <w:rsid w:val="009A3C14"/>
    <w:rsid w:val="009A3C31"/>
    <w:rsid w:val="009A3CC3"/>
    <w:rsid w:val="009A3D98"/>
    <w:rsid w:val="009A3E89"/>
    <w:rsid w:val="009A3E92"/>
    <w:rsid w:val="009A402F"/>
    <w:rsid w:val="009A4084"/>
    <w:rsid w:val="009A414C"/>
    <w:rsid w:val="009A43D5"/>
    <w:rsid w:val="009A449E"/>
    <w:rsid w:val="009A460A"/>
    <w:rsid w:val="009A4668"/>
    <w:rsid w:val="009A47AA"/>
    <w:rsid w:val="009A47BD"/>
    <w:rsid w:val="009A47F9"/>
    <w:rsid w:val="009A47FC"/>
    <w:rsid w:val="009A483D"/>
    <w:rsid w:val="009A487F"/>
    <w:rsid w:val="009A495A"/>
    <w:rsid w:val="009A4B05"/>
    <w:rsid w:val="009A4BB8"/>
    <w:rsid w:val="009A4CBB"/>
    <w:rsid w:val="009A4D5E"/>
    <w:rsid w:val="009A4DB0"/>
    <w:rsid w:val="009A4DC4"/>
    <w:rsid w:val="009A4EAF"/>
    <w:rsid w:val="009A4EDB"/>
    <w:rsid w:val="009A533E"/>
    <w:rsid w:val="009A538C"/>
    <w:rsid w:val="009A5392"/>
    <w:rsid w:val="009A5405"/>
    <w:rsid w:val="009A542B"/>
    <w:rsid w:val="009A54CD"/>
    <w:rsid w:val="009A560D"/>
    <w:rsid w:val="009A566D"/>
    <w:rsid w:val="009A5794"/>
    <w:rsid w:val="009A57E1"/>
    <w:rsid w:val="009A59B3"/>
    <w:rsid w:val="009A5AC8"/>
    <w:rsid w:val="009A5C73"/>
    <w:rsid w:val="009A5CD0"/>
    <w:rsid w:val="009A5CF5"/>
    <w:rsid w:val="009A5D19"/>
    <w:rsid w:val="009A5DDE"/>
    <w:rsid w:val="009A5DFE"/>
    <w:rsid w:val="009A5E9F"/>
    <w:rsid w:val="009A5F7F"/>
    <w:rsid w:val="009A60F3"/>
    <w:rsid w:val="009A61E5"/>
    <w:rsid w:val="009A623A"/>
    <w:rsid w:val="009A627D"/>
    <w:rsid w:val="009A6287"/>
    <w:rsid w:val="009A628F"/>
    <w:rsid w:val="009A62A8"/>
    <w:rsid w:val="009A62DA"/>
    <w:rsid w:val="009A62E8"/>
    <w:rsid w:val="009A62FC"/>
    <w:rsid w:val="009A630E"/>
    <w:rsid w:val="009A6315"/>
    <w:rsid w:val="009A63C7"/>
    <w:rsid w:val="009A63D4"/>
    <w:rsid w:val="009A63D5"/>
    <w:rsid w:val="009A6507"/>
    <w:rsid w:val="009A66E0"/>
    <w:rsid w:val="009A678D"/>
    <w:rsid w:val="009A6827"/>
    <w:rsid w:val="009A688E"/>
    <w:rsid w:val="009A691C"/>
    <w:rsid w:val="009A6A15"/>
    <w:rsid w:val="009A6AA5"/>
    <w:rsid w:val="009A6AB2"/>
    <w:rsid w:val="009A6BF1"/>
    <w:rsid w:val="009A6D04"/>
    <w:rsid w:val="009A6D41"/>
    <w:rsid w:val="009A6FC1"/>
    <w:rsid w:val="009A709D"/>
    <w:rsid w:val="009A7183"/>
    <w:rsid w:val="009A7272"/>
    <w:rsid w:val="009A744F"/>
    <w:rsid w:val="009A7569"/>
    <w:rsid w:val="009A760B"/>
    <w:rsid w:val="009A763A"/>
    <w:rsid w:val="009A781A"/>
    <w:rsid w:val="009A78F4"/>
    <w:rsid w:val="009A7978"/>
    <w:rsid w:val="009A797A"/>
    <w:rsid w:val="009A79DE"/>
    <w:rsid w:val="009A7C6B"/>
    <w:rsid w:val="009A7CC0"/>
    <w:rsid w:val="009A7E04"/>
    <w:rsid w:val="009A7F8F"/>
    <w:rsid w:val="009B00EB"/>
    <w:rsid w:val="009B02FA"/>
    <w:rsid w:val="009B0327"/>
    <w:rsid w:val="009B037C"/>
    <w:rsid w:val="009B046F"/>
    <w:rsid w:val="009B067E"/>
    <w:rsid w:val="009B06AD"/>
    <w:rsid w:val="009B07CA"/>
    <w:rsid w:val="009B09C9"/>
    <w:rsid w:val="009B0A43"/>
    <w:rsid w:val="009B0B07"/>
    <w:rsid w:val="009B0BF1"/>
    <w:rsid w:val="009B0C7D"/>
    <w:rsid w:val="009B1155"/>
    <w:rsid w:val="009B123A"/>
    <w:rsid w:val="009B1285"/>
    <w:rsid w:val="009B133C"/>
    <w:rsid w:val="009B138F"/>
    <w:rsid w:val="009B1430"/>
    <w:rsid w:val="009B15F0"/>
    <w:rsid w:val="009B1688"/>
    <w:rsid w:val="009B1793"/>
    <w:rsid w:val="009B191B"/>
    <w:rsid w:val="009B1A1E"/>
    <w:rsid w:val="009B1A8C"/>
    <w:rsid w:val="009B1AD6"/>
    <w:rsid w:val="009B1BCB"/>
    <w:rsid w:val="009B1BFF"/>
    <w:rsid w:val="009B1E5E"/>
    <w:rsid w:val="009B1EB0"/>
    <w:rsid w:val="009B1F46"/>
    <w:rsid w:val="009B2088"/>
    <w:rsid w:val="009B2104"/>
    <w:rsid w:val="009B227D"/>
    <w:rsid w:val="009B2365"/>
    <w:rsid w:val="009B23C0"/>
    <w:rsid w:val="009B2493"/>
    <w:rsid w:val="009B2495"/>
    <w:rsid w:val="009B24C4"/>
    <w:rsid w:val="009B25D1"/>
    <w:rsid w:val="009B265E"/>
    <w:rsid w:val="009B276A"/>
    <w:rsid w:val="009B281D"/>
    <w:rsid w:val="009B2836"/>
    <w:rsid w:val="009B2851"/>
    <w:rsid w:val="009B293F"/>
    <w:rsid w:val="009B2A19"/>
    <w:rsid w:val="009B2B24"/>
    <w:rsid w:val="009B2B95"/>
    <w:rsid w:val="009B2BBC"/>
    <w:rsid w:val="009B2C68"/>
    <w:rsid w:val="009B2C69"/>
    <w:rsid w:val="009B2E37"/>
    <w:rsid w:val="009B2F68"/>
    <w:rsid w:val="009B2F74"/>
    <w:rsid w:val="009B3102"/>
    <w:rsid w:val="009B3222"/>
    <w:rsid w:val="009B3319"/>
    <w:rsid w:val="009B3344"/>
    <w:rsid w:val="009B33B5"/>
    <w:rsid w:val="009B33FB"/>
    <w:rsid w:val="009B341B"/>
    <w:rsid w:val="009B347C"/>
    <w:rsid w:val="009B34C2"/>
    <w:rsid w:val="009B35FB"/>
    <w:rsid w:val="009B365E"/>
    <w:rsid w:val="009B371A"/>
    <w:rsid w:val="009B37EC"/>
    <w:rsid w:val="009B39CF"/>
    <w:rsid w:val="009B3A4B"/>
    <w:rsid w:val="009B3C5A"/>
    <w:rsid w:val="009B3D32"/>
    <w:rsid w:val="009B3D59"/>
    <w:rsid w:val="009B3D7E"/>
    <w:rsid w:val="009B3D84"/>
    <w:rsid w:val="009B3E85"/>
    <w:rsid w:val="009B4198"/>
    <w:rsid w:val="009B41A8"/>
    <w:rsid w:val="009B429B"/>
    <w:rsid w:val="009B42F3"/>
    <w:rsid w:val="009B4391"/>
    <w:rsid w:val="009B43C7"/>
    <w:rsid w:val="009B4444"/>
    <w:rsid w:val="009B448A"/>
    <w:rsid w:val="009B4538"/>
    <w:rsid w:val="009B45B1"/>
    <w:rsid w:val="009B47AE"/>
    <w:rsid w:val="009B47CB"/>
    <w:rsid w:val="009B48F6"/>
    <w:rsid w:val="009B4937"/>
    <w:rsid w:val="009B4B17"/>
    <w:rsid w:val="009B4B53"/>
    <w:rsid w:val="009B4BA7"/>
    <w:rsid w:val="009B4C73"/>
    <w:rsid w:val="009B4D6A"/>
    <w:rsid w:val="009B4EFE"/>
    <w:rsid w:val="009B4FFC"/>
    <w:rsid w:val="009B5147"/>
    <w:rsid w:val="009B51B1"/>
    <w:rsid w:val="009B529F"/>
    <w:rsid w:val="009B532B"/>
    <w:rsid w:val="009B5345"/>
    <w:rsid w:val="009B5397"/>
    <w:rsid w:val="009B559A"/>
    <w:rsid w:val="009B5645"/>
    <w:rsid w:val="009B5694"/>
    <w:rsid w:val="009B56B1"/>
    <w:rsid w:val="009B56B5"/>
    <w:rsid w:val="009B5757"/>
    <w:rsid w:val="009B5773"/>
    <w:rsid w:val="009B5836"/>
    <w:rsid w:val="009B58B5"/>
    <w:rsid w:val="009B5948"/>
    <w:rsid w:val="009B59A9"/>
    <w:rsid w:val="009B59B5"/>
    <w:rsid w:val="009B5A7A"/>
    <w:rsid w:val="009B5B4C"/>
    <w:rsid w:val="009B5D3B"/>
    <w:rsid w:val="009B5D5A"/>
    <w:rsid w:val="009B5DF6"/>
    <w:rsid w:val="009B5F0E"/>
    <w:rsid w:val="009B5F69"/>
    <w:rsid w:val="009B6030"/>
    <w:rsid w:val="009B6174"/>
    <w:rsid w:val="009B617C"/>
    <w:rsid w:val="009B627F"/>
    <w:rsid w:val="009B6350"/>
    <w:rsid w:val="009B6394"/>
    <w:rsid w:val="009B63AE"/>
    <w:rsid w:val="009B6455"/>
    <w:rsid w:val="009B64BC"/>
    <w:rsid w:val="009B662B"/>
    <w:rsid w:val="009B6830"/>
    <w:rsid w:val="009B6918"/>
    <w:rsid w:val="009B6A2A"/>
    <w:rsid w:val="009B6B20"/>
    <w:rsid w:val="009B6BB0"/>
    <w:rsid w:val="009B6C49"/>
    <w:rsid w:val="009B6D40"/>
    <w:rsid w:val="009B6EAE"/>
    <w:rsid w:val="009B703C"/>
    <w:rsid w:val="009B70D1"/>
    <w:rsid w:val="009B70DB"/>
    <w:rsid w:val="009B72EC"/>
    <w:rsid w:val="009B731D"/>
    <w:rsid w:val="009B737F"/>
    <w:rsid w:val="009B74D1"/>
    <w:rsid w:val="009B7560"/>
    <w:rsid w:val="009B75BE"/>
    <w:rsid w:val="009B7767"/>
    <w:rsid w:val="009B77E9"/>
    <w:rsid w:val="009B7854"/>
    <w:rsid w:val="009B78DB"/>
    <w:rsid w:val="009B7A5F"/>
    <w:rsid w:val="009B7A84"/>
    <w:rsid w:val="009B7CA8"/>
    <w:rsid w:val="009B7D06"/>
    <w:rsid w:val="009B7E50"/>
    <w:rsid w:val="009B7EDF"/>
    <w:rsid w:val="009B7F9C"/>
    <w:rsid w:val="009C00C9"/>
    <w:rsid w:val="009C014B"/>
    <w:rsid w:val="009C01DA"/>
    <w:rsid w:val="009C043F"/>
    <w:rsid w:val="009C04A8"/>
    <w:rsid w:val="009C0663"/>
    <w:rsid w:val="009C069B"/>
    <w:rsid w:val="009C06AC"/>
    <w:rsid w:val="009C0746"/>
    <w:rsid w:val="009C07EB"/>
    <w:rsid w:val="009C09B0"/>
    <w:rsid w:val="009C09B1"/>
    <w:rsid w:val="009C0D2C"/>
    <w:rsid w:val="009C0D2D"/>
    <w:rsid w:val="009C0D92"/>
    <w:rsid w:val="009C0DF8"/>
    <w:rsid w:val="009C0E25"/>
    <w:rsid w:val="009C0EA2"/>
    <w:rsid w:val="009C0F9B"/>
    <w:rsid w:val="009C10B0"/>
    <w:rsid w:val="009C11C8"/>
    <w:rsid w:val="009C13F5"/>
    <w:rsid w:val="009C1438"/>
    <w:rsid w:val="009C1442"/>
    <w:rsid w:val="009C146C"/>
    <w:rsid w:val="009C15A1"/>
    <w:rsid w:val="009C1642"/>
    <w:rsid w:val="009C164F"/>
    <w:rsid w:val="009C1697"/>
    <w:rsid w:val="009C16E6"/>
    <w:rsid w:val="009C1CD2"/>
    <w:rsid w:val="009C1E29"/>
    <w:rsid w:val="009C1EDE"/>
    <w:rsid w:val="009C1FC4"/>
    <w:rsid w:val="009C206A"/>
    <w:rsid w:val="009C2387"/>
    <w:rsid w:val="009C23BF"/>
    <w:rsid w:val="009C251B"/>
    <w:rsid w:val="009C2524"/>
    <w:rsid w:val="009C2553"/>
    <w:rsid w:val="009C2682"/>
    <w:rsid w:val="009C273B"/>
    <w:rsid w:val="009C2861"/>
    <w:rsid w:val="009C290C"/>
    <w:rsid w:val="009C29AA"/>
    <w:rsid w:val="009C2B48"/>
    <w:rsid w:val="009C2C5D"/>
    <w:rsid w:val="009C2C69"/>
    <w:rsid w:val="009C2F34"/>
    <w:rsid w:val="009C2F62"/>
    <w:rsid w:val="009C2F91"/>
    <w:rsid w:val="009C3054"/>
    <w:rsid w:val="009C30BB"/>
    <w:rsid w:val="009C328C"/>
    <w:rsid w:val="009C32F3"/>
    <w:rsid w:val="009C3375"/>
    <w:rsid w:val="009C3446"/>
    <w:rsid w:val="009C34E9"/>
    <w:rsid w:val="009C35FC"/>
    <w:rsid w:val="009C3836"/>
    <w:rsid w:val="009C3A7F"/>
    <w:rsid w:val="009C3AD1"/>
    <w:rsid w:val="009C3D94"/>
    <w:rsid w:val="009C3E19"/>
    <w:rsid w:val="009C3EB0"/>
    <w:rsid w:val="009C3ED7"/>
    <w:rsid w:val="009C3FB6"/>
    <w:rsid w:val="009C3FD5"/>
    <w:rsid w:val="009C3FD8"/>
    <w:rsid w:val="009C407C"/>
    <w:rsid w:val="009C4128"/>
    <w:rsid w:val="009C4221"/>
    <w:rsid w:val="009C4235"/>
    <w:rsid w:val="009C423F"/>
    <w:rsid w:val="009C4274"/>
    <w:rsid w:val="009C437C"/>
    <w:rsid w:val="009C442B"/>
    <w:rsid w:val="009C448B"/>
    <w:rsid w:val="009C44BF"/>
    <w:rsid w:val="009C454E"/>
    <w:rsid w:val="009C45C7"/>
    <w:rsid w:val="009C461D"/>
    <w:rsid w:val="009C4684"/>
    <w:rsid w:val="009C48E8"/>
    <w:rsid w:val="009C48E9"/>
    <w:rsid w:val="009C49E1"/>
    <w:rsid w:val="009C4A4C"/>
    <w:rsid w:val="009C4AAD"/>
    <w:rsid w:val="009C4AAF"/>
    <w:rsid w:val="009C4D20"/>
    <w:rsid w:val="009C4E6C"/>
    <w:rsid w:val="009C4E8F"/>
    <w:rsid w:val="009C4F56"/>
    <w:rsid w:val="009C505C"/>
    <w:rsid w:val="009C50A1"/>
    <w:rsid w:val="009C5260"/>
    <w:rsid w:val="009C532F"/>
    <w:rsid w:val="009C53B5"/>
    <w:rsid w:val="009C53DF"/>
    <w:rsid w:val="009C5412"/>
    <w:rsid w:val="009C54C2"/>
    <w:rsid w:val="009C54D5"/>
    <w:rsid w:val="009C5526"/>
    <w:rsid w:val="009C553F"/>
    <w:rsid w:val="009C56F6"/>
    <w:rsid w:val="009C5877"/>
    <w:rsid w:val="009C58C2"/>
    <w:rsid w:val="009C594A"/>
    <w:rsid w:val="009C599A"/>
    <w:rsid w:val="009C59BF"/>
    <w:rsid w:val="009C5CA3"/>
    <w:rsid w:val="009C5CC2"/>
    <w:rsid w:val="009C5DC9"/>
    <w:rsid w:val="009C5ED6"/>
    <w:rsid w:val="009C5EED"/>
    <w:rsid w:val="009C66C8"/>
    <w:rsid w:val="009C692D"/>
    <w:rsid w:val="009C69BC"/>
    <w:rsid w:val="009C6A7B"/>
    <w:rsid w:val="009C6B72"/>
    <w:rsid w:val="009C6BD1"/>
    <w:rsid w:val="009C6C60"/>
    <w:rsid w:val="009C6D8D"/>
    <w:rsid w:val="009C6FFF"/>
    <w:rsid w:val="009C7221"/>
    <w:rsid w:val="009C7265"/>
    <w:rsid w:val="009C7314"/>
    <w:rsid w:val="009C7461"/>
    <w:rsid w:val="009C749F"/>
    <w:rsid w:val="009C74BC"/>
    <w:rsid w:val="009C74D2"/>
    <w:rsid w:val="009C75A7"/>
    <w:rsid w:val="009C76AF"/>
    <w:rsid w:val="009C76CB"/>
    <w:rsid w:val="009C78C0"/>
    <w:rsid w:val="009C794D"/>
    <w:rsid w:val="009C7982"/>
    <w:rsid w:val="009C79D6"/>
    <w:rsid w:val="009C7A33"/>
    <w:rsid w:val="009C7A52"/>
    <w:rsid w:val="009C7B51"/>
    <w:rsid w:val="009C7C86"/>
    <w:rsid w:val="009C7F01"/>
    <w:rsid w:val="009C7F74"/>
    <w:rsid w:val="009D005A"/>
    <w:rsid w:val="009D019A"/>
    <w:rsid w:val="009D02FB"/>
    <w:rsid w:val="009D0453"/>
    <w:rsid w:val="009D052A"/>
    <w:rsid w:val="009D05C9"/>
    <w:rsid w:val="009D0633"/>
    <w:rsid w:val="009D0641"/>
    <w:rsid w:val="009D0A77"/>
    <w:rsid w:val="009D0B49"/>
    <w:rsid w:val="009D0C94"/>
    <w:rsid w:val="009D0E4C"/>
    <w:rsid w:val="009D0E53"/>
    <w:rsid w:val="009D0F35"/>
    <w:rsid w:val="009D10B0"/>
    <w:rsid w:val="009D1147"/>
    <w:rsid w:val="009D1157"/>
    <w:rsid w:val="009D1165"/>
    <w:rsid w:val="009D121B"/>
    <w:rsid w:val="009D13E8"/>
    <w:rsid w:val="009D1512"/>
    <w:rsid w:val="009D15FB"/>
    <w:rsid w:val="009D1630"/>
    <w:rsid w:val="009D16F4"/>
    <w:rsid w:val="009D17DA"/>
    <w:rsid w:val="009D199F"/>
    <w:rsid w:val="009D1B26"/>
    <w:rsid w:val="009D1BB7"/>
    <w:rsid w:val="009D1D55"/>
    <w:rsid w:val="009D1D74"/>
    <w:rsid w:val="009D1D83"/>
    <w:rsid w:val="009D1DD4"/>
    <w:rsid w:val="009D1EE5"/>
    <w:rsid w:val="009D210B"/>
    <w:rsid w:val="009D2125"/>
    <w:rsid w:val="009D22E6"/>
    <w:rsid w:val="009D22EA"/>
    <w:rsid w:val="009D2389"/>
    <w:rsid w:val="009D2396"/>
    <w:rsid w:val="009D23B8"/>
    <w:rsid w:val="009D23BC"/>
    <w:rsid w:val="009D255E"/>
    <w:rsid w:val="009D2640"/>
    <w:rsid w:val="009D26C4"/>
    <w:rsid w:val="009D26F1"/>
    <w:rsid w:val="009D272A"/>
    <w:rsid w:val="009D29F4"/>
    <w:rsid w:val="009D2B39"/>
    <w:rsid w:val="009D2B4D"/>
    <w:rsid w:val="009D2BE4"/>
    <w:rsid w:val="009D2CED"/>
    <w:rsid w:val="009D2DA2"/>
    <w:rsid w:val="009D2E74"/>
    <w:rsid w:val="009D2ECF"/>
    <w:rsid w:val="009D3159"/>
    <w:rsid w:val="009D321E"/>
    <w:rsid w:val="009D3300"/>
    <w:rsid w:val="009D3376"/>
    <w:rsid w:val="009D3413"/>
    <w:rsid w:val="009D353E"/>
    <w:rsid w:val="009D3583"/>
    <w:rsid w:val="009D3659"/>
    <w:rsid w:val="009D377A"/>
    <w:rsid w:val="009D3810"/>
    <w:rsid w:val="009D3A38"/>
    <w:rsid w:val="009D3B14"/>
    <w:rsid w:val="009D3BA2"/>
    <w:rsid w:val="009D3BBD"/>
    <w:rsid w:val="009D3C09"/>
    <w:rsid w:val="009D3C11"/>
    <w:rsid w:val="009D3EE1"/>
    <w:rsid w:val="009D43AE"/>
    <w:rsid w:val="009D442F"/>
    <w:rsid w:val="009D443E"/>
    <w:rsid w:val="009D44A9"/>
    <w:rsid w:val="009D4892"/>
    <w:rsid w:val="009D4B06"/>
    <w:rsid w:val="009D4B62"/>
    <w:rsid w:val="009D4CED"/>
    <w:rsid w:val="009D4DA6"/>
    <w:rsid w:val="009D4EF0"/>
    <w:rsid w:val="009D4FEE"/>
    <w:rsid w:val="009D5096"/>
    <w:rsid w:val="009D50E0"/>
    <w:rsid w:val="009D50EF"/>
    <w:rsid w:val="009D5157"/>
    <w:rsid w:val="009D51B7"/>
    <w:rsid w:val="009D51F2"/>
    <w:rsid w:val="009D533E"/>
    <w:rsid w:val="009D534A"/>
    <w:rsid w:val="009D5358"/>
    <w:rsid w:val="009D53C4"/>
    <w:rsid w:val="009D53E8"/>
    <w:rsid w:val="009D5492"/>
    <w:rsid w:val="009D5535"/>
    <w:rsid w:val="009D558D"/>
    <w:rsid w:val="009D5898"/>
    <w:rsid w:val="009D5A31"/>
    <w:rsid w:val="009D5A66"/>
    <w:rsid w:val="009D5DBA"/>
    <w:rsid w:val="009D5FD0"/>
    <w:rsid w:val="009D5FDB"/>
    <w:rsid w:val="009D5FE0"/>
    <w:rsid w:val="009D60E7"/>
    <w:rsid w:val="009D60F3"/>
    <w:rsid w:val="009D624C"/>
    <w:rsid w:val="009D6327"/>
    <w:rsid w:val="009D640F"/>
    <w:rsid w:val="009D6501"/>
    <w:rsid w:val="009D6783"/>
    <w:rsid w:val="009D692D"/>
    <w:rsid w:val="009D699B"/>
    <w:rsid w:val="009D6A99"/>
    <w:rsid w:val="009D6B22"/>
    <w:rsid w:val="009D6B44"/>
    <w:rsid w:val="009D6C1B"/>
    <w:rsid w:val="009D6C20"/>
    <w:rsid w:val="009D6C7C"/>
    <w:rsid w:val="009D6D11"/>
    <w:rsid w:val="009D6DDE"/>
    <w:rsid w:val="009D6E61"/>
    <w:rsid w:val="009D70C3"/>
    <w:rsid w:val="009D7116"/>
    <w:rsid w:val="009D727E"/>
    <w:rsid w:val="009D7559"/>
    <w:rsid w:val="009D7568"/>
    <w:rsid w:val="009D7697"/>
    <w:rsid w:val="009D76D3"/>
    <w:rsid w:val="009D7857"/>
    <w:rsid w:val="009D786A"/>
    <w:rsid w:val="009D787C"/>
    <w:rsid w:val="009D78C4"/>
    <w:rsid w:val="009D7919"/>
    <w:rsid w:val="009D7932"/>
    <w:rsid w:val="009D7947"/>
    <w:rsid w:val="009D79BD"/>
    <w:rsid w:val="009D7B36"/>
    <w:rsid w:val="009D7CB8"/>
    <w:rsid w:val="009D7D93"/>
    <w:rsid w:val="009D7DE1"/>
    <w:rsid w:val="009D7E49"/>
    <w:rsid w:val="009D7EB2"/>
    <w:rsid w:val="009D7F92"/>
    <w:rsid w:val="009E0133"/>
    <w:rsid w:val="009E0154"/>
    <w:rsid w:val="009E02CA"/>
    <w:rsid w:val="009E033B"/>
    <w:rsid w:val="009E0345"/>
    <w:rsid w:val="009E0499"/>
    <w:rsid w:val="009E04C3"/>
    <w:rsid w:val="009E05BD"/>
    <w:rsid w:val="009E06D6"/>
    <w:rsid w:val="009E0744"/>
    <w:rsid w:val="009E07F6"/>
    <w:rsid w:val="009E0944"/>
    <w:rsid w:val="009E0950"/>
    <w:rsid w:val="009E0A6C"/>
    <w:rsid w:val="009E0C23"/>
    <w:rsid w:val="009E0DF6"/>
    <w:rsid w:val="009E0F0F"/>
    <w:rsid w:val="009E125D"/>
    <w:rsid w:val="009E1541"/>
    <w:rsid w:val="009E16BD"/>
    <w:rsid w:val="009E1767"/>
    <w:rsid w:val="009E17DC"/>
    <w:rsid w:val="009E1878"/>
    <w:rsid w:val="009E1BBC"/>
    <w:rsid w:val="009E1C14"/>
    <w:rsid w:val="009E1CE6"/>
    <w:rsid w:val="009E1D8C"/>
    <w:rsid w:val="009E1E38"/>
    <w:rsid w:val="009E1E43"/>
    <w:rsid w:val="009E1E67"/>
    <w:rsid w:val="009E1EF0"/>
    <w:rsid w:val="009E2023"/>
    <w:rsid w:val="009E2091"/>
    <w:rsid w:val="009E2262"/>
    <w:rsid w:val="009E23F2"/>
    <w:rsid w:val="009E2606"/>
    <w:rsid w:val="009E2654"/>
    <w:rsid w:val="009E27C3"/>
    <w:rsid w:val="009E27D9"/>
    <w:rsid w:val="009E28C6"/>
    <w:rsid w:val="009E28F9"/>
    <w:rsid w:val="009E290C"/>
    <w:rsid w:val="009E2AB9"/>
    <w:rsid w:val="009E2F1A"/>
    <w:rsid w:val="009E2F98"/>
    <w:rsid w:val="009E2FAD"/>
    <w:rsid w:val="009E3002"/>
    <w:rsid w:val="009E3080"/>
    <w:rsid w:val="009E3135"/>
    <w:rsid w:val="009E319D"/>
    <w:rsid w:val="009E31BD"/>
    <w:rsid w:val="009E338B"/>
    <w:rsid w:val="009E3457"/>
    <w:rsid w:val="009E3537"/>
    <w:rsid w:val="009E354F"/>
    <w:rsid w:val="009E3575"/>
    <w:rsid w:val="009E3597"/>
    <w:rsid w:val="009E3705"/>
    <w:rsid w:val="009E371D"/>
    <w:rsid w:val="009E376F"/>
    <w:rsid w:val="009E3813"/>
    <w:rsid w:val="009E383C"/>
    <w:rsid w:val="009E3887"/>
    <w:rsid w:val="009E39F3"/>
    <w:rsid w:val="009E3A31"/>
    <w:rsid w:val="009E3C0A"/>
    <w:rsid w:val="009E3C89"/>
    <w:rsid w:val="009E3CBB"/>
    <w:rsid w:val="009E3CBC"/>
    <w:rsid w:val="009E3D5D"/>
    <w:rsid w:val="009E3DCE"/>
    <w:rsid w:val="009E3E67"/>
    <w:rsid w:val="009E3E7D"/>
    <w:rsid w:val="009E3EC5"/>
    <w:rsid w:val="009E3F51"/>
    <w:rsid w:val="009E40E7"/>
    <w:rsid w:val="009E417D"/>
    <w:rsid w:val="009E436B"/>
    <w:rsid w:val="009E44BE"/>
    <w:rsid w:val="009E4691"/>
    <w:rsid w:val="009E486F"/>
    <w:rsid w:val="009E4992"/>
    <w:rsid w:val="009E4AA8"/>
    <w:rsid w:val="009E4ACA"/>
    <w:rsid w:val="009E4AD9"/>
    <w:rsid w:val="009E4AFA"/>
    <w:rsid w:val="009E4F2D"/>
    <w:rsid w:val="009E4FEC"/>
    <w:rsid w:val="009E50F8"/>
    <w:rsid w:val="009E51CE"/>
    <w:rsid w:val="009E52C3"/>
    <w:rsid w:val="009E52F6"/>
    <w:rsid w:val="009E54A2"/>
    <w:rsid w:val="009E576B"/>
    <w:rsid w:val="009E59AE"/>
    <w:rsid w:val="009E5A9F"/>
    <w:rsid w:val="009E5AEE"/>
    <w:rsid w:val="009E5B9B"/>
    <w:rsid w:val="009E5C54"/>
    <w:rsid w:val="009E5D82"/>
    <w:rsid w:val="009E5F96"/>
    <w:rsid w:val="009E608D"/>
    <w:rsid w:val="009E6438"/>
    <w:rsid w:val="009E6575"/>
    <w:rsid w:val="009E6803"/>
    <w:rsid w:val="009E6BA9"/>
    <w:rsid w:val="009E6CC0"/>
    <w:rsid w:val="009E6D30"/>
    <w:rsid w:val="009E6F39"/>
    <w:rsid w:val="009E6F9E"/>
    <w:rsid w:val="009E6FA4"/>
    <w:rsid w:val="009E6FCC"/>
    <w:rsid w:val="009E70C3"/>
    <w:rsid w:val="009E717B"/>
    <w:rsid w:val="009E722C"/>
    <w:rsid w:val="009E734D"/>
    <w:rsid w:val="009E7360"/>
    <w:rsid w:val="009E74B0"/>
    <w:rsid w:val="009E7508"/>
    <w:rsid w:val="009E7607"/>
    <w:rsid w:val="009E7827"/>
    <w:rsid w:val="009E789F"/>
    <w:rsid w:val="009E795D"/>
    <w:rsid w:val="009E7BD2"/>
    <w:rsid w:val="009E7FD3"/>
    <w:rsid w:val="009E7FE3"/>
    <w:rsid w:val="009F003D"/>
    <w:rsid w:val="009F0182"/>
    <w:rsid w:val="009F018C"/>
    <w:rsid w:val="009F019A"/>
    <w:rsid w:val="009F025E"/>
    <w:rsid w:val="009F038D"/>
    <w:rsid w:val="009F040B"/>
    <w:rsid w:val="009F04B4"/>
    <w:rsid w:val="009F05FA"/>
    <w:rsid w:val="009F0667"/>
    <w:rsid w:val="009F06B4"/>
    <w:rsid w:val="009F0994"/>
    <w:rsid w:val="009F0ADB"/>
    <w:rsid w:val="009F0C21"/>
    <w:rsid w:val="009F0CB8"/>
    <w:rsid w:val="009F0D62"/>
    <w:rsid w:val="009F0E07"/>
    <w:rsid w:val="009F0E5B"/>
    <w:rsid w:val="009F0EAA"/>
    <w:rsid w:val="009F0F2E"/>
    <w:rsid w:val="009F0F3B"/>
    <w:rsid w:val="009F1117"/>
    <w:rsid w:val="009F1149"/>
    <w:rsid w:val="009F128B"/>
    <w:rsid w:val="009F129E"/>
    <w:rsid w:val="009F1436"/>
    <w:rsid w:val="009F147C"/>
    <w:rsid w:val="009F14BE"/>
    <w:rsid w:val="009F14C7"/>
    <w:rsid w:val="009F150B"/>
    <w:rsid w:val="009F154A"/>
    <w:rsid w:val="009F1562"/>
    <w:rsid w:val="009F187C"/>
    <w:rsid w:val="009F18C9"/>
    <w:rsid w:val="009F196E"/>
    <w:rsid w:val="009F1A1F"/>
    <w:rsid w:val="009F1BB9"/>
    <w:rsid w:val="009F1CCC"/>
    <w:rsid w:val="009F1CDE"/>
    <w:rsid w:val="009F1CE5"/>
    <w:rsid w:val="009F1D9A"/>
    <w:rsid w:val="009F1F98"/>
    <w:rsid w:val="009F208F"/>
    <w:rsid w:val="009F23DA"/>
    <w:rsid w:val="009F27D2"/>
    <w:rsid w:val="009F287C"/>
    <w:rsid w:val="009F28DB"/>
    <w:rsid w:val="009F2A35"/>
    <w:rsid w:val="009F2B88"/>
    <w:rsid w:val="009F2E49"/>
    <w:rsid w:val="009F2F9F"/>
    <w:rsid w:val="009F3038"/>
    <w:rsid w:val="009F30EC"/>
    <w:rsid w:val="009F31AB"/>
    <w:rsid w:val="009F31C5"/>
    <w:rsid w:val="009F31E3"/>
    <w:rsid w:val="009F321B"/>
    <w:rsid w:val="009F3225"/>
    <w:rsid w:val="009F3317"/>
    <w:rsid w:val="009F33DF"/>
    <w:rsid w:val="009F3501"/>
    <w:rsid w:val="009F3680"/>
    <w:rsid w:val="009F3708"/>
    <w:rsid w:val="009F380A"/>
    <w:rsid w:val="009F38A2"/>
    <w:rsid w:val="009F3D11"/>
    <w:rsid w:val="009F3D65"/>
    <w:rsid w:val="009F3F33"/>
    <w:rsid w:val="009F3F73"/>
    <w:rsid w:val="009F3F7E"/>
    <w:rsid w:val="009F400F"/>
    <w:rsid w:val="009F42AB"/>
    <w:rsid w:val="009F43CD"/>
    <w:rsid w:val="009F446D"/>
    <w:rsid w:val="009F4635"/>
    <w:rsid w:val="009F469C"/>
    <w:rsid w:val="009F4713"/>
    <w:rsid w:val="009F478E"/>
    <w:rsid w:val="009F4906"/>
    <w:rsid w:val="009F495A"/>
    <w:rsid w:val="009F4991"/>
    <w:rsid w:val="009F4A22"/>
    <w:rsid w:val="009F4BA3"/>
    <w:rsid w:val="009F4C57"/>
    <w:rsid w:val="009F4D64"/>
    <w:rsid w:val="009F4DD4"/>
    <w:rsid w:val="009F501E"/>
    <w:rsid w:val="009F5217"/>
    <w:rsid w:val="009F546C"/>
    <w:rsid w:val="009F547C"/>
    <w:rsid w:val="009F55A0"/>
    <w:rsid w:val="009F5619"/>
    <w:rsid w:val="009F576C"/>
    <w:rsid w:val="009F576E"/>
    <w:rsid w:val="009F57E5"/>
    <w:rsid w:val="009F58BD"/>
    <w:rsid w:val="009F59C8"/>
    <w:rsid w:val="009F5A32"/>
    <w:rsid w:val="009F5A8C"/>
    <w:rsid w:val="009F5A9B"/>
    <w:rsid w:val="009F5AC5"/>
    <w:rsid w:val="009F5B3A"/>
    <w:rsid w:val="009F5C5D"/>
    <w:rsid w:val="009F5D08"/>
    <w:rsid w:val="009F5D3B"/>
    <w:rsid w:val="009F5E95"/>
    <w:rsid w:val="009F5F5D"/>
    <w:rsid w:val="009F5F6B"/>
    <w:rsid w:val="009F6115"/>
    <w:rsid w:val="009F64AE"/>
    <w:rsid w:val="009F64EB"/>
    <w:rsid w:val="009F64F4"/>
    <w:rsid w:val="009F6679"/>
    <w:rsid w:val="009F67C4"/>
    <w:rsid w:val="009F6840"/>
    <w:rsid w:val="009F685A"/>
    <w:rsid w:val="009F6889"/>
    <w:rsid w:val="009F69B9"/>
    <w:rsid w:val="009F6A6D"/>
    <w:rsid w:val="009F6A73"/>
    <w:rsid w:val="009F6D45"/>
    <w:rsid w:val="009F6DDD"/>
    <w:rsid w:val="009F6EC6"/>
    <w:rsid w:val="009F7017"/>
    <w:rsid w:val="009F7373"/>
    <w:rsid w:val="009F740A"/>
    <w:rsid w:val="009F7422"/>
    <w:rsid w:val="009F74C7"/>
    <w:rsid w:val="009F758B"/>
    <w:rsid w:val="009F7602"/>
    <w:rsid w:val="009F765A"/>
    <w:rsid w:val="009F77A4"/>
    <w:rsid w:val="009F7816"/>
    <w:rsid w:val="009F78CB"/>
    <w:rsid w:val="009F79B8"/>
    <w:rsid w:val="009F79DC"/>
    <w:rsid w:val="009F7BD3"/>
    <w:rsid w:val="009F7C39"/>
    <w:rsid w:val="009F7C54"/>
    <w:rsid w:val="009F7CBC"/>
    <w:rsid w:val="009F7CD7"/>
    <w:rsid w:val="009F7E9D"/>
    <w:rsid w:val="009F7EDF"/>
    <w:rsid w:val="009FB99F"/>
    <w:rsid w:val="00A000F6"/>
    <w:rsid w:val="00A00115"/>
    <w:rsid w:val="00A001DD"/>
    <w:rsid w:val="00A002A2"/>
    <w:rsid w:val="00A002A4"/>
    <w:rsid w:val="00A002BF"/>
    <w:rsid w:val="00A00427"/>
    <w:rsid w:val="00A004A0"/>
    <w:rsid w:val="00A0051B"/>
    <w:rsid w:val="00A0075F"/>
    <w:rsid w:val="00A00A06"/>
    <w:rsid w:val="00A00ADB"/>
    <w:rsid w:val="00A00E29"/>
    <w:rsid w:val="00A00EF3"/>
    <w:rsid w:val="00A00F50"/>
    <w:rsid w:val="00A00FE1"/>
    <w:rsid w:val="00A011BB"/>
    <w:rsid w:val="00A0127A"/>
    <w:rsid w:val="00A01445"/>
    <w:rsid w:val="00A01528"/>
    <w:rsid w:val="00A01542"/>
    <w:rsid w:val="00A016FC"/>
    <w:rsid w:val="00A01AEE"/>
    <w:rsid w:val="00A01BE3"/>
    <w:rsid w:val="00A01C90"/>
    <w:rsid w:val="00A01D00"/>
    <w:rsid w:val="00A01D20"/>
    <w:rsid w:val="00A01D22"/>
    <w:rsid w:val="00A01D8E"/>
    <w:rsid w:val="00A01DDB"/>
    <w:rsid w:val="00A01F27"/>
    <w:rsid w:val="00A01FA2"/>
    <w:rsid w:val="00A0217D"/>
    <w:rsid w:val="00A021B0"/>
    <w:rsid w:val="00A021CE"/>
    <w:rsid w:val="00A023C6"/>
    <w:rsid w:val="00A0242C"/>
    <w:rsid w:val="00A02500"/>
    <w:rsid w:val="00A02591"/>
    <w:rsid w:val="00A025EB"/>
    <w:rsid w:val="00A02694"/>
    <w:rsid w:val="00A026EF"/>
    <w:rsid w:val="00A0270A"/>
    <w:rsid w:val="00A02745"/>
    <w:rsid w:val="00A02778"/>
    <w:rsid w:val="00A02B10"/>
    <w:rsid w:val="00A02B1C"/>
    <w:rsid w:val="00A02C79"/>
    <w:rsid w:val="00A02D37"/>
    <w:rsid w:val="00A02DBE"/>
    <w:rsid w:val="00A02DDD"/>
    <w:rsid w:val="00A02DF4"/>
    <w:rsid w:val="00A02E10"/>
    <w:rsid w:val="00A02E54"/>
    <w:rsid w:val="00A02F52"/>
    <w:rsid w:val="00A02FCA"/>
    <w:rsid w:val="00A02FD1"/>
    <w:rsid w:val="00A02FFC"/>
    <w:rsid w:val="00A0309C"/>
    <w:rsid w:val="00A03210"/>
    <w:rsid w:val="00A03229"/>
    <w:rsid w:val="00A034B4"/>
    <w:rsid w:val="00A036AB"/>
    <w:rsid w:val="00A03758"/>
    <w:rsid w:val="00A03775"/>
    <w:rsid w:val="00A037A5"/>
    <w:rsid w:val="00A03B9E"/>
    <w:rsid w:val="00A03C2B"/>
    <w:rsid w:val="00A03CA4"/>
    <w:rsid w:val="00A03DF8"/>
    <w:rsid w:val="00A03FC5"/>
    <w:rsid w:val="00A04013"/>
    <w:rsid w:val="00A0419F"/>
    <w:rsid w:val="00A04205"/>
    <w:rsid w:val="00A0433F"/>
    <w:rsid w:val="00A04353"/>
    <w:rsid w:val="00A04424"/>
    <w:rsid w:val="00A044B1"/>
    <w:rsid w:val="00A044EC"/>
    <w:rsid w:val="00A045B3"/>
    <w:rsid w:val="00A045BD"/>
    <w:rsid w:val="00A046C0"/>
    <w:rsid w:val="00A04825"/>
    <w:rsid w:val="00A04962"/>
    <w:rsid w:val="00A049EC"/>
    <w:rsid w:val="00A04A2D"/>
    <w:rsid w:val="00A04B89"/>
    <w:rsid w:val="00A04B99"/>
    <w:rsid w:val="00A04BB1"/>
    <w:rsid w:val="00A04DB0"/>
    <w:rsid w:val="00A04E02"/>
    <w:rsid w:val="00A04E1A"/>
    <w:rsid w:val="00A04E45"/>
    <w:rsid w:val="00A04F2E"/>
    <w:rsid w:val="00A05246"/>
    <w:rsid w:val="00A0529E"/>
    <w:rsid w:val="00A052FF"/>
    <w:rsid w:val="00A05488"/>
    <w:rsid w:val="00A05507"/>
    <w:rsid w:val="00A05545"/>
    <w:rsid w:val="00A0566F"/>
    <w:rsid w:val="00A056C8"/>
    <w:rsid w:val="00A0579E"/>
    <w:rsid w:val="00A058E1"/>
    <w:rsid w:val="00A0596F"/>
    <w:rsid w:val="00A0599B"/>
    <w:rsid w:val="00A05A19"/>
    <w:rsid w:val="00A05CA1"/>
    <w:rsid w:val="00A05CDD"/>
    <w:rsid w:val="00A05D65"/>
    <w:rsid w:val="00A05DB3"/>
    <w:rsid w:val="00A05E1B"/>
    <w:rsid w:val="00A05E49"/>
    <w:rsid w:val="00A05FDC"/>
    <w:rsid w:val="00A05FFD"/>
    <w:rsid w:val="00A060FD"/>
    <w:rsid w:val="00A0620D"/>
    <w:rsid w:val="00A0639F"/>
    <w:rsid w:val="00A0663F"/>
    <w:rsid w:val="00A066E6"/>
    <w:rsid w:val="00A06863"/>
    <w:rsid w:val="00A069E5"/>
    <w:rsid w:val="00A06ACF"/>
    <w:rsid w:val="00A06B34"/>
    <w:rsid w:val="00A06B64"/>
    <w:rsid w:val="00A06DA0"/>
    <w:rsid w:val="00A06E50"/>
    <w:rsid w:val="00A06EE5"/>
    <w:rsid w:val="00A06F01"/>
    <w:rsid w:val="00A06F70"/>
    <w:rsid w:val="00A06FD3"/>
    <w:rsid w:val="00A06FEB"/>
    <w:rsid w:val="00A070D0"/>
    <w:rsid w:val="00A07314"/>
    <w:rsid w:val="00A0741E"/>
    <w:rsid w:val="00A0754D"/>
    <w:rsid w:val="00A07596"/>
    <w:rsid w:val="00A075DB"/>
    <w:rsid w:val="00A0789E"/>
    <w:rsid w:val="00A07945"/>
    <w:rsid w:val="00A07A3D"/>
    <w:rsid w:val="00A07D7A"/>
    <w:rsid w:val="00A1012A"/>
    <w:rsid w:val="00A10492"/>
    <w:rsid w:val="00A104E0"/>
    <w:rsid w:val="00A104FD"/>
    <w:rsid w:val="00A107CF"/>
    <w:rsid w:val="00A10892"/>
    <w:rsid w:val="00A108E0"/>
    <w:rsid w:val="00A10A6B"/>
    <w:rsid w:val="00A10A7E"/>
    <w:rsid w:val="00A10A91"/>
    <w:rsid w:val="00A10B01"/>
    <w:rsid w:val="00A10B11"/>
    <w:rsid w:val="00A10C0A"/>
    <w:rsid w:val="00A10C3E"/>
    <w:rsid w:val="00A10D17"/>
    <w:rsid w:val="00A10D4A"/>
    <w:rsid w:val="00A10DD4"/>
    <w:rsid w:val="00A10E88"/>
    <w:rsid w:val="00A10EF2"/>
    <w:rsid w:val="00A10F25"/>
    <w:rsid w:val="00A10FB4"/>
    <w:rsid w:val="00A11177"/>
    <w:rsid w:val="00A111A0"/>
    <w:rsid w:val="00A113FD"/>
    <w:rsid w:val="00A11401"/>
    <w:rsid w:val="00A11407"/>
    <w:rsid w:val="00A1145E"/>
    <w:rsid w:val="00A11477"/>
    <w:rsid w:val="00A115D2"/>
    <w:rsid w:val="00A115EA"/>
    <w:rsid w:val="00A11606"/>
    <w:rsid w:val="00A11764"/>
    <w:rsid w:val="00A1177E"/>
    <w:rsid w:val="00A118B4"/>
    <w:rsid w:val="00A11992"/>
    <w:rsid w:val="00A11A04"/>
    <w:rsid w:val="00A11B5E"/>
    <w:rsid w:val="00A11B6D"/>
    <w:rsid w:val="00A11DB5"/>
    <w:rsid w:val="00A11DCF"/>
    <w:rsid w:val="00A11E1D"/>
    <w:rsid w:val="00A11E90"/>
    <w:rsid w:val="00A11ED4"/>
    <w:rsid w:val="00A11F14"/>
    <w:rsid w:val="00A11F19"/>
    <w:rsid w:val="00A11F85"/>
    <w:rsid w:val="00A120BF"/>
    <w:rsid w:val="00A120EB"/>
    <w:rsid w:val="00A1219A"/>
    <w:rsid w:val="00A125C2"/>
    <w:rsid w:val="00A1274C"/>
    <w:rsid w:val="00A128B4"/>
    <w:rsid w:val="00A12A31"/>
    <w:rsid w:val="00A12A3E"/>
    <w:rsid w:val="00A12ACA"/>
    <w:rsid w:val="00A12C22"/>
    <w:rsid w:val="00A12CA0"/>
    <w:rsid w:val="00A12CF9"/>
    <w:rsid w:val="00A12EB1"/>
    <w:rsid w:val="00A12F9A"/>
    <w:rsid w:val="00A12FA1"/>
    <w:rsid w:val="00A1304A"/>
    <w:rsid w:val="00A13054"/>
    <w:rsid w:val="00A13185"/>
    <w:rsid w:val="00A131AF"/>
    <w:rsid w:val="00A13303"/>
    <w:rsid w:val="00A133E6"/>
    <w:rsid w:val="00A13466"/>
    <w:rsid w:val="00A13525"/>
    <w:rsid w:val="00A13690"/>
    <w:rsid w:val="00A138E5"/>
    <w:rsid w:val="00A139DD"/>
    <w:rsid w:val="00A13B42"/>
    <w:rsid w:val="00A13BCE"/>
    <w:rsid w:val="00A13F86"/>
    <w:rsid w:val="00A13FDC"/>
    <w:rsid w:val="00A14107"/>
    <w:rsid w:val="00A1416C"/>
    <w:rsid w:val="00A14172"/>
    <w:rsid w:val="00A14391"/>
    <w:rsid w:val="00A144D3"/>
    <w:rsid w:val="00A14564"/>
    <w:rsid w:val="00A14B51"/>
    <w:rsid w:val="00A14BF8"/>
    <w:rsid w:val="00A14C26"/>
    <w:rsid w:val="00A14D12"/>
    <w:rsid w:val="00A14F57"/>
    <w:rsid w:val="00A14F97"/>
    <w:rsid w:val="00A14FB7"/>
    <w:rsid w:val="00A14FC7"/>
    <w:rsid w:val="00A1503D"/>
    <w:rsid w:val="00A15081"/>
    <w:rsid w:val="00A1519D"/>
    <w:rsid w:val="00A151EC"/>
    <w:rsid w:val="00A152D7"/>
    <w:rsid w:val="00A152F7"/>
    <w:rsid w:val="00A15354"/>
    <w:rsid w:val="00A153C4"/>
    <w:rsid w:val="00A154D4"/>
    <w:rsid w:val="00A154D5"/>
    <w:rsid w:val="00A156AB"/>
    <w:rsid w:val="00A156B7"/>
    <w:rsid w:val="00A15925"/>
    <w:rsid w:val="00A1595A"/>
    <w:rsid w:val="00A15ADB"/>
    <w:rsid w:val="00A15D3F"/>
    <w:rsid w:val="00A15F69"/>
    <w:rsid w:val="00A16037"/>
    <w:rsid w:val="00A16119"/>
    <w:rsid w:val="00A161C7"/>
    <w:rsid w:val="00A161E7"/>
    <w:rsid w:val="00A162BF"/>
    <w:rsid w:val="00A162D4"/>
    <w:rsid w:val="00A16372"/>
    <w:rsid w:val="00A163C8"/>
    <w:rsid w:val="00A164E0"/>
    <w:rsid w:val="00A1652D"/>
    <w:rsid w:val="00A166A7"/>
    <w:rsid w:val="00A1680A"/>
    <w:rsid w:val="00A169D0"/>
    <w:rsid w:val="00A16A5C"/>
    <w:rsid w:val="00A16C51"/>
    <w:rsid w:val="00A17132"/>
    <w:rsid w:val="00A171B0"/>
    <w:rsid w:val="00A17200"/>
    <w:rsid w:val="00A1721B"/>
    <w:rsid w:val="00A17239"/>
    <w:rsid w:val="00A172AE"/>
    <w:rsid w:val="00A172EA"/>
    <w:rsid w:val="00A17393"/>
    <w:rsid w:val="00A174C8"/>
    <w:rsid w:val="00A174E3"/>
    <w:rsid w:val="00A17584"/>
    <w:rsid w:val="00A176D5"/>
    <w:rsid w:val="00A177E4"/>
    <w:rsid w:val="00A179E4"/>
    <w:rsid w:val="00A17A11"/>
    <w:rsid w:val="00A17C01"/>
    <w:rsid w:val="00A17C5B"/>
    <w:rsid w:val="00A17DCB"/>
    <w:rsid w:val="00A17E87"/>
    <w:rsid w:val="00A2031C"/>
    <w:rsid w:val="00A20397"/>
    <w:rsid w:val="00A203F3"/>
    <w:rsid w:val="00A20481"/>
    <w:rsid w:val="00A205CA"/>
    <w:rsid w:val="00A2067F"/>
    <w:rsid w:val="00A206D1"/>
    <w:rsid w:val="00A20766"/>
    <w:rsid w:val="00A20874"/>
    <w:rsid w:val="00A2089C"/>
    <w:rsid w:val="00A208E7"/>
    <w:rsid w:val="00A209B3"/>
    <w:rsid w:val="00A20B14"/>
    <w:rsid w:val="00A20C52"/>
    <w:rsid w:val="00A20CE8"/>
    <w:rsid w:val="00A20D35"/>
    <w:rsid w:val="00A20D78"/>
    <w:rsid w:val="00A20DBC"/>
    <w:rsid w:val="00A20EF9"/>
    <w:rsid w:val="00A21128"/>
    <w:rsid w:val="00A2112B"/>
    <w:rsid w:val="00A21183"/>
    <w:rsid w:val="00A21293"/>
    <w:rsid w:val="00A214B3"/>
    <w:rsid w:val="00A21542"/>
    <w:rsid w:val="00A21640"/>
    <w:rsid w:val="00A2177B"/>
    <w:rsid w:val="00A217B5"/>
    <w:rsid w:val="00A21849"/>
    <w:rsid w:val="00A218CF"/>
    <w:rsid w:val="00A2198E"/>
    <w:rsid w:val="00A21A94"/>
    <w:rsid w:val="00A21BE6"/>
    <w:rsid w:val="00A21C13"/>
    <w:rsid w:val="00A21E0C"/>
    <w:rsid w:val="00A21EEE"/>
    <w:rsid w:val="00A21EF6"/>
    <w:rsid w:val="00A21F67"/>
    <w:rsid w:val="00A21FC4"/>
    <w:rsid w:val="00A21FFE"/>
    <w:rsid w:val="00A22108"/>
    <w:rsid w:val="00A2212B"/>
    <w:rsid w:val="00A22143"/>
    <w:rsid w:val="00A221B1"/>
    <w:rsid w:val="00A221EB"/>
    <w:rsid w:val="00A222EB"/>
    <w:rsid w:val="00A22393"/>
    <w:rsid w:val="00A22458"/>
    <w:rsid w:val="00A2261B"/>
    <w:rsid w:val="00A226B8"/>
    <w:rsid w:val="00A226D8"/>
    <w:rsid w:val="00A2273E"/>
    <w:rsid w:val="00A2274E"/>
    <w:rsid w:val="00A227BA"/>
    <w:rsid w:val="00A22886"/>
    <w:rsid w:val="00A228F1"/>
    <w:rsid w:val="00A22A1C"/>
    <w:rsid w:val="00A22C3C"/>
    <w:rsid w:val="00A23019"/>
    <w:rsid w:val="00A23044"/>
    <w:rsid w:val="00A23249"/>
    <w:rsid w:val="00A2326A"/>
    <w:rsid w:val="00A2343D"/>
    <w:rsid w:val="00A23571"/>
    <w:rsid w:val="00A235D8"/>
    <w:rsid w:val="00A2366C"/>
    <w:rsid w:val="00A23695"/>
    <w:rsid w:val="00A236BD"/>
    <w:rsid w:val="00A237F6"/>
    <w:rsid w:val="00A23909"/>
    <w:rsid w:val="00A23AF8"/>
    <w:rsid w:val="00A23B2F"/>
    <w:rsid w:val="00A23CA0"/>
    <w:rsid w:val="00A23CF6"/>
    <w:rsid w:val="00A23D18"/>
    <w:rsid w:val="00A23D1C"/>
    <w:rsid w:val="00A23D4D"/>
    <w:rsid w:val="00A23E27"/>
    <w:rsid w:val="00A23E85"/>
    <w:rsid w:val="00A23EB7"/>
    <w:rsid w:val="00A23FE4"/>
    <w:rsid w:val="00A23FEF"/>
    <w:rsid w:val="00A2414E"/>
    <w:rsid w:val="00A241DA"/>
    <w:rsid w:val="00A244B9"/>
    <w:rsid w:val="00A244C2"/>
    <w:rsid w:val="00A245C5"/>
    <w:rsid w:val="00A24704"/>
    <w:rsid w:val="00A24732"/>
    <w:rsid w:val="00A247A5"/>
    <w:rsid w:val="00A247C3"/>
    <w:rsid w:val="00A24966"/>
    <w:rsid w:val="00A24B12"/>
    <w:rsid w:val="00A24B3F"/>
    <w:rsid w:val="00A24B63"/>
    <w:rsid w:val="00A24BF4"/>
    <w:rsid w:val="00A24C13"/>
    <w:rsid w:val="00A24C95"/>
    <w:rsid w:val="00A24CBF"/>
    <w:rsid w:val="00A24CF5"/>
    <w:rsid w:val="00A24D20"/>
    <w:rsid w:val="00A24DC0"/>
    <w:rsid w:val="00A24DFE"/>
    <w:rsid w:val="00A24EBA"/>
    <w:rsid w:val="00A24F9F"/>
    <w:rsid w:val="00A2501F"/>
    <w:rsid w:val="00A250AE"/>
    <w:rsid w:val="00A25122"/>
    <w:rsid w:val="00A25178"/>
    <w:rsid w:val="00A252D2"/>
    <w:rsid w:val="00A25404"/>
    <w:rsid w:val="00A25433"/>
    <w:rsid w:val="00A254E6"/>
    <w:rsid w:val="00A25545"/>
    <w:rsid w:val="00A255B0"/>
    <w:rsid w:val="00A255C2"/>
    <w:rsid w:val="00A256FD"/>
    <w:rsid w:val="00A25A97"/>
    <w:rsid w:val="00A25B1E"/>
    <w:rsid w:val="00A25B31"/>
    <w:rsid w:val="00A25BAD"/>
    <w:rsid w:val="00A25C8C"/>
    <w:rsid w:val="00A25D77"/>
    <w:rsid w:val="00A25D90"/>
    <w:rsid w:val="00A25DA8"/>
    <w:rsid w:val="00A25DFB"/>
    <w:rsid w:val="00A25F6D"/>
    <w:rsid w:val="00A260CF"/>
    <w:rsid w:val="00A26123"/>
    <w:rsid w:val="00A2617B"/>
    <w:rsid w:val="00A261F9"/>
    <w:rsid w:val="00A263D9"/>
    <w:rsid w:val="00A265BA"/>
    <w:rsid w:val="00A26620"/>
    <w:rsid w:val="00A26654"/>
    <w:rsid w:val="00A2670A"/>
    <w:rsid w:val="00A2670B"/>
    <w:rsid w:val="00A26747"/>
    <w:rsid w:val="00A26826"/>
    <w:rsid w:val="00A26870"/>
    <w:rsid w:val="00A26874"/>
    <w:rsid w:val="00A26A93"/>
    <w:rsid w:val="00A26ABE"/>
    <w:rsid w:val="00A26AC2"/>
    <w:rsid w:val="00A26BE7"/>
    <w:rsid w:val="00A26C5A"/>
    <w:rsid w:val="00A26D9C"/>
    <w:rsid w:val="00A26F7C"/>
    <w:rsid w:val="00A26F7E"/>
    <w:rsid w:val="00A27023"/>
    <w:rsid w:val="00A2720F"/>
    <w:rsid w:val="00A2726D"/>
    <w:rsid w:val="00A27309"/>
    <w:rsid w:val="00A27759"/>
    <w:rsid w:val="00A2785A"/>
    <w:rsid w:val="00A2786A"/>
    <w:rsid w:val="00A27982"/>
    <w:rsid w:val="00A27AA6"/>
    <w:rsid w:val="00A27CF3"/>
    <w:rsid w:val="00A27DBF"/>
    <w:rsid w:val="00A27DE2"/>
    <w:rsid w:val="00A27DE5"/>
    <w:rsid w:val="00A27E61"/>
    <w:rsid w:val="00A27ECF"/>
    <w:rsid w:val="00A30010"/>
    <w:rsid w:val="00A30071"/>
    <w:rsid w:val="00A3008F"/>
    <w:rsid w:val="00A300CA"/>
    <w:rsid w:val="00A300CF"/>
    <w:rsid w:val="00A300E0"/>
    <w:rsid w:val="00A301F1"/>
    <w:rsid w:val="00A30310"/>
    <w:rsid w:val="00A30374"/>
    <w:rsid w:val="00A303EE"/>
    <w:rsid w:val="00A30483"/>
    <w:rsid w:val="00A304B0"/>
    <w:rsid w:val="00A30541"/>
    <w:rsid w:val="00A3057F"/>
    <w:rsid w:val="00A305EF"/>
    <w:rsid w:val="00A30756"/>
    <w:rsid w:val="00A307AF"/>
    <w:rsid w:val="00A309B6"/>
    <w:rsid w:val="00A30A96"/>
    <w:rsid w:val="00A30B1B"/>
    <w:rsid w:val="00A30C8E"/>
    <w:rsid w:val="00A30D85"/>
    <w:rsid w:val="00A30D90"/>
    <w:rsid w:val="00A30F2B"/>
    <w:rsid w:val="00A30F4C"/>
    <w:rsid w:val="00A30F71"/>
    <w:rsid w:val="00A30FA6"/>
    <w:rsid w:val="00A30FAE"/>
    <w:rsid w:val="00A3108F"/>
    <w:rsid w:val="00A3117F"/>
    <w:rsid w:val="00A31332"/>
    <w:rsid w:val="00A3139E"/>
    <w:rsid w:val="00A313D7"/>
    <w:rsid w:val="00A315B3"/>
    <w:rsid w:val="00A31676"/>
    <w:rsid w:val="00A31737"/>
    <w:rsid w:val="00A3176B"/>
    <w:rsid w:val="00A3190C"/>
    <w:rsid w:val="00A31922"/>
    <w:rsid w:val="00A31A0F"/>
    <w:rsid w:val="00A31B1B"/>
    <w:rsid w:val="00A31BFA"/>
    <w:rsid w:val="00A31C8D"/>
    <w:rsid w:val="00A31D2F"/>
    <w:rsid w:val="00A31EB0"/>
    <w:rsid w:val="00A31FCD"/>
    <w:rsid w:val="00A3237A"/>
    <w:rsid w:val="00A323E0"/>
    <w:rsid w:val="00A324B9"/>
    <w:rsid w:val="00A325CE"/>
    <w:rsid w:val="00A325D1"/>
    <w:rsid w:val="00A32847"/>
    <w:rsid w:val="00A3286E"/>
    <w:rsid w:val="00A3293B"/>
    <w:rsid w:val="00A32950"/>
    <w:rsid w:val="00A32D17"/>
    <w:rsid w:val="00A32EDC"/>
    <w:rsid w:val="00A33219"/>
    <w:rsid w:val="00A3326A"/>
    <w:rsid w:val="00A33442"/>
    <w:rsid w:val="00A33573"/>
    <w:rsid w:val="00A33711"/>
    <w:rsid w:val="00A3377D"/>
    <w:rsid w:val="00A33832"/>
    <w:rsid w:val="00A3384B"/>
    <w:rsid w:val="00A33858"/>
    <w:rsid w:val="00A33860"/>
    <w:rsid w:val="00A33B1B"/>
    <w:rsid w:val="00A33B3C"/>
    <w:rsid w:val="00A33BAA"/>
    <w:rsid w:val="00A33BFD"/>
    <w:rsid w:val="00A33C4F"/>
    <w:rsid w:val="00A33C80"/>
    <w:rsid w:val="00A33D05"/>
    <w:rsid w:val="00A33EDE"/>
    <w:rsid w:val="00A33EFD"/>
    <w:rsid w:val="00A340EC"/>
    <w:rsid w:val="00A34159"/>
    <w:rsid w:val="00A342D7"/>
    <w:rsid w:val="00A343CF"/>
    <w:rsid w:val="00A343EE"/>
    <w:rsid w:val="00A34604"/>
    <w:rsid w:val="00A346DF"/>
    <w:rsid w:val="00A346F0"/>
    <w:rsid w:val="00A34717"/>
    <w:rsid w:val="00A347FB"/>
    <w:rsid w:val="00A34805"/>
    <w:rsid w:val="00A3485A"/>
    <w:rsid w:val="00A34B3B"/>
    <w:rsid w:val="00A34B61"/>
    <w:rsid w:val="00A34B8B"/>
    <w:rsid w:val="00A34B9E"/>
    <w:rsid w:val="00A34C8E"/>
    <w:rsid w:val="00A34D6C"/>
    <w:rsid w:val="00A34DA7"/>
    <w:rsid w:val="00A34EFF"/>
    <w:rsid w:val="00A34F5D"/>
    <w:rsid w:val="00A34FBF"/>
    <w:rsid w:val="00A3504F"/>
    <w:rsid w:val="00A3506B"/>
    <w:rsid w:val="00A350A3"/>
    <w:rsid w:val="00A351B2"/>
    <w:rsid w:val="00A352BD"/>
    <w:rsid w:val="00A35358"/>
    <w:rsid w:val="00A35540"/>
    <w:rsid w:val="00A35586"/>
    <w:rsid w:val="00A355AF"/>
    <w:rsid w:val="00A355CC"/>
    <w:rsid w:val="00A357E4"/>
    <w:rsid w:val="00A3580E"/>
    <w:rsid w:val="00A35817"/>
    <w:rsid w:val="00A359D3"/>
    <w:rsid w:val="00A359DB"/>
    <w:rsid w:val="00A35B0E"/>
    <w:rsid w:val="00A35C4D"/>
    <w:rsid w:val="00A35F05"/>
    <w:rsid w:val="00A35F11"/>
    <w:rsid w:val="00A35F13"/>
    <w:rsid w:val="00A35F9C"/>
    <w:rsid w:val="00A3605F"/>
    <w:rsid w:val="00A360AD"/>
    <w:rsid w:val="00A3611C"/>
    <w:rsid w:val="00A36131"/>
    <w:rsid w:val="00A361C4"/>
    <w:rsid w:val="00A3628B"/>
    <w:rsid w:val="00A3632B"/>
    <w:rsid w:val="00A3633F"/>
    <w:rsid w:val="00A36367"/>
    <w:rsid w:val="00A3644F"/>
    <w:rsid w:val="00A364FE"/>
    <w:rsid w:val="00A365D0"/>
    <w:rsid w:val="00A366DD"/>
    <w:rsid w:val="00A36734"/>
    <w:rsid w:val="00A3688C"/>
    <w:rsid w:val="00A36906"/>
    <w:rsid w:val="00A36920"/>
    <w:rsid w:val="00A36B0A"/>
    <w:rsid w:val="00A36BBC"/>
    <w:rsid w:val="00A36C10"/>
    <w:rsid w:val="00A36C22"/>
    <w:rsid w:val="00A36C54"/>
    <w:rsid w:val="00A36EA2"/>
    <w:rsid w:val="00A36FEA"/>
    <w:rsid w:val="00A3701C"/>
    <w:rsid w:val="00A370FC"/>
    <w:rsid w:val="00A37133"/>
    <w:rsid w:val="00A3739B"/>
    <w:rsid w:val="00A37466"/>
    <w:rsid w:val="00A3747D"/>
    <w:rsid w:val="00A37585"/>
    <w:rsid w:val="00A375B4"/>
    <w:rsid w:val="00A375DB"/>
    <w:rsid w:val="00A375E0"/>
    <w:rsid w:val="00A3769A"/>
    <w:rsid w:val="00A376EE"/>
    <w:rsid w:val="00A37834"/>
    <w:rsid w:val="00A37938"/>
    <w:rsid w:val="00A3796E"/>
    <w:rsid w:val="00A37988"/>
    <w:rsid w:val="00A37996"/>
    <w:rsid w:val="00A37A47"/>
    <w:rsid w:val="00A37ADC"/>
    <w:rsid w:val="00A37B78"/>
    <w:rsid w:val="00A37BC8"/>
    <w:rsid w:val="00A37C3C"/>
    <w:rsid w:val="00A37D4C"/>
    <w:rsid w:val="00A37E1E"/>
    <w:rsid w:val="00A37E6F"/>
    <w:rsid w:val="00A40152"/>
    <w:rsid w:val="00A4015F"/>
    <w:rsid w:val="00A40208"/>
    <w:rsid w:val="00A40261"/>
    <w:rsid w:val="00A402BF"/>
    <w:rsid w:val="00A403BF"/>
    <w:rsid w:val="00A40466"/>
    <w:rsid w:val="00A4061D"/>
    <w:rsid w:val="00A4063A"/>
    <w:rsid w:val="00A406B6"/>
    <w:rsid w:val="00A406F9"/>
    <w:rsid w:val="00A4070C"/>
    <w:rsid w:val="00A407B2"/>
    <w:rsid w:val="00A4085B"/>
    <w:rsid w:val="00A409AD"/>
    <w:rsid w:val="00A40B15"/>
    <w:rsid w:val="00A40B40"/>
    <w:rsid w:val="00A40B4F"/>
    <w:rsid w:val="00A40CC4"/>
    <w:rsid w:val="00A40D9D"/>
    <w:rsid w:val="00A40F41"/>
    <w:rsid w:val="00A40FDE"/>
    <w:rsid w:val="00A41007"/>
    <w:rsid w:val="00A41037"/>
    <w:rsid w:val="00A410CD"/>
    <w:rsid w:val="00A410CF"/>
    <w:rsid w:val="00A41173"/>
    <w:rsid w:val="00A411B2"/>
    <w:rsid w:val="00A411D9"/>
    <w:rsid w:val="00A4127D"/>
    <w:rsid w:val="00A412E2"/>
    <w:rsid w:val="00A4133F"/>
    <w:rsid w:val="00A413BB"/>
    <w:rsid w:val="00A41431"/>
    <w:rsid w:val="00A4146A"/>
    <w:rsid w:val="00A415AE"/>
    <w:rsid w:val="00A4180A"/>
    <w:rsid w:val="00A41957"/>
    <w:rsid w:val="00A41A0F"/>
    <w:rsid w:val="00A41D0B"/>
    <w:rsid w:val="00A41D10"/>
    <w:rsid w:val="00A41DAD"/>
    <w:rsid w:val="00A41EFA"/>
    <w:rsid w:val="00A42018"/>
    <w:rsid w:val="00A420A0"/>
    <w:rsid w:val="00A42132"/>
    <w:rsid w:val="00A42298"/>
    <w:rsid w:val="00A422FA"/>
    <w:rsid w:val="00A42334"/>
    <w:rsid w:val="00A42398"/>
    <w:rsid w:val="00A423EB"/>
    <w:rsid w:val="00A4240A"/>
    <w:rsid w:val="00A4245D"/>
    <w:rsid w:val="00A4248C"/>
    <w:rsid w:val="00A425EE"/>
    <w:rsid w:val="00A42684"/>
    <w:rsid w:val="00A427B7"/>
    <w:rsid w:val="00A42A12"/>
    <w:rsid w:val="00A42A72"/>
    <w:rsid w:val="00A42A78"/>
    <w:rsid w:val="00A42A7A"/>
    <w:rsid w:val="00A42D58"/>
    <w:rsid w:val="00A42F18"/>
    <w:rsid w:val="00A42F5B"/>
    <w:rsid w:val="00A42F91"/>
    <w:rsid w:val="00A4301D"/>
    <w:rsid w:val="00A43028"/>
    <w:rsid w:val="00A4325D"/>
    <w:rsid w:val="00A432C2"/>
    <w:rsid w:val="00A434CB"/>
    <w:rsid w:val="00A434EA"/>
    <w:rsid w:val="00A43597"/>
    <w:rsid w:val="00A4363C"/>
    <w:rsid w:val="00A43835"/>
    <w:rsid w:val="00A43ACE"/>
    <w:rsid w:val="00A43C8F"/>
    <w:rsid w:val="00A43DA9"/>
    <w:rsid w:val="00A43DF0"/>
    <w:rsid w:val="00A43E86"/>
    <w:rsid w:val="00A4407E"/>
    <w:rsid w:val="00A440D0"/>
    <w:rsid w:val="00A440D2"/>
    <w:rsid w:val="00A44556"/>
    <w:rsid w:val="00A44666"/>
    <w:rsid w:val="00A4470D"/>
    <w:rsid w:val="00A44738"/>
    <w:rsid w:val="00A447FB"/>
    <w:rsid w:val="00A44804"/>
    <w:rsid w:val="00A4482C"/>
    <w:rsid w:val="00A4491F"/>
    <w:rsid w:val="00A449EA"/>
    <w:rsid w:val="00A44B91"/>
    <w:rsid w:val="00A44C70"/>
    <w:rsid w:val="00A44CDE"/>
    <w:rsid w:val="00A44E0D"/>
    <w:rsid w:val="00A44E6A"/>
    <w:rsid w:val="00A44EA0"/>
    <w:rsid w:val="00A44F6D"/>
    <w:rsid w:val="00A451C9"/>
    <w:rsid w:val="00A451EC"/>
    <w:rsid w:val="00A45264"/>
    <w:rsid w:val="00A4529C"/>
    <w:rsid w:val="00A452FB"/>
    <w:rsid w:val="00A45300"/>
    <w:rsid w:val="00A4532B"/>
    <w:rsid w:val="00A45472"/>
    <w:rsid w:val="00A4549E"/>
    <w:rsid w:val="00A454D6"/>
    <w:rsid w:val="00A454FC"/>
    <w:rsid w:val="00A455E2"/>
    <w:rsid w:val="00A45731"/>
    <w:rsid w:val="00A45751"/>
    <w:rsid w:val="00A457A8"/>
    <w:rsid w:val="00A4591A"/>
    <w:rsid w:val="00A45963"/>
    <w:rsid w:val="00A45995"/>
    <w:rsid w:val="00A459AC"/>
    <w:rsid w:val="00A45B23"/>
    <w:rsid w:val="00A45E32"/>
    <w:rsid w:val="00A45E4F"/>
    <w:rsid w:val="00A46014"/>
    <w:rsid w:val="00A4614F"/>
    <w:rsid w:val="00A46241"/>
    <w:rsid w:val="00A4624E"/>
    <w:rsid w:val="00A4628F"/>
    <w:rsid w:val="00A462B7"/>
    <w:rsid w:val="00A467EC"/>
    <w:rsid w:val="00A4692D"/>
    <w:rsid w:val="00A46A7C"/>
    <w:rsid w:val="00A46AAD"/>
    <w:rsid w:val="00A46E66"/>
    <w:rsid w:val="00A4704A"/>
    <w:rsid w:val="00A470A4"/>
    <w:rsid w:val="00A470C5"/>
    <w:rsid w:val="00A471A2"/>
    <w:rsid w:val="00A471F4"/>
    <w:rsid w:val="00A47419"/>
    <w:rsid w:val="00A47443"/>
    <w:rsid w:val="00A47447"/>
    <w:rsid w:val="00A4758F"/>
    <w:rsid w:val="00A47669"/>
    <w:rsid w:val="00A4767B"/>
    <w:rsid w:val="00A47697"/>
    <w:rsid w:val="00A47817"/>
    <w:rsid w:val="00A47874"/>
    <w:rsid w:val="00A478BC"/>
    <w:rsid w:val="00A478C9"/>
    <w:rsid w:val="00A47A12"/>
    <w:rsid w:val="00A47A89"/>
    <w:rsid w:val="00A47A8D"/>
    <w:rsid w:val="00A47AEC"/>
    <w:rsid w:val="00A47CE0"/>
    <w:rsid w:val="00A47CEE"/>
    <w:rsid w:val="00A47D17"/>
    <w:rsid w:val="00A47ED2"/>
    <w:rsid w:val="00A47FEF"/>
    <w:rsid w:val="00A50174"/>
    <w:rsid w:val="00A502B4"/>
    <w:rsid w:val="00A502BA"/>
    <w:rsid w:val="00A50477"/>
    <w:rsid w:val="00A504C8"/>
    <w:rsid w:val="00A50648"/>
    <w:rsid w:val="00A50674"/>
    <w:rsid w:val="00A506BE"/>
    <w:rsid w:val="00A50749"/>
    <w:rsid w:val="00A509BF"/>
    <w:rsid w:val="00A509F4"/>
    <w:rsid w:val="00A50A54"/>
    <w:rsid w:val="00A50C3A"/>
    <w:rsid w:val="00A50ED9"/>
    <w:rsid w:val="00A50F36"/>
    <w:rsid w:val="00A510D7"/>
    <w:rsid w:val="00A51192"/>
    <w:rsid w:val="00A511BE"/>
    <w:rsid w:val="00A511EA"/>
    <w:rsid w:val="00A51252"/>
    <w:rsid w:val="00A513CD"/>
    <w:rsid w:val="00A51427"/>
    <w:rsid w:val="00A5144F"/>
    <w:rsid w:val="00A51567"/>
    <w:rsid w:val="00A51598"/>
    <w:rsid w:val="00A51664"/>
    <w:rsid w:val="00A516F6"/>
    <w:rsid w:val="00A5175D"/>
    <w:rsid w:val="00A5176D"/>
    <w:rsid w:val="00A517D7"/>
    <w:rsid w:val="00A5189D"/>
    <w:rsid w:val="00A518C0"/>
    <w:rsid w:val="00A51997"/>
    <w:rsid w:val="00A51A0C"/>
    <w:rsid w:val="00A51A77"/>
    <w:rsid w:val="00A51C69"/>
    <w:rsid w:val="00A51D03"/>
    <w:rsid w:val="00A51D5A"/>
    <w:rsid w:val="00A51D62"/>
    <w:rsid w:val="00A51DCD"/>
    <w:rsid w:val="00A51EE8"/>
    <w:rsid w:val="00A52117"/>
    <w:rsid w:val="00A52435"/>
    <w:rsid w:val="00A52603"/>
    <w:rsid w:val="00A526A3"/>
    <w:rsid w:val="00A526A5"/>
    <w:rsid w:val="00A52724"/>
    <w:rsid w:val="00A529AE"/>
    <w:rsid w:val="00A529E2"/>
    <w:rsid w:val="00A52AEA"/>
    <w:rsid w:val="00A52B83"/>
    <w:rsid w:val="00A52BF6"/>
    <w:rsid w:val="00A52C01"/>
    <w:rsid w:val="00A52C16"/>
    <w:rsid w:val="00A52C6E"/>
    <w:rsid w:val="00A52DAC"/>
    <w:rsid w:val="00A532B8"/>
    <w:rsid w:val="00A532C7"/>
    <w:rsid w:val="00A53362"/>
    <w:rsid w:val="00A533EC"/>
    <w:rsid w:val="00A5342D"/>
    <w:rsid w:val="00A534EF"/>
    <w:rsid w:val="00A534F1"/>
    <w:rsid w:val="00A5359A"/>
    <w:rsid w:val="00A53692"/>
    <w:rsid w:val="00A53704"/>
    <w:rsid w:val="00A5381C"/>
    <w:rsid w:val="00A53854"/>
    <w:rsid w:val="00A5385A"/>
    <w:rsid w:val="00A53996"/>
    <w:rsid w:val="00A53A58"/>
    <w:rsid w:val="00A53AF2"/>
    <w:rsid w:val="00A53B5D"/>
    <w:rsid w:val="00A53C0E"/>
    <w:rsid w:val="00A53C9D"/>
    <w:rsid w:val="00A53E22"/>
    <w:rsid w:val="00A53E36"/>
    <w:rsid w:val="00A53F47"/>
    <w:rsid w:val="00A5404B"/>
    <w:rsid w:val="00A5417B"/>
    <w:rsid w:val="00A541F6"/>
    <w:rsid w:val="00A5420A"/>
    <w:rsid w:val="00A54263"/>
    <w:rsid w:val="00A54295"/>
    <w:rsid w:val="00A54386"/>
    <w:rsid w:val="00A543E7"/>
    <w:rsid w:val="00A54401"/>
    <w:rsid w:val="00A545E2"/>
    <w:rsid w:val="00A5481C"/>
    <w:rsid w:val="00A5486C"/>
    <w:rsid w:val="00A54936"/>
    <w:rsid w:val="00A54A0E"/>
    <w:rsid w:val="00A54F12"/>
    <w:rsid w:val="00A54F1E"/>
    <w:rsid w:val="00A5516D"/>
    <w:rsid w:val="00A55241"/>
    <w:rsid w:val="00A55274"/>
    <w:rsid w:val="00A55284"/>
    <w:rsid w:val="00A5530D"/>
    <w:rsid w:val="00A55391"/>
    <w:rsid w:val="00A55414"/>
    <w:rsid w:val="00A5547E"/>
    <w:rsid w:val="00A5568C"/>
    <w:rsid w:val="00A55AA8"/>
    <w:rsid w:val="00A55B17"/>
    <w:rsid w:val="00A55B6A"/>
    <w:rsid w:val="00A55D08"/>
    <w:rsid w:val="00A55D4D"/>
    <w:rsid w:val="00A55DA5"/>
    <w:rsid w:val="00A55E7F"/>
    <w:rsid w:val="00A55F5E"/>
    <w:rsid w:val="00A56258"/>
    <w:rsid w:val="00A562DE"/>
    <w:rsid w:val="00A5630E"/>
    <w:rsid w:val="00A563F4"/>
    <w:rsid w:val="00A56686"/>
    <w:rsid w:val="00A569DD"/>
    <w:rsid w:val="00A56AA0"/>
    <w:rsid w:val="00A56ABC"/>
    <w:rsid w:val="00A56B06"/>
    <w:rsid w:val="00A56B95"/>
    <w:rsid w:val="00A56C87"/>
    <w:rsid w:val="00A56C97"/>
    <w:rsid w:val="00A56D10"/>
    <w:rsid w:val="00A56EB6"/>
    <w:rsid w:val="00A56EF1"/>
    <w:rsid w:val="00A571AD"/>
    <w:rsid w:val="00A571F3"/>
    <w:rsid w:val="00A572E7"/>
    <w:rsid w:val="00A57343"/>
    <w:rsid w:val="00A573DB"/>
    <w:rsid w:val="00A573F2"/>
    <w:rsid w:val="00A5740D"/>
    <w:rsid w:val="00A57412"/>
    <w:rsid w:val="00A57594"/>
    <w:rsid w:val="00A575F9"/>
    <w:rsid w:val="00A5767B"/>
    <w:rsid w:val="00A576A1"/>
    <w:rsid w:val="00A57786"/>
    <w:rsid w:val="00A577ED"/>
    <w:rsid w:val="00A579AA"/>
    <w:rsid w:val="00A57AA5"/>
    <w:rsid w:val="00A57BC4"/>
    <w:rsid w:val="00A57CA5"/>
    <w:rsid w:val="00A57CBC"/>
    <w:rsid w:val="00A57CC1"/>
    <w:rsid w:val="00A57CC5"/>
    <w:rsid w:val="00A57D78"/>
    <w:rsid w:val="00A57DC0"/>
    <w:rsid w:val="00A57DD2"/>
    <w:rsid w:val="00A57E8C"/>
    <w:rsid w:val="00A6002D"/>
    <w:rsid w:val="00A601BE"/>
    <w:rsid w:val="00A60247"/>
    <w:rsid w:val="00A60308"/>
    <w:rsid w:val="00A60309"/>
    <w:rsid w:val="00A603DC"/>
    <w:rsid w:val="00A604B3"/>
    <w:rsid w:val="00A6055D"/>
    <w:rsid w:val="00A60579"/>
    <w:rsid w:val="00A60702"/>
    <w:rsid w:val="00A60817"/>
    <w:rsid w:val="00A608AF"/>
    <w:rsid w:val="00A60B43"/>
    <w:rsid w:val="00A60B95"/>
    <w:rsid w:val="00A60BA5"/>
    <w:rsid w:val="00A60BF0"/>
    <w:rsid w:val="00A60DEB"/>
    <w:rsid w:val="00A60ED1"/>
    <w:rsid w:val="00A60FD3"/>
    <w:rsid w:val="00A610B2"/>
    <w:rsid w:val="00A61392"/>
    <w:rsid w:val="00A6157E"/>
    <w:rsid w:val="00A61590"/>
    <w:rsid w:val="00A616E3"/>
    <w:rsid w:val="00A61777"/>
    <w:rsid w:val="00A618B6"/>
    <w:rsid w:val="00A61C84"/>
    <w:rsid w:val="00A61CDC"/>
    <w:rsid w:val="00A61DFB"/>
    <w:rsid w:val="00A61E13"/>
    <w:rsid w:val="00A61F70"/>
    <w:rsid w:val="00A62256"/>
    <w:rsid w:val="00A6225C"/>
    <w:rsid w:val="00A6227C"/>
    <w:rsid w:val="00A6228B"/>
    <w:rsid w:val="00A622A4"/>
    <w:rsid w:val="00A623BD"/>
    <w:rsid w:val="00A62402"/>
    <w:rsid w:val="00A62469"/>
    <w:rsid w:val="00A6250B"/>
    <w:rsid w:val="00A6251A"/>
    <w:rsid w:val="00A626AF"/>
    <w:rsid w:val="00A62707"/>
    <w:rsid w:val="00A62735"/>
    <w:rsid w:val="00A62791"/>
    <w:rsid w:val="00A6279A"/>
    <w:rsid w:val="00A628A4"/>
    <w:rsid w:val="00A62AF3"/>
    <w:rsid w:val="00A62BE9"/>
    <w:rsid w:val="00A62DDC"/>
    <w:rsid w:val="00A62F9A"/>
    <w:rsid w:val="00A6330E"/>
    <w:rsid w:val="00A63318"/>
    <w:rsid w:val="00A6336F"/>
    <w:rsid w:val="00A63562"/>
    <w:rsid w:val="00A6356B"/>
    <w:rsid w:val="00A6379A"/>
    <w:rsid w:val="00A637AB"/>
    <w:rsid w:val="00A638D1"/>
    <w:rsid w:val="00A63908"/>
    <w:rsid w:val="00A63985"/>
    <w:rsid w:val="00A63A47"/>
    <w:rsid w:val="00A63A60"/>
    <w:rsid w:val="00A63C08"/>
    <w:rsid w:val="00A63E48"/>
    <w:rsid w:val="00A6426D"/>
    <w:rsid w:val="00A643BC"/>
    <w:rsid w:val="00A645B6"/>
    <w:rsid w:val="00A645B7"/>
    <w:rsid w:val="00A6480C"/>
    <w:rsid w:val="00A64830"/>
    <w:rsid w:val="00A648C9"/>
    <w:rsid w:val="00A648D3"/>
    <w:rsid w:val="00A649B1"/>
    <w:rsid w:val="00A64A5A"/>
    <w:rsid w:val="00A64AAF"/>
    <w:rsid w:val="00A64AC9"/>
    <w:rsid w:val="00A64B88"/>
    <w:rsid w:val="00A64C43"/>
    <w:rsid w:val="00A64E85"/>
    <w:rsid w:val="00A650AA"/>
    <w:rsid w:val="00A6512C"/>
    <w:rsid w:val="00A6512F"/>
    <w:rsid w:val="00A6516B"/>
    <w:rsid w:val="00A6520E"/>
    <w:rsid w:val="00A6533B"/>
    <w:rsid w:val="00A653D5"/>
    <w:rsid w:val="00A65649"/>
    <w:rsid w:val="00A65678"/>
    <w:rsid w:val="00A65957"/>
    <w:rsid w:val="00A65991"/>
    <w:rsid w:val="00A65A3B"/>
    <w:rsid w:val="00A65B88"/>
    <w:rsid w:val="00A65BC6"/>
    <w:rsid w:val="00A65C0C"/>
    <w:rsid w:val="00A65DFA"/>
    <w:rsid w:val="00A65EFD"/>
    <w:rsid w:val="00A6612B"/>
    <w:rsid w:val="00A66139"/>
    <w:rsid w:val="00A662F5"/>
    <w:rsid w:val="00A66306"/>
    <w:rsid w:val="00A66473"/>
    <w:rsid w:val="00A6650E"/>
    <w:rsid w:val="00A66638"/>
    <w:rsid w:val="00A6665A"/>
    <w:rsid w:val="00A668DD"/>
    <w:rsid w:val="00A668FB"/>
    <w:rsid w:val="00A66A35"/>
    <w:rsid w:val="00A66AF0"/>
    <w:rsid w:val="00A66B64"/>
    <w:rsid w:val="00A66B6E"/>
    <w:rsid w:val="00A66CD3"/>
    <w:rsid w:val="00A66D15"/>
    <w:rsid w:val="00A66D47"/>
    <w:rsid w:val="00A66D4F"/>
    <w:rsid w:val="00A66D68"/>
    <w:rsid w:val="00A66F8A"/>
    <w:rsid w:val="00A66FF7"/>
    <w:rsid w:val="00A670C7"/>
    <w:rsid w:val="00A6724F"/>
    <w:rsid w:val="00A672A6"/>
    <w:rsid w:val="00A673BE"/>
    <w:rsid w:val="00A673CD"/>
    <w:rsid w:val="00A675F6"/>
    <w:rsid w:val="00A67600"/>
    <w:rsid w:val="00A67651"/>
    <w:rsid w:val="00A67653"/>
    <w:rsid w:val="00A6768A"/>
    <w:rsid w:val="00A677D7"/>
    <w:rsid w:val="00A67A2A"/>
    <w:rsid w:val="00A67A5D"/>
    <w:rsid w:val="00A67ABC"/>
    <w:rsid w:val="00A67BFC"/>
    <w:rsid w:val="00A67C93"/>
    <w:rsid w:val="00A67D86"/>
    <w:rsid w:val="00A67DC7"/>
    <w:rsid w:val="00A67F51"/>
    <w:rsid w:val="00A7009B"/>
    <w:rsid w:val="00A700C4"/>
    <w:rsid w:val="00A700D2"/>
    <w:rsid w:val="00A7019F"/>
    <w:rsid w:val="00A701B1"/>
    <w:rsid w:val="00A7027B"/>
    <w:rsid w:val="00A704B3"/>
    <w:rsid w:val="00A70546"/>
    <w:rsid w:val="00A70554"/>
    <w:rsid w:val="00A7067A"/>
    <w:rsid w:val="00A70683"/>
    <w:rsid w:val="00A706FC"/>
    <w:rsid w:val="00A7082C"/>
    <w:rsid w:val="00A70876"/>
    <w:rsid w:val="00A70962"/>
    <w:rsid w:val="00A70A52"/>
    <w:rsid w:val="00A70B2D"/>
    <w:rsid w:val="00A70C09"/>
    <w:rsid w:val="00A70DD1"/>
    <w:rsid w:val="00A70E8A"/>
    <w:rsid w:val="00A70FF7"/>
    <w:rsid w:val="00A7114C"/>
    <w:rsid w:val="00A71153"/>
    <w:rsid w:val="00A711E7"/>
    <w:rsid w:val="00A71345"/>
    <w:rsid w:val="00A714BC"/>
    <w:rsid w:val="00A71611"/>
    <w:rsid w:val="00A716CA"/>
    <w:rsid w:val="00A71760"/>
    <w:rsid w:val="00A7196D"/>
    <w:rsid w:val="00A7196E"/>
    <w:rsid w:val="00A71A22"/>
    <w:rsid w:val="00A71A5A"/>
    <w:rsid w:val="00A71B41"/>
    <w:rsid w:val="00A71BE5"/>
    <w:rsid w:val="00A71BE8"/>
    <w:rsid w:val="00A71C89"/>
    <w:rsid w:val="00A71E68"/>
    <w:rsid w:val="00A71F01"/>
    <w:rsid w:val="00A71F78"/>
    <w:rsid w:val="00A72151"/>
    <w:rsid w:val="00A72191"/>
    <w:rsid w:val="00A721F5"/>
    <w:rsid w:val="00A72443"/>
    <w:rsid w:val="00A726A2"/>
    <w:rsid w:val="00A72705"/>
    <w:rsid w:val="00A727FC"/>
    <w:rsid w:val="00A7282C"/>
    <w:rsid w:val="00A72A54"/>
    <w:rsid w:val="00A72D07"/>
    <w:rsid w:val="00A72D52"/>
    <w:rsid w:val="00A72D72"/>
    <w:rsid w:val="00A72E50"/>
    <w:rsid w:val="00A72E55"/>
    <w:rsid w:val="00A72FA6"/>
    <w:rsid w:val="00A731D9"/>
    <w:rsid w:val="00A7343B"/>
    <w:rsid w:val="00A73451"/>
    <w:rsid w:val="00A7348D"/>
    <w:rsid w:val="00A7349B"/>
    <w:rsid w:val="00A73714"/>
    <w:rsid w:val="00A737A9"/>
    <w:rsid w:val="00A73878"/>
    <w:rsid w:val="00A7397B"/>
    <w:rsid w:val="00A739BD"/>
    <w:rsid w:val="00A73B1A"/>
    <w:rsid w:val="00A73BA5"/>
    <w:rsid w:val="00A73D2A"/>
    <w:rsid w:val="00A73E14"/>
    <w:rsid w:val="00A73F1D"/>
    <w:rsid w:val="00A73FAF"/>
    <w:rsid w:val="00A7403B"/>
    <w:rsid w:val="00A7404B"/>
    <w:rsid w:val="00A741CC"/>
    <w:rsid w:val="00A742CC"/>
    <w:rsid w:val="00A74317"/>
    <w:rsid w:val="00A74377"/>
    <w:rsid w:val="00A74605"/>
    <w:rsid w:val="00A74722"/>
    <w:rsid w:val="00A7491B"/>
    <w:rsid w:val="00A74A51"/>
    <w:rsid w:val="00A74BFA"/>
    <w:rsid w:val="00A74C7D"/>
    <w:rsid w:val="00A74DB2"/>
    <w:rsid w:val="00A74E32"/>
    <w:rsid w:val="00A74F03"/>
    <w:rsid w:val="00A74F04"/>
    <w:rsid w:val="00A74F0F"/>
    <w:rsid w:val="00A74FD7"/>
    <w:rsid w:val="00A7510A"/>
    <w:rsid w:val="00A75356"/>
    <w:rsid w:val="00A75484"/>
    <w:rsid w:val="00A755BE"/>
    <w:rsid w:val="00A755E7"/>
    <w:rsid w:val="00A759AB"/>
    <w:rsid w:val="00A759E4"/>
    <w:rsid w:val="00A75B6A"/>
    <w:rsid w:val="00A75BF8"/>
    <w:rsid w:val="00A75C1F"/>
    <w:rsid w:val="00A75D2F"/>
    <w:rsid w:val="00A75DB0"/>
    <w:rsid w:val="00A75E52"/>
    <w:rsid w:val="00A75F47"/>
    <w:rsid w:val="00A75FAE"/>
    <w:rsid w:val="00A76050"/>
    <w:rsid w:val="00A7605D"/>
    <w:rsid w:val="00A76103"/>
    <w:rsid w:val="00A76259"/>
    <w:rsid w:val="00A762D1"/>
    <w:rsid w:val="00A7645D"/>
    <w:rsid w:val="00A76489"/>
    <w:rsid w:val="00A764A5"/>
    <w:rsid w:val="00A7670A"/>
    <w:rsid w:val="00A76787"/>
    <w:rsid w:val="00A767B3"/>
    <w:rsid w:val="00A768B1"/>
    <w:rsid w:val="00A76907"/>
    <w:rsid w:val="00A76AC7"/>
    <w:rsid w:val="00A76B94"/>
    <w:rsid w:val="00A76CFF"/>
    <w:rsid w:val="00A76DDD"/>
    <w:rsid w:val="00A7700E"/>
    <w:rsid w:val="00A77150"/>
    <w:rsid w:val="00A771DB"/>
    <w:rsid w:val="00A7728B"/>
    <w:rsid w:val="00A7744C"/>
    <w:rsid w:val="00A774FE"/>
    <w:rsid w:val="00A775C1"/>
    <w:rsid w:val="00A776D3"/>
    <w:rsid w:val="00A776DA"/>
    <w:rsid w:val="00A776EE"/>
    <w:rsid w:val="00A778AC"/>
    <w:rsid w:val="00A77961"/>
    <w:rsid w:val="00A77A3B"/>
    <w:rsid w:val="00A77A77"/>
    <w:rsid w:val="00A77D04"/>
    <w:rsid w:val="00A77D44"/>
    <w:rsid w:val="00A77D5A"/>
    <w:rsid w:val="00A77DD2"/>
    <w:rsid w:val="00A77E3D"/>
    <w:rsid w:val="00A77EFC"/>
    <w:rsid w:val="00A77FCD"/>
    <w:rsid w:val="00A7C8A6"/>
    <w:rsid w:val="00A80002"/>
    <w:rsid w:val="00A8006C"/>
    <w:rsid w:val="00A8017B"/>
    <w:rsid w:val="00A802C3"/>
    <w:rsid w:val="00A80315"/>
    <w:rsid w:val="00A80337"/>
    <w:rsid w:val="00A8036B"/>
    <w:rsid w:val="00A80403"/>
    <w:rsid w:val="00A80448"/>
    <w:rsid w:val="00A80601"/>
    <w:rsid w:val="00A806DB"/>
    <w:rsid w:val="00A8082B"/>
    <w:rsid w:val="00A808CA"/>
    <w:rsid w:val="00A80982"/>
    <w:rsid w:val="00A80B40"/>
    <w:rsid w:val="00A80BE8"/>
    <w:rsid w:val="00A80CB2"/>
    <w:rsid w:val="00A80D37"/>
    <w:rsid w:val="00A80D59"/>
    <w:rsid w:val="00A80FE2"/>
    <w:rsid w:val="00A8103D"/>
    <w:rsid w:val="00A810A6"/>
    <w:rsid w:val="00A810DB"/>
    <w:rsid w:val="00A81187"/>
    <w:rsid w:val="00A81285"/>
    <w:rsid w:val="00A81299"/>
    <w:rsid w:val="00A8131E"/>
    <w:rsid w:val="00A81322"/>
    <w:rsid w:val="00A81682"/>
    <w:rsid w:val="00A81700"/>
    <w:rsid w:val="00A817FE"/>
    <w:rsid w:val="00A8183C"/>
    <w:rsid w:val="00A8192D"/>
    <w:rsid w:val="00A81A65"/>
    <w:rsid w:val="00A81ABE"/>
    <w:rsid w:val="00A81BBE"/>
    <w:rsid w:val="00A81CBC"/>
    <w:rsid w:val="00A81DA3"/>
    <w:rsid w:val="00A81E09"/>
    <w:rsid w:val="00A82227"/>
    <w:rsid w:val="00A82394"/>
    <w:rsid w:val="00A82431"/>
    <w:rsid w:val="00A825ED"/>
    <w:rsid w:val="00A825F7"/>
    <w:rsid w:val="00A8285D"/>
    <w:rsid w:val="00A828DA"/>
    <w:rsid w:val="00A8291F"/>
    <w:rsid w:val="00A829E4"/>
    <w:rsid w:val="00A829F7"/>
    <w:rsid w:val="00A82A8E"/>
    <w:rsid w:val="00A82C0F"/>
    <w:rsid w:val="00A82CE7"/>
    <w:rsid w:val="00A82D3D"/>
    <w:rsid w:val="00A82D9A"/>
    <w:rsid w:val="00A82E83"/>
    <w:rsid w:val="00A82ECA"/>
    <w:rsid w:val="00A82F56"/>
    <w:rsid w:val="00A8314A"/>
    <w:rsid w:val="00A831C3"/>
    <w:rsid w:val="00A832BD"/>
    <w:rsid w:val="00A8342F"/>
    <w:rsid w:val="00A8361A"/>
    <w:rsid w:val="00A836DC"/>
    <w:rsid w:val="00A83796"/>
    <w:rsid w:val="00A837BF"/>
    <w:rsid w:val="00A837F5"/>
    <w:rsid w:val="00A838ED"/>
    <w:rsid w:val="00A83923"/>
    <w:rsid w:val="00A83BC8"/>
    <w:rsid w:val="00A83BFD"/>
    <w:rsid w:val="00A83C3B"/>
    <w:rsid w:val="00A83CAE"/>
    <w:rsid w:val="00A83D28"/>
    <w:rsid w:val="00A83D32"/>
    <w:rsid w:val="00A83D51"/>
    <w:rsid w:val="00A83E6F"/>
    <w:rsid w:val="00A83EFF"/>
    <w:rsid w:val="00A83F63"/>
    <w:rsid w:val="00A840D2"/>
    <w:rsid w:val="00A8415D"/>
    <w:rsid w:val="00A84211"/>
    <w:rsid w:val="00A84212"/>
    <w:rsid w:val="00A84269"/>
    <w:rsid w:val="00A845C5"/>
    <w:rsid w:val="00A84648"/>
    <w:rsid w:val="00A84685"/>
    <w:rsid w:val="00A8475D"/>
    <w:rsid w:val="00A847E0"/>
    <w:rsid w:val="00A847E1"/>
    <w:rsid w:val="00A847F2"/>
    <w:rsid w:val="00A847F5"/>
    <w:rsid w:val="00A8485B"/>
    <w:rsid w:val="00A84B68"/>
    <w:rsid w:val="00A84BFD"/>
    <w:rsid w:val="00A84C4E"/>
    <w:rsid w:val="00A84C63"/>
    <w:rsid w:val="00A85135"/>
    <w:rsid w:val="00A851D3"/>
    <w:rsid w:val="00A85221"/>
    <w:rsid w:val="00A85226"/>
    <w:rsid w:val="00A8526B"/>
    <w:rsid w:val="00A854D6"/>
    <w:rsid w:val="00A854FA"/>
    <w:rsid w:val="00A8562B"/>
    <w:rsid w:val="00A85877"/>
    <w:rsid w:val="00A859AC"/>
    <w:rsid w:val="00A85B8B"/>
    <w:rsid w:val="00A85C20"/>
    <w:rsid w:val="00A85C92"/>
    <w:rsid w:val="00A85CB0"/>
    <w:rsid w:val="00A85D36"/>
    <w:rsid w:val="00A85E17"/>
    <w:rsid w:val="00A85E85"/>
    <w:rsid w:val="00A85F47"/>
    <w:rsid w:val="00A8600A"/>
    <w:rsid w:val="00A86058"/>
    <w:rsid w:val="00A8610A"/>
    <w:rsid w:val="00A86324"/>
    <w:rsid w:val="00A863C1"/>
    <w:rsid w:val="00A8664A"/>
    <w:rsid w:val="00A866B5"/>
    <w:rsid w:val="00A867F8"/>
    <w:rsid w:val="00A86830"/>
    <w:rsid w:val="00A8691E"/>
    <w:rsid w:val="00A86935"/>
    <w:rsid w:val="00A86985"/>
    <w:rsid w:val="00A86B70"/>
    <w:rsid w:val="00A86B85"/>
    <w:rsid w:val="00A86BDE"/>
    <w:rsid w:val="00A86CDB"/>
    <w:rsid w:val="00A86D0E"/>
    <w:rsid w:val="00A86D6E"/>
    <w:rsid w:val="00A86DEC"/>
    <w:rsid w:val="00A86EFA"/>
    <w:rsid w:val="00A86F90"/>
    <w:rsid w:val="00A8715A"/>
    <w:rsid w:val="00A87201"/>
    <w:rsid w:val="00A87570"/>
    <w:rsid w:val="00A875D0"/>
    <w:rsid w:val="00A87649"/>
    <w:rsid w:val="00A876AF"/>
    <w:rsid w:val="00A87945"/>
    <w:rsid w:val="00A879B6"/>
    <w:rsid w:val="00A879BE"/>
    <w:rsid w:val="00A87CC6"/>
    <w:rsid w:val="00A87CCF"/>
    <w:rsid w:val="00A87DBF"/>
    <w:rsid w:val="00A87ECC"/>
    <w:rsid w:val="00A87F67"/>
    <w:rsid w:val="00A87FDB"/>
    <w:rsid w:val="00A9003C"/>
    <w:rsid w:val="00A90197"/>
    <w:rsid w:val="00A9028A"/>
    <w:rsid w:val="00A902A1"/>
    <w:rsid w:val="00A90305"/>
    <w:rsid w:val="00A90477"/>
    <w:rsid w:val="00A906E1"/>
    <w:rsid w:val="00A9074E"/>
    <w:rsid w:val="00A907B1"/>
    <w:rsid w:val="00A90802"/>
    <w:rsid w:val="00A90A4F"/>
    <w:rsid w:val="00A90B6C"/>
    <w:rsid w:val="00A90BD5"/>
    <w:rsid w:val="00A90C13"/>
    <w:rsid w:val="00A90CAC"/>
    <w:rsid w:val="00A90D7C"/>
    <w:rsid w:val="00A90D9A"/>
    <w:rsid w:val="00A90E9B"/>
    <w:rsid w:val="00A90EF3"/>
    <w:rsid w:val="00A90F41"/>
    <w:rsid w:val="00A91158"/>
    <w:rsid w:val="00A911F2"/>
    <w:rsid w:val="00A91280"/>
    <w:rsid w:val="00A913B2"/>
    <w:rsid w:val="00A91412"/>
    <w:rsid w:val="00A9141C"/>
    <w:rsid w:val="00A914EC"/>
    <w:rsid w:val="00A91531"/>
    <w:rsid w:val="00A9159E"/>
    <w:rsid w:val="00A916D3"/>
    <w:rsid w:val="00A917C3"/>
    <w:rsid w:val="00A917CB"/>
    <w:rsid w:val="00A917FD"/>
    <w:rsid w:val="00A9182F"/>
    <w:rsid w:val="00A91999"/>
    <w:rsid w:val="00A91A90"/>
    <w:rsid w:val="00A91B06"/>
    <w:rsid w:val="00A91B9C"/>
    <w:rsid w:val="00A91C37"/>
    <w:rsid w:val="00A91DBC"/>
    <w:rsid w:val="00A91DC6"/>
    <w:rsid w:val="00A92038"/>
    <w:rsid w:val="00A9203C"/>
    <w:rsid w:val="00A92078"/>
    <w:rsid w:val="00A92101"/>
    <w:rsid w:val="00A9212A"/>
    <w:rsid w:val="00A92430"/>
    <w:rsid w:val="00A92538"/>
    <w:rsid w:val="00A92721"/>
    <w:rsid w:val="00A927C4"/>
    <w:rsid w:val="00A927DB"/>
    <w:rsid w:val="00A92941"/>
    <w:rsid w:val="00A929B1"/>
    <w:rsid w:val="00A92B43"/>
    <w:rsid w:val="00A92D4A"/>
    <w:rsid w:val="00A92EDE"/>
    <w:rsid w:val="00A92F62"/>
    <w:rsid w:val="00A92F70"/>
    <w:rsid w:val="00A93115"/>
    <w:rsid w:val="00A9318A"/>
    <w:rsid w:val="00A931CE"/>
    <w:rsid w:val="00A93311"/>
    <w:rsid w:val="00A93321"/>
    <w:rsid w:val="00A93382"/>
    <w:rsid w:val="00A934A4"/>
    <w:rsid w:val="00A9367A"/>
    <w:rsid w:val="00A93789"/>
    <w:rsid w:val="00A938C6"/>
    <w:rsid w:val="00A93C57"/>
    <w:rsid w:val="00A93C7F"/>
    <w:rsid w:val="00A93D2F"/>
    <w:rsid w:val="00A93E70"/>
    <w:rsid w:val="00A93EA7"/>
    <w:rsid w:val="00A93EBB"/>
    <w:rsid w:val="00A940DB"/>
    <w:rsid w:val="00A940FC"/>
    <w:rsid w:val="00A9411B"/>
    <w:rsid w:val="00A94367"/>
    <w:rsid w:val="00A943B2"/>
    <w:rsid w:val="00A94478"/>
    <w:rsid w:val="00A94492"/>
    <w:rsid w:val="00A94519"/>
    <w:rsid w:val="00A94545"/>
    <w:rsid w:val="00A945FD"/>
    <w:rsid w:val="00A945FF"/>
    <w:rsid w:val="00A946F9"/>
    <w:rsid w:val="00A946FE"/>
    <w:rsid w:val="00A9474C"/>
    <w:rsid w:val="00A94991"/>
    <w:rsid w:val="00A949B2"/>
    <w:rsid w:val="00A94A1E"/>
    <w:rsid w:val="00A94AB0"/>
    <w:rsid w:val="00A94C33"/>
    <w:rsid w:val="00A94CEC"/>
    <w:rsid w:val="00A94D98"/>
    <w:rsid w:val="00A94F0E"/>
    <w:rsid w:val="00A951C3"/>
    <w:rsid w:val="00A953C8"/>
    <w:rsid w:val="00A953E7"/>
    <w:rsid w:val="00A95467"/>
    <w:rsid w:val="00A957B3"/>
    <w:rsid w:val="00A9580E"/>
    <w:rsid w:val="00A95852"/>
    <w:rsid w:val="00A95874"/>
    <w:rsid w:val="00A958EF"/>
    <w:rsid w:val="00A958FC"/>
    <w:rsid w:val="00A95A0B"/>
    <w:rsid w:val="00A95ABF"/>
    <w:rsid w:val="00A95AD3"/>
    <w:rsid w:val="00A95B54"/>
    <w:rsid w:val="00A95EAE"/>
    <w:rsid w:val="00A95EF4"/>
    <w:rsid w:val="00A95F0D"/>
    <w:rsid w:val="00A95FED"/>
    <w:rsid w:val="00A9602E"/>
    <w:rsid w:val="00A961C2"/>
    <w:rsid w:val="00A96205"/>
    <w:rsid w:val="00A96394"/>
    <w:rsid w:val="00A964D0"/>
    <w:rsid w:val="00A964F9"/>
    <w:rsid w:val="00A965CC"/>
    <w:rsid w:val="00A966B8"/>
    <w:rsid w:val="00A96727"/>
    <w:rsid w:val="00A96890"/>
    <w:rsid w:val="00A968E9"/>
    <w:rsid w:val="00A968F4"/>
    <w:rsid w:val="00A9696F"/>
    <w:rsid w:val="00A96B46"/>
    <w:rsid w:val="00A96BFF"/>
    <w:rsid w:val="00A96DBA"/>
    <w:rsid w:val="00A96F19"/>
    <w:rsid w:val="00A96FA3"/>
    <w:rsid w:val="00A96FBB"/>
    <w:rsid w:val="00A97081"/>
    <w:rsid w:val="00A97388"/>
    <w:rsid w:val="00A974A2"/>
    <w:rsid w:val="00A974B1"/>
    <w:rsid w:val="00A97572"/>
    <w:rsid w:val="00A9757B"/>
    <w:rsid w:val="00A9761F"/>
    <w:rsid w:val="00A9779A"/>
    <w:rsid w:val="00A977E9"/>
    <w:rsid w:val="00A97834"/>
    <w:rsid w:val="00A97A9A"/>
    <w:rsid w:val="00A97AB4"/>
    <w:rsid w:val="00A97AB9"/>
    <w:rsid w:val="00A97AEB"/>
    <w:rsid w:val="00A97B03"/>
    <w:rsid w:val="00A97B83"/>
    <w:rsid w:val="00A97BB1"/>
    <w:rsid w:val="00A97C2B"/>
    <w:rsid w:val="00A97C3C"/>
    <w:rsid w:val="00A97D35"/>
    <w:rsid w:val="00A97E17"/>
    <w:rsid w:val="00AA002B"/>
    <w:rsid w:val="00AA0222"/>
    <w:rsid w:val="00AA027F"/>
    <w:rsid w:val="00AA03CC"/>
    <w:rsid w:val="00AA03E9"/>
    <w:rsid w:val="00AA04A8"/>
    <w:rsid w:val="00AA0557"/>
    <w:rsid w:val="00AA0584"/>
    <w:rsid w:val="00AA0599"/>
    <w:rsid w:val="00AA05C1"/>
    <w:rsid w:val="00AA0670"/>
    <w:rsid w:val="00AA06E6"/>
    <w:rsid w:val="00AA0731"/>
    <w:rsid w:val="00AA0A08"/>
    <w:rsid w:val="00AA0A77"/>
    <w:rsid w:val="00AA0C32"/>
    <w:rsid w:val="00AA0E56"/>
    <w:rsid w:val="00AA0ED6"/>
    <w:rsid w:val="00AA0FF8"/>
    <w:rsid w:val="00AA10AF"/>
    <w:rsid w:val="00AA12B7"/>
    <w:rsid w:val="00AA1353"/>
    <w:rsid w:val="00AA1401"/>
    <w:rsid w:val="00AA1618"/>
    <w:rsid w:val="00AA1653"/>
    <w:rsid w:val="00AA167A"/>
    <w:rsid w:val="00AA172C"/>
    <w:rsid w:val="00AA1770"/>
    <w:rsid w:val="00AA192C"/>
    <w:rsid w:val="00AA1A80"/>
    <w:rsid w:val="00AA1A90"/>
    <w:rsid w:val="00AA1AAF"/>
    <w:rsid w:val="00AA1B2D"/>
    <w:rsid w:val="00AA1B39"/>
    <w:rsid w:val="00AA1BFC"/>
    <w:rsid w:val="00AA1C2B"/>
    <w:rsid w:val="00AA1CC7"/>
    <w:rsid w:val="00AA1CD6"/>
    <w:rsid w:val="00AA1CF0"/>
    <w:rsid w:val="00AA1D01"/>
    <w:rsid w:val="00AA1E11"/>
    <w:rsid w:val="00AA1FB3"/>
    <w:rsid w:val="00AA1FB6"/>
    <w:rsid w:val="00AA1FC7"/>
    <w:rsid w:val="00AA21DA"/>
    <w:rsid w:val="00AA2298"/>
    <w:rsid w:val="00AA22AA"/>
    <w:rsid w:val="00AA22D8"/>
    <w:rsid w:val="00AA2348"/>
    <w:rsid w:val="00AA2356"/>
    <w:rsid w:val="00AA241B"/>
    <w:rsid w:val="00AA24BB"/>
    <w:rsid w:val="00AA24E0"/>
    <w:rsid w:val="00AA258A"/>
    <w:rsid w:val="00AA281D"/>
    <w:rsid w:val="00AA297D"/>
    <w:rsid w:val="00AA2997"/>
    <w:rsid w:val="00AA2BAB"/>
    <w:rsid w:val="00AA2C01"/>
    <w:rsid w:val="00AA2CC3"/>
    <w:rsid w:val="00AA2DCB"/>
    <w:rsid w:val="00AA2E4C"/>
    <w:rsid w:val="00AA2E5D"/>
    <w:rsid w:val="00AA2F1B"/>
    <w:rsid w:val="00AA30D3"/>
    <w:rsid w:val="00AA3185"/>
    <w:rsid w:val="00AA3402"/>
    <w:rsid w:val="00AA3683"/>
    <w:rsid w:val="00AA3744"/>
    <w:rsid w:val="00AA3751"/>
    <w:rsid w:val="00AA3758"/>
    <w:rsid w:val="00AA38A4"/>
    <w:rsid w:val="00AA38C8"/>
    <w:rsid w:val="00AA3A93"/>
    <w:rsid w:val="00AA3B2D"/>
    <w:rsid w:val="00AA3C91"/>
    <w:rsid w:val="00AA3E81"/>
    <w:rsid w:val="00AA3ED7"/>
    <w:rsid w:val="00AA3F0C"/>
    <w:rsid w:val="00AA3FB5"/>
    <w:rsid w:val="00AA41EB"/>
    <w:rsid w:val="00AA41F8"/>
    <w:rsid w:val="00AA4239"/>
    <w:rsid w:val="00AA42AE"/>
    <w:rsid w:val="00AA43E6"/>
    <w:rsid w:val="00AA4490"/>
    <w:rsid w:val="00AA45AF"/>
    <w:rsid w:val="00AA4838"/>
    <w:rsid w:val="00AA485D"/>
    <w:rsid w:val="00AA48AC"/>
    <w:rsid w:val="00AA48D9"/>
    <w:rsid w:val="00AA492F"/>
    <w:rsid w:val="00AA4952"/>
    <w:rsid w:val="00AA4AB2"/>
    <w:rsid w:val="00AA4B2B"/>
    <w:rsid w:val="00AA4BB9"/>
    <w:rsid w:val="00AA4F4D"/>
    <w:rsid w:val="00AA4FD6"/>
    <w:rsid w:val="00AA5042"/>
    <w:rsid w:val="00AA5301"/>
    <w:rsid w:val="00AA53C3"/>
    <w:rsid w:val="00AA5407"/>
    <w:rsid w:val="00AA5409"/>
    <w:rsid w:val="00AA54F4"/>
    <w:rsid w:val="00AA5535"/>
    <w:rsid w:val="00AA5A15"/>
    <w:rsid w:val="00AA5B43"/>
    <w:rsid w:val="00AA5E94"/>
    <w:rsid w:val="00AA5FBC"/>
    <w:rsid w:val="00AA6032"/>
    <w:rsid w:val="00AA6109"/>
    <w:rsid w:val="00AA62C8"/>
    <w:rsid w:val="00AA6575"/>
    <w:rsid w:val="00AA66CF"/>
    <w:rsid w:val="00AA678E"/>
    <w:rsid w:val="00AA67CC"/>
    <w:rsid w:val="00AA67D6"/>
    <w:rsid w:val="00AA6B2B"/>
    <w:rsid w:val="00AA6B8C"/>
    <w:rsid w:val="00AA6BF7"/>
    <w:rsid w:val="00AA6CFC"/>
    <w:rsid w:val="00AA6D92"/>
    <w:rsid w:val="00AA7043"/>
    <w:rsid w:val="00AA71D5"/>
    <w:rsid w:val="00AA7283"/>
    <w:rsid w:val="00AA744C"/>
    <w:rsid w:val="00AA74AC"/>
    <w:rsid w:val="00AA7597"/>
    <w:rsid w:val="00AA76D9"/>
    <w:rsid w:val="00AA77A1"/>
    <w:rsid w:val="00AA78AD"/>
    <w:rsid w:val="00AA7993"/>
    <w:rsid w:val="00AA7B68"/>
    <w:rsid w:val="00AA7D1A"/>
    <w:rsid w:val="00AA7E40"/>
    <w:rsid w:val="00AA7F40"/>
    <w:rsid w:val="00AB0196"/>
    <w:rsid w:val="00AB01F7"/>
    <w:rsid w:val="00AB0290"/>
    <w:rsid w:val="00AB048A"/>
    <w:rsid w:val="00AB050F"/>
    <w:rsid w:val="00AB054A"/>
    <w:rsid w:val="00AB0600"/>
    <w:rsid w:val="00AB070F"/>
    <w:rsid w:val="00AB07A4"/>
    <w:rsid w:val="00AB089D"/>
    <w:rsid w:val="00AB0919"/>
    <w:rsid w:val="00AB0D9E"/>
    <w:rsid w:val="00AB11C7"/>
    <w:rsid w:val="00AB1285"/>
    <w:rsid w:val="00AB12C2"/>
    <w:rsid w:val="00AB135A"/>
    <w:rsid w:val="00AB153D"/>
    <w:rsid w:val="00AB1605"/>
    <w:rsid w:val="00AB1631"/>
    <w:rsid w:val="00AB16CD"/>
    <w:rsid w:val="00AB17AA"/>
    <w:rsid w:val="00AB17AB"/>
    <w:rsid w:val="00AB17AF"/>
    <w:rsid w:val="00AB181B"/>
    <w:rsid w:val="00AB1B3E"/>
    <w:rsid w:val="00AB1BBE"/>
    <w:rsid w:val="00AB1CFE"/>
    <w:rsid w:val="00AB1E77"/>
    <w:rsid w:val="00AB1E8A"/>
    <w:rsid w:val="00AB1F4E"/>
    <w:rsid w:val="00AB2044"/>
    <w:rsid w:val="00AB20E6"/>
    <w:rsid w:val="00AB20E8"/>
    <w:rsid w:val="00AB20EC"/>
    <w:rsid w:val="00AB2210"/>
    <w:rsid w:val="00AB24AF"/>
    <w:rsid w:val="00AB24C7"/>
    <w:rsid w:val="00AB2523"/>
    <w:rsid w:val="00AB25F9"/>
    <w:rsid w:val="00AB26CE"/>
    <w:rsid w:val="00AB2772"/>
    <w:rsid w:val="00AB27C5"/>
    <w:rsid w:val="00AB2851"/>
    <w:rsid w:val="00AB2AE0"/>
    <w:rsid w:val="00AB2AF3"/>
    <w:rsid w:val="00AB2B42"/>
    <w:rsid w:val="00AB2BA7"/>
    <w:rsid w:val="00AB2BD1"/>
    <w:rsid w:val="00AB2CC5"/>
    <w:rsid w:val="00AB2E4A"/>
    <w:rsid w:val="00AB2E64"/>
    <w:rsid w:val="00AB2F71"/>
    <w:rsid w:val="00AB32C5"/>
    <w:rsid w:val="00AB33A2"/>
    <w:rsid w:val="00AB34A1"/>
    <w:rsid w:val="00AB3685"/>
    <w:rsid w:val="00AB3706"/>
    <w:rsid w:val="00AB374F"/>
    <w:rsid w:val="00AB37E2"/>
    <w:rsid w:val="00AB3833"/>
    <w:rsid w:val="00AB3843"/>
    <w:rsid w:val="00AB3856"/>
    <w:rsid w:val="00AB3873"/>
    <w:rsid w:val="00AB3884"/>
    <w:rsid w:val="00AB3930"/>
    <w:rsid w:val="00AB3A5C"/>
    <w:rsid w:val="00AB3D52"/>
    <w:rsid w:val="00AB3E29"/>
    <w:rsid w:val="00AB3E31"/>
    <w:rsid w:val="00AB3F8D"/>
    <w:rsid w:val="00AB3FEB"/>
    <w:rsid w:val="00AB403E"/>
    <w:rsid w:val="00AB4134"/>
    <w:rsid w:val="00AB42D9"/>
    <w:rsid w:val="00AB4369"/>
    <w:rsid w:val="00AB4433"/>
    <w:rsid w:val="00AB4517"/>
    <w:rsid w:val="00AB4556"/>
    <w:rsid w:val="00AB459A"/>
    <w:rsid w:val="00AB45C3"/>
    <w:rsid w:val="00AB45E9"/>
    <w:rsid w:val="00AB4914"/>
    <w:rsid w:val="00AB4917"/>
    <w:rsid w:val="00AB4953"/>
    <w:rsid w:val="00AB4CD9"/>
    <w:rsid w:val="00AB4D75"/>
    <w:rsid w:val="00AB4EEA"/>
    <w:rsid w:val="00AB51F4"/>
    <w:rsid w:val="00AB523E"/>
    <w:rsid w:val="00AB52F8"/>
    <w:rsid w:val="00AB53A1"/>
    <w:rsid w:val="00AB5467"/>
    <w:rsid w:val="00AB579B"/>
    <w:rsid w:val="00AB59CB"/>
    <w:rsid w:val="00AB5B16"/>
    <w:rsid w:val="00AB5BA0"/>
    <w:rsid w:val="00AB5E30"/>
    <w:rsid w:val="00AB5E73"/>
    <w:rsid w:val="00AB60C1"/>
    <w:rsid w:val="00AB60EF"/>
    <w:rsid w:val="00AB623B"/>
    <w:rsid w:val="00AB62CD"/>
    <w:rsid w:val="00AB62F1"/>
    <w:rsid w:val="00AB655D"/>
    <w:rsid w:val="00AB65CB"/>
    <w:rsid w:val="00AB6643"/>
    <w:rsid w:val="00AB6655"/>
    <w:rsid w:val="00AB668B"/>
    <w:rsid w:val="00AB69F9"/>
    <w:rsid w:val="00AB6A97"/>
    <w:rsid w:val="00AB6A98"/>
    <w:rsid w:val="00AB6BC5"/>
    <w:rsid w:val="00AB6C7D"/>
    <w:rsid w:val="00AB6C84"/>
    <w:rsid w:val="00AB6C87"/>
    <w:rsid w:val="00AB6CBE"/>
    <w:rsid w:val="00AB6E16"/>
    <w:rsid w:val="00AB6E39"/>
    <w:rsid w:val="00AB6E61"/>
    <w:rsid w:val="00AB6EEC"/>
    <w:rsid w:val="00AB730B"/>
    <w:rsid w:val="00AB73D9"/>
    <w:rsid w:val="00AB7580"/>
    <w:rsid w:val="00AB77B7"/>
    <w:rsid w:val="00AB77F2"/>
    <w:rsid w:val="00AB787E"/>
    <w:rsid w:val="00AB78B2"/>
    <w:rsid w:val="00AB7AD6"/>
    <w:rsid w:val="00AB7AEF"/>
    <w:rsid w:val="00AB7B2D"/>
    <w:rsid w:val="00AB7CC1"/>
    <w:rsid w:val="00AB7E46"/>
    <w:rsid w:val="00AC00EB"/>
    <w:rsid w:val="00AC0115"/>
    <w:rsid w:val="00AC0159"/>
    <w:rsid w:val="00AC016B"/>
    <w:rsid w:val="00AC0177"/>
    <w:rsid w:val="00AC0233"/>
    <w:rsid w:val="00AC0268"/>
    <w:rsid w:val="00AC02C0"/>
    <w:rsid w:val="00AC031F"/>
    <w:rsid w:val="00AC04B6"/>
    <w:rsid w:val="00AC05D5"/>
    <w:rsid w:val="00AC060E"/>
    <w:rsid w:val="00AC0735"/>
    <w:rsid w:val="00AC077D"/>
    <w:rsid w:val="00AC09C7"/>
    <w:rsid w:val="00AC0A9F"/>
    <w:rsid w:val="00AC0B95"/>
    <w:rsid w:val="00AC0CDD"/>
    <w:rsid w:val="00AC0D7B"/>
    <w:rsid w:val="00AC0DE8"/>
    <w:rsid w:val="00AC0E0A"/>
    <w:rsid w:val="00AC0F38"/>
    <w:rsid w:val="00AC1029"/>
    <w:rsid w:val="00AC1095"/>
    <w:rsid w:val="00AC118A"/>
    <w:rsid w:val="00AC1435"/>
    <w:rsid w:val="00AC1519"/>
    <w:rsid w:val="00AC15EF"/>
    <w:rsid w:val="00AC17B6"/>
    <w:rsid w:val="00AC187E"/>
    <w:rsid w:val="00AC18AF"/>
    <w:rsid w:val="00AC19E3"/>
    <w:rsid w:val="00AC1A1F"/>
    <w:rsid w:val="00AC1B34"/>
    <w:rsid w:val="00AC1C5E"/>
    <w:rsid w:val="00AC1CE9"/>
    <w:rsid w:val="00AC1F1E"/>
    <w:rsid w:val="00AC1F26"/>
    <w:rsid w:val="00AC2093"/>
    <w:rsid w:val="00AC20D3"/>
    <w:rsid w:val="00AC210C"/>
    <w:rsid w:val="00AC21EF"/>
    <w:rsid w:val="00AC2264"/>
    <w:rsid w:val="00AC228C"/>
    <w:rsid w:val="00AC235E"/>
    <w:rsid w:val="00AC245A"/>
    <w:rsid w:val="00AC24FB"/>
    <w:rsid w:val="00AC251D"/>
    <w:rsid w:val="00AC2605"/>
    <w:rsid w:val="00AC26BA"/>
    <w:rsid w:val="00AC26F6"/>
    <w:rsid w:val="00AC2734"/>
    <w:rsid w:val="00AC2872"/>
    <w:rsid w:val="00AC29F7"/>
    <w:rsid w:val="00AC2B91"/>
    <w:rsid w:val="00AC2BAE"/>
    <w:rsid w:val="00AC2C03"/>
    <w:rsid w:val="00AC2C80"/>
    <w:rsid w:val="00AC2CBF"/>
    <w:rsid w:val="00AC2CD5"/>
    <w:rsid w:val="00AC2CDA"/>
    <w:rsid w:val="00AC2D48"/>
    <w:rsid w:val="00AC2EDB"/>
    <w:rsid w:val="00AC2EEA"/>
    <w:rsid w:val="00AC2F5B"/>
    <w:rsid w:val="00AC323D"/>
    <w:rsid w:val="00AC32B1"/>
    <w:rsid w:val="00AC3334"/>
    <w:rsid w:val="00AC3623"/>
    <w:rsid w:val="00AC368F"/>
    <w:rsid w:val="00AC36B5"/>
    <w:rsid w:val="00AC373C"/>
    <w:rsid w:val="00AC375A"/>
    <w:rsid w:val="00AC396E"/>
    <w:rsid w:val="00AC3B5E"/>
    <w:rsid w:val="00AC3B69"/>
    <w:rsid w:val="00AC3E58"/>
    <w:rsid w:val="00AC41C9"/>
    <w:rsid w:val="00AC41FF"/>
    <w:rsid w:val="00AC42A3"/>
    <w:rsid w:val="00AC43A2"/>
    <w:rsid w:val="00AC443C"/>
    <w:rsid w:val="00AC45C0"/>
    <w:rsid w:val="00AC4607"/>
    <w:rsid w:val="00AC4734"/>
    <w:rsid w:val="00AC4807"/>
    <w:rsid w:val="00AC48D7"/>
    <w:rsid w:val="00AC491F"/>
    <w:rsid w:val="00AC4A73"/>
    <w:rsid w:val="00AC4AF6"/>
    <w:rsid w:val="00AC4C62"/>
    <w:rsid w:val="00AC4D3E"/>
    <w:rsid w:val="00AC4DBA"/>
    <w:rsid w:val="00AC4F1D"/>
    <w:rsid w:val="00AC5184"/>
    <w:rsid w:val="00AC51E2"/>
    <w:rsid w:val="00AC559B"/>
    <w:rsid w:val="00AC5786"/>
    <w:rsid w:val="00AC5842"/>
    <w:rsid w:val="00AC5889"/>
    <w:rsid w:val="00AC588C"/>
    <w:rsid w:val="00AC5AA2"/>
    <w:rsid w:val="00AC5B7C"/>
    <w:rsid w:val="00AC5C23"/>
    <w:rsid w:val="00AC5C4B"/>
    <w:rsid w:val="00AC5D48"/>
    <w:rsid w:val="00AC5EBB"/>
    <w:rsid w:val="00AC5EF6"/>
    <w:rsid w:val="00AC6021"/>
    <w:rsid w:val="00AC60B1"/>
    <w:rsid w:val="00AC61AA"/>
    <w:rsid w:val="00AC6257"/>
    <w:rsid w:val="00AC6466"/>
    <w:rsid w:val="00AC648B"/>
    <w:rsid w:val="00AC6526"/>
    <w:rsid w:val="00AC65C1"/>
    <w:rsid w:val="00AC6612"/>
    <w:rsid w:val="00AC66F4"/>
    <w:rsid w:val="00AC6720"/>
    <w:rsid w:val="00AC67C0"/>
    <w:rsid w:val="00AC695E"/>
    <w:rsid w:val="00AC6A96"/>
    <w:rsid w:val="00AC6BAE"/>
    <w:rsid w:val="00AC6C06"/>
    <w:rsid w:val="00AC6C94"/>
    <w:rsid w:val="00AC6CCD"/>
    <w:rsid w:val="00AC6DA2"/>
    <w:rsid w:val="00AC6EAD"/>
    <w:rsid w:val="00AC7071"/>
    <w:rsid w:val="00AC70E8"/>
    <w:rsid w:val="00AC717C"/>
    <w:rsid w:val="00AC7190"/>
    <w:rsid w:val="00AC7225"/>
    <w:rsid w:val="00AC7316"/>
    <w:rsid w:val="00AC73AC"/>
    <w:rsid w:val="00AC74A5"/>
    <w:rsid w:val="00AC750A"/>
    <w:rsid w:val="00AC75A3"/>
    <w:rsid w:val="00AC761B"/>
    <w:rsid w:val="00AC762E"/>
    <w:rsid w:val="00AC77A7"/>
    <w:rsid w:val="00AC77BD"/>
    <w:rsid w:val="00AC78F4"/>
    <w:rsid w:val="00AC79D0"/>
    <w:rsid w:val="00AC7B6E"/>
    <w:rsid w:val="00AC7C8A"/>
    <w:rsid w:val="00AC7ECD"/>
    <w:rsid w:val="00AC7F2D"/>
    <w:rsid w:val="00AD0035"/>
    <w:rsid w:val="00AD005D"/>
    <w:rsid w:val="00AD02A0"/>
    <w:rsid w:val="00AD02D5"/>
    <w:rsid w:val="00AD039A"/>
    <w:rsid w:val="00AD03B9"/>
    <w:rsid w:val="00AD03EB"/>
    <w:rsid w:val="00AD044C"/>
    <w:rsid w:val="00AD0556"/>
    <w:rsid w:val="00AD0766"/>
    <w:rsid w:val="00AD07B7"/>
    <w:rsid w:val="00AD083F"/>
    <w:rsid w:val="00AD08AA"/>
    <w:rsid w:val="00AD090D"/>
    <w:rsid w:val="00AD0983"/>
    <w:rsid w:val="00AD09EB"/>
    <w:rsid w:val="00AD0AC5"/>
    <w:rsid w:val="00AD0B25"/>
    <w:rsid w:val="00AD0B67"/>
    <w:rsid w:val="00AD0D28"/>
    <w:rsid w:val="00AD0D53"/>
    <w:rsid w:val="00AD0E6A"/>
    <w:rsid w:val="00AD0ED9"/>
    <w:rsid w:val="00AD1326"/>
    <w:rsid w:val="00AD1331"/>
    <w:rsid w:val="00AD1475"/>
    <w:rsid w:val="00AD14DC"/>
    <w:rsid w:val="00AD1616"/>
    <w:rsid w:val="00AD172E"/>
    <w:rsid w:val="00AD1853"/>
    <w:rsid w:val="00AD18E0"/>
    <w:rsid w:val="00AD192D"/>
    <w:rsid w:val="00AD1996"/>
    <w:rsid w:val="00AD1A80"/>
    <w:rsid w:val="00AD1B7A"/>
    <w:rsid w:val="00AD1E0F"/>
    <w:rsid w:val="00AD1EA4"/>
    <w:rsid w:val="00AD1F8C"/>
    <w:rsid w:val="00AD2170"/>
    <w:rsid w:val="00AD21BF"/>
    <w:rsid w:val="00AD21F0"/>
    <w:rsid w:val="00AD231E"/>
    <w:rsid w:val="00AD24C5"/>
    <w:rsid w:val="00AD25A5"/>
    <w:rsid w:val="00AD25C5"/>
    <w:rsid w:val="00AD2697"/>
    <w:rsid w:val="00AD2754"/>
    <w:rsid w:val="00AD275A"/>
    <w:rsid w:val="00AD290A"/>
    <w:rsid w:val="00AD29BA"/>
    <w:rsid w:val="00AD29C5"/>
    <w:rsid w:val="00AD2BC8"/>
    <w:rsid w:val="00AD2D0C"/>
    <w:rsid w:val="00AD2DD7"/>
    <w:rsid w:val="00AD2DEE"/>
    <w:rsid w:val="00AD2EA2"/>
    <w:rsid w:val="00AD2EEE"/>
    <w:rsid w:val="00AD2F69"/>
    <w:rsid w:val="00AD30AF"/>
    <w:rsid w:val="00AD32BC"/>
    <w:rsid w:val="00AD3302"/>
    <w:rsid w:val="00AD3306"/>
    <w:rsid w:val="00AD342C"/>
    <w:rsid w:val="00AD3492"/>
    <w:rsid w:val="00AD382C"/>
    <w:rsid w:val="00AD38BF"/>
    <w:rsid w:val="00AD39C9"/>
    <w:rsid w:val="00AD39EF"/>
    <w:rsid w:val="00AD3AEB"/>
    <w:rsid w:val="00AD3C08"/>
    <w:rsid w:val="00AD3D13"/>
    <w:rsid w:val="00AD3D6D"/>
    <w:rsid w:val="00AD3F05"/>
    <w:rsid w:val="00AD3F46"/>
    <w:rsid w:val="00AD3F66"/>
    <w:rsid w:val="00AD400A"/>
    <w:rsid w:val="00AD4491"/>
    <w:rsid w:val="00AD4573"/>
    <w:rsid w:val="00AD474C"/>
    <w:rsid w:val="00AD49B8"/>
    <w:rsid w:val="00AD4A28"/>
    <w:rsid w:val="00AD4AA4"/>
    <w:rsid w:val="00AD4AD3"/>
    <w:rsid w:val="00AD4BC8"/>
    <w:rsid w:val="00AD4BDE"/>
    <w:rsid w:val="00AD4C26"/>
    <w:rsid w:val="00AD4CA3"/>
    <w:rsid w:val="00AD4CAF"/>
    <w:rsid w:val="00AD4E10"/>
    <w:rsid w:val="00AD4EC1"/>
    <w:rsid w:val="00AD4F2B"/>
    <w:rsid w:val="00AD4FAB"/>
    <w:rsid w:val="00AD5072"/>
    <w:rsid w:val="00AD5195"/>
    <w:rsid w:val="00AD5269"/>
    <w:rsid w:val="00AD527F"/>
    <w:rsid w:val="00AD52DC"/>
    <w:rsid w:val="00AD5506"/>
    <w:rsid w:val="00AD5546"/>
    <w:rsid w:val="00AD5565"/>
    <w:rsid w:val="00AD57F6"/>
    <w:rsid w:val="00AD58D8"/>
    <w:rsid w:val="00AD5961"/>
    <w:rsid w:val="00AD5AF5"/>
    <w:rsid w:val="00AD5B55"/>
    <w:rsid w:val="00AD5B79"/>
    <w:rsid w:val="00AD5BD1"/>
    <w:rsid w:val="00AD5BF4"/>
    <w:rsid w:val="00AD5CBB"/>
    <w:rsid w:val="00AD5CF4"/>
    <w:rsid w:val="00AD5CF9"/>
    <w:rsid w:val="00AD5DA1"/>
    <w:rsid w:val="00AD5E88"/>
    <w:rsid w:val="00AD61C2"/>
    <w:rsid w:val="00AD6226"/>
    <w:rsid w:val="00AD6396"/>
    <w:rsid w:val="00AD64B8"/>
    <w:rsid w:val="00AD670B"/>
    <w:rsid w:val="00AD683D"/>
    <w:rsid w:val="00AD6845"/>
    <w:rsid w:val="00AD6860"/>
    <w:rsid w:val="00AD6911"/>
    <w:rsid w:val="00AD6976"/>
    <w:rsid w:val="00AD69A9"/>
    <w:rsid w:val="00AD6D5C"/>
    <w:rsid w:val="00AD6DCE"/>
    <w:rsid w:val="00AD6FF6"/>
    <w:rsid w:val="00AD71D4"/>
    <w:rsid w:val="00AD72A5"/>
    <w:rsid w:val="00AD73C4"/>
    <w:rsid w:val="00AD73F0"/>
    <w:rsid w:val="00AD7448"/>
    <w:rsid w:val="00AD74E8"/>
    <w:rsid w:val="00AD75E1"/>
    <w:rsid w:val="00AD761F"/>
    <w:rsid w:val="00AD764A"/>
    <w:rsid w:val="00AD76D4"/>
    <w:rsid w:val="00AD7797"/>
    <w:rsid w:val="00AD78BE"/>
    <w:rsid w:val="00AD7A36"/>
    <w:rsid w:val="00AD7BF9"/>
    <w:rsid w:val="00AD7D0A"/>
    <w:rsid w:val="00AD7D7B"/>
    <w:rsid w:val="00AD7ED2"/>
    <w:rsid w:val="00AD7F00"/>
    <w:rsid w:val="00AD7F3E"/>
    <w:rsid w:val="00AD7FF0"/>
    <w:rsid w:val="00ADA9DB"/>
    <w:rsid w:val="00AE013C"/>
    <w:rsid w:val="00AE0254"/>
    <w:rsid w:val="00AE0382"/>
    <w:rsid w:val="00AE03F5"/>
    <w:rsid w:val="00AE04FC"/>
    <w:rsid w:val="00AE0559"/>
    <w:rsid w:val="00AE0738"/>
    <w:rsid w:val="00AE0895"/>
    <w:rsid w:val="00AE0906"/>
    <w:rsid w:val="00AE0B9D"/>
    <w:rsid w:val="00AE0BE6"/>
    <w:rsid w:val="00AE0C8D"/>
    <w:rsid w:val="00AE0D22"/>
    <w:rsid w:val="00AE0D54"/>
    <w:rsid w:val="00AE0D85"/>
    <w:rsid w:val="00AE0D97"/>
    <w:rsid w:val="00AE0F4A"/>
    <w:rsid w:val="00AE1002"/>
    <w:rsid w:val="00AE100F"/>
    <w:rsid w:val="00AE1014"/>
    <w:rsid w:val="00AE1018"/>
    <w:rsid w:val="00AE11CC"/>
    <w:rsid w:val="00AE1307"/>
    <w:rsid w:val="00AE14F7"/>
    <w:rsid w:val="00AE1595"/>
    <w:rsid w:val="00AE15A6"/>
    <w:rsid w:val="00AE187C"/>
    <w:rsid w:val="00AE18F2"/>
    <w:rsid w:val="00AE1959"/>
    <w:rsid w:val="00AE1963"/>
    <w:rsid w:val="00AE1A79"/>
    <w:rsid w:val="00AE1ABA"/>
    <w:rsid w:val="00AE1B5F"/>
    <w:rsid w:val="00AE1BD5"/>
    <w:rsid w:val="00AE1BEC"/>
    <w:rsid w:val="00AE1D5B"/>
    <w:rsid w:val="00AE1D8E"/>
    <w:rsid w:val="00AE1E01"/>
    <w:rsid w:val="00AE1E21"/>
    <w:rsid w:val="00AE1EDB"/>
    <w:rsid w:val="00AE1F6E"/>
    <w:rsid w:val="00AE1FDE"/>
    <w:rsid w:val="00AE203D"/>
    <w:rsid w:val="00AE22BA"/>
    <w:rsid w:val="00AE2508"/>
    <w:rsid w:val="00AE268C"/>
    <w:rsid w:val="00AE2698"/>
    <w:rsid w:val="00AE28C5"/>
    <w:rsid w:val="00AE28DD"/>
    <w:rsid w:val="00AE29DA"/>
    <w:rsid w:val="00AE2A75"/>
    <w:rsid w:val="00AE2AE5"/>
    <w:rsid w:val="00AE2D58"/>
    <w:rsid w:val="00AE2D8A"/>
    <w:rsid w:val="00AE2E06"/>
    <w:rsid w:val="00AE2FBC"/>
    <w:rsid w:val="00AE322F"/>
    <w:rsid w:val="00AE32BC"/>
    <w:rsid w:val="00AE32C5"/>
    <w:rsid w:val="00AE334B"/>
    <w:rsid w:val="00AE33D9"/>
    <w:rsid w:val="00AE348F"/>
    <w:rsid w:val="00AE370A"/>
    <w:rsid w:val="00AE3713"/>
    <w:rsid w:val="00AE3795"/>
    <w:rsid w:val="00AE38F0"/>
    <w:rsid w:val="00AE3970"/>
    <w:rsid w:val="00AE3AFE"/>
    <w:rsid w:val="00AE3B5F"/>
    <w:rsid w:val="00AE3C76"/>
    <w:rsid w:val="00AE3CFD"/>
    <w:rsid w:val="00AE3D2A"/>
    <w:rsid w:val="00AE3E97"/>
    <w:rsid w:val="00AE4207"/>
    <w:rsid w:val="00AE42E4"/>
    <w:rsid w:val="00AE43BA"/>
    <w:rsid w:val="00AE4520"/>
    <w:rsid w:val="00AE465A"/>
    <w:rsid w:val="00AE46ED"/>
    <w:rsid w:val="00AE4751"/>
    <w:rsid w:val="00AE482D"/>
    <w:rsid w:val="00AE488E"/>
    <w:rsid w:val="00AE4957"/>
    <w:rsid w:val="00AE49E2"/>
    <w:rsid w:val="00AE4A47"/>
    <w:rsid w:val="00AE4A87"/>
    <w:rsid w:val="00AE4B81"/>
    <w:rsid w:val="00AE4C1F"/>
    <w:rsid w:val="00AE4D37"/>
    <w:rsid w:val="00AE4DC7"/>
    <w:rsid w:val="00AE4DDB"/>
    <w:rsid w:val="00AE4EB9"/>
    <w:rsid w:val="00AE4F63"/>
    <w:rsid w:val="00AE514B"/>
    <w:rsid w:val="00AE54F3"/>
    <w:rsid w:val="00AE5532"/>
    <w:rsid w:val="00AE554B"/>
    <w:rsid w:val="00AE559F"/>
    <w:rsid w:val="00AE55D2"/>
    <w:rsid w:val="00AE5638"/>
    <w:rsid w:val="00AE5767"/>
    <w:rsid w:val="00AE584F"/>
    <w:rsid w:val="00AE5854"/>
    <w:rsid w:val="00AE59D1"/>
    <w:rsid w:val="00AE59D5"/>
    <w:rsid w:val="00AE5A2B"/>
    <w:rsid w:val="00AE5AC5"/>
    <w:rsid w:val="00AE5C6F"/>
    <w:rsid w:val="00AE5D5E"/>
    <w:rsid w:val="00AE602B"/>
    <w:rsid w:val="00AE6296"/>
    <w:rsid w:val="00AE63EB"/>
    <w:rsid w:val="00AE63F4"/>
    <w:rsid w:val="00AE64E1"/>
    <w:rsid w:val="00AE650B"/>
    <w:rsid w:val="00AE653B"/>
    <w:rsid w:val="00AE6558"/>
    <w:rsid w:val="00AE65DC"/>
    <w:rsid w:val="00AE65DE"/>
    <w:rsid w:val="00AE6661"/>
    <w:rsid w:val="00AE67CB"/>
    <w:rsid w:val="00AE6894"/>
    <w:rsid w:val="00AE6918"/>
    <w:rsid w:val="00AE69BC"/>
    <w:rsid w:val="00AE6EA3"/>
    <w:rsid w:val="00AE702D"/>
    <w:rsid w:val="00AE7106"/>
    <w:rsid w:val="00AE72B7"/>
    <w:rsid w:val="00AE72D4"/>
    <w:rsid w:val="00AE7312"/>
    <w:rsid w:val="00AE7396"/>
    <w:rsid w:val="00AE73D7"/>
    <w:rsid w:val="00AE76F3"/>
    <w:rsid w:val="00AE7720"/>
    <w:rsid w:val="00AE7790"/>
    <w:rsid w:val="00AE7794"/>
    <w:rsid w:val="00AE7A53"/>
    <w:rsid w:val="00AE7C71"/>
    <w:rsid w:val="00AE7D2D"/>
    <w:rsid w:val="00AE7D93"/>
    <w:rsid w:val="00AE7E2A"/>
    <w:rsid w:val="00AE7F7C"/>
    <w:rsid w:val="00AF0076"/>
    <w:rsid w:val="00AF0187"/>
    <w:rsid w:val="00AF0330"/>
    <w:rsid w:val="00AF03A0"/>
    <w:rsid w:val="00AF0626"/>
    <w:rsid w:val="00AF06CB"/>
    <w:rsid w:val="00AF06DB"/>
    <w:rsid w:val="00AF08BD"/>
    <w:rsid w:val="00AF08EF"/>
    <w:rsid w:val="00AF09DE"/>
    <w:rsid w:val="00AF0B1E"/>
    <w:rsid w:val="00AF0B77"/>
    <w:rsid w:val="00AF0C16"/>
    <w:rsid w:val="00AF0CE4"/>
    <w:rsid w:val="00AF0CF5"/>
    <w:rsid w:val="00AF0D07"/>
    <w:rsid w:val="00AF0D7E"/>
    <w:rsid w:val="00AF0D8B"/>
    <w:rsid w:val="00AF0E59"/>
    <w:rsid w:val="00AF0EBC"/>
    <w:rsid w:val="00AF0EDD"/>
    <w:rsid w:val="00AF0F5C"/>
    <w:rsid w:val="00AF10B2"/>
    <w:rsid w:val="00AF10E7"/>
    <w:rsid w:val="00AF1240"/>
    <w:rsid w:val="00AF12D5"/>
    <w:rsid w:val="00AF133C"/>
    <w:rsid w:val="00AF1358"/>
    <w:rsid w:val="00AF13F4"/>
    <w:rsid w:val="00AF1611"/>
    <w:rsid w:val="00AF166A"/>
    <w:rsid w:val="00AF19EB"/>
    <w:rsid w:val="00AF1A12"/>
    <w:rsid w:val="00AF1A5D"/>
    <w:rsid w:val="00AF1B5E"/>
    <w:rsid w:val="00AF1B84"/>
    <w:rsid w:val="00AF1BF6"/>
    <w:rsid w:val="00AF1C82"/>
    <w:rsid w:val="00AF1D1F"/>
    <w:rsid w:val="00AF1D60"/>
    <w:rsid w:val="00AF1D9E"/>
    <w:rsid w:val="00AF1F92"/>
    <w:rsid w:val="00AF2122"/>
    <w:rsid w:val="00AF219A"/>
    <w:rsid w:val="00AF2202"/>
    <w:rsid w:val="00AF2571"/>
    <w:rsid w:val="00AF25AE"/>
    <w:rsid w:val="00AF25DF"/>
    <w:rsid w:val="00AF2696"/>
    <w:rsid w:val="00AF26A3"/>
    <w:rsid w:val="00AF2751"/>
    <w:rsid w:val="00AF2796"/>
    <w:rsid w:val="00AF2866"/>
    <w:rsid w:val="00AF2BDC"/>
    <w:rsid w:val="00AF2C2A"/>
    <w:rsid w:val="00AF2CBF"/>
    <w:rsid w:val="00AF2E4D"/>
    <w:rsid w:val="00AF2E59"/>
    <w:rsid w:val="00AF2F85"/>
    <w:rsid w:val="00AF2FC5"/>
    <w:rsid w:val="00AF322F"/>
    <w:rsid w:val="00AF33C4"/>
    <w:rsid w:val="00AF33DF"/>
    <w:rsid w:val="00AF33E0"/>
    <w:rsid w:val="00AF3442"/>
    <w:rsid w:val="00AF3460"/>
    <w:rsid w:val="00AF34A7"/>
    <w:rsid w:val="00AF3525"/>
    <w:rsid w:val="00AF362E"/>
    <w:rsid w:val="00AF363D"/>
    <w:rsid w:val="00AF3692"/>
    <w:rsid w:val="00AF36B3"/>
    <w:rsid w:val="00AF373F"/>
    <w:rsid w:val="00AF3742"/>
    <w:rsid w:val="00AF37BE"/>
    <w:rsid w:val="00AF38CD"/>
    <w:rsid w:val="00AF3AF6"/>
    <w:rsid w:val="00AF3B0D"/>
    <w:rsid w:val="00AF3BA0"/>
    <w:rsid w:val="00AF3BEC"/>
    <w:rsid w:val="00AF3C11"/>
    <w:rsid w:val="00AF3C43"/>
    <w:rsid w:val="00AF3CE8"/>
    <w:rsid w:val="00AF3D09"/>
    <w:rsid w:val="00AF3DC2"/>
    <w:rsid w:val="00AF3F32"/>
    <w:rsid w:val="00AF3F57"/>
    <w:rsid w:val="00AF3F59"/>
    <w:rsid w:val="00AF4009"/>
    <w:rsid w:val="00AF4018"/>
    <w:rsid w:val="00AF405C"/>
    <w:rsid w:val="00AF40B1"/>
    <w:rsid w:val="00AF43DE"/>
    <w:rsid w:val="00AF43E5"/>
    <w:rsid w:val="00AF4530"/>
    <w:rsid w:val="00AF45C9"/>
    <w:rsid w:val="00AF463D"/>
    <w:rsid w:val="00AF4753"/>
    <w:rsid w:val="00AF48B8"/>
    <w:rsid w:val="00AF48DE"/>
    <w:rsid w:val="00AF48EC"/>
    <w:rsid w:val="00AF4938"/>
    <w:rsid w:val="00AF49CB"/>
    <w:rsid w:val="00AF4A97"/>
    <w:rsid w:val="00AF4AD4"/>
    <w:rsid w:val="00AF4B29"/>
    <w:rsid w:val="00AF4C53"/>
    <w:rsid w:val="00AF4C80"/>
    <w:rsid w:val="00AF4D16"/>
    <w:rsid w:val="00AF4E7A"/>
    <w:rsid w:val="00AF4EE8"/>
    <w:rsid w:val="00AF513F"/>
    <w:rsid w:val="00AF5144"/>
    <w:rsid w:val="00AF51E2"/>
    <w:rsid w:val="00AF5209"/>
    <w:rsid w:val="00AF5255"/>
    <w:rsid w:val="00AF52F8"/>
    <w:rsid w:val="00AF5307"/>
    <w:rsid w:val="00AF5342"/>
    <w:rsid w:val="00AF53EA"/>
    <w:rsid w:val="00AF56EE"/>
    <w:rsid w:val="00AF56F0"/>
    <w:rsid w:val="00AF56FE"/>
    <w:rsid w:val="00AF5706"/>
    <w:rsid w:val="00AF5778"/>
    <w:rsid w:val="00AF5B13"/>
    <w:rsid w:val="00AF5B4A"/>
    <w:rsid w:val="00AF5B83"/>
    <w:rsid w:val="00AF5BAD"/>
    <w:rsid w:val="00AF5BEB"/>
    <w:rsid w:val="00AF5CF1"/>
    <w:rsid w:val="00AF5D81"/>
    <w:rsid w:val="00AF612E"/>
    <w:rsid w:val="00AF6142"/>
    <w:rsid w:val="00AF616F"/>
    <w:rsid w:val="00AF61C3"/>
    <w:rsid w:val="00AF6215"/>
    <w:rsid w:val="00AF622A"/>
    <w:rsid w:val="00AF6422"/>
    <w:rsid w:val="00AF6534"/>
    <w:rsid w:val="00AF6597"/>
    <w:rsid w:val="00AF67AE"/>
    <w:rsid w:val="00AF6969"/>
    <w:rsid w:val="00AF69A0"/>
    <w:rsid w:val="00AF69BD"/>
    <w:rsid w:val="00AF6BEA"/>
    <w:rsid w:val="00AF6C95"/>
    <w:rsid w:val="00AF6DCC"/>
    <w:rsid w:val="00AF6DD5"/>
    <w:rsid w:val="00AF6E04"/>
    <w:rsid w:val="00AF7015"/>
    <w:rsid w:val="00AF712B"/>
    <w:rsid w:val="00AF712C"/>
    <w:rsid w:val="00AF7136"/>
    <w:rsid w:val="00AF7236"/>
    <w:rsid w:val="00AF72EE"/>
    <w:rsid w:val="00AF72F8"/>
    <w:rsid w:val="00AF7412"/>
    <w:rsid w:val="00AF742D"/>
    <w:rsid w:val="00AF7464"/>
    <w:rsid w:val="00AF7585"/>
    <w:rsid w:val="00AF75B0"/>
    <w:rsid w:val="00AF7762"/>
    <w:rsid w:val="00AF7776"/>
    <w:rsid w:val="00AF7948"/>
    <w:rsid w:val="00AF7A4B"/>
    <w:rsid w:val="00AF7A7C"/>
    <w:rsid w:val="00AF7B3D"/>
    <w:rsid w:val="00AF7CD4"/>
    <w:rsid w:val="00AF7D63"/>
    <w:rsid w:val="00AF7E1C"/>
    <w:rsid w:val="00AF7E35"/>
    <w:rsid w:val="00B00363"/>
    <w:rsid w:val="00B00464"/>
    <w:rsid w:val="00B0066E"/>
    <w:rsid w:val="00B00847"/>
    <w:rsid w:val="00B0088F"/>
    <w:rsid w:val="00B009EF"/>
    <w:rsid w:val="00B00B3A"/>
    <w:rsid w:val="00B00B44"/>
    <w:rsid w:val="00B00B53"/>
    <w:rsid w:val="00B00B57"/>
    <w:rsid w:val="00B00B6F"/>
    <w:rsid w:val="00B00CAE"/>
    <w:rsid w:val="00B00FAD"/>
    <w:rsid w:val="00B0101B"/>
    <w:rsid w:val="00B0107E"/>
    <w:rsid w:val="00B010DF"/>
    <w:rsid w:val="00B011B4"/>
    <w:rsid w:val="00B011C3"/>
    <w:rsid w:val="00B01272"/>
    <w:rsid w:val="00B0127A"/>
    <w:rsid w:val="00B012BA"/>
    <w:rsid w:val="00B013B6"/>
    <w:rsid w:val="00B014BB"/>
    <w:rsid w:val="00B01591"/>
    <w:rsid w:val="00B016BA"/>
    <w:rsid w:val="00B017B5"/>
    <w:rsid w:val="00B01B08"/>
    <w:rsid w:val="00B01B09"/>
    <w:rsid w:val="00B01B72"/>
    <w:rsid w:val="00B01D76"/>
    <w:rsid w:val="00B02171"/>
    <w:rsid w:val="00B02180"/>
    <w:rsid w:val="00B0227D"/>
    <w:rsid w:val="00B02398"/>
    <w:rsid w:val="00B023AD"/>
    <w:rsid w:val="00B0243B"/>
    <w:rsid w:val="00B024AD"/>
    <w:rsid w:val="00B024AF"/>
    <w:rsid w:val="00B024D7"/>
    <w:rsid w:val="00B0282A"/>
    <w:rsid w:val="00B028DA"/>
    <w:rsid w:val="00B028E6"/>
    <w:rsid w:val="00B02DDE"/>
    <w:rsid w:val="00B02E1E"/>
    <w:rsid w:val="00B02E85"/>
    <w:rsid w:val="00B02F02"/>
    <w:rsid w:val="00B03138"/>
    <w:rsid w:val="00B03161"/>
    <w:rsid w:val="00B0323F"/>
    <w:rsid w:val="00B0327A"/>
    <w:rsid w:val="00B032C7"/>
    <w:rsid w:val="00B0334F"/>
    <w:rsid w:val="00B03379"/>
    <w:rsid w:val="00B03428"/>
    <w:rsid w:val="00B0358C"/>
    <w:rsid w:val="00B035CC"/>
    <w:rsid w:val="00B03950"/>
    <w:rsid w:val="00B039C7"/>
    <w:rsid w:val="00B03BB8"/>
    <w:rsid w:val="00B03BED"/>
    <w:rsid w:val="00B03C58"/>
    <w:rsid w:val="00B03DC6"/>
    <w:rsid w:val="00B03E3C"/>
    <w:rsid w:val="00B041A7"/>
    <w:rsid w:val="00B042AD"/>
    <w:rsid w:val="00B0436E"/>
    <w:rsid w:val="00B0437B"/>
    <w:rsid w:val="00B0444F"/>
    <w:rsid w:val="00B044D8"/>
    <w:rsid w:val="00B0451D"/>
    <w:rsid w:val="00B04581"/>
    <w:rsid w:val="00B046C1"/>
    <w:rsid w:val="00B049AB"/>
    <w:rsid w:val="00B04A29"/>
    <w:rsid w:val="00B04AC7"/>
    <w:rsid w:val="00B04AD4"/>
    <w:rsid w:val="00B04D33"/>
    <w:rsid w:val="00B04EC4"/>
    <w:rsid w:val="00B04F46"/>
    <w:rsid w:val="00B04FB8"/>
    <w:rsid w:val="00B04FFC"/>
    <w:rsid w:val="00B05195"/>
    <w:rsid w:val="00B05291"/>
    <w:rsid w:val="00B0530A"/>
    <w:rsid w:val="00B05506"/>
    <w:rsid w:val="00B05528"/>
    <w:rsid w:val="00B056B8"/>
    <w:rsid w:val="00B0573B"/>
    <w:rsid w:val="00B0590A"/>
    <w:rsid w:val="00B059FE"/>
    <w:rsid w:val="00B05A1F"/>
    <w:rsid w:val="00B05A52"/>
    <w:rsid w:val="00B05A71"/>
    <w:rsid w:val="00B05EDD"/>
    <w:rsid w:val="00B05FB4"/>
    <w:rsid w:val="00B060B4"/>
    <w:rsid w:val="00B060EF"/>
    <w:rsid w:val="00B060FF"/>
    <w:rsid w:val="00B06101"/>
    <w:rsid w:val="00B061C0"/>
    <w:rsid w:val="00B06267"/>
    <w:rsid w:val="00B06479"/>
    <w:rsid w:val="00B06606"/>
    <w:rsid w:val="00B06672"/>
    <w:rsid w:val="00B0675C"/>
    <w:rsid w:val="00B0680E"/>
    <w:rsid w:val="00B068D9"/>
    <w:rsid w:val="00B0694B"/>
    <w:rsid w:val="00B069A0"/>
    <w:rsid w:val="00B06ADF"/>
    <w:rsid w:val="00B06B30"/>
    <w:rsid w:val="00B06B80"/>
    <w:rsid w:val="00B06D96"/>
    <w:rsid w:val="00B06DD2"/>
    <w:rsid w:val="00B06E83"/>
    <w:rsid w:val="00B06E9F"/>
    <w:rsid w:val="00B07050"/>
    <w:rsid w:val="00B072DB"/>
    <w:rsid w:val="00B07602"/>
    <w:rsid w:val="00B077B4"/>
    <w:rsid w:val="00B07865"/>
    <w:rsid w:val="00B07A9D"/>
    <w:rsid w:val="00B07BD2"/>
    <w:rsid w:val="00B07BDC"/>
    <w:rsid w:val="00B07BFE"/>
    <w:rsid w:val="00B07C1D"/>
    <w:rsid w:val="00B07CDF"/>
    <w:rsid w:val="00B07DDD"/>
    <w:rsid w:val="00B07FE2"/>
    <w:rsid w:val="00B07FFE"/>
    <w:rsid w:val="00B1009E"/>
    <w:rsid w:val="00B100AE"/>
    <w:rsid w:val="00B100C5"/>
    <w:rsid w:val="00B1023F"/>
    <w:rsid w:val="00B102F5"/>
    <w:rsid w:val="00B103CA"/>
    <w:rsid w:val="00B1070E"/>
    <w:rsid w:val="00B1079F"/>
    <w:rsid w:val="00B10849"/>
    <w:rsid w:val="00B10864"/>
    <w:rsid w:val="00B1090E"/>
    <w:rsid w:val="00B10A4E"/>
    <w:rsid w:val="00B10BCC"/>
    <w:rsid w:val="00B10D47"/>
    <w:rsid w:val="00B10DEF"/>
    <w:rsid w:val="00B10DF1"/>
    <w:rsid w:val="00B10ED3"/>
    <w:rsid w:val="00B11037"/>
    <w:rsid w:val="00B111CF"/>
    <w:rsid w:val="00B111FD"/>
    <w:rsid w:val="00B112EB"/>
    <w:rsid w:val="00B11501"/>
    <w:rsid w:val="00B115AD"/>
    <w:rsid w:val="00B117C3"/>
    <w:rsid w:val="00B117E5"/>
    <w:rsid w:val="00B11A1E"/>
    <w:rsid w:val="00B11B74"/>
    <w:rsid w:val="00B11B80"/>
    <w:rsid w:val="00B11BB1"/>
    <w:rsid w:val="00B11DC9"/>
    <w:rsid w:val="00B11DEF"/>
    <w:rsid w:val="00B11E8A"/>
    <w:rsid w:val="00B11E9D"/>
    <w:rsid w:val="00B11FAF"/>
    <w:rsid w:val="00B1201B"/>
    <w:rsid w:val="00B120F4"/>
    <w:rsid w:val="00B120FE"/>
    <w:rsid w:val="00B1223C"/>
    <w:rsid w:val="00B12251"/>
    <w:rsid w:val="00B12267"/>
    <w:rsid w:val="00B12304"/>
    <w:rsid w:val="00B123BB"/>
    <w:rsid w:val="00B12441"/>
    <w:rsid w:val="00B1244B"/>
    <w:rsid w:val="00B12470"/>
    <w:rsid w:val="00B12599"/>
    <w:rsid w:val="00B1269B"/>
    <w:rsid w:val="00B126A4"/>
    <w:rsid w:val="00B12708"/>
    <w:rsid w:val="00B128EE"/>
    <w:rsid w:val="00B129C3"/>
    <w:rsid w:val="00B12AA5"/>
    <w:rsid w:val="00B12AEF"/>
    <w:rsid w:val="00B12CA3"/>
    <w:rsid w:val="00B12CC7"/>
    <w:rsid w:val="00B12CF0"/>
    <w:rsid w:val="00B12EC2"/>
    <w:rsid w:val="00B13014"/>
    <w:rsid w:val="00B13095"/>
    <w:rsid w:val="00B130EA"/>
    <w:rsid w:val="00B1333A"/>
    <w:rsid w:val="00B1336C"/>
    <w:rsid w:val="00B13377"/>
    <w:rsid w:val="00B13411"/>
    <w:rsid w:val="00B13800"/>
    <w:rsid w:val="00B139D9"/>
    <w:rsid w:val="00B13A15"/>
    <w:rsid w:val="00B13A4C"/>
    <w:rsid w:val="00B13ADF"/>
    <w:rsid w:val="00B13E04"/>
    <w:rsid w:val="00B13F38"/>
    <w:rsid w:val="00B14049"/>
    <w:rsid w:val="00B14087"/>
    <w:rsid w:val="00B1409D"/>
    <w:rsid w:val="00B14288"/>
    <w:rsid w:val="00B1455B"/>
    <w:rsid w:val="00B14576"/>
    <w:rsid w:val="00B146A5"/>
    <w:rsid w:val="00B146C1"/>
    <w:rsid w:val="00B1489E"/>
    <w:rsid w:val="00B14AA1"/>
    <w:rsid w:val="00B14BD7"/>
    <w:rsid w:val="00B14BF8"/>
    <w:rsid w:val="00B14F3D"/>
    <w:rsid w:val="00B14F7D"/>
    <w:rsid w:val="00B14FC2"/>
    <w:rsid w:val="00B150FF"/>
    <w:rsid w:val="00B151D1"/>
    <w:rsid w:val="00B1521E"/>
    <w:rsid w:val="00B1524A"/>
    <w:rsid w:val="00B15266"/>
    <w:rsid w:val="00B152B8"/>
    <w:rsid w:val="00B15470"/>
    <w:rsid w:val="00B15472"/>
    <w:rsid w:val="00B154B2"/>
    <w:rsid w:val="00B154D3"/>
    <w:rsid w:val="00B1553E"/>
    <w:rsid w:val="00B1558E"/>
    <w:rsid w:val="00B15610"/>
    <w:rsid w:val="00B1566C"/>
    <w:rsid w:val="00B1586B"/>
    <w:rsid w:val="00B15921"/>
    <w:rsid w:val="00B1596A"/>
    <w:rsid w:val="00B15CF1"/>
    <w:rsid w:val="00B15D60"/>
    <w:rsid w:val="00B15F90"/>
    <w:rsid w:val="00B16234"/>
    <w:rsid w:val="00B16292"/>
    <w:rsid w:val="00B163F8"/>
    <w:rsid w:val="00B16732"/>
    <w:rsid w:val="00B1685D"/>
    <w:rsid w:val="00B168FB"/>
    <w:rsid w:val="00B1698D"/>
    <w:rsid w:val="00B169A2"/>
    <w:rsid w:val="00B16B43"/>
    <w:rsid w:val="00B16B86"/>
    <w:rsid w:val="00B16D3C"/>
    <w:rsid w:val="00B16DE0"/>
    <w:rsid w:val="00B16DE7"/>
    <w:rsid w:val="00B16E18"/>
    <w:rsid w:val="00B16EB1"/>
    <w:rsid w:val="00B16F78"/>
    <w:rsid w:val="00B170FC"/>
    <w:rsid w:val="00B1712D"/>
    <w:rsid w:val="00B1716C"/>
    <w:rsid w:val="00B17299"/>
    <w:rsid w:val="00B172A5"/>
    <w:rsid w:val="00B173B5"/>
    <w:rsid w:val="00B173DD"/>
    <w:rsid w:val="00B17432"/>
    <w:rsid w:val="00B174F5"/>
    <w:rsid w:val="00B1750D"/>
    <w:rsid w:val="00B17511"/>
    <w:rsid w:val="00B17522"/>
    <w:rsid w:val="00B1776D"/>
    <w:rsid w:val="00B17875"/>
    <w:rsid w:val="00B17911"/>
    <w:rsid w:val="00B1792B"/>
    <w:rsid w:val="00B17A2C"/>
    <w:rsid w:val="00B17A74"/>
    <w:rsid w:val="00B17E12"/>
    <w:rsid w:val="00B17EBA"/>
    <w:rsid w:val="00B17EEB"/>
    <w:rsid w:val="00B17EF3"/>
    <w:rsid w:val="00B17F0B"/>
    <w:rsid w:val="00B20102"/>
    <w:rsid w:val="00B201AA"/>
    <w:rsid w:val="00B20457"/>
    <w:rsid w:val="00B2048D"/>
    <w:rsid w:val="00B208D8"/>
    <w:rsid w:val="00B209D7"/>
    <w:rsid w:val="00B20AB8"/>
    <w:rsid w:val="00B20CC3"/>
    <w:rsid w:val="00B20CF4"/>
    <w:rsid w:val="00B20F1B"/>
    <w:rsid w:val="00B20FEA"/>
    <w:rsid w:val="00B2106D"/>
    <w:rsid w:val="00B2117F"/>
    <w:rsid w:val="00B2148B"/>
    <w:rsid w:val="00B21498"/>
    <w:rsid w:val="00B2156A"/>
    <w:rsid w:val="00B21791"/>
    <w:rsid w:val="00B217C6"/>
    <w:rsid w:val="00B2191E"/>
    <w:rsid w:val="00B2193F"/>
    <w:rsid w:val="00B219BF"/>
    <w:rsid w:val="00B21A57"/>
    <w:rsid w:val="00B21ACF"/>
    <w:rsid w:val="00B21B35"/>
    <w:rsid w:val="00B21B74"/>
    <w:rsid w:val="00B21B7F"/>
    <w:rsid w:val="00B21CEB"/>
    <w:rsid w:val="00B21D83"/>
    <w:rsid w:val="00B21E69"/>
    <w:rsid w:val="00B21F16"/>
    <w:rsid w:val="00B21FEB"/>
    <w:rsid w:val="00B2220D"/>
    <w:rsid w:val="00B2221F"/>
    <w:rsid w:val="00B222AD"/>
    <w:rsid w:val="00B222CE"/>
    <w:rsid w:val="00B223C2"/>
    <w:rsid w:val="00B22477"/>
    <w:rsid w:val="00B22569"/>
    <w:rsid w:val="00B2268A"/>
    <w:rsid w:val="00B22700"/>
    <w:rsid w:val="00B22779"/>
    <w:rsid w:val="00B227DF"/>
    <w:rsid w:val="00B22945"/>
    <w:rsid w:val="00B22ACE"/>
    <w:rsid w:val="00B22E53"/>
    <w:rsid w:val="00B22EBC"/>
    <w:rsid w:val="00B22F78"/>
    <w:rsid w:val="00B2302A"/>
    <w:rsid w:val="00B232EC"/>
    <w:rsid w:val="00B23373"/>
    <w:rsid w:val="00B23418"/>
    <w:rsid w:val="00B234C6"/>
    <w:rsid w:val="00B23544"/>
    <w:rsid w:val="00B235CF"/>
    <w:rsid w:val="00B23647"/>
    <w:rsid w:val="00B237B9"/>
    <w:rsid w:val="00B23907"/>
    <w:rsid w:val="00B239D2"/>
    <w:rsid w:val="00B239FA"/>
    <w:rsid w:val="00B23BF8"/>
    <w:rsid w:val="00B23CE0"/>
    <w:rsid w:val="00B23F1C"/>
    <w:rsid w:val="00B23F4C"/>
    <w:rsid w:val="00B240AC"/>
    <w:rsid w:val="00B2412E"/>
    <w:rsid w:val="00B24159"/>
    <w:rsid w:val="00B241DD"/>
    <w:rsid w:val="00B2425A"/>
    <w:rsid w:val="00B24326"/>
    <w:rsid w:val="00B243CA"/>
    <w:rsid w:val="00B24458"/>
    <w:rsid w:val="00B24715"/>
    <w:rsid w:val="00B24860"/>
    <w:rsid w:val="00B248BA"/>
    <w:rsid w:val="00B248DB"/>
    <w:rsid w:val="00B24C2D"/>
    <w:rsid w:val="00B24C7D"/>
    <w:rsid w:val="00B24D8A"/>
    <w:rsid w:val="00B24D96"/>
    <w:rsid w:val="00B24E8E"/>
    <w:rsid w:val="00B24FA1"/>
    <w:rsid w:val="00B24FA6"/>
    <w:rsid w:val="00B25084"/>
    <w:rsid w:val="00B25143"/>
    <w:rsid w:val="00B2517F"/>
    <w:rsid w:val="00B2519F"/>
    <w:rsid w:val="00B25235"/>
    <w:rsid w:val="00B25261"/>
    <w:rsid w:val="00B25291"/>
    <w:rsid w:val="00B253A9"/>
    <w:rsid w:val="00B25409"/>
    <w:rsid w:val="00B25430"/>
    <w:rsid w:val="00B2547C"/>
    <w:rsid w:val="00B25544"/>
    <w:rsid w:val="00B255AB"/>
    <w:rsid w:val="00B25789"/>
    <w:rsid w:val="00B25795"/>
    <w:rsid w:val="00B257B8"/>
    <w:rsid w:val="00B257CD"/>
    <w:rsid w:val="00B25805"/>
    <w:rsid w:val="00B25874"/>
    <w:rsid w:val="00B25923"/>
    <w:rsid w:val="00B25926"/>
    <w:rsid w:val="00B2596F"/>
    <w:rsid w:val="00B25B36"/>
    <w:rsid w:val="00B25C48"/>
    <w:rsid w:val="00B25C93"/>
    <w:rsid w:val="00B25D0E"/>
    <w:rsid w:val="00B25E55"/>
    <w:rsid w:val="00B25E92"/>
    <w:rsid w:val="00B25F32"/>
    <w:rsid w:val="00B25F4A"/>
    <w:rsid w:val="00B25F78"/>
    <w:rsid w:val="00B26002"/>
    <w:rsid w:val="00B260C0"/>
    <w:rsid w:val="00B26319"/>
    <w:rsid w:val="00B26366"/>
    <w:rsid w:val="00B263EE"/>
    <w:rsid w:val="00B263FE"/>
    <w:rsid w:val="00B2647D"/>
    <w:rsid w:val="00B264C0"/>
    <w:rsid w:val="00B26544"/>
    <w:rsid w:val="00B26578"/>
    <w:rsid w:val="00B266C6"/>
    <w:rsid w:val="00B26788"/>
    <w:rsid w:val="00B26878"/>
    <w:rsid w:val="00B268D2"/>
    <w:rsid w:val="00B268F6"/>
    <w:rsid w:val="00B26913"/>
    <w:rsid w:val="00B26949"/>
    <w:rsid w:val="00B26ACF"/>
    <w:rsid w:val="00B26B5D"/>
    <w:rsid w:val="00B26C75"/>
    <w:rsid w:val="00B26CDC"/>
    <w:rsid w:val="00B26D1E"/>
    <w:rsid w:val="00B26E2C"/>
    <w:rsid w:val="00B26FED"/>
    <w:rsid w:val="00B2701B"/>
    <w:rsid w:val="00B270A1"/>
    <w:rsid w:val="00B273BB"/>
    <w:rsid w:val="00B273CF"/>
    <w:rsid w:val="00B27435"/>
    <w:rsid w:val="00B274F6"/>
    <w:rsid w:val="00B276A6"/>
    <w:rsid w:val="00B279C6"/>
    <w:rsid w:val="00B27A1E"/>
    <w:rsid w:val="00B27A26"/>
    <w:rsid w:val="00B27B17"/>
    <w:rsid w:val="00B27C20"/>
    <w:rsid w:val="00B27C49"/>
    <w:rsid w:val="00B27C89"/>
    <w:rsid w:val="00B27CC6"/>
    <w:rsid w:val="00B27E28"/>
    <w:rsid w:val="00B27E75"/>
    <w:rsid w:val="00B27F6D"/>
    <w:rsid w:val="00B27FBC"/>
    <w:rsid w:val="00B3003B"/>
    <w:rsid w:val="00B3010E"/>
    <w:rsid w:val="00B30263"/>
    <w:rsid w:val="00B302E2"/>
    <w:rsid w:val="00B30424"/>
    <w:rsid w:val="00B30472"/>
    <w:rsid w:val="00B304AB"/>
    <w:rsid w:val="00B304BE"/>
    <w:rsid w:val="00B305AF"/>
    <w:rsid w:val="00B30616"/>
    <w:rsid w:val="00B30668"/>
    <w:rsid w:val="00B306BD"/>
    <w:rsid w:val="00B306E7"/>
    <w:rsid w:val="00B30868"/>
    <w:rsid w:val="00B30A7D"/>
    <w:rsid w:val="00B30AF6"/>
    <w:rsid w:val="00B30B40"/>
    <w:rsid w:val="00B30C3F"/>
    <w:rsid w:val="00B30C40"/>
    <w:rsid w:val="00B30CF2"/>
    <w:rsid w:val="00B30D1B"/>
    <w:rsid w:val="00B30D61"/>
    <w:rsid w:val="00B30E4D"/>
    <w:rsid w:val="00B30ED9"/>
    <w:rsid w:val="00B30F1B"/>
    <w:rsid w:val="00B30FA4"/>
    <w:rsid w:val="00B3107B"/>
    <w:rsid w:val="00B31121"/>
    <w:rsid w:val="00B31182"/>
    <w:rsid w:val="00B311C1"/>
    <w:rsid w:val="00B313DF"/>
    <w:rsid w:val="00B314D0"/>
    <w:rsid w:val="00B316D2"/>
    <w:rsid w:val="00B31802"/>
    <w:rsid w:val="00B31965"/>
    <w:rsid w:val="00B31A29"/>
    <w:rsid w:val="00B31A55"/>
    <w:rsid w:val="00B31B13"/>
    <w:rsid w:val="00B31D93"/>
    <w:rsid w:val="00B31FE5"/>
    <w:rsid w:val="00B32271"/>
    <w:rsid w:val="00B3229F"/>
    <w:rsid w:val="00B32377"/>
    <w:rsid w:val="00B32386"/>
    <w:rsid w:val="00B3244D"/>
    <w:rsid w:val="00B32495"/>
    <w:rsid w:val="00B325E6"/>
    <w:rsid w:val="00B32827"/>
    <w:rsid w:val="00B3294A"/>
    <w:rsid w:val="00B3294E"/>
    <w:rsid w:val="00B32A42"/>
    <w:rsid w:val="00B32BC6"/>
    <w:rsid w:val="00B32C45"/>
    <w:rsid w:val="00B32C7E"/>
    <w:rsid w:val="00B32D21"/>
    <w:rsid w:val="00B32D26"/>
    <w:rsid w:val="00B32D81"/>
    <w:rsid w:val="00B32D97"/>
    <w:rsid w:val="00B32E35"/>
    <w:rsid w:val="00B330C5"/>
    <w:rsid w:val="00B33152"/>
    <w:rsid w:val="00B3316C"/>
    <w:rsid w:val="00B332B1"/>
    <w:rsid w:val="00B3367C"/>
    <w:rsid w:val="00B3368B"/>
    <w:rsid w:val="00B33696"/>
    <w:rsid w:val="00B33BAE"/>
    <w:rsid w:val="00B33DA8"/>
    <w:rsid w:val="00B33E39"/>
    <w:rsid w:val="00B33F93"/>
    <w:rsid w:val="00B33FE9"/>
    <w:rsid w:val="00B340BC"/>
    <w:rsid w:val="00B3413E"/>
    <w:rsid w:val="00B3415D"/>
    <w:rsid w:val="00B342F6"/>
    <w:rsid w:val="00B3438D"/>
    <w:rsid w:val="00B343E8"/>
    <w:rsid w:val="00B34418"/>
    <w:rsid w:val="00B3452A"/>
    <w:rsid w:val="00B345CA"/>
    <w:rsid w:val="00B346E3"/>
    <w:rsid w:val="00B34825"/>
    <w:rsid w:val="00B349B1"/>
    <w:rsid w:val="00B34B0B"/>
    <w:rsid w:val="00B34B49"/>
    <w:rsid w:val="00B34D34"/>
    <w:rsid w:val="00B34E0C"/>
    <w:rsid w:val="00B34F64"/>
    <w:rsid w:val="00B3506C"/>
    <w:rsid w:val="00B350B2"/>
    <w:rsid w:val="00B35121"/>
    <w:rsid w:val="00B35142"/>
    <w:rsid w:val="00B35517"/>
    <w:rsid w:val="00B3551E"/>
    <w:rsid w:val="00B3566A"/>
    <w:rsid w:val="00B35693"/>
    <w:rsid w:val="00B35828"/>
    <w:rsid w:val="00B35904"/>
    <w:rsid w:val="00B3596E"/>
    <w:rsid w:val="00B35B07"/>
    <w:rsid w:val="00B35C07"/>
    <w:rsid w:val="00B35C21"/>
    <w:rsid w:val="00B35C4C"/>
    <w:rsid w:val="00B35C6D"/>
    <w:rsid w:val="00B35CF4"/>
    <w:rsid w:val="00B35E2A"/>
    <w:rsid w:val="00B35FED"/>
    <w:rsid w:val="00B3606B"/>
    <w:rsid w:val="00B361F4"/>
    <w:rsid w:val="00B36337"/>
    <w:rsid w:val="00B36360"/>
    <w:rsid w:val="00B36384"/>
    <w:rsid w:val="00B3651C"/>
    <w:rsid w:val="00B36548"/>
    <w:rsid w:val="00B365CB"/>
    <w:rsid w:val="00B3672E"/>
    <w:rsid w:val="00B36963"/>
    <w:rsid w:val="00B36A37"/>
    <w:rsid w:val="00B36A6F"/>
    <w:rsid w:val="00B36AFD"/>
    <w:rsid w:val="00B36B8C"/>
    <w:rsid w:val="00B36BA2"/>
    <w:rsid w:val="00B36D0F"/>
    <w:rsid w:val="00B36DDD"/>
    <w:rsid w:val="00B36E8D"/>
    <w:rsid w:val="00B36F45"/>
    <w:rsid w:val="00B37065"/>
    <w:rsid w:val="00B37085"/>
    <w:rsid w:val="00B3708B"/>
    <w:rsid w:val="00B371BB"/>
    <w:rsid w:val="00B3733F"/>
    <w:rsid w:val="00B37389"/>
    <w:rsid w:val="00B374B3"/>
    <w:rsid w:val="00B375E6"/>
    <w:rsid w:val="00B37661"/>
    <w:rsid w:val="00B37715"/>
    <w:rsid w:val="00B377D9"/>
    <w:rsid w:val="00B3790F"/>
    <w:rsid w:val="00B379EE"/>
    <w:rsid w:val="00B37ADD"/>
    <w:rsid w:val="00B37BB9"/>
    <w:rsid w:val="00B37BC2"/>
    <w:rsid w:val="00B37BC6"/>
    <w:rsid w:val="00B37BDD"/>
    <w:rsid w:val="00B37DB6"/>
    <w:rsid w:val="00B37E45"/>
    <w:rsid w:val="00B37E80"/>
    <w:rsid w:val="00B37F0E"/>
    <w:rsid w:val="00B40042"/>
    <w:rsid w:val="00B400B8"/>
    <w:rsid w:val="00B403E9"/>
    <w:rsid w:val="00B404BD"/>
    <w:rsid w:val="00B404D0"/>
    <w:rsid w:val="00B40680"/>
    <w:rsid w:val="00B40789"/>
    <w:rsid w:val="00B40837"/>
    <w:rsid w:val="00B40B4D"/>
    <w:rsid w:val="00B40B9D"/>
    <w:rsid w:val="00B40BA5"/>
    <w:rsid w:val="00B40D9B"/>
    <w:rsid w:val="00B41157"/>
    <w:rsid w:val="00B41377"/>
    <w:rsid w:val="00B41429"/>
    <w:rsid w:val="00B414CB"/>
    <w:rsid w:val="00B41554"/>
    <w:rsid w:val="00B418E5"/>
    <w:rsid w:val="00B41936"/>
    <w:rsid w:val="00B41A16"/>
    <w:rsid w:val="00B41C0E"/>
    <w:rsid w:val="00B41C12"/>
    <w:rsid w:val="00B41CAB"/>
    <w:rsid w:val="00B41D8C"/>
    <w:rsid w:val="00B41F54"/>
    <w:rsid w:val="00B41F7F"/>
    <w:rsid w:val="00B42128"/>
    <w:rsid w:val="00B42330"/>
    <w:rsid w:val="00B423B0"/>
    <w:rsid w:val="00B424B8"/>
    <w:rsid w:val="00B425B0"/>
    <w:rsid w:val="00B425D5"/>
    <w:rsid w:val="00B42685"/>
    <w:rsid w:val="00B4279C"/>
    <w:rsid w:val="00B42808"/>
    <w:rsid w:val="00B42857"/>
    <w:rsid w:val="00B429E8"/>
    <w:rsid w:val="00B42B95"/>
    <w:rsid w:val="00B42C56"/>
    <w:rsid w:val="00B42F34"/>
    <w:rsid w:val="00B42F35"/>
    <w:rsid w:val="00B4303F"/>
    <w:rsid w:val="00B430A2"/>
    <w:rsid w:val="00B43116"/>
    <w:rsid w:val="00B43220"/>
    <w:rsid w:val="00B43441"/>
    <w:rsid w:val="00B434C7"/>
    <w:rsid w:val="00B43521"/>
    <w:rsid w:val="00B43540"/>
    <w:rsid w:val="00B4359E"/>
    <w:rsid w:val="00B43660"/>
    <w:rsid w:val="00B4370D"/>
    <w:rsid w:val="00B43863"/>
    <w:rsid w:val="00B438E5"/>
    <w:rsid w:val="00B4390F"/>
    <w:rsid w:val="00B4402F"/>
    <w:rsid w:val="00B4413F"/>
    <w:rsid w:val="00B4414E"/>
    <w:rsid w:val="00B4418E"/>
    <w:rsid w:val="00B4423F"/>
    <w:rsid w:val="00B4427B"/>
    <w:rsid w:val="00B4444D"/>
    <w:rsid w:val="00B4446C"/>
    <w:rsid w:val="00B444FD"/>
    <w:rsid w:val="00B4451C"/>
    <w:rsid w:val="00B445FD"/>
    <w:rsid w:val="00B448AC"/>
    <w:rsid w:val="00B44937"/>
    <w:rsid w:val="00B4498F"/>
    <w:rsid w:val="00B449AD"/>
    <w:rsid w:val="00B44A16"/>
    <w:rsid w:val="00B44AC2"/>
    <w:rsid w:val="00B44CA5"/>
    <w:rsid w:val="00B44DBB"/>
    <w:rsid w:val="00B44F53"/>
    <w:rsid w:val="00B44F8B"/>
    <w:rsid w:val="00B44FE2"/>
    <w:rsid w:val="00B45101"/>
    <w:rsid w:val="00B45332"/>
    <w:rsid w:val="00B4543E"/>
    <w:rsid w:val="00B45509"/>
    <w:rsid w:val="00B4558C"/>
    <w:rsid w:val="00B455CD"/>
    <w:rsid w:val="00B455E0"/>
    <w:rsid w:val="00B456B4"/>
    <w:rsid w:val="00B4580A"/>
    <w:rsid w:val="00B45810"/>
    <w:rsid w:val="00B459B6"/>
    <w:rsid w:val="00B45B0A"/>
    <w:rsid w:val="00B45B3B"/>
    <w:rsid w:val="00B45D0F"/>
    <w:rsid w:val="00B45D17"/>
    <w:rsid w:val="00B45D45"/>
    <w:rsid w:val="00B45DA9"/>
    <w:rsid w:val="00B45DF8"/>
    <w:rsid w:val="00B45E08"/>
    <w:rsid w:val="00B45E6F"/>
    <w:rsid w:val="00B45ECA"/>
    <w:rsid w:val="00B45F4F"/>
    <w:rsid w:val="00B4605A"/>
    <w:rsid w:val="00B460B8"/>
    <w:rsid w:val="00B4610A"/>
    <w:rsid w:val="00B4638C"/>
    <w:rsid w:val="00B464AB"/>
    <w:rsid w:val="00B465FC"/>
    <w:rsid w:val="00B467E2"/>
    <w:rsid w:val="00B46905"/>
    <w:rsid w:val="00B46B2C"/>
    <w:rsid w:val="00B46C48"/>
    <w:rsid w:val="00B46E15"/>
    <w:rsid w:val="00B46E43"/>
    <w:rsid w:val="00B47021"/>
    <w:rsid w:val="00B47213"/>
    <w:rsid w:val="00B47253"/>
    <w:rsid w:val="00B4742D"/>
    <w:rsid w:val="00B47475"/>
    <w:rsid w:val="00B474D2"/>
    <w:rsid w:val="00B4751A"/>
    <w:rsid w:val="00B47579"/>
    <w:rsid w:val="00B47724"/>
    <w:rsid w:val="00B478F6"/>
    <w:rsid w:val="00B47A4E"/>
    <w:rsid w:val="00B47A75"/>
    <w:rsid w:val="00B47B29"/>
    <w:rsid w:val="00B47B7D"/>
    <w:rsid w:val="00B47C68"/>
    <w:rsid w:val="00B47D82"/>
    <w:rsid w:val="00B50207"/>
    <w:rsid w:val="00B50309"/>
    <w:rsid w:val="00B503BF"/>
    <w:rsid w:val="00B504E1"/>
    <w:rsid w:val="00B50570"/>
    <w:rsid w:val="00B50652"/>
    <w:rsid w:val="00B5084E"/>
    <w:rsid w:val="00B50884"/>
    <w:rsid w:val="00B508A6"/>
    <w:rsid w:val="00B509FB"/>
    <w:rsid w:val="00B50AD0"/>
    <w:rsid w:val="00B50AD8"/>
    <w:rsid w:val="00B50B26"/>
    <w:rsid w:val="00B50C6D"/>
    <w:rsid w:val="00B50C75"/>
    <w:rsid w:val="00B50CE7"/>
    <w:rsid w:val="00B50CEC"/>
    <w:rsid w:val="00B50D45"/>
    <w:rsid w:val="00B50DB8"/>
    <w:rsid w:val="00B50E00"/>
    <w:rsid w:val="00B50EA1"/>
    <w:rsid w:val="00B50F0E"/>
    <w:rsid w:val="00B50F8B"/>
    <w:rsid w:val="00B50FB3"/>
    <w:rsid w:val="00B51055"/>
    <w:rsid w:val="00B510FA"/>
    <w:rsid w:val="00B511DE"/>
    <w:rsid w:val="00B512B7"/>
    <w:rsid w:val="00B513CA"/>
    <w:rsid w:val="00B51508"/>
    <w:rsid w:val="00B5158A"/>
    <w:rsid w:val="00B516AB"/>
    <w:rsid w:val="00B516FA"/>
    <w:rsid w:val="00B518B2"/>
    <w:rsid w:val="00B51A25"/>
    <w:rsid w:val="00B51B52"/>
    <w:rsid w:val="00B51B9B"/>
    <w:rsid w:val="00B51BF7"/>
    <w:rsid w:val="00B51C44"/>
    <w:rsid w:val="00B51CDB"/>
    <w:rsid w:val="00B51DC4"/>
    <w:rsid w:val="00B51E8B"/>
    <w:rsid w:val="00B51F95"/>
    <w:rsid w:val="00B52004"/>
    <w:rsid w:val="00B52118"/>
    <w:rsid w:val="00B521C7"/>
    <w:rsid w:val="00B521F4"/>
    <w:rsid w:val="00B522B8"/>
    <w:rsid w:val="00B524AB"/>
    <w:rsid w:val="00B524C6"/>
    <w:rsid w:val="00B52592"/>
    <w:rsid w:val="00B525D8"/>
    <w:rsid w:val="00B525EF"/>
    <w:rsid w:val="00B526DC"/>
    <w:rsid w:val="00B527D0"/>
    <w:rsid w:val="00B5283A"/>
    <w:rsid w:val="00B52AAD"/>
    <w:rsid w:val="00B52CDD"/>
    <w:rsid w:val="00B52D89"/>
    <w:rsid w:val="00B53061"/>
    <w:rsid w:val="00B53067"/>
    <w:rsid w:val="00B530FC"/>
    <w:rsid w:val="00B531CA"/>
    <w:rsid w:val="00B5329C"/>
    <w:rsid w:val="00B53318"/>
    <w:rsid w:val="00B5338E"/>
    <w:rsid w:val="00B53539"/>
    <w:rsid w:val="00B535DA"/>
    <w:rsid w:val="00B5384B"/>
    <w:rsid w:val="00B5386B"/>
    <w:rsid w:val="00B539B9"/>
    <w:rsid w:val="00B53A13"/>
    <w:rsid w:val="00B53BAB"/>
    <w:rsid w:val="00B53D86"/>
    <w:rsid w:val="00B53E53"/>
    <w:rsid w:val="00B542B7"/>
    <w:rsid w:val="00B54591"/>
    <w:rsid w:val="00B546C8"/>
    <w:rsid w:val="00B54719"/>
    <w:rsid w:val="00B54901"/>
    <w:rsid w:val="00B549D8"/>
    <w:rsid w:val="00B54C5C"/>
    <w:rsid w:val="00B54C8C"/>
    <w:rsid w:val="00B54CB4"/>
    <w:rsid w:val="00B54CF4"/>
    <w:rsid w:val="00B54FFF"/>
    <w:rsid w:val="00B55319"/>
    <w:rsid w:val="00B55336"/>
    <w:rsid w:val="00B553BB"/>
    <w:rsid w:val="00B554B9"/>
    <w:rsid w:val="00B554C8"/>
    <w:rsid w:val="00B55506"/>
    <w:rsid w:val="00B5553E"/>
    <w:rsid w:val="00B5558C"/>
    <w:rsid w:val="00B55610"/>
    <w:rsid w:val="00B5561F"/>
    <w:rsid w:val="00B55640"/>
    <w:rsid w:val="00B55677"/>
    <w:rsid w:val="00B559DC"/>
    <w:rsid w:val="00B55B62"/>
    <w:rsid w:val="00B55DF4"/>
    <w:rsid w:val="00B55E29"/>
    <w:rsid w:val="00B55E51"/>
    <w:rsid w:val="00B55F0E"/>
    <w:rsid w:val="00B56101"/>
    <w:rsid w:val="00B561CE"/>
    <w:rsid w:val="00B562FD"/>
    <w:rsid w:val="00B565B7"/>
    <w:rsid w:val="00B5668C"/>
    <w:rsid w:val="00B566B0"/>
    <w:rsid w:val="00B56866"/>
    <w:rsid w:val="00B56A25"/>
    <w:rsid w:val="00B56AA5"/>
    <w:rsid w:val="00B56B20"/>
    <w:rsid w:val="00B56B54"/>
    <w:rsid w:val="00B56C3B"/>
    <w:rsid w:val="00B56D1A"/>
    <w:rsid w:val="00B56E8E"/>
    <w:rsid w:val="00B56F8C"/>
    <w:rsid w:val="00B57092"/>
    <w:rsid w:val="00B5709E"/>
    <w:rsid w:val="00B570C2"/>
    <w:rsid w:val="00B570E3"/>
    <w:rsid w:val="00B5714E"/>
    <w:rsid w:val="00B57192"/>
    <w:rsid w:val="00B57304"/>
    <w:rsid w:val="00B57391"/>
    <w:rsid w:val="00B57411"/>
    <w:rsid w:val="00B57564"/>
    <w:rsid w:val="00B57566"/>
    <w:rsid w:val="00B5762D"/>
    <w:rsid w:val="00B57641"/>
    <w:rsid w:val="00B57813"/>
    <w:rsid w:val="00B5796D"/>
    <w:rsid w:val="00B57A09"/>
    <w:rsid w:val="00B57A62"/>
    <w:rsid w:val="00B57AAD"/>
    <w:rsid w:val="00B57ABC"/>
    <w:rsid w:val="00B57B81"/>
    <w:rsid w:val="00B57C9F"/>
    <w:rsid w:val="00B57F88"/>
    <w:rsid w:val="00B60038"/>
    <w:rsid w:val="00B6008F"/>
    <w:rsid w:val="00B600DA"/>
    <w:rsid w:val="00B601BD"/>
    <w:rsid w:val="00B6025F"/>
    <w:rsid w:val="00B6033E"/>
    <w:rsid w:val="00B604BF"/>
    <w:rsid w:val="00B605D6"/>
    <w:rsid w:val="00B607EF"/>
    <w:rsid w:val="00B608A5"/>
    <w:rsid w:val="00B608E3"/>
    <w:rsid w:val="00B60939"/>
    <w:rsid w:val="00B60A3B"/>
    <w:rsid w:val="00B60AD1"/>
    <w:rsid w:val="00B60CEB"/>
    <w:rsid w:val="00B60D1A"/>
    <w:rsid w:val="00B60D98"/>
    <w:rsid w:val="00B60E3C"/>
    <w:rsid w:val="00B60EA8"/>
    <w:rsid w:val="00B60F30"/>
    <w:rsid w:val="00B610C6"/>
    <w:rsid w:val="00B6113C"/>
    <w:rsid w:val="00B6118F"/>
    <w:rsid w:val="00B611BF"/>
    <w:rsid w:val="00B611DB"/>
    <w:rsid w:val="00B61204"/>
    <w:rsid w:val="00B61221"/>
    <w:rsid w:val="00B61305"/>
    <w:rsid w:val="00B6146D"/>
    <w:rsid w:val="00B614D4"/>
    <w:rsid w:val="00B61598"/>
    <w:rsid w:val="00B616A4"/>
    <w:rsid w:val="00B6182A"/>
    <w:rsid w:val="00B6191E"/>
    <w:rsid w:val="00B61979"/>
    <w:rsid w:val="00B619B8"/>
    <w:rsid w:val="00B61A7D"/>
    <w:rsid w:val="00B61B81"/>
    <w:rsid w:val="00B61BE5"/>
    <w:rsid w:val="00B61BEF"/>
    <w:rsid w:val="00B61C20"/>
    <w:rsid w:val="00B61DA5"/>
    <w:rsid w:val="00B61DFC"/>
    <w:rsid w:val="00B6213B"/>
    <w:rsid w:val="00B62156"/>
    <w:rsid w:val="00B6220F"/>
    <w:rsid w:val="00B6222B"/>
    <w:rsid w:val="00B623B5"/>
    <w:rsid w:val="00B62420"/>
    <w:rsid w:val="00B624F7"/>
    <w:rsid w:val="00B62548"/>
    <w:rsid w:val="00B625D8"/>
    <w:rsid w:val="00B62669"/>
    <w:rsid w:val="00B6266D"/>
    <w:rsid w:val="00B62940"/>
    <w:rsid w:val="00B629BB"/>
    <w:rsid w:val="00B629E6"/>
    <w:rsid w:val="00B62A27"/>
    <w:rsid w:val="00B62A4D"/>
    <w:rsid w:val="00B62CCA"/>
    <w:rsid w:val="00B62FF7"/>
    <w:rsid w:val="00B630B4"/>
    <w:rsid w:val="00B6315D"/>
    <w:rsid w:val="00B63517"/>
    <w:rsid w:val="00B63603"/>
    <w:rsid w:val="00B637D7"/>
    <w:rsid w:val="00B6380B"/>
    <w:rsid w:val="00B63842"/>
    <w:rsid w:val="00B63A30"/>
    <w:rsid w:val="00B63A48"/>
    <w:rsid w:val="00B63AE4"/>
    <w:rsid w:val="00B63DD0"/>
    <w:rsid w:val="00B63F1D"/>
    <w:rsid w:val="00B63F26"/>
    <w:rsid w:val="00B63FAE"/>
    <w:rsid w:val="00B63FB7"/>
    <w:rsid w:val="00B640E2"/>
    <w:rsid w:val="00B64241"/>
    <w:rsid w:val="00B6425F"/>
    <w:rsid w:val="00B64292"/>
    <w:rsid w:val="00B64347"/>
    <w:rsid w:val="00B644B4"/>
    <w:rsid w:val="00B644DC"/>
    <w:rsid w:val="00B646A1"/>
    <w:rsid w:val="00B6484F"/>
    <w:rsid w:val="00B64890"/>
    <w:rsid w:val="00B648D8"/>
    <w:rsid w:val="00B648F7"/>
    <w:rsid w:val="00B64B0C"/>
    <w:rsid w:val="00B64BDC"/>
    <w:rsid w:val="00B64C4E"/>
    <w:rsid w:val="00B64C56"/>
    <w:rsid w:val="00B64CD6"/>
    <w:rsid w:val="00B64CF1"/>
    <w:rsid w:val="00B64CFE"/>
    <w:rsid w:val="00B64EA3"/>
    <w:rsid w:val="00B650E8"/>
    <w:rsid w:val="00B65158"/>
    <w:rsid w:val="00B65426"/>
    <w:rsid w:val="00B65511"/>
    <w:rsid w:val="00B65524"/>
    <w:rsid w:val="00B65568"/>
    <w:rsid w:val="00B65589"/>
    <w:rsid w:val="00B65787"/>
    <w:rsid w:val="00B6589B"/>
    <w:rsid w:val="00B658E8"/>
    <w:rsid w:val="00B6590D"/>
    <w:rsid w:val="00B65A52"/>
    <w:rsid w:val="00B65A87"/>
    <w:rsid w:val="00B65BD0"/>
    <w:rsid w:val="00B65BE8"/>
    <w:rsid w:val="00B65C37"/>
    <w:rsid w:val="00B65C5B"/>
    <w:rsid w:val="00B65CC6"/>
    <w:rsid w:val="00B65DE1"/>
    <w:rsid w:val="00B65FA8"/>
    <w:rsid w:val="00B66038"/>
    <w:rsid w:val="00B661F5"/>
    <w:rsid w:val="00B661FC"/>
    <w:rsid w:val="00B66689"/>
    <w:rsid w:val="00B666A4"/>
    <w:rsid w:val="00B666C4"/>
    <w:rsid w:val="00B666EB"/>
    <w:rsid w:val="00B66B55"/>
    <w:rsid w:val="00B66B95"/>
    <w:rsid w:val="00B66DBD"/>
    <w:rsid w:val="00B66E63"/>
    <w:rsid w:val="00B66EBC"/>
    <w:rsid w:val="00B66ED2"/>
    <w:rsid w:val="00B66F3F"/>
    <w:rsid w:val="00B670D4"/>
    <w:rsid w:val="00B67101"/>
    <w:rsid w:val="00B672A3"/>
    <w:rsid w:val="00B67640"/>
    <w:rsid w:val="00B676E5"/>
    <w:rsid w:val="00B678E7"/>
    <w:rsid w:val="00B678F8"/>
    <w:rsid w:val="00B67922"/>
    <w:rsid w:val="00B67A8F"/>
    <w:rsid w:val="00B67B51"/>
    <w:rsid w:val="00B67E57"/>
    <w:rsid w:val="00B700A0"/>
    <w:rsid w:val="00B7018D"/>
    <w:rsid w:val="00B7022C"/>
    <w:rsid w:val="00B7022F"/>
    <w:rsid w:val="00B70260"/>
    <w:rsid w:val="00B704CC"/>
    <w:rsid w:val="00B706A6"/>
    <w:rsid w:val="00B707B7"/>
    <w:rsid w:val="00B70AC1"/>
    <w:rsid w:val="00B70ECF"/>
    <w:rsid w:val="00B70F0D"/>
    <w:rsid w:val="00B70F33"/>
    <w:rsid w:val="00B70F7A"/>
    <w:rsid w:val="00B711A8"/>
    <w:rsid w:val="00B711BA"/>
    <w:rsid w:val="00B712BE"/>
    <w:rsid w:val="00B71653"/>
    <w:rsid w:val="00B71712"/>
    <w:rsid w:val="00B71765"/>
    <w:rsid w:val="00B71795"/>
    <w:rsid w:val="00B71804"/>
    <w:rsid w:val="00B7188E"/>
    <w:rsid w:val="00B718D6"/>
    <w:rsid w:val="00B719F6"/>
    <w:rsid w:val="00B71A59"/>
    <w:rsid w:val="00B71B1B"/>
    <w:rsid w:val="00B71C56"/>
    <w:rsid w:val="00B71C66"/>
    <w:rsid w:val="00B71DA1"/>
    <w:rsid w:val="00B71EDD"/>
    <w:rsid w:val="00B71F02"/>
    <w:rsid w:val="00B71F60"/>
    <w:rsid w:val="00B7202B"/>
    <w:rsid w:val="00B720CA"/>
    <w:rsid w:val="00B72136"/>
    <w:rsid w:val="00B7229B"/>
    <w:rsid w:val="00B722A0"/>
    <w:rsid w:val="00B722B8"/>
    <w:rsid w:val="00B722DB"/>
    <w:rsid w:val="00B7231F"/>
    <w:rsid w:val="00B723B0"/>
    <w:rsid w:val="00B72511"/>
    <w:rsid w:val="00B725EB"/>
    <w:rsid w:val="00B72653"/>
    <w:rsid w:val="00B727A2"/>
    <w:rsid w:val="00B729C9"/>
    <w:rsid w:val="00B729EE"/>
    <w:rsid w:val="00B72A36"/>
    <w:rsid w:val="00B72A82"/>
    <w:rsid w:val="00B72AAD"/>
    <w:rsid w:val="00B72C09"/>
    <w:rsid w:val="00B72D5D"/>
    <w:rsid w:val="00B72E1B"/>
    <w:rsid w:val="00B73082"/>
    <w:rsid w:val="00B731BB"/>
    <w:rsid w:val="00B731C7"/>
    <w:rsid w:val="00B7327B"/>
    <w:rsid w:val="00B73285"/>
    <w:rsid w:val="00B73415"/>
    <w:rsid w:val="00B7344F"/>
    <w:rsid w:val="00B73463"/>
    <w:rsid w:val="00B7348F"/>
    <w:rsid w:val="00B734C5"/>
    <w:rsid w:val="00B735D2"/>
    <w:rsid w:val="00B7370F"/>
    <w:rsid w:val="00B7375C"/>
    <w:rsid w:val="00B737B5"/>
    <w:rsid w:val="00B737B7"/>
    <w:rsid w:val="00B73BE6"/>
    <w:rsid w:val="00B73C24"/>
    <w:rsid w:val="00B740F7"/>
    <w:rsid w:val="00B7446D"/>
    <w:rsid w:val="00B74490"/>
    <w:rsid w:val="00B744B3"/>
    <w:rsid w:val="00B744ED"/>
    <w:rsid w:val="00B74577"/>
    <w:rsid w:val="00B745D2"/>
    <w:rsid w:val="00B745E6"/>
    <w:rsid w:val="00B745F7"/>
    <w:rsid w:val="00B74757"/>
    <w:rsid w:val="00B748A5"/>
    <w:rsid w:val="00B748B7"/>
    <w:rsid w:val="00B74ABF"/>
    <w:rsid w:val="00B74ACA"/>
    <w:rsid w:val="00B74C88"/>
    <w:rsid w:val="00B74EEF"/>
    <w:rsid w:val="00B750FE"/>
    <w:rsid w:val="00B753A6"/>
    <w:rsid w:val="00B75428"/>
    <w:rsid w:val="00B75561"/>
    <w:rsid w:val="00B75611"/>
    <w:rsid w:val="00B75746"/>
    <w:rsid w:val="00B7580A"/>
    <w:rsid w:val="00B75812"/>
    <w:rsid w:val="00B75879"/>
    <w:rsid w:val="00B75974"/>
    <w:rsid w:val="00B75B5A"/>
    <w:rsid w:val="00B75B95"/>
    <w:rsid w:val="00B75E1A"/>
    <w:rsid w:val="00B75F4C"/>
    <w:rsid w:val="00B75FA7"/>
    <w:rsid w:val="00B763D9"/>
    <w:rsid w:val="00B7646F"/>
    <w:rsid w:val="00B76470"/>
    <w:rsid w:val="00B76484"/>
    <w:rsid w:val="00B76519"/>
    <w:rsid w:val="00B765C0"/>
    <w:rsid w:val="00B76713"/>
    <w:rsid w:val="00B76894"/>
    <w:rsid w:val="00B76953"/>
    <w:rsid w:val="00B76990"/>
    <w:rsid w:val="00B769B6"/>
    <w:rsid w:val="00B769F7"/>
    <w:rsid w:val="00B76A3C"/>
    <w:rsid w:val="00B76A86"/>
    <w:rsid w:val="00B76AD9"/>
    <w:rsid w:val="00B76BBC"/>
    <w:rsid w:val="00B76C0B"/>
    <w:rsid w:val="00B76C90"/>
    <w:rsid w:val="00B76D7E"/>
    <w:rsid w:val="00B76D93"/>
    <w:rsid w:val="00B76EC4"/>
    <w:rsid w:val="00B76F3D"/>
    <w:rsid w:val="00B76F4C"/>
    <w:rsid w:val="00B76FC4"/>
    <w:rsid w:val="00B77063"/>
    <w:rsid w:val="00B77068"/>
    <w:rsid w:val="00B770D5"/>
    <w:rsid w:val="00B770DD"/>
    <w:rsid w:val="00B77148"/>
    <w:rsid w:val="00B77205"/>
    <w:rsid w:val="00B7730B"/>
    <w:rsid w:val="00B77448"/>
    <w:rsid w:val="00B774CE"/>
    <w:rsid w:val="00B77580"/>
    <w:rsid w:val="00B77657"/>
    <w:rsid w:val="00B777BA"/>
    <w:rsid w:val="00B777BB"/>
    <w:rsid w:val="00B777BC"/>
    <w:rsid w:val="00B777E8"/>
    <w:rsid w:val="00B7789E"/>
    <w:rsid w:val="00B7789F"/>
    <w:rsid w:val="00B77B1B"/>
    <w:rsid w:val="00B77BA6"/>
    <w:rsid w:val="00B77BB2"/>
    <w:rsid w:val="00B77C82"/>
    <w:rsid w:val="00B77D81"/>
    <w:rsid w:val="00B77DE1"/>
    <w:rsid w:val="00B77EC2"/>
    <w:rsid w:val="00B80037"/>
    <w:rsid w:val="00B80070"/>
    <w:rsid w:val="00B80087"/>
    <w:rsid w:val="00B8011B"/>
    <w:rsid w:val="00B801C7"/>
    <w:rsid w:val="00B80299"/>
    <w:rsid w:val="00B8037D"/>
    <w:rsid w:val="00B8053F"/>
    <w:rsid w:val="00B8067C"/>
    <w:rsid w:val="00B806AD"/>
    <w:rsid w:val="00B8080B"/>
    <w:rsid w:val="00B80850"/>
    <w:rsid w:val="00B809AF"/>
    <w:rsid w:val="00B80B63"/>
    <w:rsid w:val="00B80CDC"/>
    <w:rsid w:val="00B80DA4"/>
    <w:rsid w:val="00B80E29"/>
    <w:rsid w:val="00B8105C"/>
    <w:rsid w:val="00B810E8"/>
    <w:rsid w:val="00B814E9"/>
    <w:rsid w:val="00B815FA"/>
    <w:rsid w:val="00B816CE"/>
    <w:rsid w:val="00B817D2"/>
    <w:rsid w:val="00B81843"/>
    <w:rsid w:val="00B818C2"/>
    <w:rsid w:val="00B81A71"/>
    <w:rsid w:val="00B81A7F"/>
    <w:rsid w:val="00B81AE3"/>
    <w:rsid w:val="00B81BA0"/>
    <w:rsid w:val="00B81BC7"/>
    <w:rsid w:val="00B81C7A"/>
    <w:rsid w:val="00B81D2C"/>
    <w:rsid w:val="00B81EC0"/>
    <w:rsid w:val="00B81FDC"/>
    <w:rsid w:val="00B8208B"/>
    <w:rsid w:val="00B8215B"/>
    <w:rsid w:val="00B822AB"/>
    <w:rsid w:val="00B8264E"/>
    <w:rsid w:val="00B826A9"/>
    <w:rsid w:val="00B826EA"/>
    <w:rsid w:val="00B82751"/>
    <w:rsid w:val="00B827AF"/>
    <w:rsid w:val="00B827FF"/>
    <w:rsid w:val="00B829C3"/>
    <w:rsid w:val="00B82AF0"/>
    <w:rsid w:val="00B82B0D"/>
    <w:rsid w:val="00B82B0E"/>
    <w:rsid w:val="00B82BB4"/>
    <w:rsid w:val="00B82BE1"/>
    <w:rsid w:val="00B82C3D"/>
    <w:rsid w:val="00B82D94"/>
    <w:rsid w:val="00B82FA5"/>
    <w:rsid w:val="00B8303E"/>
    <w:rsid w:val="00B830B1"/>
    <w:rsid w:val="00B83102"/>
    <w:rsid w:val="00B83124"/>
    <w:rsid w:val="00B83369"/>
    <w:rsid w:val="00B834E6"/>
    <w:rsid w:val="00B835E6"/>
    <w:rsid w:val="00B83930"/>
    <w:rsid w:val="00B83AA1"/>
    <w:rsid w:val="00B83AD4"/>
    <w:rsid w:val="00B83CCA"/>
    <w:rsid w:val="00B83D24"/>
    <w:rsid w:val="00B83D88"/>
    <w:rsid w:val="00B84183"/>
    <w:rsid w:val="00B842D1"/>
    <w:rsid w:val="00B8440E"/>
    <w:rsid w:val="00B8445D"/>
    <w:rsid w:val="00B84461"/>
    <w:rsid w:val="00B845A9"/>
    <w:rsid w:val="00B845C4"/>
    <w:rsid w:val="00B845E3"/>
    <w:rsid w:val="00B8463B"/>
    <w:rsid w:val="00B8468F"/>
    <w:rsid w:val="00B846E1"/>
    <w:rsid w:val="00B84745"/>
    <w:rsid w:val="00B849B5"/>
    <w:rsid w:val="00B849DD"/>
    <w:rsid w:val="00B84A2C"/>
    <w:rsid w:val="00B84D34"/>
    <w:rsid w:val="00B84EEA"/>
    <w:rsid w:val="00B84F12"/>
    <w:rsid w:val="00B84F79"/>
    <w:rsid w:val="00B84FEF"/>
    <w:rsid w:val="00B8500F"/>
    <w:rsid w:val="00B8508B"/>
    <w:rsid w:val="00B850AB"/>
    <w:rsid w:val="00B850E2"/>
    <w:rsid w:val="00B850F5"/>
    <w:rsid w:val="00B851EF"/>
    <w:rsid w:val="00B85308"/>
    <w:rsid w:val="00B8542B"/>
    <w:rsid w:val="00B854B1"/>
    <w:rsid w:val="00B85533"/>
    <w:rsid w:val="00B857A0"/>
    <w:rsid w:val="00B85861"/>
    <w:rsid w:val="00B85999"/>
    <w:rsid w:val="00B85A4E"/>
    <w:rsid w:val="00B85B3B"/>
    <w:rsid w:val="00B85B9C"/>
    <w:rsid w:val="00B85BD6"/>
    <w:rsid w:val="00B85C0C"/>
    <w:rsid w:val="00B85E1B"/>
    <w:rsid w:val="00B85FA0"/>
    <w:rsid w:val="00B861BE"/>
    <w:rsid w:val="00B861CB"/>
    <w:rsid w:val="00B863CA"/>
    <w:rsid w:val="00B8652F"/>
    <w:rsid w:val="00B86685"/>
    <w:rsid w:val="00B866B1"/>
    <w:rsid w:val="00B867A3"/>
    <w:rsid w:val="00B8680A"/>
    <w:rsid w:val="00B86839"/>
    <w:rsid w:val="00B86996"/>
    <w:rsid w:val="00B86B08"/>
    <w:rsid w:val="00B86B93"/>
    <w:rsid w:val="00B86D60"/>
    <w:rsid w:val="00B86DF7"/>
    <w:rsid w:val="00B86ED8"/>
    <w:rsid w:val="00B86F36"/>
    <w:rsid w:val="00B871A0"/>
    <w:rsid w:val="00B87373"/>
    <w:rsid w:val="00B8748C"/>
    <w:rsid w:val="00B8751C"/>
    <w:rsid w:val="00B8752C"/>
    <w:rsid w:val="00B87593"/>
    <w:rsid w:val="00B8787B"/>
    <w:rsid w:val="00B87894"/>
    <w:rsid w:val="00B879CB"/>
    <w:rsid w:val="00B879FD"/>
    <w:rsid w:val="00B87B6D"/>
    <w:rsid w:val="00B87B7F"/>
    <w:rsid w:val="00B87D43"/>
    <w:rsid w:val="00B87E1D"/>
    <w:rsid w:val="00B87EA8"/>
    <w:rsid w:val="00B87F99"/>
    <w:rsid w:val="00B9000E"/>
    <w:rsid w:val="00B9010E"/>
    <w:rsid w:val="00B901AE"/>
    <w:rsid w:val="00B901ED"/>
    <w:rsid w:val="00B90214"/>
    <w:rsid w:val="00B9049A"/>
    <w:rsid w:val="00B90519"/>
    <w:rsid w:val="00B90574"/>
    <w:rsid w:val="00B9061C"/>
    <w:rsid w:val="00B90715"/>
    <w:rsid w:val="00B908A2"/>
    <w:rsid w:val="00B90901"/>
    <w:rsid w:val="00B909A5"/>
    <w:rsid w:val="00B90A67"/>
    <w:rsid w:val="00B90B18"/>
    <w:rsid w:val="00B90B57"/>
    <w:rsid w:val="00B90BD1"/>
    <w:rsid w:val="00B90C36"/>
    <w:rsid w:val="00B90C79"/>
    <w:rsid w:val="00B90CFE"/>
    <w:rsid w:val="00B90D29"/>
    <w:rsid w:val="00B90EA8"/>
    <w:rsid w:val="00B90FE0"/>
    <w:rsid w:val="00B90FF9"/>
    <w:rsid w:val="00B91388"/>
    <w:rsid w:val="00B914BA"/>
    <w:rsid w:val="00B914BF"/>
    <w:rsid w:val="00B91519"/>
    <w:rsid w:val="00B9159F"/>
    <w:rsid w:val="00B915D8"/>
    <w:rsid w:val="00B915EF"/>
    <w:rsid w:val="00B915FF"/>
    <w:rsid w:val="00B91699"/>
    <w:rsid w:val="00B91836"/>
    <w:rsid w:val="00B918E5"/>
    <w:rsid w:val="00B91A52"/>
    <w:rsid w:val="00B91AB1"/>
    <w:rsid w:val="00B91B47"/>
    <w:rsid w:val="00B91C77"/>
    <w:rsid w:val="00B91D8C"/>
    <w:rsid w:val="00B91DDE"/>
    <w:rsid w:val="00B91E8F"/>
    <w:rsid w:val="00B91EE1"/>
    <w:rsid w:val="00B91F01"/>
    <w:rsid w:val="00B91F2C"/>
    <w:rsid w:val="00B920B6"/>
    <w:rsid w:val="00B9218F"/>
    <w:rsid w:val="00B921F0"/>
    <w:rsid w:val="00B92277"/>
    <w:rsid w:val="00B922DE"/>
    <w:rsid w:val="00B923AD"/>
    <w:rsid w:val="00B9246F"/>
    <w:rsid w:val="00B925C2"/>
    <w:rsid w:val="00B9273A"/>
    <w:rsid w:val="00B927AA"/>
    <w:rsid w:val="00B92830"/>
    <w:rsid w:val="00B929B3"/>
    <w:rsid w:val="00B92AA9"/>
    <w:rsid w:val="00B92AB7"/>
    <w:rsid w:val="00B92D0F"/>
    <w:rsid w:val="00B92D36"/>
    <w:rsid w:val="00B92E2C"/>
    <w:rsid w:val="00B92FF1"/>
    <w:rsid w:val="00B93045"/>
    <w:rsid w:val="00B931FD"/>
    <w:rsid w:val="00B93223"/>
    <w:rsid w:val="00B93351"/>
    <w:rsid w:val="00B93364"/>
    <w:rsid w:val="00B93643"/>
    <w:rsid w:val="00B93771"/>
    <w:rsid w:val="00B937D9"/>
    <w:rsid w:val="00B93816"/>
    <w:rsid w:val="00B93829"/>
    <w:rsid w:val="00B93900"/>
    <w:rsid w:val="00B93D11"/>
    <w:rsid w:val="00B93D32"/>
    <w:rsid w:val="00B93E80"/>
    <w:rsid w:val="00B93FAF"/>
    <w:rsid w:val="00B94076"/>
    <w:rsid w:val="00B942F1"/>
    <w:rsid w:val="00B94594"/>
    <w:rsid w:val="00B94767"/>
    <w:rsid w:val="00B947F6"/>
    <w:rsid w:val="00B9491A"/>
    <w:rsid w:val="00B949B7"/>
    <w:rsid w:val="00B94A0D"/>
    <w:rsid w:val="00B94D64"/>
    <w:rsid w:val="00B94EA9"/>
    <w:rsid w:val="00B94EC6"/>
    <w:rsid w:val="00B94FED"/>
    <w:rsid w:val="00B95134"/>
    <w:rsid w:val="00B95143"/>
    <w:rsid w:val="00B951E9"/>
    <w:rsid w:val="00B95389"/>
    <w:rsid w:val="00B95391"/>
    <w:rsid w:val="00B95447"/>
    <w:rsid w:val="00B954B4"/>
    <w:rsid w:val="00B95519"/>
    <w:rsid w:val="00B955FB"/>
    <w:rsid w:val="00B95627"/>
    <w:rsid w:val="00B9579F"/>
    <w:rsid w:val="00B9580C"/>
    <w:rsid w:val="00B95BBD"/>
    <w:rsid w:val="00B95EAA"/>
    <w:rsid w:val="00B96055"/>
    <w:rsid w:val="00B960AE"/>
    <w:rsid w:val="00B960B0"/>
    <w:rsid w:val="00B9623E"/>
    <w:rsid w:val="00B9625A"/>
    <w:rsid w:val="00B962BC"/>
    <w:rsid w:val="00B962C7"/>
    <w:rsid w:val="00B962D3"/>
    <w:rsid w:val="00B962D6"/>
    <w:rsid w:val="00B9631E"/>
    <w:rsid w:val="00B9634D"/>
    <w:rsid w:val="00B964C4"/>
    <w:rsid w:val="00B964D3"/>
    <w:rsid w:val="00B966B1"/>
    <w:rsid w:val="00B96822"/>
    <w:rsid w:val="00B96860"/>
    <w:rsid w:val="00B9691A"/>
    <w:rsid w:val="00B9693B"/>
    <w:rsid w:val="00B969FD"/>
    <w:rsid w:val="00B96A6D"/>
    <w:rsid w:val="00B96A73"/>
    <w:rsid w:val="00B96AC7"/>
    <w:rsid w:val="00B96C0F"/>
    <w:rsid w:val="00B96DBD"/>
    <w:rsid w:val="00B96ED5"/>
    <w:rsid w:val="00B9716A"/>
    <w:rsid w:val="00B97325"/>
    <w:rsid w:val="00B9735F"/>
    <w:rsid w:val="00B973D6"/>
    <w:rsid w:val="00B9744A"/>
    <w:rsid w:val="00B9746C"/>
    <w:rsid w:val="00B97590"/>
    <w:rsid w:val="00B975FE"/>
    <w:rsid w:val="00B976A6"/>
    <w:rsid w:val="00B976D6"/>
    <w:rsid w:val="00B97825"/>
    <w:rsid w:val="00B97960"/>
    <w:rsid w:val="00B979CD"/>
    <w:rsid w:val="00B979F0"/>
    <w:rsid w:val="00B97B28"/>
    <w:rsid w:val="00B97B50"/>
    <w:rsid w:val="00B97BBA"/>
    <w:rsid w:val="00B97BC7"/>
    <w:rsid w:val="00B97BCE"/>
    <w:rsid w:val="00B97CF9"/>
    <w:rsid w:val="00B97EB0"/>
    <w:rsid w:val="00BA0259"/>
    <w:rsid w:val="00BA0274"/>
    <w:rsid w:val="00BA0822"/>
    <w:rsid w:val="00BA0868"/>
    <w:rsid w:val="00BA0898"/>
    <w:rsid w:val="00BA0B4D"/>
    <w:rsid w:val="00BA0C5B"/>
    <w:rsid w:val="00BA0CB3"/>
    <w:rsid w:val="00BA0D75"/>
    <w:rsid w:val="00BA0D89"/>
    <w:rsid w:val="00BA0E59"/>
    <w:rsid w:val="00BA104B"/>
    <w:rsid w:val="00BA112F"/>
    <w:rsid w:val="00BA1247"/>
    <w:rsid w:val="00BA130C"/>
    <w:rsid w:val="00BA137F"/>
    <w:rsid w:val="00BA1488"/>
    <w:rsid w:val="00BA15A0"/>
    <w:rsid w:val="00BA16D3"/>
    <w:rsid w:val="00BA16DD"/>
    <w:rsid w:val="00BA188A"/>
    <w:rsid w:val="00BA18C2"/>
    <w:rsid w:val="00BA18FE"/>
    <w:rsid w:val="00BA1A03"/>
    <w:rsid w:val="00BA1AF4"/>
    <w:rsid w:val="00BA1BE8"/>
    <w:rsid w:val="00BA1D25"/>
    <w:rsid w:val="00BA1E14"/>
    <w:rsid w:val="00BA1E8F"/>
    <w:rsid w:val="00BA1F44"/>
    <w:rsid w:val="00BA1F6C"/>
    <w:rsid w:val="00BA2106"/>
    <w:rsid w:val="00BA2214"/>
    <w:rsid w:val="00BA240A"/>
    <w:rsid w:val="00BA25A0"/>
    <w:rsid w:val="00BA2640"/>
    <w:rsid w:val="00BA2667"/>
    <w:rsid w:val="00BA27C0"/>
    <w:rsid w:val="00BA296B"/>
    <w:rsid w:val="00BA2B68"/>
    <w:rsid w:val="00BA2C4C"/>
    <w:rsid w:val="00BA2D3F"/>
    <w:rsid w:val="00BA2E40"/>
    <w:rsid w:val="00BA2E73"/>
    <w:rsid w:val="00BA2F8F"/>
    <w:rsid w:val="00BA312E"/>
    <w:rsid w:val="00BA332B"/>
    <w:rsid w:val="00BA344A"/>
    <w:rsid w:val="00BA3532"/>
    <w:rsid w:val="00BA35F3"/>
    <w:rsid w:val="00BA3641"/>
    <w:rsid w:val="00BA3689"/>
    <w:rsid w:val="00BA36D0"/>
    <w:rsid w:val="00BA36DD"/>
    <w:rsid w:val="00BA3886"/>
    <w:rsid w:val="00BA38EF"/>
    <w:rsid w:val="00BA3967"/>
    <w:rsid w:val="00BA398C"/>
    <w:rsid w:val="00BA39CA"/>
    <w:rsid w:val="00BA3AF3"/>
    <w:rsid w:val="00BA3DC2"/>
    <w:rsid w:val="00BA3DCE"/>
    <w:rsid w:val="00BA3DD6"/>
    <w:rsid w:val="00BA3E06"/>
    <w:rsid w:val="00BA3ECC"/>
    <w:rsid w:val="00BA3F88"/>
    <w:rsid w:val="00BA3F99"/>
    <w:rsid w:val="00BA406A"/>
    <w:rsid w:val="00BA40CA"/>
    <w:rsid w:val="00BA40E2"/>
    <w:rsid w:val="00BA41B6"/>
    <w:rsid w:val="00BA44D5"/>
    <w:rsid w:val="00BA44E0"/>
    <w:rsid w:val="00BA4512"/>
    <w:rsid w:val="00BA45D1"/>
    <w:rsid w:val="00BA45F4"/>
    <w:rsid w:val="00BA460E"/>
    <w:rsid w:val="00BA469A"/>
    <w:rsid w:val="00BA47DA"/>
    <w:rsid w:val="00BA4B0B"/>
    <w:rsid w:val="00BA4B88"/>
    <w:rsid w:val="00BA4BA0"/>
    <w:rsid w:val="00BA4BC0"/>
    <w:rsid w:val="00BA4D39"/>
    <w:rsid w:val="00BA4D6B"/>
    <w:rsid w:val="00BA4EE1"/>
    <w:rsid w:val="00BA4F7B"/>
    <w:rsid w:val="00BA4F7C"/>
    <w:rsid w:val="00BA4FEC"/>
    <w:rsid w:val="00BA506A"/>
    <w:rsid w:val="00BA51C0"/>
    <w:rsid w:val="00BA5218"/>
    <w:rsid w:val="00BA5232"/>
    <w:rsid w:val="00BA5239"/>
    <w:rsid w:val="00BA526C"/>
    <w:rsid w:val="00BA541B"/>
    <w:rsid w:val="00BA549D"/>
    <w:rsid w:val="00BA55CD"/>
    <w:rsid w:val="00BA56C3"/>
    <w:rsid w:val="00BA5717"/>
    <w:rsid w:val="00BA5735"/>
    <w:rsid w:val="00BA5800"/>
    <w:rsid w:val="00BA58F8"/>
    <w:rsid w:val="00BA5B6F"/>
    <w:rsid w:val="00BA5B7A"/>
    <w:rsid w:val="00BA6155"/>
    <w:rsid w:val="00BA6207"/>
    <w:rsid w:val="00BA62F0"/>
    <w:rsid w:val="00BA6367"/>
    <w:rsid w:val="00BA63B4"/>
    <w:rsid w:val="00BA64A6"/>
    <w:rsid w:val="00BA655C"/>
    <w:rsid w:val="00BA66DF"/>
    <w:rsid w:val="00BA66F1"/>
    <w:rsid w:val="00BA6783"/>
    <w:rsid w:val="00BA67EB"/>
    <w:rsid w:val="00BA6838"/>
    <w:rsid w:val="00BA6842"/>
    <w:rsid w:val="00BA689F"/>
    <w:rsid w:val="00BA68B7"/>
    <w:rsid w:val="00BA6907"/>
    <w:rsid w:val="00BA6A68"/>
    <w:rsid w:val="00BA6AF2"/>
    <w:rsid w:val="00BA6B36"/>
    <w:rsid w:val="00BA6B6B"/>
    <w:rsid w:val="00BA6BAA"/>
    <w:rsid w:val="00BA6BC3"/>
    <w:rsid w:val="00BA6C89"/>
    <w:rsid w:val="00BA6CCA"/>
    <w:rsid w:val="00BA6D17"/>
    <w:rsid w:val="00BA6DB4"/>
    <w:rsid w:val="00BA6E22"/>
    <w:rsid w:val="00BA70EE"/>
    <w:rsid w:val="00BA7149"/>
    <w:rsid w:val="00BA715B"/>
    <w:rsid w:val="00BA715E"/>
    <w:rsid w:val="00BA719D"/>
    <w:rsid w:val="00BA7225"/>
    <w:rsid w:val="00BA728F"/>
    <w:rsid w:val="00BA72E7"/>
    <w:rsid w:val="00BA735E"/>
    <w:rsid w:val="00BA73F4"/>
    <w:rsid w:val="00BA7449"/>
    <w:rsid w:val="00BA74EC"/>
    <w:rsid w:val="00BA75CA"/>
    <w:rsid w:val="00BA773B"/>
    <w:rsid w:val="00BA7772"/>
    <w:rsid w:val="00BA77FC"/>
    <w:rsid w:val="00BA782E"/>
    <w:rsid w:val="00BA7927"/>
    <w:rsid w:val="00BA7E8E"/>
    <w:rsid w:val="00BA7FB3"/>
    <w:rsid w:val="00BB00A5"/>
    <w:rsid w:val="00BB01EE"/>
    <w:rsid w:val="00BB0224"/>
    <w:rsid w:val="00BB026C"/>
    <w:rsid w:val="00BB03A9"/>
    <w:rsid w:val="00BB03DD"/>
    <w:rsid w:val="00BB0427"/>
    <w:rsid w:val="00BB0595"/>
    <w:rsid w:val="00BB05BE"/>
    <w:rsid w:val="00BB0608"/>
    <w:rsid w:val="00BB060A"/>
    <w:rsid w:val="00BB0811"/>
    <w:rsid w:val="00BB08B4"/>
    <w:rsid w:val="00BB0929"/>
    <w:rsid w:val="00BB094E"/>
    <w:rsid w:val="00BB0983"/>
    <w:rsid w:val="00BB09F9"/>
    <w:rsid w:val="00BB0BC3"/>
    <w:rsid w:val="00BB0BF2"/>
    <w:rsid w:val="00BB0D15"/>
    <w:rsid w:val="00BB0E9A"/>
    <w:rsid w:val="00BB0F64"/>
    <w:rsid w:val="00BB0FC9"/>
    <w:rsid w:val="00BB1007"/>
    <w:rsid w:val="00BB10EE"/>
    <w:rsid w:val="00BB115D"/>
    <w:rsid w:val="00BB136C"/>
    <w:rsid w:val="00BB1447"/>
    <w:rsid w:val="00BB173A"/>
    <w:rsid w:val="00BB1766"/>
    <w:rsid w:val="00BB178B"/>
    <w:rsid w:val="00BB1AD6"/>
    <w:rsid w:val="00BB1AF3"/>
    <w:rsid w:val="00BB1C15"/>
    <w:rsid w:val="00BB1C81"/>
    <w:rsid w:val="00BB1D84"/>
    <w:rsid w:val="00BB1D8F"/>
    <w:rsid w:val="00BB1DB2"/>
    <w:rsid w:val="00BB1E8F"/>
    <w:rsid w:val="00BB21D9"/>
    <w:rsid w:val="00BB2215"/>
    <w:rsid w:val="00BB2298"/>
    <w:rsid w:val="00BB22DD"/>
    <w:rsid w:val="00BB22FA"/>
    <w:rsid w:val="00BB23A3"/>
    <w:rsid w:val="00BB2481"/>
    <w:rsid w:val="00BB257C"/>
    <w:rsid w:val="00BB26CF"/>
    <w:rsid w:val="00BB2725"/>
    <w:rsid w:val="00BB283A"/>
    <w:rsid w:val="00BB2A11"/>
    <w:rsid w:val="00BB2A4F"/>
    <w:rsid w:val="00BB2BA4"/>
    <w:rsid w:val="00BB2BDE"/>
    <w:rsid w:val="00BB2C15"/>
    <w:rsid w:val="00BB2C28"/>
    <w:rsid w:val="00BB2D4A"/>
    <w:rsid w:val="00BB2D9A"/>
    <w:rsid w:val="00BB2DE3"/>
    <w:rsid w:val="00BB2E6E"/>
    <w:rsid w:val="00BB2F09"/>
    <w:rsid w:val="00BB2F3C"/>
    <w:rsid w:val="00BB2F4A"/>
    <w:rsid w:val="00BB3318"/>
    <w:rsid w:val="00BB356E"/>
    <w:rsid w:val="00BB3581"/>
    <w:rsid w:val="00BB359E"/>
    <w:rsid w:val="00BB3662"/>
    <w:rsid w:val="00BB36BB"/>
    <w:rsid w:val="00BB3913"/>
    <w:rsid w:val="00BB3B24"/>
    <w:rsid w:val="00BB3B36"/>
    <w:rsid w:val="00BB3B44"/>
    <w:rsid w:val="00BB3D4A"/>
    <w:rsid w:val="00BB3D6D"/>
    <w:rsid w:val="00BB3D87"/>
    <w:rsid w:val="00BB40FE"/>
    <w:rsid w:val="00BB4236"/>
    <w:rsid w:val="00BB4250"/>
    <w:rsid w:val="00BB4280"/>
    <w:rsid w:val="00BB4305"/>
    <w:rsid w:val="00BB43B6"/>
    <w:rsid w:val="00BB43C2"/>
    <w:rsid w:val="00BB4481"/>
    <w:rsid w:val="00BB462F"/>
    <w:rsid w:val="00BB467A"/>
    <w:rsid w:val="00BB46F1"/>
    <w:rsid w:val="00BB4822"/>
    <w:rsid w:val="00BB4990"/>
    <w:rsid w:val="00BB49EA"/>
    <w:rsid w:val="00BB4C55"/>
    <w:rsid w:val="00BB4CB3"/>
    <w:rsid w:val="00BB4D85"/>
    <w:rsid w:val="00BB4E0F"/>
    <w:rsid w:val="00BB5060"/>
    <w:rsid w:val="00BB50C5"/>
    <w:rsid w:val="00BB50FF"/>
    <w:rsid w:val="00BB515B"/>
    <w:rsid w:val="00BB5180"/>
    <w:rsid w:val="00BB518B"/>
    <w:rsid w:val="00BB51D0"/>
    <w:rsid w:val="00BB52A1"/>
    <w:rsid w:val="00BB52C3"/>
    <w:rsid w:val="00BB53AF"/>
    <w:rsid w:val="00BB5440"/>
    <w:rsid w:val="00BB54FE"/>
    <w:rsid w:val="00BB54FF"/>
    <w:rsid w:val="00BB558D"/>
    <w:rsid w:val="00BB562A"/>
    <w:rsid w:val="00BB56C1"/>
    <w:rsid w:val="00BB57EC"/>
    <w:rsid w:val="00BB57ED"/>
    <w:rsid w:val="00BB5807"/>
    <w:rsid w:val="00BB58B8"/>
    <w:rsid w:val="00BB5949"/>
    <w:rsid w:val="00BB5965"/>
    <w:rsid w:val="00BB59FB"/>
    <w:rsid w:val="00BB5C52"/>
    <w:rsid w:val="00BB5E14"/>
    <w:rsid w:val="00BB5E91"/>
    <w:rsid w:val="00BB5F77"/>
    <w:rsid w:val="00BB5FD5"/>
    <w:rsid w:val="00BB5FF1"/>
    <w:rsid w:val="00BB5FFF"/>
    <w:rsid w:val="00BB60A8"/>
    <w:rsid w:val="00BB6221"/>
    <w:rsid w:val="00BB63FF"/>
    <w:rsid w:val="00BB6431"/>
    <w:rsid w:val="00BB6557"/>
    <w:rsid w:val="00BB65AD"/>
    <w:rsid w:val="00BB6B33"/>
    <w:rsid w:val="00BB6B81"/>
    <w:rsid w:val="00BB6BB9"/>
    <w:rsid w:val="00BB6BC9"/>
    <w:rsid w:val="00BB6D1A"/>
    <w:rsid w:val="00BB6D32"/>
    <w:rsid w:val="00BB6DAB"/>
    <w:rsid w:val="00BB6FDB"/>
    <w:rsid w:val="00BB7079"/>
    <w:rsid w:val="00BB7326"/>
    <w:rsid w:val="00BB7463"/>
    <w:rsid w:val="00BB74A4"/>
    <w:rsid w:val="00BB7583"/>
    <w:rsid w:val="00BB7597"/>
    <w:rsid w:val="00BB7736"/>
    <w:rsid w:val="00BB7873"/>
    <w:rsid w:val="00BB78A6"/>
    <w:rsid w:val="00BB7904"/>
    <w:rsid w:val="00BB7913"/>
    <w:rsid w:val="00BB79CB"/>
    <w:rsid w:val="00BB79FC"/>
    <w:rsid w:val="00BB7A70"/>
    <w:rsid w:val="00BB7B6D"/>
    <w:rsid w:val="00BB7B79"/>
    <w:rsid w:val="00BB7DA6"/>
    <w:rsid w:val="00BB7F35"/>
    <w:rsid w:val="00BB7F80"/>
    <w:rsid w:val="00BB7FBF"/>
    <w:rsid w:val="00BB7FEF"/>
    <w:rsid w:val="00BC0021"/>
    <w:rsid w:val="00BC007A"/>
    <w:rsid w:val="00BC01B2"/>
    <w:rsid w:val="00BC0264"/>
    <w:rsid w:val="00BC0429"/>
    <w:rsid w:val="00BC0508"/>
    <w:rsid w:val="00BC05AF"/>
    <w:rsid w:val="00BC0702"/>
    <w:rsid w:val="00BC0A72"/>
    <w:rsid w:val="00BC0AA2"/>
    <w:rsid w:val="00BC0AFD"/>
    <w:rsid w:val="00BC0C77"/>
    <w:rsid w:val="00BC0D01"/>
    <w:rsid w:val="00BC0DEC"/>
    <w:rsid w:val="00BC12B5"/>
    <w:rsid w:val="00BC12F7"/>
    <w:rsid w:val="00BC1322"/>
    <w:rsid w:val="00BC14BD"/>
    <w:rsid w:val="00BC1573"/>
    <w:rsid w:val="00BC166C"/>
    <w:rsid w:val="00BC1755"/>
    <w:rsid w:val="00BC1762"/>
    <w:rsid w:val="00BC1784"/>
    <w:rsid w:val="00BC17D2"/>
    <w:rsid w:val="00BC17FA"/>
    <w:rsid w:val="00BC1816"/>
    <w:rsid w:val="00BC1911"/>
    <w:rsid w:val="00BC1AAC"/>
    <w:rsid w:val="00BC1AAD"/>
    <w:rsid w:val="00BC1B00"/>
    <w:rsid w:val="00BC1B6C"/>
    <w:rsid w:val="00BC1BC0"/>
    <w:rsid w:val="00BC1C17"/>
    <w:rsid w:val="00BC1C4B"/>
    <w:rsid w:val="00BC1C72"/>
    <w:rsid w:val="00BC1D11"/>
    <w:rsid w:val="00BC1D20"/>
    <w:rsid w:val="00BC1E98"/>
    <w:rsid w:val="00BC1F5A"/>
    <w:rsid w:val="00BC2074"/>
    <w:rsid w:val="00BC20FD"/>
    <w:rsid w:val="00BC21BF"/>
    <w:rsid w:val="00BC2203"/>
    <w:rsid w:val="00BC221A"/>
    <w:rsid w:val="00BC22D2"/>
    <w:rsid w:val="00BC245D"/>
    <w:rsid w:val="00BC2531"/>
    <w:rsid w:val="00BC25B0"/>
    <w:rsid w:val="00BC264A"/>
    <w:rsid w:val="00BC2752"/>
    <w:rsid w:val="00BC27E5"/>
    <w:rsid w:val="00BC294C"/>
    <w:rsid w:val="00BC2B24"/>
    <w:rsid w:val="00BC2C21"/>
    <w:rsid w:val="00BC2DDD"/>
    <w:rsid w:val="00BC2E17"/>
    <w:rsid w:val="00BC2E1E"/>
    <w:rsid w:val="00BC2F0A"/>
    <w:rsid w:val="00BC30E3"/>
    <w:rsid w:val="00BC3136"/>
    <w:rsid w:val="00BC3161"/>
    <w:rsid w:val="00BC336E"/>
    <w:rsid w:val="00BC3394"/>
    <w:rsid w:val="00BC3498"/>
    <w:rsid w:val="00BC350C"/>
    <w:rsid w:val="00BC3510"/>
    <w:rsid w:val="00BC35C1"/>
    <w:rsid w:val="00BC3642"/>
    <w:rsid w:val="00BC3667"/>
    <w:rsid w:val="00BC36CE"/>
    <w:rsid w:val="00BC387F"/>
    <w:rsid w:val="00BC3A77"/>
    <w:rsid w:val="00BC3AA2"/>
    <w:rsid w:val="00BC3AF0"/>
    <w:rsid w:val="00BC3B4A"/>
    <w:rsid w:val="00BC3B67"/>
    <w:rsid w:val="00BC3B99"/>
    <w:rsid w:val="00BC3C15"/>
    <w:rsid w:val="00BC3D5C"/>
    <w:rsid w:val="00BC3DBA"/>
    <w:rsid w:val="00BC3ECB"/>
    <w:rsid w:val="00BC3EE3"/>
    <w:rsid w:val="00BC3F3E"/>
    <w:rsid w:val="00BC3F7B"/>
    <w:rsid w:val="00BC3FC3"/>
    <w:rsid w:val="00BC4270"/>
    <w:rsid w:val="00BC42DE"/>
    <w:rsid w:val="00BC4331"/>
    <w:rsid w:val="00BC43E1"/>
    <w:rsid w:val="00BC443D"/>
    <w:rsid w:val="00BC44C2"/>
    <w:rsid w:val="00BC4603"/>
    <w:rsid w:val="00BC4645"/>
    <w:rsid w:val="00BC468D"/>
    <w:rsid w:val="00BC46B3"/>
    <w:rsid w:val="00BC46D0"/>
    <w:rsid w:val="00BC46FA"/>
    <w:rsid w:val="00BC4724"/>
    <w:rsid w:val="00BC474D"/>
    <w:rsid w:val="00BC47EE"/>
    <w:rsid w:val="00BC488D"/>
    <w:rsid w:val="00BC48D0"/>
    <w:rsid w:val="00BC48F4"/>
    <w:rsid w:val="00BC49DF"/>
    <w:rsid w:val="00BC49F6"/>
    <w:rsid w:val="00BC4A9F"/>
    <w:rsid w:val="00BC4B5C"/>
    <w:rsid w:val="00BC4B6D"/>
    <w:rsid w:val="00BC4D18"/>
    <w:rsid w:val="00BC4DE4"/>
    <w:rsid w:val="00BC501A"/>
    <w:rsid w:val="00BC5083"/>
    <w:rsid w:val="00BC526F"/>
    <w:rsid w:val="00BC5299"/>
    <w:rsid w:val="00BC52E2"/>
    <w:rsid w:val="00BC5460"/>
    <w:rsid w:val="00BC55E7"/>
    <w:rsid w:val="00BC57AD"/>
    <w:rsid w:val="00BC57D0"/>
    <w:rsid w:val="00BC57E3"/>
    <w:rsid w:val="00BC5823"/>
    <w:rsid w:val="00BC58F6"/>
    <w:rsid w:val="00BC5AAA"/>
    <w:rsid w:val="00BC5C03"/>
    <w:rsid w:val="00BC5C13"/>
    <w:rsid w:val="00BC5C48"/>
    <w:rsid w:val="00BC5C4D"/>
    <w:rsid w:val="00BC5CB0"/>
    <w:rsid w:val="00BC5CB3"/>
    <w:rsid w:val="00BC5CB4"/>
    <w:rsid w:val="00BC5CDE"/>
    <w:rsid w:val="00BC5FCA"/>
    <w:rsid w:val="00BC5FF1"/>
    <w:rsid w:val="00BC6007"/>
    <w:rsid w:val="00BC60CD"/>
    <w:rsid w:val="00BC622C"/>
    <w:rsid w:val="00BC62CE"/>
    <w:rsid w:val="00BC6394"/>
    <w:rsid w:val="00BC6468"/>
    <w:rsid w:val="00BC647A"/>
    <w:rsid w:val="00BC64E9"/>
    <w:rsid w:val="00BC659E"/>
    <w:rsid w:val="00BC65A4"/>
    <w:rsid w:val="00BC667E"/>
    <w:rsid w:val="00BC668C"/>
    <w:rsid w:val="00BC6796"/>
    <w:rsid w:val="00BC6862"/>
    <w:rsid w:val="00BC691B"/>
    <w:rsid w:val="00BC696D"/>
    <w:rsid w:val="00BC6E29"/>
    <w:rsid w:val="00BC6F3C"/>
    <w:rsid w:val="00BC7138"/>
    <w:rsid w:val="00BC72BC"/>
    <w:rsid w:val="00BC7394"/>
    <w:rsid w:val="00BC74A7"/>
    <w:rsid w:val="00BC74B0"/>
    <w:rsid w:val="00BC757C"/>
    <w:rsid w:val="00BC773F"/>
    <w:rsid w:val="00BC77DD"/>
    <w:rsid w:val="00BC784E"/>
    <w:rsid w:val="00BC78C6"/>
    <w:rsid w:val="00BC78D8"/>
    <w:rsid w:val="00BC79F5"/>
    <w:rsid w:val="00BC7A51"/>
    <w:rsid w:val="00BC7AFE"/>
    <w:rsid w:val="00BC7B29"/>
    <w:rsid w:val="00BC7B44"/>
    <w:rsid w:val="00BC7B78"/>
    <w:rsid w:val="00BC7CFF"/>
    <w:rsid w:val="00BC7FBB"/>
    <w:rsid w:val="00BD0022"/>
    <w:rsid w:val="00BD0064"/>
    <w:rsid w:val="00BD00BA"/>
    <w:rsid w:val="00BD00E9"/>
    <w:rsid w:val="00BD00F5"/>
    <w:rsid w:val="00BD024D"/>
    <w:rsid w:val="00BD027F"/>
    <w:rsid w:val="00BD0309"/>
    <w:rsid w:val="00BD037D"/>
    <w:rsid w:val="00BD0420"/>
    <w:rsid w:val="00BD051C"/>
    <w:rsid w:val="00BD057F"/>
    <w:rsid w:val="00BD05BB"/>
    <w:rsid w:val="00BD0730"/>
    <w:rsid w:val="00BD0813"/>
    <w:rsid w:val="00BD085A"/>
    <w:rsid w:val="00BD08E7"/>
    <w:rsid w:val="00BD0948"/>
    <w:rsid w:val="00BD09A5"/>
    <w:rsid w:val="00BD0A28"/>
    <w:rsid w:val="00BD0C79"/>
    <w:rsid w:val="00BD0D44"/>
    <w:rsid w:val="00BD0D53"/>
    <w:rsid w:val="00BD0DC5"/>
    <w:rsid w:val="00BD0F89"/>
    <w:rsid w:val="00BD0FE0"/>
    <w:rsid w:val="00BD1033"/>
    <w:rsid w:val="00BD105C"/>
    <w:rsid w:val="00BD122E"/>
    <w:rsid w:val="00BD1512"/>
    <w:rsid w:val="00BD15A0"/>
    <w:rsid w:val="00BD162F"/>
    <w:rsid w:val="00BD1737"/>
    <w:rsid w:val="00BD185F"/>
    <w:rsid w:val="00BD1936"/>
    <w:rsid w:val="00BD19EF"/>
    <w:rsid w:val="00BD1C07"/>
    <w:rsid w:val="00BD1E53"/>
    <w:rsid w:val="00BD1E85"/>
    <w:rsid w:val="00BD1ED7"/>
    <w:rsid w:val="00BD1F1A"/>
    <w:rsid w:val="00BD1FCC"/>
    <w:rsid w:val="00BD1FF5"/>
    <w:rsid w:val="00BD2130"/>
    <w:rsid w:val="00BD21A3"/>
    <w:rsid w:val="00BD241F"/>
    <w:rsid w:val="00BD2443"/>
    <w:rsid w:val="00BD249E"/>
    <w:rsid w:val="00BD289C"/>
    <w:rsid w:val="00BD28A5"/>
    <w:rsid w:val="00BD28EB"/>
    <w:rsid w:val="00BD2AF2"/>
    <w:rsid w:val="00BD2B81"/>
    <w:rsid w:val="00BD2C49"/>
    <w:rsid w:val="00BD2DBD"/>
    <w:rsid w:val="00BD2E58"/>
    <w:rsid w:val="00BD2ED2"/>
    <w:rsid w:val="00BD2F90"/>
    <w:rsid w:val="00BD304D"/>
    <w:rsid w:val="00BD3158"/>
    <w:rsid w:val="00BD3239"/>
    <w:rsid w:val="00BD324C"/>
    <w:rsid w:val="00BD3267"/>
    <w:rsid w:val="00BD326E"/>
    <w:rsid w:val="00BD32EB"/>
    <w:rsid w:val="00BD3330"/>
    <w:rsid w:val="00BD339B"/>
    <w:rsid w:val="00BD348B"/>
    <w:rsid w:val="00BD34B0"/>
    <w:rsid w:val="00BD3582"/>
    <w:rsid w:val="00BD373A"/>
    <w:rsid w:val="00BD378D"/>
    <w:rsid w:val="00BD37C2"/>
    <w:rsid w:val="00BD38B7"/>
    <w:rsid w:val="00BD3979"/>
    <w:rsid w:val="00BD3A96"/>
    <w:rsid w:val="00BD3C95"/>
    <w:rsid w:val="00BD3CA3"/>
    <w:rsid w:val="00BD3D1B"/>
    <w:rsid w:val="00BD3D49"/>
    <w:rsid w:val="00BD3DA1"/>
    <w:rsid w:val="00BD3E72"/>
    <w:rsid w:val="00BD3E77"/>
    <w:rsid w:val="00BD3EBD"/>
    <w:rsid w:val="00BD3F6F"/>
    <w:rsid w:val="00BD4022"/>
    <w:rsid w:val="00BD4025"/>
    <w:rsid w:val="00BD403D"/>
    <w:rsid w:val="00BD40C7"/>
    <w:rsid w:val="00BD411D"/>
    <w:rsid w:val="00BD41A8"/>
    <w:rsid w:val="00BD41CF"/>
    <w:rsid w:val="00BD4475"/>
    <w:rsid w:val="00BD44EB"/>
    <w:rsid w:val="00BD4574"/>
    <w:rsid w:val="00BD463E"/>
    <w:rsid w:val="00BD4869"/>
    <w:rsid w:val="00BD4888"/>
    <w:rsid w:val="00BD491D"/>
    <w:rsid w:val="00BD497C"/>
    <w:rsid w:val="00BD49A0"/>
    <w:rsid w:val="00BD4B5B"/>
    <w:rsid w:val="00BD4CAC"/>
    <w:rsid w:val="00BD4D8E"/>
    <w:rsid w:val="00BD4E0E"/>
    <w:rsid w:val="00BD5042"/>
    <w:rsid w:val="00BD50EE"/>
    <w:rsid w:val="00BD512D"/>
    <w:rsid w:val="00BD51AC"/>
    <w:rsid w:val="00BD51D4"/>
    <w:rsid w:val="00BD51FB"/>
    <w:rsid w:val="00BD53FA"/>
    <w:rsid w:val="00BD5444"/>
    <w:rsid w:val="00BD551A"/>
    <w:rsid w:val="00BD55E5"/>
    <w:rsid w:val="00BD55F6"/>
    <w:rsid w:val="00BD5622"/>
    <w:rsid w:val="00BD56BF"/>
    <w:rsid w:val="00BD572E"/>
    <w:rsid w:val="00BD5756"/>
    <w:rsid w:val="00BD5BF4"/>
    <w:rsid w:val="00BD5C05"/>
    <w:rsid w:val="00BD5CD5"/>
    <w:rsid w:val="00BD5D3B"/>
    <w:rsid w:val="00BD5DCD"/>
    <w:rsid w:val="00BD5FFC"/>
    <w:rsid w:val="00BD6011"/>
    <w:rsid w:val="00BD60ED"/>
    <w:rsid w:val="00BD610C"/>
    <w:rsid w:val="00BD61B0"/>
    <w:rsid w:val="00BD6272"/>
    <w:rsid w:val="00BD6466"/>
    <w:rsid w:val="00BD6496"/>
    <w:rsid w:val="00BD65C6"/>
    <w:rsid w:val="00BD669E"/>
    <w:rsid w:val="00BD66C1"/>
    <w:rsid w:val="00BD67C7"/>
    <w:rsid w:val="00BD686A"/>
    <w:rsid w:val="00BD6A5E"/>
    <w:rsid w:val="00BD6B00"/>
    <w:rsid w:val="00BD6B56"/>
    <w:rsid w:val="00BD6BBB"/>
    <w:rsid w:val="00BD6CA4"/>
    <w:rsid w:val="00BD6DF8"/>
    <w:rsid w:val="00BD6ED0"/>
    <w:rsid w:val="00BD6F13"/>
    <w:rsid w:val="00BD6F31"/>
    <w:rsid w:val="00BD6F3A"/>
    <w:rsid w:val="00BD6FC4"/>
    <w:rsid w:val="00BD7002"/>
    <w:rsid w:val="00BD712A"/>
    <w:rsid w:val="00BD717F"/>
    <w:rsid w:val="00BD7237"/>
    <w:rsid w:val="00BD72C5"/>
    <w:rsid w:val="00BD7441"/>
    <w:rsid w:val="00BD74CE"/>
    <w:rsid w:val="00BD74CF"/>
    <w:rsid w:val="00BD7553"/>
    <w:rsid w:val="00BD7685"/>
    <w:rsid w:val="00BD769A"/>
    <w:rsid w:val="00BD78F2"/>
    <w:rsid w:val="00BD78FA"/>
    <w:rsid w:val="00BD7942"/>
    <w:rsid w:val="00BD7AE5"/>
    <w:rsid w:val="00BD7C23"/>
    <w:rsid w:val="00BD7DD6"/>
    <w:rsid w:val="00BD7ECF"/>
    <w:rsid w:val="00BD7ED9"/>
    <w:rsid w:val="00BD7F8A"/>
    <w:rsid w:val="00BD7FA6"/>
    <w:rsid w:val="00BE0008"/>
    <w:rsid w:val="00BE0107"/>
    <w:rsid w:val="00BE017D"/>
    <w:rsid w:val="00BE0182"/>
    <w:rsid w:val="00BE01FA"/>
    <w:rsid w:val="00BE0298"/>
    <w:rsid w:val="00BE02AC"/>
    <w:rsid w:val="00BE034F"/>
    <w:rsid w:val="00BE035A"/>
    <w:rsid w:val="00BE054D"/>
    <w:rsid w:val="00BE0657"/>
    <w:rsid w:val="00BE0765"/>
    <w:rsid w:val="00BE08E8"/>
    <w:rsid w:val="00BE096A"/>
    <w:rsid w:val="00BE0A44"/>
    <w:rsid w:val="00BE0AB8"/>
    <w:rsid w:val="00BE0AFB"/>
    <w:rsid w:val="00BE0B4F"/>
    <w:rsid w:val="00BE0E0A"/>
    <w:rsid w:val="00BE0E22"/>
    <w:rsid w:val="00BE0EEA"/>
    <w:rsid w:val="00BE1015"/>
    <w:rsid w:val="00BE103A"/>
    <w:rsid w:val="00BE1059"/>
    <w:rsid w:val="00BE116B"/>
    <w:rsid w:val="00BE132A"/>
    <w:rsid w:val="00BE1346"/>
    <w:rsid w:val="00BE1349"/>
    <w:rsid w:val="00BE143A"/>
    <w:rsid w:val="00BE1588"/>
    <w:rsid w:val="00BE159D"/>
    <w:rsid w:val="00BE1639"/>
    <w:rsid w:val="00BE16D7"/>
    <w:rsid w:val="00BE174F"/>
    <w:rsid w:val="00BE1767"/>
    <w:rsid w:val="00BE17F6"/>
    <w:rsid w:val="00BE18A5"/>
    <w:rsid w:val="00BE198E"/>
    <w:rsid w:val="00BE1AFE"/>
    <w:rsid w:val="00BE1C37"/>
    <w:rsid w:val="00BE1E3F"/>
    <w:rsid w:val="00BE1F3A"/>
    <w:rsid w:val="00BE2174"/>
    <w:rsid w:val="00BE2264"/>
    <w:rsid w:val="00BE2372"/>
    <w:rsid w:val="00BE24A6"/>
    <w:rsid w:val="00BE2560"/>
    <w:rsid w:val="00BE27E2"/>
    <w:rsid w:val="00BE2989"/>
    <w:rsid w:val="00BE29D2"/>
    <w:rsid w:val="00BE29D9"/>
    <w:rsid w:val="00BE2D38"/>
    <w:rsid w:val="00BE2E5E"/>
    <w:rsid w:val="00BE2E6F"/>
    <w:rsid w:val="00BE2E7C"/>
    <w:rsid w:val="00BE302D"/>
    <w:rsid w:val="00BE304A"/>
    <w:rsid w:val="00BE30C5"/>
    <w:rsid w:val="00BE3133"/>
    <w:rsid w:val="00BE3159"/>
    <w:rsid w:val="00BE3169"/>
    <w:rsid w:val="00BE3198"/>
    <w:rsid w:val="00BE319B"/>
    <w:rsid w:val="00BE319E"/>
    <w:rsid w:val="00BE31FA"/>
    <w:rsid w:val="00BE32ED"/>
    <w:rsid w:val="00BE3340"/>
    <w:rsid w:val="00BE334D"/>
    <w:rsid w:val="00BE3560"/>
    <w:rsid w:val="00BE3641"/>
    <w:rsid w:val="00BE365E"/>
    <w:rsid w:val="00BE39CD"/>
    <w:rsid w:val="00BE3AFA"/>
    <w:rsid w:val="00BE3BE5"/>
    <w:rsid w:val="00BE3C1E"/>
    <w:rsid w:val="00BE3C7B"/>
    <w:rsid w:val="00BE3D4F"/>
    <w:rsid w:val="00BE3E2B"/>
    <w:rsid w:val="00BE3F52"/>
    <w:rsid w:val="00BE3FA1"/>
    <w:rsid w:val="00BE41CC"/>
    <w:rsid w:val="00BE41DA"/>
    <w:rsid w:val="00BE426A"/>
    <w:rsid w:val="00BE4303"/>
    <w:rsid w:val="00BE43CE"/>
    <w:rsid w:val="00BE441E"/>
    <w:rsid w:val="00BE4602"/>
    <w:rsid w:val="00BE4626"/>
    <w:rsid w:val="00BE465D"/>
    <w:rsid w:val="00BE4741"/>
    <w:rsid w:val="00BE47EE"/>
    <w:rsid w:val="00BE4852"/>
    <w:rsid w:val="00BE4925"/>
    <w:rsid w:val="00BE4D63"/>
    <w:rsid w:val="00BE504A"/>
    <w:rsid w:val="00BE5060"/>
    <w:rsid w:val="00BE508B"/>
    <w:rsid w:val="00BE5252"/>
    <w:rsid w:val="00BE53D8"/>
    <w:rsid w:val="00BE552F"/>
    <w:rsid w:val="00BE57B8"/>
    <w:rsid w:val="00BE582F"/>
    <w:rsid w:val="00BE58F5"/>
    <w:rsid w:val="00BE5AE7"/>
    <w:rsid w:val="00BE5AE9"/>
    <w:rsid w:val="00BE5B2C"/>
    <w:rsid w:val="00BE5B94"/>
    <w:rsid w:val="00BE5D3F"/>
    <w:rsid w:val="00BE5E12"/>
    <w:rsid w:val="00BE603F"/>
    <w:rsid w:val="00BE606A"/>
    <w:rsid w:val="00BE6070"/>
    <w:rsid w:val="00BE6091"/>
    <w:rsid w:val="00BE61F0"/>
    <w:rsid w:val="00BE62EB"/>
    <w:rsid w:val="00BE63B1"/>
    <w:rsid w:val="00BE6496"/>
    <w:rsid w:val="00BE64B1"/>
    <w:rsid w:val="00BE6723"/>
    <w:rsid w:val="00BE690D"/>
    <w:rsid w:val="00BE6928"/>
    <w:rsid w:val="00BE6998"/>
    <w:rsid w:val="00BE6A67"/>
    <w:rsid w:val="00BE6B09"/>
    <w:rsid w:val="00BE6C10"/>
    <w:rsid w:val="00BE6C6E"/>
    <w:rsid w:val="00BE6CA6"/>
    <w:rsid w:val="00BE6CC6"/>
    <w:rsid w:val="00BE6F58"/>
    <w:rsid w:val="00BE6FE2"/>
    <w:rsid w:val="00BE7064"/>
    <w:rsid w:val="00BE70D8"/>
    <w:rsid w:val="00BE7180"/>
    <w:rsid w:val="00BE730B"/>
    <w:rsid w:val="00BE74AF"/>
    <w:rsid w:val="00BE752C"/>
    <w:rsid w:val="00BE7534"/>
    <w:rsid w:val="00BE7624"/>
    <w:rsid w:val="00BE76D3"/>
    <w:rsid w:val="00BE7753"/>
    <w:rsid w:val="00BE78CD"/>
    <w:rsid w:val="00BE7A54"/>
    <w:rsid w:val="00BE7B59"/>
    <w:rsid w:val="00BE7BC2"/>
    <w:rsid w:val="00BE7C3F"/>
    <w:rsid w:val="00BE7C6F"/>
    <w:rsid w:val="00BE7D1C"/>
    <w:rsid w:val="00BE7DBD"/>
    <w:rsid w:val="00BF0076"/>
    <w:rsid w:val="00BF00F5"/>
    <w:rsid w:val="00BF012C"/>
    <w:rsid w:val="00BF01C3"/>
    <w:rsid w:val="00BF02D6"/>
    <w:rsid w:val="00BF03BD"/>
    <w:rsid w:val="00BF0422"/>
    <w:rsid w:val="00BF0463"/>
    <w:rsid w:val="00BF067C"/>
    <w:rsid w:val="00BF07A3"/>
    <w:rsid w:val="00BF0C5F"/>
    <w:rsid w:val="00BF0DFB"/>
    <w:rsid w:val="00BF0E88"/>
    <w:rsid w:val="00BF0E9F"/>
    <w:rsid w:val="00BF0EB6"/>
    <w:rsid w:val="00BF1043"/>
    <w:rsid w:val="00BF120E"/>
    <w:rsid w:val="00BF1252"/>
    <w:rsid w:val="00BF1261"/>
    <w:rsid w:val="00BF1368"/>
    <w:rsid w:val="00BF136A"/>
    <w:rsid w:val="00BF13BE"/>
    <w:rsid w:val="00BF1495"/>
    <w:rsid w:val="00BF1497"/>
    <w:rsid w:val="00BF15EA"/>
    <w:rsid w:val="00BF1677"/>
    <w:rsid w:val="00BF169D"/>
    <w:rsid w:val="00BF1780"/>
    <w:rsid w:val="00BF180F"/>
    <w:rsid w:val="00BF190D"/>
    <w:rsid w:val="00BF1916"/>
    <w:rsid w:val="00BF197F"/>
    <w:rsid w:val="00BF1A6E"/>
    <w:rsid w:val="00BF1B84"/>
    <w:rsid w:val="00BF1BD4"/>
    <w:rsid w:val="00BF1DB0"/>
    <w:rsid w:val="00BF1F4C"/>
    <w:rsid w:val="00BF2017"/>
    <w:rsid w:val="00BF225F"/>
    <w:rsid w:val="00BF229F"/>
    <w:rsid w:val="00BF2300"/>
    <w:rsid w:val="00BF2378"/>
    <w:rsid w:val="00BF262C"/>
    <w:rsid w:val="00BF281D"/>
    <w:rsid w:val="00BF2995"/>
    <w:rsid w:val="00BF2AD4"/>
    <w:rsid w:val="00BF2CD6"/>
    <w:rsid w:val="00BF2D1A"/>
    <w:rsid w:val="00BF2D23"/>
    <w:rsid w:val="00BF2E42"/>
    <w:rsid w:val="00BF2F2C"/>
    <w:rsid w:val="00BF2FCC"/>
    <w:rsid w:val="00BF304E"/>
    <w:rsid w:val="00BF3228"/>
    <w:rsid w:val="00BF323A"/>
    <w:rsid w:val="00BF325B"/>
    <w:rsid w:val="00BF33A5"/>
    <w:rsid w:val="00BF3547"/>
    <w:rsid w:val="00BF354A"/>
    <w:rsid w:val="00BF3793"/>
    <w:rsid w:val="00BF39C0"/>
    <w:rsid w:val="00BF3B56"/>
    <w:rsid w:val="00BF3BF2"/>
    <w:rsid w:val="00BF3C14"/>
    <w:rsid w:val="00BF3C59"/>
    <w:rsid w:val="00BF3CA9"/>
    <w:rsid w:val="00BF3DDD"/>
    <w:rsid w:val="00BF3EBB"/>
    <w:rsid w:val="00BF3ECE"/>
    <w:rsid w:val="00BF3EE3"/>
    <w:rsid w:val="00BF4063"/>
    <w:rsid w:val="00BF4369"/>
    <w:rsid w:val="00BF44E1"/>
    <w:rsid w:val="00BF462F"/>
    <w:rsid w:val="00BF4673"/>
    <w:rsid w:val="00BF47BE"/>
    <w:rsid w:val="00BF498F"/>
    <w:rsid w:val="00BF4A71"/>
    <w:rsid w:val="00BF4AEC"/>
    <w:rsid w:val="00BF4C8C"/>
    <w:rsid w:val="00BF4DBE"/>
    <w:rsid w:val="00BF5056"/>
    <w:rsid w:val="00BF523A"/>
    <w:rsid w:val="00BF5258"/>
    <w:rsid w:val="00BF528E"/>
    <w:rsid w:val="00BF54D5"/>
    <w:rsid w:val="00BF58AD"/>
    <w:rsid w:val="00BF592F"/>
    <w:rsid w:val="00BF5AD1"/>
    <w:rsid w:val="00BF5C8C"/>
    <w:rsid w:val="00BF5CFB"/>
    <w:rsid w:val="00BF5FC5"/>
    <w:rsid w:val="00BF60AD"/>
    <w:rsid w:val="00BF6149"/>
    <w:rsid w:val="00BF6158"/>
    <w:rsid w:val="00BF623A"/>
    <w:rsid w:val="00BF644A"/>
    <w:rsid w:val="00BF6450"/>
    <w:rsid w:val="00BF647C"/>
    <w:rsid w:val="00BF64EE"/>
    <w:rsid w:val="00BF6512"/>
    <w:rsid w:val="00BF65CE"/>
    <w:rsid w:val="00BF66C0"/>
    <w:rsid w:val="00BF67BA"/>
    <w:rsid w:val="00BF68A0"/>
    <w:rsid w:val="00BF6989"/>
    <w:rsid w:val="00BF6999"/>
    <w:rsid w:val="00BF6A3F"/>
    <w:rsid w:val="00BF6C4A"/>
    <w:rsid w:val="00BF6C8A"/>
    <w:rsid w:val="00BF6D81"/>
    <w:rsid w:val="00BF6E49"/>
    <w:rsid w:val="00BF6FE5"/>
    <w:rsid w:val="00BF7055"/>
    <w:rsid w:val="00BF7090"/>
    <w:rsid w:val="00BF7331"/>
    <w:rsid w:val="00BF73A8"/>
    <w:rsid w:val="00BF73DF"/>
    <w:rsid w:val="00BF7431"/>
    <w:rsid w:val="00BF75D9"/>
    <w:rsid w:val="00BF766C"/>
    <w:rsid w:val="00BF770A"/>
    <w:rsid w:val="00BF7731"/>
    <w:rsid w:val="00BF7804"/>
    <w:rsid w:val="00BF7817"/>
    <w:rsid w:val="00BF7852"/>
    <w:rsid w:val="00BF7B78"/>
    <w:rsid w:val="00BF7C15"/>
    <w:rsid w:val="00BF7C59"/>
    <w:rsid w:val="00BF7C73"/>
    <w:rsid w:val="00BF7D2C"/>
    <w:rsid w:val="00BF7E5C"/>
    <w:rsid w:val="00BF7E8F"/>
    <w:rsid w:val="00BF7F22"/>
    <w:rsid w:val="00BF7F27"/>
    <w:rsid w:val="00BF7F69"/>
    <w:rsid w:val="00C000E0"/>
    <w:rsid w:val="00C00137"/>
    <w:rsid w:val="00C0019F"/>
    <w:rsid w:val="00C00228"/>
    <w:rsid w:val="00C00310"/>
    <w:rsid w:val="00C0034B"/>
    <w:rsid w:val="00C00390"/>
    <w:rsid w:val="00C004C3"/>
    <w:rsid w:val="00C00568"/>
    <w:rsid w:val="00C009A1"/>
    <w:rsid w:val="00C00AEF"/>
    <w:rsid w:val="00C00B20"/>
    <w:rsid w:val="00C00B57"/>
    <w:rsid w:val="00C00C93"/>
    <w:rsid w:val="00C00FBF"/>
    <w:rsid w:val="00C0106D"/>
    <w:rsid w:val="00C0113F"/>
    <w:rsid w:val="00C0115B"/>
    <w:rsid w:val="00C013D6"/>
    <w:rsid w:val="00C01446"/>
    <w:rsid w:val="00C01493"/>
    <w:rsid w:val="00C01531"/>
    <w:rsid w:val="00C015B6"/>
    <w:rsid w:val="00C01624"/>
    <w:rsid w:val="00C016C2"/>
    <w:rsid w:val="00C01777"/>
    <w:rsid w:val="00C01A77"/>
    <w:rsid w:val="00C01E01"/>
    <w:rsid w:val="00C01E84"/>
    <w:rsid w:val="00C01E99"/>
    <w:rsid w:val="00C01EC5"/>
    <w:rsid w:val="00C01F02"/>
    <w:rsid w:val="00C0213C"/>
    <w:rsid w:val="00C02232"/>
    <w:rsid w:val="00C02286"/>
    <w:rsid w:val="00C02329"/>
    <w:rsid w:val="00C024CB"/>
    <w:rsid w:val="00C0252D"/>
    <w:rsid w:val="00C0257D"/>
    <w:rsid w:val="00C026F6"/>
    <w:rsid w:val="00C027E2"/>
    <w:rsid w:val="00C0285A"/>
    <w:rsid w:val="00C0292A"/>
    <w:rsid w:val="00C02981"/>
    <w:rsid w:val="00C02A3F"/>
    <w:rsid w:val="00C02A67"/>
    <w:rsid w:val="00C02B5D"/>
    <w:rsid w:val="00C02B82"/>
    <w:rsid w:val="00C02F29"/>
    <w:rsid w:val="00C02F6D"/>
    <w:rsid w:val="00C0301F"/>
    <w:rsid w:val="00C0302D"/>
    <w:rsid w:val="00C030DF"/>
    <w:rsid w:val="00C0330D"/>
    <w:rsid w:val="00C0362D"/>
    <w:rsid w:val="00C036CD"/>
    <w:rsid w:val="00C0372B"/>
    <w:rsid w:val="00C03743"/>
    <w:rsid w:val="00C03896"/>
    <w:rsid w:val="00C038D4"/>
    <w:rsid w:val="00C038E6"/>
    <w:rsid w:val="00C03ADD"/>
    <w:rsid w:val="00C03B86"/>
    <w:rsid w:val="00C03BB8"/>
    <w:rsid w:val="00C03BC5"/>
    <w:rsid w:val="00C03C2B"/>
    <w:rsid w:val="00C03CBA"/>
    <w:rsid w:val="00C03D44"/>
    <w:rsid w:val="00C03DB2"/>
    <w:rsid w:val="00C03DBB"/>
    <w:rsid w:val="00C0427F"/>
    <w:rsid w:val="00C042A2"/>
    <w:rsid w:val="00C04318"/>
    <w:rsid w:val="00C04381"/>
    <w:rsid w:val="00C04387"/>
    <w:rsid w:val="00C04556"/>
    <w:rsid w:val="00C04674"/>
    <w:rsid w:val="00C0490D"/>
    <w:rsid w:val="00C049BF"/>
    <w:rsid w:val="00C049D3"/>
    <w:rsid w:val="00C049E7"/>
    <w:rsid w:val="00C04B1D"/>
    <w:rsid w:val="00C04C8A"/>
    <w:rsid w:val="00C04D80"/>
    <w:rsid w:val="00C04DBF"/>
    <w:rsid w:val="00C04DE7"/>
    <w:rsid w:val="00C04E88"/>
    <w:rsid w:val="00C04FD3"/>
    <w:rsid w:val="00C05037"/>
    <w:rsid w:val="00C050EC"/>
    <w:rsid w:val="00C0525D"/>
    <w:rsid w:val="00C052E7"/>
    <w:rsid w:val="00C0530C"/>
    <w:rsid w:val="00C05339"/>
    <w:rsid w:val="00C0548A"/>
    <w:rsid w:val="00C054BA"/>
    <w:rsid w:val="00C0560B"/>
    <w:rsid w:val="00C05704"/>
    <w:rsid w:val="00C05754"/>
    <w:rsid w:val="00C0586A"/>
    <w:rsid w:val="00C058D8"/>
    <w:rsid w:val="00C0590A"/>
    <w:rsid w:val="00C05919"/>
    <w:rsid w:val="00C05B2B"/>
    <w:rsid w:val="00C05BF6"/>
    <w:rsid w:val="00C05E4B"/>
    <w:rsid w:val="00C062CE"/>
    <w:rsid w:val="00C063DB"/>
    <w:rsid w:val="00C06455"/>
    <w:rsid w:val="00C0665F"/>
    <w:rsid w:val="00C06705"/>
    <w:rsid w:val="00C06941"/>
    <w:rsid w:val="00C06A51"/>
    <w:rsid w:val="00C06ECF"/>
    <w:rsid w:val="00C0701C"/>
    <w:rsid w:val="00C0704D"/>
    <w:rsid w:val="00C070B3"/>
    <w:rsid w:val="00C072FF"/>
    <w:rsid w:val="00C073F7"/>
    <w:rsid w:val="00C07400"/>
    <w:rsid w:val="00C0755B"/>
    <w:rsid w:val="00C07634"/>
    <w:rsid w:val="00C07784"/>
    <w:rsid w:val="00C077E8"/>
    <w:rsid w:val="00C0788E"/>
    <w:rsid w:val="00C07890"/>
    <w:rsid w:val="00C078B6"/>
    <w:rsid w:val="00C07A05"/>
    <w:rsid w:val="00C07A54"/>
    <w:rsid w:val="00C07BB6"/>
    <w:rsid w:val="00C07CB3"/>
    <w:rsid w:val="00C07D32"/>
    <w:rsid w:val="00C07D74"/>
    <w:rsid w:val="00C07E06"/>
    <w:rsid w:val="00C07E40"/>
    <w:rsid w:val="00C07E9D"/>
    <w:rsid w:val="00C07ED3"/>
    <w:rsid w:val="00C07F72"/>
    <w:rsid w:val="00C1018E"/>
    <w:rsid w:val="00C1028B"/>
    <w:rsid w:val="00C102B5"/>
    <w:rsid w:val="00C102FB"/>
    <w:rsid w:val="00C10373"/>
    <w:rsid w:val="00C105BE"/>
    <w:rsid w:val="00C10698"/>
    <w:rsid w:val="00C1087E"/>
    <w:rsid w:val="00C10922"/>
    <w:rsid w:val="00C10986"/>
    <w:rsid w:val="00C10B60"/>
    <w:rsid w:val="00C10C24"/>
    <w:rsid w:val="00C10C2F"/>
    <w:rsid w:val="00C10CF3"/>
    <w:rsid w:val="00C10CF9"/>
    <w:rsid w:val="00C10D0F"/>
    <w:rsid w:val="00C10E5A"/>
    <w:rsid w:val="00C11093"/>
    <w:rsid w:val="00C110C1"/>
    <w:rsid w:val="00C111AF"/>
    <w:rsid w:val="00C112A9"/>
    <w:rsid w:val="00C112DF"/>
    <w:rsid w:val="00C11404"/>
    <w:rsid w:val="00C11492"/>
    <w:rsid w:val="00C1157F"/>
    <w:rsid w:val="00C116C3"/>
    <w:rsid w:val="00C11714"/>
    <w:rsid w:val="00C1175E"/>
    <w:rsid w:val="00C118CC"/>
    <w:rsid w:val="00C11ACA"/>
    <w:rsid w:val="00C11C2C"/>
    <w:rsid w:val="00C11C97"/>
    <w:rsid w:val="00C11DAF"/>
    <w:rsid w:val="00C11E02"/>
    <w:rsid w:val="00C11E71"/>
    <w:rsid w:val="00C11F4C"/>
    <w:rsid w:val="00C1204C"/>
    <w:rsid w:val="00C12164"/>
    <w:rsid w:val="00C12318"/>
    <w:rsid w:val="00C12487"/>
    <w:rsid w:val="00C124D1"/>
    <w:rsid w:val="00C12584"/>
    <w:rsid w:val="00C125AF"/>
    <w:rsid w:val="00C126AC"/>
    <w:rsid w:val="00C12913"/>
    <w:rsid w:val="00C129D5"/>
    <w:rsid w:val="00C12A27"/>
    <w:rsid w:val="00C12A38"/>
    <w:rsid w:val="00C12D64"/>
    <w:rsid w:val="00C12EBF"/>
    <w:rsid w:val="00C12F0C"/>
    <w:rsid w:val="00C13035"/>
    <w:rsid w:val="00C1308E"/>
    <w:rsid w:val="00C1318C"/>
    <w:rsid w:val="00C13350"/>
    <w:rsid w:val="00C13441"/>
    <w:rsid w:val="00C1344A"/>
    <w:rsid w:val="00C1354F"/>
    <w:rsid w:val="00C13568"/>
    <w:rsid w:val="00C13AE7"/>
    <w:rsid w:val="00C13CC2"/>
    <w:rsid w:val="00C13DEE"/>
    <w:rsid w:val="00C13E5B"/>
    <w:rsid w:val="00C13F2B"/>
    <w:rsid w:val="00C14103"/>
    <w:rsid w:val="00C14296"/>
    <w:rsid w:val="00C142DB"/>
    <w:rsid w:val="00C1434A"/>
    <w:rsid w:val="00C14431"/>
    <w:rsid w:val="00C14468"/>
    <w:rsid w:val="00C144BC"/>
    <w:rsid w:val="00C146A3"/>
    <w:rsid w:val="00C14760"/>
    <w:rsid w:val="00C14848"/>
    <w:rsid w:val="00C148B1"/>
    <w:rsid w:val="00C148C1"/>
    <w:rsid w:val="00C148DE"/>
    <w:rsid w:val="00C1493F"/>
    <w:rsid w:val="00C14AC8"/>
    <w:rsid w:val="00C14C22"/>
    <w:rsid w:val="00C14CE9"/>
    <w:rsid w:val="00C14E75"/>
    <w:rsid w:val="00C14E89"/>
    <w:rsid w:val="00C14F08"/>
    <w:rsid w:val="00C14F74"/>
    <w:rsid w:val="00C150D8"/>
    <w:rsid w:val="00C151AE"/>
    <w:rsid w:val="00C151B1"/>
    <w:rsid w:val="00C15618"/>
    <w:rsid w:val="00C1564F"/>
    <w:rsid w:val="00C15660"/>
    <w:rsid w:val="00C1571B"/>
    <w:rsid w:val="00C15725"/>
    <w:rsid w:val="00C15778"/>
    <w:rsid w:val="00C15AB5"/>
    <w:rsid w:val="00C15C5A"/>
    <w:rsid w:val="00C15D10"/>
    <w:rsid w:val="00C15D1D"/>
    <w:rsid w:val="00C15D88"/>
    <w:rsid w:val="00C16102"/>
    <w:rsid w:val="00C16127"/>
    <w:rsid w:val="00C163B0"/>
    <w:rsid w:val="00C1649E"/>
    <w:rsid w:val="00C165D2"/>
    <w:rsid w:val="00C16635"/>
    <w:rsid w:val="00C16693"/>
    <w:rsid w:val="00C16799"/>
    <w:rsid w:val="00C16811"/>
    <w:rsid w:val="00C16999"/>
    <w:rsid w:val="00C16B3A"/>
    <w:rsid w:val="00C16D19"/>
    <w:rsid w:val="00C16D91"/>
    <w:rsid w:val="00C16DA3"/>
    <w:rsid w:val="00C16DD0"/>
    <w:rsid w:val="00C16EC0"/>
    <w:rsid w:val="00C16F70"/>
    <w:rsid w:val="00C16FE6"/>
    <w:rsid w:val="00C16FF3"/>
    <w:rsid w:val="00C1708B"/>
    <w:rsid w:val="00C17193"/>
    <w:rsid w:val="00C1725A"/>
    <w:rsid w:val="00C17402"/>
    <w:rsid w:val="00C17436"/>
    <w:rsid w:val="00C17479"/>
    <w:rsid w:val="00C174FF"/>
    <w:rsid w:val="00C17522"/>
    <w:rsid w:val="00C17602"/>
    <w:rsid w:val="00C176FA"/>
    <w:rsid w:val="00C1791A"/>
    <w:rsid w:val="00C17A1E"/>
    <w:rsid w:val="00C17B4F"/>
    <w:rsid w:val="00C17C19"/>
    <w:rsid w:val="00C17C1D"/>
    <w:rsid w:val="00C17D21"/>
    <w:rsid w:val="00C17E23"/>
    <w:rsid w:val="00C17F82"/>
    <w:rsid w:val="00C17F85"/>
    <w:rsid w:val="00C2014C"/>
    <w:rsid w:val="00C20156"/>
    <w:rsid w:val="00C201A2"/>
    <w:rsid w:val="00C20358"/>
    <w:rsid w:val="00C20415"/>
    <w:rsid w:val="00C2041D"/>
    <w:rsid w:val="00C2062E"/>
    <w:rsid w:val="00C2071D"/>
    <w:rsid w:val="00C20725"/>
    <w:rsid w:val="00C2075C"/>
    <w:rsid w:val="00C20ABE"/>
    <w:rsid w:val="00C20B30"/>
    <w:rsid w:val="00C20C0C"/>
    <w:rsid w:val="00C20F4A"/>
    <w:rsid w:val="00C20F5C"/>
    <w:rsid w:val="00C2111B"/>
    <w:rsid w:val="00C21121"/>
    <w:rsid w:val="00C2121D"/>
    <w:rsid w:val="00C2131B"/>
    <w:rsid w:val="00C214F1"/>
    <w:rsid w:val="00C215F5"/>
    <w:rsid w:val="00C216C8"/>
    <w:rsid w:val="00C21713"/>
    <w:rsid w:val="00C21779"/>
    <w:rsid w:val="00C2179E"/>
    <w:rsid w:val="00C21867"/>
    <w:rsid w:val="00C21BC7"/>
    <w:rsid w:val="00C21D36"/>
    <w:rsid w:val="00C21F1A"/>
    <w:rsid w:val="00C22049"/>
    <w:rsid w:val="00C2208A"/>
    <w:rsid w:val="00C2235F"/>
    <w:rsid w:val="00C22383"/>
    <w:rsid w:val="00C22455"/>
    <w:rsid w:val="00C22532"/>
    <w:rsid w:val="00C22597"/>
    <w:rsid w:val="00C226E3"/>
    <w:rsid w:val="00C227B6"/>
    <w:rsid w:val="00C227D8"/>
    <w:rsid w:val="00C227F6"/>
    <w:rsid w:val="00C22876"/>
    <w:rsid w:val="00C22996"/>
    <w:rsid w:val="00C229BE"/>
    <w:rsid w:val="00C22C4D"/>
    <w:rsid w:val="00C22C7C"/>
    <w:rsid w:val="00C22CF0"/>
    <w:rsid w:val="00C22CF6"/>
    <w:rsid w:val="00C22DB6"/>
    <w:rsid w:val="00C22DBA"/>
    <w:rsid w:val="00C22FBC"/>
    <w:rsid w:val="00C23138"/>
    <w:rsid w:val="00C23225"/>
    <w:rsid w:val="00C23395"/>
    <w:rsid w:val="00C23401"/>
    <w:rsid w:val="00C23430"/>
    <w:rsid w:val="00C234C8"/>
    <w:rsid w:val="00C2354E"/>
    <w:rsid w:val="00C235CA"/>
    <w:rsid w:val="00C238A0"/>
    <w:rsid w:val="00C23A0E"/>
    <w:rsid w:val="00C23A1C"/>
    <w:rsid w:val="00C23A83"/>
    <w:rsid w:val="00C23AD5"/>
    <w:rsid w:val="00C23B60"/>
    <w:rsid w:val="00C23CE3"/>
    <w:rsid w:val="00C23D21"/>
    <w:rsid w:val="00C23EE0"/>
    <w:rsid w:val="00C23F58"/>
    <w:rsid w:val="00C23FB0"/>
    <w:rsid w:val="00C2413B"/>
    <w:rsid w:val="00C24324"/>
    <w:rsid w:val="00C2446B"/>
    <w:rsid w:val="00C2453E"/>
    <w:rsid w:val="00C24541"/>
    <w:rsid w:val="00C24570"/>
    <w:rsid w:val="00C245E4"/>
    <w:rsid w:val="00C246D2"/>
    <w:rsid w:val="00C246F4"/>
    <w:rsid w:val="00C24847"/>
    <w:rsid w:val="00C249C3"/>
    <w:rsid w:val="00C24A9D"/>
    <w:rsid w:val="00C24ABC"/>
    <w:rsid w:val="00C250A6"/>
    <w:rsid w:val="00C252AE"/>
    <w:rsid w:val="00C25308"/>
    <w:rsid w:val="00C2533C"/>
    <w:rsid w:val="00C25389"/>
    <w:rsid w:val="00C253A8"/>
    <w:rsid w:val="00C25459"/>
    <w:rsid w:val="00C2597E"/>
    <w:rsid w:val="00C25B8B"/>
    <w:rsid w:val="00C25CB9"/>
    <w:rsid w:val="00C25CFB"/>
    <w:rsid w:val="00C25D2F"/>
    <w:rsid w:val="00C25DA5"/>
    <w:rsid w:val="00C25EA0"/>
    <w:rsid w:val="00C25EFF"/>
    <w:rsid w:val="00C26054"/>
    <w:rsid w:val="00C26068"/>
    <w:rsid w:val="00C2608F"/>
    <w:rsid w:val="00C260B2"/>
    <w:rsid w:val="00C2618A"/>
    <w:rsid w:val="00C26238"/>
    <w:rsid w:val="00C26320"/>
    <w:rsid w:val="00C26459"/>
    <w:rsid w:val="00C26624"/>
    <w:rsid w:val="00C266F7"/>
    <w:rsid w:val="00C26879"/>
    <w:rsid w:val="00C268EF"/>
    <w:rsid w:val="00C269BA"/>
    <w:rsid w:val="00C269D5"/>
    <w:rsid w:val="00C26B33"/>
    <w:rsid w:val="00C26B5F"/>
    <w:rsid w:val="00C26BA9"/>
    <w:rsid w:val="00C26D7F"/>
    <w:rsid w:val="00C26DFC"/>
    <w:rsid w:val="00C26EA9"/>
    <w:rsid w:val="00C26EF1"/>
    <w:rsid w:val="00C27062"/>
    <w:rsid w:val="00C27093"/>
    <w:rsid w:val="00C270A4"/>
    <w:rsid w:val="00C270EA"/>
    <w:rsid w:val="00C271AC"/>
    <w:rsid w:val="00C272BC"/>
    <w:rsid w:val="00C272BF"/>
    <w:rsid w:val="00C272F0"/>
    <w:rsid w:val="00C272F3"/>
    <w:rsid w:val="00C273E8"/>
    <w:rsid w:val="00C27441"/>
    <w:rsid w:val="00C275AE"/>
    <w:rsid w:val="00C27641"/>
    <w:rsid w:val="00C2770A"/>
    <w:rsid w:val="00C2771A"/>
    <w:rsid w:val="00C2775C"/>
    <w:rsid w:val="00C27890"/>
    <w:rsid w:val="00C279D2"/>
    <w:rsid w:val="00C27D0F"/>
    <w:rsid w:val="00C27D66"/>
    <w:rsid w:val="00C27E2B"/>
    <w:rsid w:val="00C27FAD"/>
    <w:rsid w:val="00C27FFA"/>
    <w:rsid w:val="00C30649"/>
    <w:rsid w:val="00C306C9"/>
    <w:rsid w:val="00C3090E"/>
    <w:rsid w:val="00C3095B"/>
    <w:rsid w:val="00C30D3F"/>
    <w:rsid w:val="00C30F01"/>
    <w:rsid w:val="00C30F6B"/>
    <w:rsid w:val="00C31319"/>
    <w:rsid w:val="00C313E2"/>
    <w:rsid w:val="00C3141C"/>
    <w:rsid w:val="00C314A3"/>
    <w:rsid w:val="00C31605"/>
    <w:rsid w:val="00C31637"/>
    <w:rsid w:val="00C316E5"/>
    <w:rsid w:val="00C316EC"/>
    <w:rsid w:val="00C317E0"/>
    <w:rsid w:val="00C31928"/>
    <w:rsid w:val="00C319A6"/>
    <w:rsid w:val="00C319DB"/>
    <w:rsid w:val="00C31A6A"/>
    <w:rsid w:val="00C31AAB"/>
    <w:rsid w:val="00C31C62"/>
    <w:rsid w:val="00C31C8E"/>
    <w:rsid w:val="00C31CA5"/>
    <w:rsid w:val="00C3225C"/>
    <w:rsid w:val="00C32296"/>
    <w:rsid w:val="00C32386"/>
    <w:rsid w:val="00C3240C"/>
    <w:rsid w:val="00C32413"/>
    <w:rsid w:val="00C3280E"/>
    <w:rsid w:val="00C3280F"/>
    <w:rsid w:val="00C328D1"/>
    <w:rsid w:val="00C32911"/>
    <w:rsid w:val="00C32BC9"/>
    <w:rsid w:val="00C32C08"/>
    <w:rsid w:val="00C32E7A"/>
    <w:rsid w:val="00C32F20"/>
    <w:rsid w:val="00C32F6D"/>
    <w:rsid w:val="00C331AF"/>
    <w:rsid w:val="00C33275"/>
    <w:rsid w:val="00C33303"/>
    <w:rsid w:val="00C3332C"/>
    <w:rsid w:val="00C3338A"/>
    <w:rsid w:val="00C3359D"/>
    <w:rsid w:val="00C33671"/>
    <w:rsid w:val="00C338F1"/>
    <w:rsid w:val="00C33905"/>
    <w:rsid w:val="00C33B88"/>
    <w:rsid w:val="00C33DBE"/>
    <w:rsid w:val="00C33E4D"/>
    <w:rsid w:val="00C33EA3"/>
    <w:rsid w:val="00C33ED6"/>
    <w:rsid w:val="00C33F1B"/>
    <w:rsid w:val="00C33F66"/>
    <w:rsid w:val="00C3469B"/>
    <w:rsid w:val="00C346C9"/>
    <w:rsid w:val="00C34799"/>
    <w:rsid w:val="00C3483A"/>
    <w:rsid w:val="00C34934"/>
    <w:rsid w:val="00C3494A"/>
    <w:rsid w:val="00C3498D"/>
    <w:rsid w:val="00C34BA3"/>
    <w:rsid w:val="00C34BA6"/>
    <w:rsid w:val="00C34BAA"/>
    <w:rsid w:val="00C34CA3"/>
    <w:rsid w:val="00C34FF5"/>
    <w:rsid w:val="00C35026"/>
    <w:rsid w:val="00C350A1"/>
    <w:rsid w:val="00C3513F"/>
    <w:rsid w:val="00C352D1"/>
    <w:rsid w:val="00C354CE"/>
    <w:rsid w:val="00C354E5"/>
    <w:rsid w:val="00C355C4"/>
    <w:rsid w:val="00C35660"/>
    <w:rsid w:val="00C356A9"/>
    <w:rsid w:val="00C359EB"/>
    <w:rsid w:val="00C35A14"/>
    <w:rsid w:val="00C35A91"/>
    <w:rsid w:val="00C35BFC"/>
    <w:rsid w:val="00C35C98"/>
    <w:rsid w:val="00C35CD7"/>
    <w:rsid w:val="00C35CF4"/>
    <w:rsid w:val="00C35DFF"/>
    <w:rsid w:val="00C35F65"/>
    <w:rsid w:val="00C35FD1"/>
    <w:rsid w:val="00C360C1"/>
    <w:rsid w:val="00C36158"/>
    <w:rsid w:val="00C36189"/>
    <w:rsid w:val="00C363D0"/>
    <w:rsid w:val="00C36515"/>
    <w:rsid w:val="00C365D5"/>
    <w:rsid w:val="00C36656"/>
    <w:rsid w:val="00C36666"/>
    <w:rsid w:val="00C366D0"/>
    <w:rsid w:val="00C36733"/>
    <w:rsid w:val="00C36886"/>
    <w:rsid w:val="00C36897"/>
    <w:rsid w:val="00C368A8"/>
    <w:rsid w:val="00C36AC7"/>
    <w:rsid w:val="00C36B47"/>
    <w:rsid w:val="00C3716A"/>
    <w:rsid w:val="00C37293"/>
    <w:rsid w:val="00C372E8"/>
    <w:rsid w:val="00C37338"/>
    <w:rsid w:val="00C374F7"/>
    <w:rsid w:val="00C375AB"/>
    <w:rsid w:val="00C3761B"/>
    <w:rsid w:val="00C376B3"/>
    <w:rsid w:val="00C37789"/>
    <w:rsid w:val="00C3778D"/>
    <w:rsid w:val="00C3783B"/>
    <w:rsid w:val="00C3788F"/>
    <w:rsid w:val="00C37B4F"/>
    <w:rsid w:val="00C37B8B"/>
    <w:rsid w:val="00C37B9F"/>
    <w:rsid w:val="00C37C3F"/>
    <w:rsid w:val="00C37C95"/>
    <w:rsid w:val="00C37D2B"/>
    <w:rsid w:val="00C37E17"/>
    <w:rsid w:val="00C40198"/>
    <w:rsid w:val="00C4019F"/>
    <w:rsid w:val="00C403D4"/>
    <w:rsid w:val="00C407C5"/>
    <w:rsid w:val="00C407F3"/>
    <w:rsid w:val="00C40820"/>
    <w:rsid w:val="00C40A66"/>
    <w:rsid w:val="00C40AAF"/>
    <w:rsid w:val="00C40B4C"/>
    <w:rsid w:val="00C40B91"/>
    <w:rsid w:val="00C40CF4"/>
    <w:rsid w:val="00C40D95"/>
    <w:rsid w:val="00C40E30"/>
    <w:rsid w:val="00C40E4C"/>
    <w:rsid w:val="00C4107E"/>
    <w:rsid w:val="00C411B1"/>
    <w:rsid w:val="00C412AD"/>
    <w:rsid w:val="00C41413"/>
    <w:rsid w:val="00C41429"/>
    <w:rsid w:val="00C4158B"/>
    <w:rsid w:val="00C41753"/>
    <w:rsid w:val="00C418A9"/>
    <w:rsid w:val="00C418D3"/>
    <w:rsid w:val="00C4197A"/>
    <w:rsid w:val="00C41A9A"/>
    <w:rsid w:val="00C41AEF"/>
    <w:rsid w:val="00C41C35"/>
    <w:rsid w:val="00C41D0C"/>
    <w:rsid w:val="00C41D1C"/>
    <w:rsid w:val="00C41D89"/>
    <w:rsid w:val="00C41DBA"/>
    <w:rsid w:val="00C41ECD"/>
    <w:rsid w:val="00C41ED5"/>
    <w:rsid w:val="00C41EE4"/>
    <w:rsid w:val="00C41FB0"/>
    <w:rsid w:val="00C41FD2"/>
    <w:rsid w:val="00C42017"/>
    <w:rsid w:val="00C4202A"/>
    <w:rsid w:val="00C4207D"/>
    <w:rsid w:val="00C42147"/>
    <w:rsid w:val="00C4217E"/>
    <w:rsid w:val="00C422BC"/>
    <w:rsid w:val="00C4235A"/>
    <w:rsid w:val="00C42398"/>
    <w:rsid w:val="00C42407"/>
    <w:rsid w:val="00C42446"/>
    <w:rsid w:val="00C42482"/>
    <w:rsid w:val="00C424F0"/>
    <w:rsid w:val="00C4288E"/>
    <w:rsid w:val="00C428C9"/>
    <w:rsid w:val="00C42906"/>
    <w:rsid w:val="00C42927"/>
    <w:rsid w:val="00C42995"/>
    <w:rsid w:val="00C42AF2"/>
    <w:rsid w:val="00C42B47"/>
    <w:rsid w:val="00C42C3E"/>
    <w:rsid w:val="00C42E05"/>
    <w:rsid w:val="00C430D0"/>
    <w:rsid w:val="00C432B6"/>
    <w:rsid w:val="00C43300"/>
    <w:rsid w:val="00C4331E"/>
    <w:rsid w:val="00C4342D"/>
    <w:rsid w:val="00C434C5"/>
    <w:rsid w:val="00C4365A"/>
    <w:rsid w:val="00C438BB"/>
    <w:rsid w:val="00C4390F"/>
    <w:rsid w:val="00C43AA7"/>
    <w:rsid w:val="00C43C1D"/>
    <w:rsid w:val="00C43C37"/>
    <w:rsid w:val="00C43CB4"/>
    <w:rsid w:val="00C43CD7"/>
    <w:rsid w:val="00C43D23"/>
    <w:rsid w:val="00C43DB8"/>
    <w:rsid w:val="00C43E88"/>
    <w:rsid w:val="00C43F1F"/>
    <w:rsid w:val="00C4407F"/>
    <w:rsid w:val="00C441F5"/>
    <w:rsid w:val="00C44260"/>
    <w:rsid w:val="00C44367"/>
    <w:rsid w:val="00C4439C"/>
    <w:rsid w:val="00C443D5"/>
    <w:rsid w:val="00C4457B"/>
    <w:rsid w:val="00C446CC"/>
    <w:rsid w:val="00C44790"/>
    <w:rsid w:val="00C4489E"/>
    <w:rsid w:val="00C448D7"/>
    <w:rsid w:val="00C44904"/>
    <w:rsid w:val="00C44968"/>
    <w:rsid w:val="00C44ADB"/>
    <w:rsid w:val="00C44BBE"/>
    <w:rsid w:val="00C44C0A"/>
    <w:rsid w:val="00C44D05"/>
    <w:rsid w:val="00C44EBC"/>
    <w:rsid w:val="00C44F25"/>
    <w:rsid w:val="00C4502F"/>
    <w:rsid w:val="00C45068"/>
    <w:rsid w:val="00C45203"/>
    <w:rsid w:val="00C45223"/>
    <w:rsid w:val="00C452A6"/>
    <w:rsid w:val="00C45530"/>
    <w:rsid w:val="00C456A7"/>
    <w:rsid w:val="00C456BC"/>
    <w:rsid w:val="00C4592C"/>
    <w:rsid w:val="00C45A87"/>
    <w:rsid w:val="00C45C7F"/>
    <w:rsid w:val="00C45CAC"/>
    <w:rsid w:val="00C45CFE"/>
    <w:rsid w:val="00C45F2D"/>
    <w:rsid w:val="00C45F55"/>
    <w:rsid w:val="00C45FCA"/>
    <w:rsid w:val="00C460CF"/>
    <w:rsid w:val="00C4616E"/>
    <w:rsid w:val="00C46182"/>
    <w:rsid w:val="00C46302"/>
    <w:rsid w:val="00C4649D"/>
    <w:rsid w:val="00C464A1"/>
    <w:rsid w:val="00C464E7"/>
    <w:rsid w:val="00C46660"/>
    <w:rsid w:val="00C4676C"/>
    <w:rsid w:val="00C467C1"/>
    <w:rsid w:val="00C469A4"/>
    <w:rsid w:val="00C469B7"/>
    <w:rsid w:val="00C469B9"/>
    <w:rsid w:val="00C469D0"/>
    <w:rsid w:val="00C46A65"/>
    <w:rsid w:val="00C46ADD"/>
    <w:rsid w:val="00C46C0F"/>
    <w:rsid w:val="00C46CD5"/>
    <w:rsid w:val="00C46D4F"/>
    <w:rsid w:val="00C46E85"/>
    <w:rsid w:val="00C46F9E"/>
    <w:rsid w:val="00C47118"/>
    <w:rsid w:val="00C4714E"/>
    <w:rsid w:val="00C47314"/>
    <w:rsid w:val="00C473C9"/>
    <w:rsid w:val="00C4742C"/>
    <w:rsid w:val="00C474E5"/>
    <w:rsid w:val="00C47646"/>
    <w:rsid w:val="00C4766A"/>
    <w:rsid w:val="00C479E7"/>
    <w:rsid w:val="00C47A28"/>
    <w:rsid w:val="00C47B11"/>
    <w:rsid w:val="00C47BA6"/>
    <w:rsid w:val="00C47C9B"/>
    <w:rsid w:val="00C47CB6"/>
    <w:rsid w:val="00C47CC3"/>
    <w:rsid w:val="00C47CF3"/>
    <w:rsid w:val="00C47F67"/>
    <w:rsid w:val="00C47FE7"/>
    <w:rsid w:val="00C50034"/>
    <w:rsid w:val="00C500A3"/>
    <w:rsid w:val="00C5035D"/>
    <w:rsid w:val="00C5047D"/>
    <w:rsid w:val="00C50531"/>
    <w:rsid w:val="00C5058F"/>
    <w:rsid w:val="00C5062B"/>
    <w:rsid w:val="00C50645"/>
    <w:rsid w:val="00C506C8"/>
    <w:rsid w:val="00C50705"/>
    <w:rsid w:val="00C5072A"/>
    <w:rsid w:val="00C50761"/>
    <w:rsid w:val="00C507C3"/>
    <w:rsid w:val="00C509E6"/>
    <w:rsid w:val="00C50AD8"/>
    <w:rsid w:val="00C50B87"/>
    <w:rsid w:val="00C50BAA"/>
    <w:rsid w:val="00C50BAC"/>
    <w:rsid w:val="00C50BE8"/>
    <w:rsid w:val="00C50E4D"/>
    <w:rsid w:val="00C511EC"/>
    <w:rsid w:val="00C512F1"/>
    <w:rsid w:val="00C51445"/>
    <w:rsid w:val="00C51496"/>
    <w:rsid w:val="00C51570"/>
    <w:rsid w:val="00C5159E"/>
    <w:rsid w:val="00C515BF"/>
    <w:rsid w:val="00C516E3"/>
    <w:rsid w:val="00C51A1C"/>
    <w:rsid w:val="00C51A56"/>
    <w:rsid w:val="00C51A5A"/>
    <w:rsid w:val="00C51A8D"/>
    <w:rsid w:val="00C51B11"/>
    <w:rsid w:val="00C51EA3"/>
    <w:rsid w:val="00C51F7F"/>
    <w:rsid w:val="00C51F8C"/>
    <w:rsid w:val="00C520B0"/>
    <w:rsid w:val="00C52188"/>
    <w:rsid w:val="00C521BD"/>
    <w:rsid w:val="00C521DD"/>
    <w:rsid w:val="00C52221"/>
    <w:rsid w:val="00C523E6"/>
    <w:rsid w:val="00C523EB"/>
    <w:rsid w:val="00C523FA"/>
    <w:rsid w:val="00C524F1"/>
    <w:rsid w:val="00C5253D"/>
    <w:rsid w:val="00C52693"/>
    <w:rsid w:val="00C526E6"/>
    <w:rsid w:val="00C52750"/>
    <w:rsid w:val="00C52897"/>
    <w:rsid w:val="00C528BD"/>
    <w:rsid w:val="00C52A45"/>
    <w:rsid w:val="00C52BB5"/>
    <w:rsid w:val="00C52C56"/>
    <w:rsid w:val="00C52CDD"/>
    <w:rsid w:val="00C52DE3"/>
    <w:rsid w:val="00C52E3D"/>
    <w:rsid w:val="00C52F0B"/>
    <w:rsid w:val="00C52F60"/>
    <w:rsid w:val="00C5329C"/>
    <w:rsid w:val="00C5358D"/>
    <w:rsid w:val="00C535D6"/>
    <w:rsid w:val="00C5371E"/>
    <w:rsid w:val="00C537B3"/>
    <w:rsid w:val="00C5387F"/>
    <w:rsid w:val="00C538CD"/>
    <w:rsid w:val="00C538F0"/>
    <w:rsid w:val="00C539F8"/>
    <w:rsid w:val="00C53A1D"/>
    <w:rsid w:val="00C53B48"/>
    <w:rsid w:val="00C53B5F"/>
    <w:rsid w:val="00C53BD0"/>
    <w:rsid w:val="00C53C83"/>
    <w:rsid w:val="00C53C89"/>
    <w:rsid w:val="00C53C9D"/>
    <w:rsid w:val="00C53EB7"/>
    <w:rsid w:val="00C5401D"/>
    <w:rsid w:val="00C54114"/>
    <w:rsid w:val="00C54144"/>
    <w:rsid w:val="00C541DA"/>
    <w:rsid w:val="00C54232"/>
    <w:rsid w:val="00C542EE"/>
    <w:rsid w:val="00C542FB"/>
    <w:rsid w:val="00C5436E"/>
    <w:rsid w:val="00C544B1"/>
    <w:rsid w:val="00C544ED"/>
    <w:rsid w:val="00C54924"/>
    <w:rsid w:val="00C54947"/>
    <w:rsid w:val="00C549CA"/>
    <w:rsid w:val="00C549E6"/>
    <w:rsid w:val="00C54ADC"/>
    <w:rsid w:val="00C54B9D"/>
    <w:rsid w:val="00C54B9F"/>
    <w:rsid w:val="00C54C63"/>
    <w:rsid w:val="00C54E77"/>
    <w:rsid w:val="00C54EF2"/>
    <w:rsid w:val="00C54F41"/>
    <w:rsid w:val="00C55042"/>
    <w:rsid w:val="00C552B0"/>
    <w:rsid w:val="00C552C1"/>
    <w:rsid w:val="00C55372"/>
    <w:rsid w:val="00C554E2"/>
    <w:rsid w:val="00C55550"/>
    <w:rsid w:val="00C556D2"/>
    <w:rsid w:val="00C556FA"/>
    <w:rsid w:val="00C5574D"/>
    <w:rsid w:val="00C55778"/>
    <w:rsid w:val="00C559F4"/>
    <w:rsid w:val="00C55A78"/>
    <w:rsid w:val="00C55B2D"/>
    <w:rsid w:val="00C55C7E"/>
    <w:rsid w:val="00C5614C"/>
    <w:rsid w:val="00C5621B"/>
    <w:rsid w:val="00C563A6"/>
    <w:rsid w:val="00C5642D"/>
    <w:rsid w:val="00C56449"/>
    <w:rsid w:val="00C5664E"/>
    <w:rsid w:val="00C567C1"/>
    <w:rsid w:val="00C5680D"/>
    <w:rsid w:val="00C5681F"/>
    <w:rsid w:val="00C56826"/>
    <w:rsid w:val="00C56857"/>
    <w:rsid w:val="00C56946"/>
    <w:rsid w:val="00C56993"/>
    <w:rsid w:val="00C56A4C"/>
    <w:rsid w:val="00C56AB8"/>
    <w:rsid w:val="00C56B86"/>
    <w:rsid w:val="00C56C25"/>
    <w:rsid w:val="00C56C54"/>
    <w:rsid w:val="00C56CB7"/>
    <w:rsid w:val="00C56D03"/>
    <w:rsid w:val="00C56D08"/>
    <w:rsid w:val="00C56D32"/>
    <w:rsid w:val="00C56D66"/>
    <w:rsid w:val="00C56DD7"/>
    <w:rsid w:val="00C56DE3"/>
    <w:rsid w:val="00C56E20"/>
    <w:rsid w:val="00C57006"/>
    <w:rsid w:val="00C57044"/>
    <w:rsid w:val="00C5707F"/>
    <w:rsid w:val="00C57089"/>
    <w:rsid w:val="00C57092"/>
    <w:rsid w:val="00C570E1"/>
    <w:rsid w:val="00C57124"/>
    <w:rsid w:val="00C57181"/>
    <w:rsid w:val="00C571C0"/>
    <w:rsid w:val="00C572BA"/>
    <w:rsid w:val="00C57443"/>
    <w:rsid w:val="00C57594"/>
    <w:rsid w:val="00C575E2"/>
    <w:rsid w:val="00C576F1"/>
    <w:rsid w:val="00C578C5"/>
    <w:rsid w:val="00C578D1"/>
    <w:rsid w:val="00C5795B"/>
    <w:rsid w:val="00C57A4C"/>
    <w:rsid w:val="00C57C88"/>
    <w:rsid w:val="00C57D81"/>
    <w:rsid w:val="00C57D83"/>
    <w:rsid w:val="00C57D85"/>
    <w:rsid w:val="00C602E6"/>
    <w:rsid w:val="00C603C5"/>
    <w:rsid w:val="00C60481"/>
    <w:rsid w:val="00C60580"/>
    <w:rsid w:val="00C60592"/>
    <w:rsid w:val="00C606EC"/>
    <w:rsid w:val="00C60719"/>
    <w:rsid w:val="00C60779"/>
    <w:rsid w:val="00C607F8"/>
    <w:rsid w:val="00C609E4"/>
    <w:rsid w:val="00C609E5"/>
    <w:rsid w:val="00C60A35"/>
    <w:rsid w:val="00C60B3A"/>
    <w:rsid w:val="00C60B6C"/>
    <w:rsid w:val="00C60CA7"/>
    <w:rsid w:val="00C60CFE"/>
    <w:rsid w:val="00C60D51"/>
    <w:rsid w:val="00C60D9A"/>
    <w:rsid w:val="00C60E9B"/>
    <w:rsid w:val="00C60FD9"/>
    <w:rsid w:val="00C6121E"/>
    <w:rsid w:val="00C61491"/>
    <w:rsid w:val="00C61603"/>
    <w:rsid w:val="00C61616"/>
    <w:rsid w:val="00C6174E"/>
    <w:rsid w:val="00C61756"/>
    <w:rsid w:val="00C61763"/>
    <w:rsid w:val="00C618E7"/>
    <w:rsid w:val="00C61920"/>
    <w:rsid w:val="00C61A5D"/>
    <w:rsid w:val="00C61A94"/>
    <w:rsid w:val="00C61AB6"/>
    <w:rsid w:val="00C61C98"/>
    <w:rsid w:val="00C61CD1"/>
    <w:rsid w:val="00C61CF5"/>
    <w:rsid w:val="00C61DED"/>
    <w:rsid w:val="00C61E48"/>
    <w:rsid w:val="00C62223"/>
    <w:rsid w:val="00C6223C"/>
    <w:rsid w:val="00C62280"/>
    <w:rsid w:val="00C62296"/>
    <w:rsid w:val="00C6236B"/>
    <w:rsid w:val="00C623F0"/>
    <w:rsid w:val="00C6244E"/>
    <w:rsid w:val="00C624F2"/>
    <w:rsid w:val="00C62551"/>
    <w:rsid w:val="00C62688"/>
    <w:rsid w:val="00C6269B"/>
    <w:rsid w:val="00C62740"/>
    <w:rsid w:val="00C6277B"/>
    <w:rsid w:val="00C627D9"/>
    <w:rsid w:val="00C62A63"/>
    <w:rsid w:val="00C62BBB"/>
    <w:rsid w:val="00C62D19"/>
    <w:rsid w:val="00C62EEF"/>
    <w:rsid w:val="00C62F5E"/>
    <w:rsid w:val="00C62FEC"/>
    <w:rsid w:val="00C6302E"/>
    <w:rsid w:val="00C63094"/>
    <w:rsid w:val="00C630AA"/>
    <w:rsid w:val="00C630CB"/>
    <w:rsid w:val="00C63130"/>
    <w:rsid w:val="00C631C3"/>
    <w:rsid w:val="00C631E1"/>
    <w:rsid w:val="00C631E6"/>
    <w:rsid w:val="00C63298"/>
    <w:rsid w:val="00C63305"/>
    <w:rsid w:val="00C63439"/>
    <w:rsid w:val="00C635C9"/>
    <w:rsid w:val="00C6369D"/>
    <w:rsid w:val="00C636AB"/>
    <w:rsid w:val="00C636D2"/>
    <w:rsid w:val="00C6377E"/>
    <w:rsid w:val="00C63855"/>
    <w:rsid w:val="00C6385F"/>
    <w:rsid w:val="00C639FF"/>
    <w:rsid w:val="00C63A08"/>
    <w:rsid w:val="00C63A20"/>
    <w:rsid w:val="00C63A31"/>
    <w:rsid w:val="00C63A5B"/>
    <w:rsid w:val="00C63AF8"/>
    <w:rsid w:val="00C63B2F"/>
    <w:rsid w:val="00C63B3B"/>
    <w:rsid w:val="00C63D3D"/>
    <w:rsid w:val="00C63EA7"/>
    <w:rsid w:val="00C6407E"/>
    <w:rsid w:val="00C64090"/>
    <w:rsid w:val="00C640CA"/>
    <w:rsid w:val="00C6416C"/>
    <w:rsid w:val="00C642F6"/>
    <w:rsid w:val="00C64305"/>
    <w:rsid w:val="00C644EC"/>
    <w:rsid w:val="00C646F7"/>
    <w:rsid w:val="00C64772"/>
    <w:rsid w:val="00C647B7"/>
    <w:rsid w:val="00C647DB"/>
    <w:rsid w:val="00C64850"/>
    <w:rsid w:val="00C648AA"/>
    <w:rsid w:val="00C64953"/>
    <w:rsid w:val="00C64960"/>
    <w:rsid w:val="00C64A63"/>
    <w:rsid w:val="00C64A82"/>
    <w:rsid w:val="00C64AD3"/>
    <w:rsid w:val="00C64BFB"/>
    <w:rsid w:val="00C64E4E"/>
    <w:rsid w:val="00C64F4F"/>
    <w:rsid w:val="00C65042"/>
    <w:rsid w:val="00C65047"/>
    <w:rsid w:val="00C6521C"/>
    <w:rsid w:val="00C6525B"/>
    <w:rsid w:val="00C65626"/>
    <w:rsid w:val="00C65722"/>
    <w:rsid w:val="00C6572C"/>
    <w:rsid w:val="00C6573F"/>
    <w:rsid w:val="00C6574C"/>
    <w:rsid w:val="00C65780"/>
    <w:rsid w:val="00C65919"/>
    <w:rsid w:val="00C65A0E"/>
    <w:rsid w:val="00C65A48"/>
    <w:rsid w:val="00C65BC4"/>
    <w:rsid w:val="00C65BF9"/>
    <w:rsid w:val="00C65C53"/>
    <w:rsid w:val="00C65F65"/>
    <w:rsid w:val="00C660D6"/>
    <w:rsid w:val="00C6625B"/>
    <w:rsid w:val="00C662E9"/>
    <w:rsid w:val="00C66847"/>
    <w:rsid w:val="00C668AC"/>
    <w:rsid w:val="00C66A34"/>
    <w:rsid w:val="00C66A8B"/>
    <w:rsid w:val="00C66B69"/>
    <w:rsid w:val="00C66C70"/>
    <w:rsid w:val="00C66C8A"/>
    <w:rsid w:val="00C66D17"/>
    <w:rsid w:val="00C66D23"/>
    <w:rsid w:val="00C66E1E"/>
    <w:rsid w:val="00C66EAE"/>
    <w:rsid w:val="00C66F7B"/>
    <w:rsid w:val="00C66F9C"/>
    <w:rsid w:val="00C67277"/>
    <w:rsid w:val="00C673C4"/>
    <w:rsid w:val="00C67499"/>
    <w:rsid w:val="00C67A0E"/>
    <w:rsid w:val="00C67CDD"/>
    <w:rsid w:val="00C67D12"/>
    <w:rsid w:val="00C67D50"/>
    <w:rsid w:val="00C67F34"/>
    <w:rsid w:val="00C701B8"/>
    <w:rsid w:val="00C701CF"/>
    <w:rsid w:val="00C70266"/>
    <w:rsid w:val="00C70365"/>
    <w:rsid w:val="00C703A7"/>
    <w:rsid w:val="00C703F0"/>
    <w:rsid w:val="00C704B0"/>
    <w:rsid w:val="00C70543"/>
    <w:rsid w:val="00C70594"/>
    <w:rsid w:val="00C707A3"/>
    <w:rsid w:val="00C707FE"/>
    <w:rsid w:val="00C70818"/>
    <w:rsid w:val="00C70950"/>
    <w:rsid w:val="00C709E8"/>
    <w:rsid w:val="00C70AD2"/>
    <w:rsid w:val="00C70B04"/>
    <w:rsid w:val="00C70CEA"/>
    <w:rsid w:val="00C70D0F"/>
    <w:rsid w:val="00C70F81"/>
    <w:rsid w:val="00C71006"/>
    <w:rsid w:val="00C7115D"/>
    <w:rsid w:val="00C711C5"/>
    <w:rsid w:val="00C714E8"/>
    <w:rsid w:val="00C7168E"/>
    <w:rsid w:val="00C717CE"/>
    <w:rsid w:val="00C71A67"/>
    <w:rsid w:val="00C71A92"/>
    <w:rsid w:val="00C71B96"/>
    <w:rsid w:val="00C71BC4"/>
    <w:rsid w:val="00C71CF1"/>
    <w:rsid w:val="00C71D8F"/>
    <w:rsid w:val="00C71E34"/>
    <w:rsid w:val="00C71EC3"/>
    <w:rsid w:val="00C72200"/>
    <w:rsid w:val="00C7221D"/>
    <w:rsid w:val="00C72283"/>
    <w:rsid w:val="00C72464"/>
    <w:rsid w:val="00C724E4"/>
    <w:rsid w:val="00C7250B"/>
    <w:rsid w:val="00C72547"/>
    <w:rsid w:val="00C725D1"/>
    <w:rsid w:val="00C726DC"/>
    <w:rsid w:val="00C7270E"/>
    <w:rsid w:val="00C727B4"/>
    <w:rsid w:val="00C72847"/>
    <w:rsid w:val="00C72910"/>
    <w:rsid w:val="00C72974"/>
    <w:rsid w:val="00C729F7"/>
    <w:rsid w:val="00C72A94"/>
    <w:rsid w:val="00C72AD8"/>
    <w:rsid w:val="00C72B11"/>
    <w:rsid w:val="00C72BD8"/>
    <w:rsid w:val="00C72C3D"/>
    <w:rsid w:val="00C72CB6"/>
    <w:rsid w:val="00C72CC4"/>
    <w:rsid w:val="00C72E41"/>
    <w:rsid w:val="00C72E62"/>
    <w:rsid w:val="00C72E6D"/>
    <w:rsid w:val="00C72F1F"/>
    <w:rsid w:val="00C72F9A"/>
    <w:rsid w:val="00C7309D"/>
    <w:rsid w:val="00C7313E"/>
    <w:rsid w:val="00C731E8"/>
    <w:rsid w:val="00C73202"/>
    <w:rsid w:val="00C7322F"/>
    <w:rsid w:val="00C73239"/>
    <w:rsid w:val="00C73279"/>
    <w:rsid w:val="00C7342A"/>
    <w:rsid w:val="00C7350F"/>
    <w:rsid w:val="00C736C3"/>
    <w:rsid w:val="00C736C5"/>
    <w:rsid w:val="00C736F8"/>
    <w:rsid w:val="00C73833"/>
    <w:rsid w:val="00C73899"/>
    <w:rsid w:val="00C739B8"/>
    <w:rsid w:val="00C73ABC"/>
    <w:rsid w:val="00C73ACA"/>
    <w:rsid w:val="00C73AFF"/>
    <w:rsid w:val="00C73C88"/>
    <w:rsid w:val="00C73CBE"/>
    <w:rsid w:val="00C73D0D"/>
    <w:rsid w:val="00C73E9D"/>
    <w:rsid w:val="00C73EAA"/>
    <w:rsid w:val="00C73F28"/>
    <w:rsid w:val="00C73FA4"/>
    <w:rsid w:val="00C7404D"/>
    <w:rsid w:val="00C740A1"/>
    <w:rsid w:val="00C740B6"/>
    <w:rsid w:val="00C74149"/>
    <w:rsid w:val="00C74294"/>
    <w:rsid w:val="00C7437F"/>
    <w:rsid w:val="00C743D6"/>
    <w:rsid w:val="00C74443"/>
    <w:rsid w:val="00C74641"/>
    <w:rsid w:val="00C7464D"/>
    <w:rsid w:val="00C74796"/>
    <w:rsid w:val="00C7489A"/>
    <w:rsid w:val="00C74943"/>
    <w:rsid w:val="00C74A35"/>
    <w:rsid w:val="00C74C3C"/>
    <w:rsid w:val="00C74D38"/>
    <w:rsid w:val="00C74D3C"/>
    <w:rsid w:val="00C74D78"/>
    <w:rsid w:val="00C74DF0"/>
    <w:rsid w:val="00C74E2F"/>
    <w:rsid w:val="00C74EF9"/>
    <w:rsid w:val="00C75015"/>
    <w:rsid w:val="00C7517C"/>
    <w:rsid w:val="00C751A6"/>
    <w:rsid w:val="00C751B3"/>
    <w:rsid w:val="00C751E5"/>
    <w:rsid w:val="00C75293"/>
    <w:rsid w:val="00C753D9"/>
    <w:rsid w:val="00C753F5"/>
    <w:rsid w:val="00C75413"/>
    <w:rsid w:val="00C75656"/>
    <w:rsid w:val="00C757D9"/>
    <w:rsid w:val="00C75811"/>
    <w:rsid w:val="00C75829"/>
    <w:rsid w:val="00C7593C"/>
    <w:rsid w:val="00C7599F"/>
    <w:rsid w:val="00C75A80"/>
    <w:rsid w:val="00C75D34"/>
    <w:rsid w:val="00C75D41"/>
    <w:rsid w:val="00C75E12"/>
    <w:rsid w:val="00C75EEF"/>
    <w:rsid w:val="00C75F06"/>
    <w:rsid w:val="00C7610D"/>
    <w:rsid w:val="00C76153"/>
    <w:rsid w:val="00C76233"/>
    <w:rsid w:val="00C7662E"/>
    <w:rsid w:val="00C766DF"/>
    <w:rsid w:val="00C76942"/>
    <w:rsid w:val="00C76B19"/>
    <w:rsid w:val="00C76B60"/>
    <w:rsid w:val="00C76B77"/>
    <w:rsid w:val="00C76C20"/>
    <w:rsid w:val="00C76D34"/>
    <w:rsid w:val="00C76DEC"/>
    <w:rsid w:val="00C76E32"/>
    <w:rsid w:val="00C770B0"/>
    <w:rsid w:val="00C77195"/>
    <w:rsid w:val="00C771D1"/>
    <w:rsid w:val="00C77256"/>
    <w:rsid w:val="00C7730A"/>
    <w:rsid w:val="00C775A4"/>
    <w:rsid w:val="00C775BA"/>
    <w:rsid w:val="00C77609"/>
    <w:rsid w:val="00C77677"/>
    <w:rsid w:val="00C77713"/>
    <w:rsid w:val="00C77726"/>
    <w:rsid w:val="00C777FF"/>
    <w:rsid w:val="00C77912"/>
    <w:rsid w:val="00C77918"/>
    <w:rsid w:val="00C77972"/>
    <w:rsid w:val="00C7797B"/>
    <w:rsid w:val="00C77A05"/>
    <w:rsid w:val="00C77B70"/>
    <w:rsid w:val="00C77C38"/>
    <w:rsid w:val="00C77C6D"/>
    <w:rsid w:val="00C77C87"/>
    <w:rsid w:val="00C77CFD"/>
    <w:rsid w:val="00C77E8B"/>
    <w:rsid w:val="00C80108"/>
    <w:rsid w:val="00C8017C"/>
    <w:rsid w:val="00C801FE"/>
    <w:rsid w:val="00C8022F"/>
    <w:rsid w:val="00C8023F"/>
    <w:rsid w:val="00C8031C"/>
    <w:rsid w:val="00C805B6"/>
    <w:rsid w:val="00C80617"/>
    <w:rsid w:val="00C80783"/>
    <w:rsid w:val="00C80825"/>
    <w:rsid w:val="00C8085F"/>
    <w:rsid w:val="00C80A26"/>
    <w:rsid w:val="00C80A8A"/>
    <w:rsid w:val="00C80B2D"/>
    <w:rsid w:val="00C80BC7"/>
    <w:rsid w:val="00C810F2"/>
    <w:rsid w:val="00C81329"/>
    <w:rsid w:val="00C814DB"/>
    <w:rsid w:val="00C8151C"/>
    <w:rsid w:val="00C81799"/>
    <w:rsid w:val="00C81842"/>
    <w:rsid w:val="00C818C9"/>
    <w:rsid w:val="00C819B4"/>
    <w:rsid w:val="00C819BD"/>
    <w:rsid w:val="00C819D4"/>
    <w:rsid w:val="00C81A7F"/>
    <w:rsid w:val="00C81B8D"/>
    <w:rsid w:val="00C81C87"/>
    <w:rsid w:val="00C81D0B"/>
    <w:rsid w:val="00C823C6"/>
    <w:rsid w:val="00C8253D"/>
    <w:rsid w:val="00C82699"/>
    <w:rsid w:val="00C826CF"/>
    <w:rsid w:val="00C829BE"/>
    <w:rsid w:val="00C82B03"/>
    <w:rsid w:val="00C82C21"/>
    <w:rsid w:val="00C82C23"/>
    <w:rsid w:val="00C82C7C"/>
    <w:rsid w:val="00C82C84"/>
    <w:rsid w:val="00C82CC5"/>
    <w:rsid w:val="00C82CEF"/>
    <w:rsid w:val="00C82D3A"/>
    <w:rsid w:val="00C82E3E"/>
    <w:rsid w:val="00C8300F"/>
    <w:rsid w:val="00C830C6"/>
    <w:rsid w:val="00C8312A"/>
    <w:rsid w:val="00C8319C"/>
    <w:rsid w:val="00C831F8"/>
    <w:rsid w:val="00C832E2"/>
    <w:rsid w:val="00C832F8"/>
    <w:rsid w:val="00C833F0"/>
    <w:rsid w:val="00C834C8"/>
    <w:rsid w:val="00C83645"/>
    <w:rsid w:val="00C836D2"/>
    <w:rsid w:val="00C836D7"/>
    <w:rsid w:val="00C83701"/>
    <w:rsid w:val="00C839CA"/>
    <w:rsid w:val="00C83ACF"/>
    <w:rsid w:val="00C83B2F"/>
    <w:rsid w:val="00C83CF2"/>
    <w:rsid w:val="00C83DF8"/>
    <w:rsid w:val="00C83E44"/>
    <w:rsid w:val="00C83EAA"/>
    <w:rsid w:val="00C842DC"/>
    <w:rsid w:val="00C8438A"/>
    <w:rsid w:val="00C84394"/>
    <w:rsid w:val="00C843EE"/>
    <w:rsid w:val="00C845F0"/>
    <w:rsid w:val="00C84632"/>
    <w:rsid w:val="00C8473C"/>
    <w:rsid w:val="00C8483D"/>
    <w:rsid w:val="00C84A39"/>
    <w:rsid w:val="00C84AAE"/>
    <w:rsid w:val="00C84AE8"/>
    <w:rsid w:val="00C84B03"/>
    <w:rsid w:val="00C84B28"/>
    <w:rsid w:val="00C84B7A"/>
    <w:rsid w:val="00C84C0C"/>
    <w:rsid w:val="00C84C36"/>
    <w:rsid w:val="00C84E15"/>
    <w:rsid w:val="00C84E5A"/>
    <w:rsid w:val="00C84E84"/>
    <w:rsid w:val="00C84EFD"/>
    <w:rsid w:val="00C84FA2"/>
    <w:rsid w:val="00C85050"/>
    <w:rsid w:val="00C850AE"/>
    <w:rsid w:val="00C8510A"/>
    <w:rsid w:val="00C8520F"/>
    <w:rsid w:val="00C852C4"/>
    <w:rsid w:val="00C8532A"/>
    <w:rsid w:val="00C853F1"/>
    <w:rsid w:val="00C85531"/>
    <w:rsid w:val="00C855A9"/>
    <w:rsid w:val="00C85641"/>
    <w:rsid w:val="00C85651"/>
    <w:rsid w:val="00C856AA"/>
    <w:rsid w:val="00C85705"/>
    <w:rsid w:val="00C858B2"/>
    <w:rsid w:val="00C858DC"/>
    <w:rsid w:val="00C858FA"/>
    <w:rsid w:val="00C85AC8"/>
    <w:rsid w:val="00C85B29"/>
    <w:rsid w:val="00C85C73"/>
    <w:rsid w:val="00C85CE1"/>
    <w:rsid w:val="00C85CF8"/>
    <w:rsid w:val="00C85E10"/>
    <w:rsid w:val="00C85FA7"/>
    <w:rsid w:val="00C85FD5"/>
    <w:rsid w:val="00C85FFA"/>
    <w:rsid w:val="00C8615A"/>
    <w:rsid w:val="00C862CF"/>
    <w:rsid w:val="00C863C6"/>
    <w:rsid w:val="00C8648F"/>
    <w:rsid w:val="00C864D4"/>
    <w:rsid w:val="00C8664F"/>
    <w:rsid w:val="00C86673"/>
    <w:rsid w:val="00C866CC"/>
    <w:rsid w:val="00C8699C"/>
    <w:rsid w:val="00C86A37"/>
    <w:rsid w:val="00C86B49"/>
    <w:rsid w:val="00C86B69"/>
    <w:rsid w:val="00C86C58"/>
    <w:rsid w:val="00C86C77"/>
    <w:rsid w:val="00C86CE7"/>
    <w:rsid w:val="00C86E0C"/>
    <w:rsid w:val="00C86E91"/>
    <w:rsid w:val="00C86F14"/>
    <w:rsid w:val="00C86F1D"/>
    <w:rsid w:val="00C86FBB"/>
    <w:rsid w:val="00C8701E"/>
    <w:rsid w:val="00C870A7"/>
    <w:rsid w:val="00C87140"/>
    <w:rsid w:val="00C8716C"/>
    <w:rsid w:val="00C87257"/>
    <w:rsid w:val="00C872AB"/>
    <w:rsid w:val="00C874DD"/>
    <w:rsid w:val="00C87790"/>
    <w:rsid w:val="00C87791"/>
    <w:rsid w:val="00C87912"/>
    <w:rsid w:val="00C8793F"/>
    <w:rsid w:val="00C87987"/>
    <w:rsid w:val="00C879B3"/>
    <w:rsid w:val="00C87C24"/>
    <w:rsid w:val="00C87C8F"/>
    <w:rsid w:val="00C87CB1"/>
    <w:rsid w:val="00C87CCC"/>
    <w:rsid w:val="00C87F7C"/>
    <w:rsid w:val="00C87FBB"/>
    <w:rsid w:val="00C901CE"/>
    <w:rsid w:val="00C90236"/>
    <w:rsid w:val="00C90416"/>
    <w:rsid w:val="00C904B7"/>
    <w:rsid w:val="00C904F0"/>
    <w:rsid w:val="00C904FD"/>
    <w:rsid w:val="00C905CE"/>
    <w:rsid w:val="00C905D7"/>
    <w:rsid w:val="00C9078D"/>
    <w:rsid w:val="00C907EE"/>
    <w:rsid w:val="00C908A6"/>
    <w:rsid w:val="00C908E9"/>
    <w:rsid w:val="00C90997"/>
    <w:rsid w:val="00C90A38"/>
    <w:rsid w:val="00C90CB9"/>
    <w:rsid w:val="00C90E19"/>
    <w:rsid w:val="00C90E31"/>
    <w:rsid w:val="00C90EDF"/>
    <w:rsid w:val="00C90F2B"/>
    <w:rsid w:val="00C90FBD"/>
    <w:rsid w:val="00C9109A"/>
    <w:rsid w:val="00C910BF"/>
    <w:rsid w:val="00C910EC"/>
    <w:rsid w:val="00C91178"/>
    <w:rsid w:val="00C91212"/>
    <w:rsid w:val="00C913CE"/>
    <w:rsid w:val="00C91414"/>
    <w:rsid w:val="00C914D8"/>
    <w:rsid w:val="00C9165D"/>
    <w:rsid w:val="00C91712"/>
    <w:rsid w:val="00C9179C"/>
    <w:rsid w:val="00C917B3"/>
    <w:rsid w:val="00C9184E"/>
    <w:rsid w:val="00C91859"/>
    <w:rsid w:val="00C91862"/>
    <w:rsid w:val="00C918C6"/>
    <w:rsid w:val="00C919B3"/>
    <w:rsid w:val="00C91C89"/>
    <w:rsid w:val="00C91D90"/>
    <w:rsid w:val="00C91DDE"/>
    <w:rsid w:val="00C92090"/>
    <w:rsid w:val="00C921B6"/>
    <w:rsid w:val="00C92206"/>
    <w:rsid w:val="00C92270"/>
    <w:rsid w:val="00C922D7"/>
    <w:rsid w:val="00C923A3"/>
    <w:rsid w:val="00C92669"/>
    <w:rsid w:val="00C926B3"/>
    <w:rsid w:val="00C9275C"/>
    <w:rsid w:val="00C9297F"/>
    <w:rsid w:val="00C92DE3"/>
    <w:rsid w:val="00C92E13"/>
    <w:rsid w:val="00C92E18"/>
    <w:rsid w:val="00C92F63"/>
    <w:rsid w:val="00C92F82"/>
    <w:rsid w:val="00C9316C"/>
    <w:rsid w:val="00C931A3"/>
    <w:rsid w:val="00C931B3"/>
    <w:rsid w:val="00C93248"/>
    <w:rsid w:val="00C932A7"/>
    <w:rsid w:val="00C933AF"/>
    <w:rsid w:val="00C93444"/>
    <w:rsid w:val="00C93620"/>
    <w:rsid w:val="00C93621"/>
    <w:rsid w:val="00C93B2E"/>
    <w:rsid w:val="00C93C77"/>
    <w:rsid w:val="00C93C8F"/>
    <w:rsid w:val="00C93DC1"/>
    <w:rsid w:val="00C93DDA"/>
    <w:rsid w:val="00C93E2A"/>
    <w:rsid w:val="00C93E74"/>
    <w:rsid w:val="00C93F89"/>
    <w:rsid w:val="00C9402D"/>
    <w:rsid w:val="00C94063"/>
    <w:rsid w:val="00C940CB"/>
    <w:rsid w:val="00C94193"/>
    <w:rsid w:val="00C943B1"/>
    <w:rsid w:val="00C94421"/>
    <w:rsid w:val="00C94599"/>
    <w:rsid w:val="00C945DD"/>
    <w:rsid w:val="00C9464E"/>
    <w:rsid w:val="00C94AB2"/>
    <w:rsid w:val="00C94B12"/>
    <w:rsid w:val="00C94B27"/>
    <w:rsid w:val="00C94C52"/>
    <w:rsid w:val="00C94C70"/>
    <w:rsid w:val="00C94E5E"/>
    <w:rsid w:val="00C94F48"/>
    <w:rsid w:val="00C94FA0"/>
    <w:rsid w:val="00C951EC"/>
    <w:rsid w:val="00C95204"/>
    <w:rsid w:val="00C953AA"/>
    <w:rsid w:val="00C95428"/>
    <w:rsid w:val="00C95437"/>
    <w:rsid w:val="00C95493"/>
    <w:rsid w:val="00C95633"/>
    <w:rsid w:val="00C9586C"/>
    <w:rsid w:val="00C9589C"/>
    <w:rsid w:val="00C95957"/>
    <w:rsid w:val="00C95979"/>
    <w:rsid w:val="00C959CB"/>
    <w:rsid w:val="00C95A58"/>
    <w:rsid w:val="00C95A74"/>
    <w:rsid w:val="00C95AA6"/>
    <w:rsid w:val="00C95B67"/>
    <w:rsid w:val="00C95EC0"/>
    <w:rsid w:val="00C96008"/>
    <w:rsid w:val="00C96221"/>
    <w:rsid w:val="00C964F4"/>
    <w:rsid w:val="00C9651A"/>
    <w:rsid w:val="00C96675"/>
    <w:rsid w:val="00C966C6"/>
    <w:rsid w:val="00C96706"/>
    <w:rsid w:val="00C96B62"/>
    <w:rsid w:val="00C96BD4"/>
    <w:rsid w:val="00C96C6B"/>
    <w:rsid w:val="00C96C78"/>
    <w:rsid w:val="00C96CA9"/>
    <w:rsid w:val="00C96D35"/>
    <w:rsid w:val="00C96D64"/>
    <w:rsid w:val="00C96D99"/>
    <w:rsid w:val="00C96E56"/>
    <w:rsid w:val="00C96EEF"/>
    <w:rsid w:val="00C96F21"/>
    <w:rsid w:val="00C96F81"/>
    <w:rsid w:val="00C96FC2"/>
    <w:rsid w:val="00C97097"/>
    <w:rsid w:val="00C97205"/>
    <w:rsid w:val="00C97314"/>
    <w:rsid w:val="00C97363"/>
    <w:rsid w:val="00C9738E"/>
    <w:rsid w:val="00C9745D"/>
    <w:rsid w:val="00C975C6"/>
    <w:rsid w:val="00C977B4"/>
    <w:rsid w:val="00C97A03"/>
    <w:rsid w:val="00C97B89"/>
    <w:rsid w:val="00C97BFE"/>
    <w:rsid w:val="00C97C48"/>
    <w:rsid w:val="00C97D8A"/>
    <w:rsid w:val="00C97E08"/>
    <w:rsid w:val="00C97E42"/>
    <w:rsid w:val="00C97E7F"/>
    <w:rsid w:val="00C97F3A"/>
    <w:rsid w:val="00C97FF0"/>
    <w:rsid w:val="00CA00B8"/>
    <w:rsid w:val="00CA0129"/>
    <w:rsid w:val="00CA01B6"/>
    <w:rsid w:val="00CA01C7"/>
    <w:rsid w:val="00CA02B8"/>
    <w:rsid w:val="00CA0324"/>
    <w:rsid w:val="00CA04A7"/>
    <w:rsid w:val="00CA04E2"/>
    <w:rsid w:val="00CA04F0"/>
    <w:rsid w:val="00CA06F1"/>
    <w:rsid w:val="00CA0735"/>
    <w:rsid w:val="00CA09B4"/>
    <w:rsid w:val="00CA0B73"/>
    <w:rsid w:val="00CA0CA8"/>
    <w:rsid w:val="00CA0CC1"/>
    <w:rsid w:val="00CA0DC9"/>
    <w:rsid w:val="00CA0E60"/>
    <w:rsid w:val="00CA0EF2"/>
    <w:rsid w:val="00CA1015"/>
    <w:rsid w:val="00CA10F8"/>
    <w:rsid w:val="00CA1168"/>
    <w:rsid w:val="00CA12B0"/>
    <w:rsid w:val="00CA12F5"/>
    <w:rsid w:val="00CA137D"/>
    <w:rsid w:val="00CA14AD"/>
    <w:rsid w:val="00CA1580"/>
    <w:rsid w:val="00CA1687"/>
    <w:rsid w:val="00CA1691"/>
    <w:rsid w:val="00CA1692"/>
    <w:rsid w:val="00CA18B3"/>
    <w:rsid w:val="00CA19BC"/>
    <w:rsid w:val="00CA1A2C"/>
    <w:rsid w:val="00CA1B33"/>
    <w:rsid w:val="00CA1C15"/>
    <w:rsid w:val="00CA1C92"/>
    <w:rsid w:val="00CA1DF8"/>
    <w:rsid w:val="00CA1EAA"/>
    <w:rsid w:val="00CA1EB7"/>
    <w:rsid w:val="00CA1F75"/>
    <w:rsid w:val="00CA2019"/>
    <w:rsid w:val="00CA21C9"/>
    <w:rsid w:val="00CA24D8"/>
    <w:rsid w:val="00CA2560"/>
    <w:rsid w:val="00CA2701"/>
    <w:rsid w:val="00CA277C"/>
    <w:rsid w:val="00CA284B"/>
    <w:rsid w:val="00CA28FE"/>
    <w:rsid w:val="00CA2951"/>
    <w:rsid w:val="00CA297E"/>
    <w:rsid w:val="00CA2A14"/>
    <w:rsid w:val="00CA2A57"/>
    <w:rsid w:val="00CA2A59"/>
    <w:rsid w:val="00CA2C13"/>
    <w:rsid w:val="00CA2C17"/>
    <w:rsid w:val="00CA2CC7"/>
    <w:rsid w:val="00CA2DB2"/>
    <w:rsid w:val="00CA2EA9"/>
    <w:rsid w:val="00CA2F78"/>
    <w:rsid w:val="00CA30DF"/>
    <w:rsid w:val="00CA3147"/>
    <w:rsid w:val="00CA333E"/>
    <w:rsid w:val="00CA33B4"/>
    <w:rsid w:val="00CA3548"/>
    <w:rsid w:val="00CA386C"/>
    <w:rsid w:val="00CA389A"/>
    <w:rsid w:val="00CA38DF"/>
    <w:rsid w:val="00CA391F"/>
    <w:rsid w:val="00CA39B9"/>
    <w:rsid w:val="00CA39E5"/>
    <w:rsid w:val="00CA3B04"/>
    <w:rsid w:val="00CA3D78"/>
    <w:rsid w:val="00CA3DA8"/>
    <w:rsid w:val="00CA407E"/>
    <w:rsid w:val="00CA4131"/>
    <w:rsid w:val="00CA41E8"/>
    <w:rsid w:val="00CA4259"/>
    <w:rsid w:val="00CA428F"/>
    <w:rsid w:val="00CA4311"/>
    <w:rsid w:val="00CA43A1"/>
    <w:rsid w:val="00CA451C"/>
    <w:rsid w:val="00CA4571"/>
    <w:rsid w:val="00CA457F"/>
    <w:rsid w:val="00CA461F"/>
    <w:rsid w:val="00CA46E0"/>
    <w:rsid w:val="00CA4808"/>
    <w:rsid w:val="00CA48B6"/>
    <w:rsid w:val="00CA48D4"/>
    <w:rsid w:val="00CA4B42"/>
    <w:rsid w:val="00CA4BF5"/>
    <w:rsid w:val="00CA4CC5"/>
    <w:rsid w:val="00CA4D0C"/>
    <w:rsid w:val="00CA4E97"/>
    <w:rsid w:val="00CA4EB9"/>
    <w:rsid w:val="00CA4EC1"/>
    <w:rsid w:val="00CA4FE0"/>
    <w:rsid w:val="00CA503A"/>
    <w:rsid w:val="00CA5249"/>
    <w:rsid w:val="00CA551E"/>
    <w:rsid w:val="00CA554D"/>
    <w:rsid w:val="00CA55D6"/>
    <w:rsid w:val="00CA5619"/>
    <w:rsid w:val="00CA5687"/>
    <w:rsid w:val="00CA56E1"/>
    <w:rsid w:val="00CA56EA"/>
    <w:rsid w:val="00CA578B"/>
    <w:rsid w:val="00CA5833"/>
    <w:rsid w:val="00CA583D"/>
    <w:rsid w:val="00CA5A3E"/>
    <w:rsid w:val="00CA5C0A"/>
    <w:rsid w:val="00CA5CAD"/>
    <w:rsid w:val="00CA5D65"/>
    <w:rsid w:val="00CA5D90"/>
    <w:rsid w:val="00CA5DEE"/>
    <w:rsid w:val="00CA5EB1"/>
    <w:rsid w:val="00CA5F40"/>
    <w:rsid w:val="00CA609C"/>
    <w:rsid w:val="00CA615A"/>
    <w:rsid w:val="00CA6191"/>
    <w:rsid w:val="00CA6320"/>
    <w:rsid w:val="00CA6358"/>
    <w:rsid w:val="00CA63D2"/>
    <w:rsid w:val="00CA6457"/>
    <w:rsid w:val="00CA64AD"/>
    <w:rsid w:val="00CA66AF"/>
    <w:rsid w:val="00CA6706"/>
    <w:rsid w:val="00CA6826"/>
    <w:rsid w:val="00CA68A3"/>
    <w:rsid w:val="00CA6AA2"/>
    <w:rsid w:val="00CA6BCF"/>
    <w:rsid w:val="00CA6D3E"/>
    <w:rsid w:val="00CA6D79"/>
    <w:rsid w:val="00CA709B"/>
    <w:rsid w:val="00CA71AD"/>
    <w:rsid w:val="00CA72B1"/>
    <w:rsid w:val="00CA731B"/>
    <w:rsid w:val="00CA7509"/>
    <w:rsid w:val="00CA75CC"/>
    <w:rsid w:val="00CA77C4"/>
    <w:rsid w:val="00CA78CA"/>
    <w:rsid w:val="00CA7AE9"/>
    <w:rsid w:val="00CB0018"/>
    <w:rsid w:val="00CB01A5"/>
    <w:rsid w:val="00CB0239"/>
    <w:rsid w:val="00CB02D5"/>
    <w:rsid w:val="00CB0468"/>
    <w:rsid w:val="00CB04EC"/>
    <w:rsid w:val="00CB055B"/>
    <w:rsid w:val="00CB0631"/>
    <w:rsid w:val="00CB0632"/>
    <w:rsid w:val="00CB06BB"/>
    <w:rsid w:val="00CB0772"/>
    <w:rsid w:val="00CB079A"/>
    <w:rsid w:val="00CB096A"/>
    <w:rsid w:val="00CB0A71"/>
    <w:rsid w:val="00CB0BCE"/>
    <w:rsid w:val="00CB0C07"/>
    <w:rsid w:val="00CB0D9B"/>
    <w:rsid w:val="00CB0DC4"/>
    <w:rsid w:val="00CB0DE7"/>
    <w:rsid w:val="00CB0E3D"/>
    <w:rsid w:val="00CB0EB3"/>
    <w:rsid w:val="00CB0F1C"/>
    <w:rsid w:val="00CB1066"/>
    <w:rsid w:val="00CB10B4"/>
    <w:rsid w:val="00CB1172"/>
    <w:rsid w:val="00CB123E"/>
    <w:rsid w:val="00CB1257"/>
    <w:rsid w:val="00CB1386"/>
    <w:rsid w:val="00CB13EF"/>
    <w:rsid w:val="00CB1403"/>
    <w:rsid w:val="00CB1603"/>
    <w:rsid w:val="00CB166A"/>
    <w:rsid w:val="00CB1787"/>
    <w:rsid w:val="00CB17E2"/>
    <w:rsid w:val="00CB192C"/>
    <w:rsid w:val="00CB1943"/>
    <w:rsid w:val="00CB19FE"/>
    <w:rsid w:val="00CB1B52"/>
    <w:rsid w:val="00CB1BAF"/>
    <w:rsid w:val="00CB1D67"/>
    <w:rsid w:val="00CB1DEA"/>
    <w:rsid w:val="00CB1E34"/>
    <w:rsid w:val="00CB1E79"/>
    <w:rsid w:val="00CB1E9A"/>
    <w:rsid w:val="00CB1F75"/>
    <w:rsid w:val="00CB1FF2"/>
    <w:rsid w:val="00CB2013"/>
    <w:rsid w:val="00CB20AB"/>
    <w:rsid w:val="00CB22F5"/>
    <w:rsid w:val="00CB2432"/>
    <w:rsid w:val="00CB2524"/>
    <w:rsid w:val="00CB2558"/>
    <w:rsid w:val="00CB262F"/>
    <w:rsid w:val="00CB2691"/>
    <w:rsid w:val="00CB280C"/>
    <w:rsid w:val="00CB2833"/>
    <w:rsid w:val="00CB2A7C"/>
    <w:rsid w:val="00CB2A7E"/>
    <w:rsid w:val="00CB2A84"/>
    <w:rsid w:val="00CB2AE7"/>
    <w:rsid w:val="00CB2C4F"/>
    <w:rsid w:val="00CB2CF9"/>
    <w:rsid w:val="00CB2D9E"/>
    <w:rsid w:val="00CB2DEC"/>
    <w:rsid w:val="00CB2E31"/>
    <w:rsid w:val="00CB2EC4"/>
    <w:rsid w:val="00CB2F4A"/>
    <w:rsid w:val="00CB2FD6"/>
    <w:rsid w:val="00CB3151"/>
    <w:rsid w:val="00CB32C9"/>
    <w:rsid w:val="00CB332F"/>
    <w:rsid w:val="00CB33F6"/>
    <w:rsid w:val="00CB3448"/>
    <w:rsid w:val="00CB3506"/>
    <w:rsid w:val="00CB357B"/>
    <w:rsid w:val="00CB366E"/>
    <w:rsid w:val="00CB375C"/>
    <w:rsid w:val="00CB381E"/>
    <w:rsid w:val="00CB3994"/>
    <w:rsid w:val="00CB3B41"/>
    <w:rsid w:val="00CB3C52"/>
    <w:rsid w:val="00CB3CF3"/>
    <w:rsid w:val="00CB3D52"/>
    <w:rsid w:val="00CB3D80"/>
    <w:rsid w:val="00CB417A"/>
    <w:rsid w:val="00CB425E"/>
    <w:rsid w:val="00CB430B"/>
    <w:rsid w:val="00CB4353"/>
    <w:rsid w:val="00CB45B0"/>
    <w:rsid w:val="00CB487A"/>
    <w:rsid w:val="00CB48C6"/>
    <w:rsid w:val="00CB4B89"/>
    <w:rsid w:val="00CB4BDD"/>
    <w:rsid w:val="00CB4C97"/>
    <w:rsid w:val="00CB4CAC"/>
    <w:rsid w:val="00CB4DFF"/>
    <w:rsid w:val="00CB4F0D"/>
    <w:rsid w:val="00CB4FC4"/>
    <w:rsid w:val="00CB5225"/>
    <w:rsid w:val="00CB52D4"/>
    <w:rsid w:val="00CB5459"/>
    <w:rsid w:val="00CB547C"/>
    <w:rsid w:val="00CB54F8"/>
    <w:rsid w:val="00CB553E"/>
    <w:rsid w:val="00CB57AC"/>
    <w:rsid w:val="00CB59A2"/>
    <w:rsid w:val="00CB59D1"/>
    <w:rsid w:val="00CB5AD4"/>
    <w:rsid w:val="00CB5ADA"/>
    <w:rsid w:val="00CB5B9B"/>
    <w:rsid w:val="00CB5C94"/>
    <w:rsid w:val="00CB5DDC"/>
    <w:rsid w:val="00CB60EB"/>
    <w:rsid w:val="00CB6195"/>
    <w:rsid w:val="00CB6236"/>
    <w:rsid w:val="00CB6239"/>
    <w:rsid w:val="00CB6345"/>
    <w:rsid w:val="00CB64F0"/>
    <w:rsid w:val="00CB65BE"/>
    <w:rsid w:val="00CB6725"/>
    <w:rsid w:val="00CB6749"/>
    <w:rsid w:val="00CB67D1"/>
    <w:rsid w:val="00CB67E1"/>
    <w:rsid w:val="00CB6846"/>
    <w:rsid w:val="00CB6995"/>
    <w:rsid w:val="00CB69A2"/>
    <w:rsid w:val="00CB6C26"/>
    <w:rsid w:val="00CB6D7D"/>
    <w:rsid w:val="00CB6E2F"/>
    <w:rsid w:val="00CB6E36"/>
    <w:rsid w:val="00CB6F4A"/>
    <w:rsid w:val="00CB70EB"/>
    <w:rsid w:val="00CB71B4"/>
    <w:rsid w:val="00CB7241"/>
    <w:rsid w:val="00CB731F"/>
    <w:rsid w:val="00CB739F"/>
    <w:rsid w:val="00CB746C"/>
    <w:rsid w:val="00CB773E"/>
    <w:rsid w:val="00CB78A4"/>
    <w:rsid w:val="00CB795A"/>
    <w:rsid w:val="00CB7975"/>
    <w:rsid w:val="00CB79CA"/>
    <w:rsid w:val="00CB7A35"/>
    <w:rsid w:val="00CB7BB3"/>
    <w:rsid w:val="00CB7BD6"/>
    <w:rsid w:val="00CB7C33"/>
    <w:rsid w:val="00CB7C56"/>
    <w:rsid w:val="00CB7C5C"/>
    <w:rsid w:val="00CB7EC9"/>
    <w:rsid w:val="00CB7F66"/>
    <w:rsid w:val="00CB7FC4"/>
    <w:rsid w:val="00CC0116"/>
    <w:rsid w:val="00CC0122"/>
    <w:rsid w:val="00CC0179"/>
    <w:rsid w:val="00CC01DD"/>
    <w:rsid w:val="00CC023D"/>
    <w:rsid w:val="00CC02B8"/>
    <w:rsid w:val="00CC0308"/>
    <w:rsid w:val="00CC039E"/>
    <w:rsid w:val="00CC03AB"/>
    <w:rsid w:val="00CC03E8"/>
    <w:rsid w:val="00CC04BE"/>
    <w:rsid w:val="00CC04DF"/>
    <w:rsid w:val="00CC0529"/>
    <w:rsid w:val="00CC06C5"/>
    <w:rsid w:val="00CC0A0F"/>
    <w:rsid w:val="00CC0A93"/>
    <w:rsid w:val="00CC0C8C"/>
    <w:rsid w:val="00CC0E77"/>
    <w:rsid w:val="00CC0F54"/>
    <w:rsid w:val="00CC0FB6"/>
    <w:rsid w:val="00CC1085"/>
    <w:rsid w:val="00CC1086"/>
    <w:rsid w:val="00CC10B6"/>
    <w:rsid w:val="00CC1251"/>
    <w:rsid w:val="00CC13A3"/>
    <w:rsid w:val="00CC13F0"/>
    <w:rsid w:val="00CC14FE"/>
    <w:rsid w:val="00CC1529"/>
    <w:rsid w:val="00CC1537"/>
    <w:rsid w:val="00CC1585"/>
    <w:rsid w:val="00CC1806"/>
    <w:rsid w:val="00CC197A"/>
    <w:rsid w:val="00CC19F4"/>
    <w:rsid w:val="00CC1A02"/>
    <w:rsid w:val="00CC1B5F"/>
    <w:rsid w:val="00CC1B76"/>
    <w:rsid w:val="00CC1C0E"/>
    <w:rsid w:val="00CC1E4B"/>
    <w:rsid w:val="00CC1F07"/>
    <w:rsid w:val="00CC1FB6"/>
    <w:rsid w:val="00CC2036"/>
    <w:rsid w:val="00CC20F1"/>
    <w:rsid w:val="00CC21DA"/>
    <w:rsid w:val="00CC21F4"/>
    <w:rsid w:val="00CC2240"/>
    <w:rsid w:val="00CC2291"/>
    <w:rsid w:val="00CC232D"/>
    <w:rsid w:val="00CC2330"/>
    <w:rsid w:val="00CC245B"/>
    <w:rsid w:val="00CC2729"/>
    <w:rsid w:val="00CC272E"/>
    <w:rsid w:val="00CC276B"/>
    <w:rsid w:val="00CC2A52"/>
    <w:rsid w:val="00CC2A59"/>
    <w:rsid w:val="00CC2AEA"/>
    <w:rsid w:val="00CC2B9C"/>
    <w:rsid w:val="00CC2BD2"/>
    <w:rsid w:val="00CC2C58"/>
    <w:rsid w:val="00CC2C6A"/>
    <w:rsid w:val="00CC2C7D"/>
    <w:rsid w:val="00CC2CC9"/>
    <w:rsid w:val="00CC2FD7"/>
    <w:rsid w:val="00CC30E0"/>
    <w:rsid w:val="00CC334E"/>
    <w:rsid w:val="00CC348F"/>
    <w:rsid w:val="00CC34D5"/>
    <w:rsid w:val="00CC3562"/>
    <w:rsid w:val="00CC3914"/>
    <w:rsid w:val="00CC3976"/>
    <w:rsid w:val="00CC3AD7"/>
    <w:rsid w:val="00CC3BBB"/>
    <w:rsid w:val="00CC3BC9"/>
    <w:rsid w:val="00CC3BF6"/>
    <w:rsid w:val="00CC3C7B"/>
    <w:rsid w:val="00CC3D0D"/>
    <w:rsid w:val="00CC3E5A"/>
    <w:rsid w:val="00CC3E8F"/>
    <w:rsid w:val="00CC41C7"/>
    <w:rsid w:val="00CC435F"/>
    <w:rsid w:val="00CC4397"/>
    <w:rsid w:val="00CC44D3"/>
    <w:rsid w:val="00CC4504"/>
    <w:rsid w:val="00CC46F9"/>
    <w:rsid w:val="00CC476D"/>
    <w:rsid w:val="00CC4783"/>
    <w:rsid w:val="00CC47CA"/>
    <w:rsid w:val="00CC47E8"/>
    <w:rsid w:val="00CC4913"/>
    <w:rsid w:val="00CC49B9"/>
    <w:rsid w:val="00CC49F3"/>
    <w:rsid w:val="00CC4CD0"/>
    <w:rsid w:val="00CC4D66"/>
    <w:rsid w:val="00CC4E68"/>
    <w:rsid w:val="00CC4EC4"/>
    <w:rsid w:val="00CC4F74"/>
    <w:rsid w:val="00CC4FC5"/>
    <w:rsid w:val="00CC501E"/>
    <w:rsid w:val="00CC519B"/>
    <w:rsid w:val="00CC51EC"/>
    <w:rsid w:val="00CC52C3"/>
    <w:rsid w:val="00CC541E"/>
    <w:rsid w:val="00CC5788"/>
    <w:rsid w:val="00CC57EC"/>
    <w:rsid w:val="00CC57FA"/>
    <w:rsid w:val="00CC58F9"/>
    <w:rsid w:val="00CC5910"/>
    <w:rsid w:val="00CC59E0"/>
    <w:rsid w:val="00CC5B51"/>
    <w:rsid w:val="00CC5CA5"/>
    <w:rsid w:val="00CC5DA1"/>
    <w:rsid w:val="00CC5EB9"/>
    <w:rsid w:val="00CC5F05"/>
    <w:rsid w:val="00CC5F10"/>
    <w:rsid w:val="00CC5F3D"/>
    <w:rsid w:val="00CC6090"/>
    <w:rsid w:val="00CC6173"/>
    <w:rsid w:val="00CC6177"/>
    <w:rsid w:val="00CC62A8"/>
    <w:rsid w:val="00CC62B2"/>
    <w:rsid w:val="00CC6604"/>
    <w:rsid w:val="00CC6612"/>
    <w:rsid w:val="00CC668A"/>
    <w:rsid w:val="00CC676C"/>
    <w:rsid w:val="00CC676F"/>
    <w:rsid w:val="00CC685D"/>
    <w:rsid w:val="00CC69D5"/>
    <w:rsid w:val="00CC6A4B"/>
    <w:rsid w:val="00CC6ACD"/>
    <w:rsid w:val="00CC6B04"/>
    <w:rsid w:val="00CC6B0D"/>
    <w:rsid w:val="00CC6B1F"/>
    <w:rsid w:val="00CC6C36"/>
    <w:rsid w:val="00CC6C3C"/>
    <w:rsid w:val="00CC6CC7"/>
    <w:rsid w:val="00CC6DB8"/>
    <w:rsid w:val="00CC6E07"/>
    <w:rsid w:val="00CC6FA2"/>
    <w:rsid w:val="00CC707A"/>
    <w:rsid w:val="00CC70D5"/>
    <w:rsid w:val="00CC7275"/>
    <w:rsid w:val="00CC75D6"/>
    <w:rsid w:val="00CC763E"/>
    <w:rsid w:val="00CC77E3"/>
    <w:rsid w:val="00CC77F6"/>
    <w:rsid w:val="00CC783B"/>
    <w:rsid w:val="00CC7A31"/>
    <w:rsid w:val="00CC7B00"/>
    <w:rsid w:val="00CC7B17"/>
    <w:rsid w:val="00CC7B7B"/>
    <w:rsid w:val="00CC7BAD"/>
    <w:rsid w:val="00CC7CBB"/>
    <w:rsid w:val="00CC7CCF"/>
    <w:rsid w:val="00CC7CD0"/>
    <w:rsid w:val="00CC7D1F"/>
    <w:rsid w:val="00CD0032"/>
    <w:rsid w:val="00CD005A"/>
    <w:rsid w:val="00CD0148"/>
    <w:rsid w:val="00CD05E5"/>
    <w:rsid w:val="00CD0796"/>
    <w:rsid w:val="00CD0928"/>
    <w:rsid w:val="00CD0B79"/>
    <w:rsid w:val="00CD0B84"/>
    <w:rsid w:val="00CD0BF4"/>
    <w:rsid w:val="00CD0C03"/>
    <w:rsid w:val="00CD0C16"/>
    <w:rsid w:val="00CD0E38"/>
    <w:rsid w:val="00CD0EDD"/>
    <w:rsid w:val="00CD11D0"/>
    <w:rsid w:val="00CD136E"/>
    <w:rsid w:val="00CD13C1"/>
    <w:rsid w:val="00CD156E"/>
    <w:rsid w:val="00CD178E"/>
    <w:rsid w:val="00CD1812"/>
    <w:rsid w:val="00CD1835"/>
    <w:rsid w:val="00CD1990"/>
    <w:rsid w:val="00CD1B11"/>
    <w:rsid w:val="00CD1BA2"/>
    <w:rsid w:val="00CD1D02"/>
    <w:rsid w:val="00CD1E7B"/>
    <w:rsid w:val="00CD1F18"/>
    <w:rsid w:val="00CD20B7"/>
    <w:rsid w:val="00CD20C8"/>
    <w:rsid w:val="00CD2115"/>
    <w:rsid w:val="00CD2360"/>
    <w:rsid w:val="00CD23DC"/>
    <w:rsid w:val="00CD23FA"/>
    <w:rsid w:val="00CD2509"/>
    <w:rsid w:val="00CD2518"/>
    <w:rsid w:val="00CD25B0"/>
    <w:rsid w:val="00CD264D"/>
    <w:rsid w:val="00CD27AC"/>
    <w:rsid w:val="00CD27C9"/>
    <w:rsid w:val="00CD29F0"/>
    <w:rsid w:val="00CD2D68"/>
    <w:rsid w:val="00CD2D69"/>
    <w:rsid w:val="00CD2DCD"/>
    <w:rsid w:val="00CD2DE6"/>
    <w:rsid w:val="00CD2E14"/>
    <w:rsid w:val="00CD2F70"/>
    <w:rsid w:val="00CD2F7F"/>
    <w:rsid w:val="00CD300A"/>
    <w:rsid w:val="00CD3028"/>
    <w:rsid w:val="00CD311E"/>
    <w:rsid w:val="00CD3281"/>
    <w:rsid w:val="00CD32DA"/>
    <w:rsid w:val="00CD33C4"/>
    <w:rsid w:val="00CD3454"/>
    <w:rsid w:val="00CD34F8"/>
    <w:rsid w:val="00CD34FA"/>
    <w:rsid w:val="00CD3502"/>
    <w:rsid w:val="00CD3782"/>
    <w:rsid w:val="00CD3798"/>
    <w:rsid w:val="00CD3997"/>
    <w:rsid w:val="00CD39EA"/>
    <w:rsid w:val="00CD3AE7"/>
    <w:rsid w:val="00CD3B08"/>
    <w:rsid w:val="00CD3B45"/>
    <w:rsid w:val="00CD3B58"/>
    <w:rsid w:val="00CD3D6A"/>
    <w:rsid w:val="00CD3DCD"/>
    <w:rsid w:val="00CD4029"/>
    <w:rsid w:val="00CD4065"/>
    <w:rsid w:val="00CD417B"/>
    <w:rsid w:val="00CD4424"/>
    <w:rsid w:val="00CD4482"/>
    <w:rsid w:val="00CD44BB"/>
    <w:rsid w:val="00CD44D2"/>
    <w:rsid w:val="00CD44E2"/>
    <w:rsid w:val="00CD4622"/>
    <w:rsid w:val="00CD4872"/>
    <w:rsid w:val="00CD4988"/>
    <w:rsid w:val="00CD4A0C"/>
    <w:rsid w:val="00CD4ACE"/>
    <w:rsid w:val="00CD4B34"/>
    <w:rsid w:val="00CD4BE8"/>
    <w:rsid w:val="00CD4E41"/>
    <w:rsid w:val="00CD4E79"/>
    <w:rsid w:val="00CD4F72"/>
    <w:rsid w:val="00CD4FEE"/>
    <w:rsid w:val="00CD51C8"/>
    <w:rsid w:val="00CD5200"/>
    <w:rsid w:val="00CD5320"/>
    <w:rsid w:val="00CD5348"/>
    <w:rsid w:val="00CD5377"/>
    <w:rsid w:val="00CD53DD"/>
    <w:rsid w:val="00CD5486"/>
    <w:rsid w:val="00CD55B3"/>
    <w:rsid w:val="00CD5730"/>
    <w:rsid w:val="00CD581C"/>
    <w:rsid w:val="00CD5A24"/>
    <w:rsid w:val="00CD5B9E"/>
    <w:rsid w:val="00CD5C57"/>
    <w:rsid w:val="00CD5C60"/>
    <w:rsid w:val="00CD5DEB"/>
    <w:rsid w:val="00CD5E95"/>
    <w:rsid w:val="00CD5EDB"/>
    <w:rsid w:val="00CD5FD7"/>
    <w:rsid w:val="00CD5FED"/>
    <w:rsid w:val="00CD6005"/>
    <w:rsid w:val="00CD600C"/>
    <w:rsid w:val="00CD603D"/>
    <w:rsid w:val="00CD6122"/>
    <w:rsid w:val="00CD624B"/>
    <w:rsid w:val="00CD63D5"/>
    <w:rsid w:val="00CD6415"/>
    <w:rsid w:val="00CD648A"/>
    <w:rsid w:val="00CD64E9"/>
    <w:rsid w:val="00CD653F"/>
    <w:rsid w:val="00CD6545"/>
    <w:rsid w:val="00CD664B"/>
    <w:rsid w:val="00CD6770"/>
    <w:rsid w:val="00CD67E8"/>
    <w:rsid w:val="00CD6843"/>
    <w:rsid w:val="00CD69ED"/>
    <w:rsid w:val="00CD6ACB"/>
    <w:rsid w:val="00CD6B94"/>
    <w:rsid w:val="00CD6D07"/>
    <w:rsid w:val="00CD6D50"/>
    <w:rsid w:val="00CD6E5D"/>
    <w:rsid w:val="00CD6FED"/>
    <w:rsid w:val="00CD7113"/>
    <w:rsid w:val="00CD71E3"/>
    <w:rsid w:val="00CD73FF"/>
    <w:rsid w:val="00CD7564"/>
    <w:rsid w:val="00CD75CC"/>
    <w:rsid w:val="00CD77D7"/>
    <w:rsid w:val="00CD77E8"/>
    <w:rsid w:val="00CD79AD"/>
    <w:rsid w:val="00CD79BC"/>
    <w:rsid w:val="00CD79E4"/>
    <w:rsid w:val="00CD7BD5"/>
    <w:rsid w:val="00CD7DBF"/>
    <w:rsid w:val="00CD7E03"/>
    <w:rsid w:val="00CE0035"/>
    <w:rsid w:val="00CE02BE"/>
    <w:rsid w:val="00CE036F"/>
    <w:rsid w:val="00CE0442"/>
    <w:rsid w:val="00CE0550"/>
    <w:rsid w:val="00CE0585"/>
    <w:rsid w:val="00CE058D"/>
    <w:rsid w:val="00CE0759"/>
    <w:rsid w:val="00CE0852"/>
    <w:rsid w:val="00CE0942"/>
    <w:rsid w:val="00CE0C55"/>
    <w:rsid w:val="00CE0E6F"/>
    <w:rsid w:val="00CE103A"/>
    <w:rsid w:val="00CE1158"/>
    <w:rsid w:val="00CE130A"/>
    <w:rsid w:val="00CE1564"/>
    <w:rsid w:val="00CE15A6"/>
    <w:rsid w:val="00CE15D6"/>
    <w:rsid w:val="00CE16C4"/>
    <w:rsid w:val="00CE17A5"/>
    <w:rsid w:val="00CE19AB"/>
    <w:rsid w:val="00CE1ACD"/>
    <w:rsid w:val="00CE1B61"/>
    <w:rsid w:val="00CE1D29"/>
    <w:rsid w:val="00CE1D84"/>
    <w:rsid w:val="00CE1DFA"/>
    <w:rsid w:val="00CE1F72"/>
    <w:rsid w:val="00CE2090"/>
    <w:rsid w:val="00CE20E8"/>
    <w:rsid w:val="00CE2237"/>
    <w:rsid w:val="00CE234A"/>
    <w:rsid w:val="00CE241D"/>
    <w:rsid w:val="00CE27FA"/>
    <w:rsid w:val="00CE291E"/>
    <w:rsid w:val="00CE2927"/>
    <w:rsid w:val="00CE2AD5"/>
    <w:rsid w:val="00CE2BC7"/>
    <w:rsid w:val="00CE2CFF"/>
    <w:rsid w:val="00CE2DD6"/>
    <w:rsid w:val="00CE2E5C"/>
    <w:rsid w:val="00CE3016"/>
    <w:rsid w:val="00CE3082"/>
    <w:rsid w:val="00CE30B9"/>
    <w:rsid w:val="00CE3168"/>
    <w:rsid w:val="00CE3219"/>
    <w:rsid w:val="00CE3252"/>
    <w:rsid w:val="00CE325B"/>
    <w:rsid w:val="00CE35BA"/>
    <w:rsid w:val="00CE36F6"/>
    <w:rsid w:val="00CE371E"/>
    <w:rsid w:val="00CE381F"/>
    <w:rsid w:val="00CE385B"/>
    <w:rsid w:val="00CE38DF"/>
    <w:rsid w:val="00CE39DB"/>
    <w:rsid w:val="00CE3B16"/>
    <w:rsid w:val="00CE3B84"/>
    <w:rsid w:val="00CE3D41"/>
    <w:rsid w:val="00CE3FD8"/>
    <w:rsid w:val="00CE4150"/>
    <w:rsid w:val="00CE416D"/>
    <w:rsid w:val="00CE417B"/>
    <w:rsid w:val="00CE4307"/>
    <w:rsid w:val="00CE4332"/>
    <w:rsid w:val="00CE4340"/>
    <w:rsid w:val="00CE4356"/>
    <w:rsid w:val="00CE44C5"/>
    <w:rsid w:val="00CE4538"/>
    <w:rsid w:val="00CE45D6"/>
    <w:rsid w:val="00CE4623"/>
    <w:rsid w:val="00CE469D"/>
    <w:rsid w:val="00CE4838"/>
    <w:rsid w:val="00CE487C"/>
    <w:rsid w:val="00CE49DE"/>
    <w:rsid w:val="00CE4AD1"/>
    <w:rsid w:val="00CE4C30"/>
    <w:rsid w:val="00CE4C94"/>
    <w:rsid w:val="00CE4D71"/>
    <w:rsid w:val="00CE4D7E"/>
    <w:rsid w:val="00CE4DE5"/>
    <w:rsid w:val="00CE4E3C"/>
    <w:rsid w:val="00CE4E6B"/>
    <w:rsid w:val="00CE4ED3"/>
    <w:rsid w:val="00CE4EDF"/>
    <w:rsid w:val="00CE4EED"/>
    <w:rsid w:val="00CE4FFE"/>
    <w:rsid w:val="00CE5183"/>
    <w:rsid w:val="00CE5407"/>
    <w:rsid w:val="00CE5412"/>
    <w:rsid w:val="00CE54B9"/>
    <w:rsid w:val="00CE55BB"/>
    <w:rsid w:val="00CE55D8"/>
    <w:rsid w:val="00CE56C6"/>
    <w:rsid w:val="00CE57A0"/>
    <w:rsid w:val="00CE57B8"/>
    <w:rsid w:val="00CE58A1"/>
    <w:rsid w:val="00CE5971"/>
    <w:rsid w:val="00CE5A4B"/>
    <w:rsid w:val="00CE5A4D"/>
    <w:rsid w:val="00CE5A66"/>
    <w:rsid w:val="00CE5A9F"/>
    <w:rsid w:val="00CE5D8C"/>
    <w:rsid w:val="00CE5D8E"/>
    <w:rsid w:val="00CE5DBD"/>
    <w:rsid w:val="00CE604D"/>
    <w:rsid w:val="00CE6079"/>
    <w:rsid w:val="00CE60CB"/>
    <w:rsid w:val="00CE6127"/>
    <w:rsid w:val="00CE6149"/>
    <w:rsid w:val="00CE618A"/>
    <w:rsid w:val="00CE61FF"/>
    <w:rsid w:val="00CE623E"/>
    <w:rsid w:val="00CE6625"/>
    <w:rsid w:val="00CE679F"/>
    <w:rsid w:val="00CE699C"/>
    <w:rsid w:val="00CE6A15"/>
    <w:rsid w:val="00CE6AF5"/>
    <w:rsid w:val="00CE6B1F"/>
    <w:rsid w:val="00CE6C0E"/>
    <w:rsid w:val="00CE6C2F"/>
    <w:rsid w:val="00CE6C43"/>
    <w:rsid w:val="00CE6CC7"/>
    <w:rsid w:val="00CE6D6D"/>
    <w:rsid w:val="00CE7271"/>
    <w:rsid w:val="00CE728A"/>
    <w:rsid w:val="00CE73DE"/>
    <w:rsid w:val="00CE7433"/>
    <w:rsid w:val="00CE74C5"/>
    <w:rsid w:val="00CE74CD"/>
    <w:rsid w:val="00CE75D2"/>
    <w:rsid w:val="00CE763F"/>
    <w:rsid w:val="00CE77F0"/>
    <w:rsid w:val="00CE798A"/>
    <w:rsid w:val="00CE79F2"/>
    <w:rsid w:val="00CE7AC1"/>
    <w:rsid w:val="00CE7BC4"/>
    <w:rsid w:val="00CE7C7B"/>
    <w:rsid w:val="00CE7D55"/>
    <w:rsid w:val="00CE7D77"/>
    <w:rsid w:val="00CE7DFA"/>
    <w:rsid w:val="00CE7E20"/>
    <w:rsid w:val="00CE7EC2"/>
    <w:rsid w:val="00CE8C81"/>
    <w:rsid w:val="00CF009B"/>
    <w:rsid w:val="00CF018B"/>
    <w:rsid w:val="00CF0270"/>
    <w:rsid w:val="00CF03A1"/>
    <w:rsid w:val="00CF05BB"/>
    <w:rsid w:val="00CF0680"/>
    <w:rsid w:val="00CF0683"/>
    <w:rsid w:val="00CF06D0"/>
    <w:rsid w:val="00CF0715"/>
    <w:rsid w:val="00CF08DD"/>
    <w:rsid w:val="00CF09A5"/>
    <w:rsid w:val="00CF09BE"/>
    <w:rsid w:val="00CF09CB"/>
    <w:rsid w:val="00CF0A79"/>
    <w:rsid w:val="00CF0C13"/>
    <w:rsid w:val="00CF0C1B"/>
    <w:rsid w:val="00CF0C5C"/>
    <w:rsid w:val="00CF0C97"/>
    <w:rsid w:val="00CF0C9F"/>
    <w:rsid w:val="00CF0D31"/>
    <w:rsid w:val="00CF0DD4"/>
    <w:rsid w:val="00CF0EA6"/>
    <w:rsid w:val="00CF0EB1"/>
    <w:rsid w:val="00CF10AF"/>
    <w:rsid w:val="00CF10E6"/>
    <w:rsid w:val="00CF12F8"/>
    <w:rsid w:val="00CF1302"/>
    <w:rsid w:val="00CF145C"/>
    <w:rsid w:val="00CF15F4"/>
    <w:rsid w:val="00CF1794"/>
    <w:rsid w:val="00CF17AC"/>
    <w:rsid w:val="00CF17F5"/>
    <w:rsid w:val="00CF1877"/>
    <w:rsid w:val="00CF18D1"/>
    <w:rsid w:val="00CF19FD"/>
    <w:rsid w:val="00CF1A18"/>
    <w:rsid w:val="00CF1A59"/>
    <w:rsid w:val="00CF1C3C"/>
    <w:rsid w:val="00CF1CFE"/>
    <w:rsid w:val="00CF1F0A"/>
    <w:rsid w:val="00CF1FA5"/>
    <w:rsid w:val="00CF1FB6"/>
    <w:rsid w:val="00CF1FC0"/>
    <w:rsid w:val="00CF20D7"/>
    <w:rsid w:val="00CF20E5"/>
    <w:rsid w:val="00CF221B"/>
    <w:rsid w:val="00CF224B"/>
    <w:rsid w:val="00CF2261"/>
    <w:rsid w:val="00CF233B"/>
    <w:rsid w:val="00CF2355"/>
    <w:rsid w:val="00CF2470"/>
    <w:rsid w:val="00CF25A9"/>
    <w:rsid w:val="00CF2648"/>
    <w:rsid w:val="00CF26F2"/>
    <w:rsid w:val="00CF28D8"/>
    <w:rsid w:val="00CF2912"/>
    <w:rsid w:val="00CF296B"/>
    <w:rsid w:val="00CF29CD"/>
    <w:rsid w:val="00CF2A9E"/>
    <w:rsid w:val="00CF2CF3"/>
    <w:rsid w:val="00CF2D30"/>
    <w:rsid w:val="00CF2E39"/>
    <w:rsid w:val="00CF2ED0"/>
    <w:rsid w:val="00CF32BB"/>
    <w:rsid w:val="00CF338A"/>
    <w:rsid w:val="00CF359A"/>
    <w:rsid w:val="00CF35D3"/>
    <w:rsid w:val="00CF36C2"/>
    <w:rsid w:val="00CF39E5"/>
    <w:rsid w:val="00CF3A1D"/>
    <w:rsid w:val="00CF3A98"/>
    <w:rsid w:val="00CF3ADD"/>
    <w:rsid w:val="00CF3B4D"/>
    <w:rsid w:val="00CF3C74"/>
    <w:rsid w:val="00CF3CB9"/>
    <w:rsid w:val="00CF3DF3"/>
    <w:rsid w:val="00CF3E58"/>
    <w:rsid w:val="00CF3F6D"/>
    <w:rsid w:val="00CF3F97"/>
    <w:rsid w:val="00CF40C5"/>
    <w:rsid w:val="00CF40EC"/>
    <w:rsid w:val="00CF4177"/>
    <w:rsid w:val="00CF4355"/>
    <w:rsid w:val="00CF456D"/>
    <w:rsid w:val="00CF467A"/>
    <w:rsid w:val="00CF478F"/>
    <w:rsid w:val="00CF4839"/>
    <w:rsid w:val="00CF496B"/>
    <w:rsid w:val="00CF4CD4"/>
    <w:rsid w:val="00CF4D6E"/>
    <w:rsid w:val="00CF5302"/>
    <w:rsid w:val="00CF53C7"/>
    <w:rsid w:val="00CF54BC"/>
    <w:rsid w:val="00CF554A"/>
    <w:rsid w:val="00CF561E"/>
    <w:rsid w:val="00CF564B"/>
    <w:rsid w:val="00CF5671"/>
    <w:rsid w:val="00CF56C7"/>
    <w:rsid w:val="00CF56CB"/>
    <w:rsid w:val="00CF57DF"/>
    <w:rsid w:val="00CF5850"/>
    <w:rsid w:val="00CF5C53"/>
    <w:rsid w:val="00CF5D01"/>
    <w:rsid w:val="00CF5ECB"/>
    <w:rsid w:val="00CF5F84"/>
    <w:rsid w:val="00CF615E"/>
    <w:rsid w:val="00CF61AC"/>
    <w:rsid w:val="00CF6247"/>
    <w:rsid w:val="00CF6263"/>
    <w:rsid w:val="00CF630D"/>
    <w:rsid w:val="00CF6461"/>
    <w:rsid w:val="00CF6520"/>
    <w:rsid w:val="00CF65CD"/>
    <w:rsid w:val="00CF67C9"/>
    <w:rsid w:val="00CF6883"/>
    <w:rsid w:val="00CF6AD7"/>
    <w:rsid w:val="00CF6AE1"/>
    <w:rsid w:val="00CF6B6A"/>
    <w:rsid w:val="00CF6BE6"/>
    <w:rsid w:val="00CF6C84"/>
    <w:rsid w:val="00CF6D62"/>
    <w:rsid w:val="00CF6D81"/>
    <w:rsid w:val="00CF6E5B"/>
    <w:rsid w:val="00CF6FE0"/>
    <w:rsid w:val="00CF70B2"/>
    <w:rsid w:val="00CF70DB"/>
    <w:rsid w:val="00CF716F"/>
    <w:rsid w:val="00CF731B"/>
    <w:rsid w:val="00CF7359"/>
    <w:rsid w:val="00CF73AC"/>
    <w:rsid w:val="00CF7477"/>
    <w:rsid w:val="00CF7499"/>
    <w:rsid w:val="00CF74E7"/>
    <w:rsid w:val="00CF75FD"/>
    <w:rsid w:val="00CF7630"/>
    <w:rsid w:val="00CF77C4"/>
    <w:rsid w:val="00CF77CC"/>
    <w:rsid w:val="00CF78D9"/>
    <w:rsid w:val="00CF792E"/>
    <w:rsid w:val="00CF7ACD"/>
    <w:rsid w:val="00CF7B33"/>
    <w:rsid w:val="00CF7B71"/>
    <w:rsid w:val="00CF7B7F"/>
    <w:rsid w:val="00CF7D21"/>
    <w:rsid w:val="00CF7E8E"/>
    <w:rsid w:val="00CF7F1A"/>
    <w:rsid w:val="00D00048"/>
    <w:rsid w:val="00D00089"/>
    <w:rsid w:val="00D001FB"/>
    <w:rsid w:val="00D002B8"/>
    <w:rsid w:val="00D003DF"/>
    <w:rsid w:val="00D00482"/>
    <w:rsid w:val="00D004BB"/>
    <w:rsid w:val="00D005AB"/>
    <w:rsid w:val="00D0067F"/>
    <w:rsid w:val="00D0079A"/>
    <w:rsid w:val="00D00879"/>
    <w:rsid w:val="00D0098D"/>
    <w:rsid w:val="00D009CF"/>
    <w:rsid w:val="00D009DC"/>
    <w:rsid w:val="00D00A64"/>
    <w:rsid w:val="00D00DBE"/>
    <w:rsid w:val="00D00DFE"/>
    <w:rsid w:val="00D00EF7"/>
    <w:rsid w:val="00D00F7A"/>
    <w:rsid w:val="00D011D5"/>
    <w:rsid w:val="00D0123D"/>
    <w:rsid w:val="00D0134F"/>
    <w:rsid w:val="00D013FE"/>
    <w:rsid w:val="00D014A9"/>
    <w:rsid w:val="00D01690"/>
    <w:rsid w:val="00D0176E"/>
    <w:rsid w:val="00D01A16"/>
    <w:rsid w:val="00D01A84"/>
    <w:rsid w:val="00D01BC5"/>
    <w:rsid w:val="00D01C21"/>
    <w:rsid w:val="00D01D84"/>
    <w:rsid w:val="00D01E32"/>
    <w:rsid w:val="00D01EF3"/>
    <w:rsid w:val="00D01F8A"/>
    <w:rsid w:val="00D02280"/>
    <w:rsid w:val="00D0292D"/>
    <w:rsid w:val="00D02992"/>
    <w:rsid w:val="00D029A5"/>
    <w:rsid w:val="00D02AE7"/>
    <w:rsid w:val="00D02B25"/>
    <w:rsid w:val="00D02B58"/>
    <w:rsid w:val="00D02CC2"/>
    <w:rsid w:val="00D02FC5"/>
    <w:rsid w:val="00D0313C"/>
    <w:rsid w:val="00D031F5"/>
    <w:rsid w:val="00D03216"/>
    <w:rsid w:val="00D03577"/>
    <w:rsid w:val="00D0357E"/>
    <w:rsid w:val="00D035FC"/>
    <w:rsid w:val="00D0363A"/>
    <w:rsid w:val="00D0366F"/>
    <w:rsid w:val="00D036A3"/>
    <w:rsid w:val="00D03B2E"/>
    <w:rsid w:val="00D03BE0"/>
    <w:rsid w:val="00D03C04"/>
    <w:rsid w:val="00D03D5C"/>
    <w:rsid w:val="00D03E70"/>
    <w:rsid w:val="00D03F65"/>
    <w:rsid w:val="00D03F6D"/>
    <w:rsid w:val="00D03F78"/>
    <w:rsid w:val="00D03FDE"/>
    <w:rsid w:val="00D03FFE"/>
    <w:rsid w:val="00D040B1"/>
    <w:rsid w:val="00D04111"/>
    <w:rsid w:val="00D041A4"/>
    <w:rsid w:val="00D041B8"/>
    <w:rsid w:val="00D04317"/>
    <w:rsid w:val="00D043C1"/>
    <w:rsid w:val="00D044D2"/>
    <w:rsid w:val="00D044DD"/>
    <w:rsid w:val="00D046A1"/>
    <w:rsid w:val="00D0490A"/>
    <w:rsid w:val="00D04A74"/>
    <w:rsid w:val="00D04B2F"/>
    <w:rsid w:val="00D04B3C"/>
    <w:rsid w:val="00D04CCE"/>
    <w:rsid w:val="00D04DDE"/>
    <w:rsid w:val="00D0500A"/>
    <w:rsid w:val="00D051DE"/>
    <w:rsid w:val="00D05210"/>
    <w:rsid w:val="00D05435"/>
    <w:rsid w:val="00D05523"/>
    <w:rsid w:val="00D055C4"/>
    <w:rsid w:val="00D056D3"/>
    <w:rsid w:val="00D0579D"/>
    <w:rsid w:val="00D0581E"/>
    <w:rsid w:val="00D05856"/>
    <w:rsid w:val="00D05959"/>
    <w:rsid w:val="00D05A46"/>
    <w:rsid w:val="00D05B1E"/>
    <w:rsid w:val="00D05F02"/>
    <w:rsid w:val="00D06006"/>
    <w:rsid w:val="00D060A1"/>
    <w:rsid w:val="00D0610C"/>
    <w:rsid w:val="00D061E1"/>
    <w:rsid w:val="00D0625F"/>
    <w:rsid w:val="00D062A6"/>
    <w:rsid w:val="00D062F1"/>
    <w:rsid w:val="00D0637D"/>
    <w:rsid w:val="00D065E8"/>
    <w:rsid w:val="00D0661D"/>
    <w:rsid w:val="00D066EA"/>
    <w:rsid w:val="00D06817"/>
    <w:rsid w:val="00D06AE2"/>
    <w:rsid w:val="00D070AC"/>
    <w:rsid w:val="00D070E0"/>
    <w:rsid w:val="00D072C3"/>
    <w:rsid w:val="00D07422"/>
    <w:rsid w:val="00D07491"/>
    <w:rsid w:val="00D0767D"/>
    <w:rsid w:val="00D076AB"/>
    <w:rsid w:val="00D07996"/>
    <w:rsid w:val="00D07A5B"/>
    <w:rsid w:val="00D07B2B"/>
    <w:rsid w:val="00D07B7D"/>
    <w:rsid w:val="00D07C16"/>
    <w:rsid w:val="00D07C53"/>
    <w:rsid w:val="00D07CB4"/>
    <w:rsid w:val="00D07D6F"/>
    <w:rsid w:val="00D07F03"/>
    <w:rsid w:val="00D07F90"/>
    <w:rsid w:val="00D100B8"/>
    <w:rsid w:val="00D10166"/>
    <w:rsid w:val="00D10192"/>
    <w:rsid w:val="00D101B0"/>
    <w:rsid w:val="00D101BF"/>
    <w:rsid w:val="00D10232"/>
    <w:rsid w:val="00D1025C"/>
    <w:rsid w:val="00D102DA"/>
    <w:rsid w:val="00D102DD"/>
    <w:rsid w:val="00D1039F"/>
    <w:rsid w:val="00D103CC"/>
    <w:rsid w:val="00D10420"/>
    <w:rsid w:val="00D1042A"/>
    <w:rsid w:val="00D1044D"/>
    <w:rsid w:val="00D105D7"/>
    <w:rsid w:val="00D1071C"/>
    <w:rsid w:val="00D10722"/>
    <w:rsid w:val="00D107E2"/>
    <w:rsid w:val="00D10811"/>
    <w:rsid w:val="00D10B9B"/>
    <w:rsid w:val="00D10C45"/>
    <w:rsid w:val="00D10C76"/>
    <w:rsid w:val="00D10CC1"/>
    <w:rsid w:val="00D10CF6"/>
    <w:rsid w:val="00D10D4E"/>
    <w:rsid w:val="00D10DA0"/>
    <w:rsid w:val="00D10E8E"/>
    <w:rsid w:val="00D10ED1"/>
    <w:rsid w:val="00D10ED9"/>
    <w:rsid w:val="00D11196"/>
    <w:rsid w:val="00D111A5"/>
    <w:rsid w:val="00D1130E"/>
    <w:rsid w:val="00D11503"/>
    <w:rsid w:val="00D11783"/>
    <w:rsid w:val="00D11892"/>
    <w:rsid w:val="00D118AB"/>
    <w:rsid w:val="00D118DF"/>
    <w:rsid w:val="00D11ABE"/>
    <w:rsid w:val="00D11BB0"/>
    <w:rsid w:val="00D11BEE"/>
    <w:rsid w:val="00D11E41"/>
    <w:rsid w:val="00D11F30"/>
    <w:rsid w:val="00D11FFE"/>
    <w:rsid w:val="00D1225B"/>
    <w:rsid w:val="00D12282"/>
    <w:rsid w:val="00D123F7"/>
    <w:rsid w:val="00D1245B"/>
    <w:rsid w:val="00D1249F"/>
    <w:rsid w:val="00D124B9"/>
    <w:rsid w:val="00D12501"/>
    <w:rsid w:val="00D127E0"/>
    <w:rsid w:val="00D12810"/>
    <w:rsid w:val="00D12853"/>
    <w:rsid w:val="00D128BE"/>
    <w:rsid w:val="00D12916"/>
    <w:rsid w:val="00D1291F"/>
    <w:rsid w:val="00D12987"/>
    <w:rsid w:val="00D129C9"/>
    <w:rsid w:val="00D12A89"/>
    <w:rsid w:val="00D12BED"/>
    <w:rsid w:val="00D12C74"/>
    <w:rsid w:val="00D12C8F"/>
    <w:rsid w:val="00D12E82"/>
    <w:rsid w:val="00D12E92"/>
    <w:rsid w:val="00D12EC4"/>
    <w:rsid w:val="00D12FC6"/>
    <w:rsid w:val="00D13126"/>
    <w:rsid w:val="00D13363"/>
    <w:rsid w:val="00D133EC"/>
    <w:rsid w:val="00D1347A"/>
    <w:rsid w:val="00D134A0"/>
    <w:rsid w:val="00D13539"/>
    <w:rsid w:val="00D1362B"/>
    <w:rsid w:val="00D13686"/>
    <w:rsid w:val="00D1382C"/>
    <w:rsid w:val="00D1398C"/>
    <w:rsid w:val="00D13A09"/>
    <w:rsid w:val="00D13B43"/>
    <w:rsid w:val="00D13C56"/>
    <w:rsid w:val="00D13D66"/>
    <w:rsid w:val="00D13E77"/>
    <w:rsid w:val="00D13E8A"/>
    <w:rsid w:val="00D13EF8"/>
    <w:rsid w:val="00D13F45"/>
    <w:rsid w:val="00D13F63"/>
    <w:rsid w:val="00D13FD1"/>
    <w:rsid w:val="00D142F8"/>
    <w:rsid w:val="00D14412"/>
    <w:rsid w:val="00D144E2"/>
    <w:rsid w:val="00D145B1"/>
    <w:rsid w:val="00D145C8"/>
    <w:rsid w:val="00D14796"/>
    <w:rsid w:val="00D147CA"/>
    <w:rsid w:val="00D147FC"/>
    <w:rsid w:val="00D1480E"/>
    <w:rsid w:val="00D1490A"/>
    <w:rsid w:val="00D149C1"/>
    <w:rsid w:val="00D14A3F"/>
    <w:rsid w:val="00D14A75"/>
    <w:rsid w:val="00D14C08"/>
    <w:rsid w:val="00D14EAD"/>
    <w:rsid w:val="00D14ECF"/>
    <w:rsid w:val="00D14FC7"/>
    <w:rsid w:val="00D15059"/>
    <w:rsid w:val="00D15113"/>
    <w:rsid w:val="00D151F4"/>
    <w:rsid w:val="00D15379"/>
    <w:rsid w:val="00D15391"/>
    <w:rsid w:val="00D155B1"/>
    <w:rsid w:val="00D1577F"/>
    <w:rsid w:val="00D15878"/>
    <w:rsid w:val="00D158E3"/>
    <w:rsid w:val="00D1594E"/>
    <w:rsid w:val="00D15968"/>
    <w:rsid w:val="00D159B1"/>
    <w:rsid w:val="00D159B6"/>
    <w:rsid w:val="00D15AAC"/>
    <w:rsid w:val="00D15B77"/>
    <w:rsid w:val="00D15CA2"/>
    <w:rsid w:val="00D15E1A"/>
    <w:rsid w:val="00D15F8E"/>
    <w:rsid w:val="00D1602F"/>
    <w:rsid w:val="00D16031"/>
    <w:rsid w:val="00D1613E"/>
    <w:rsid w:val="00D162E3"/>
    <w:rsid w:val="00D1631C"/>
    <w:rsid w:val="00D163B3"/>
    <w:rsid w:val="00D1641D"/>
    <w:rsid w:val="00D16567"/>
    <w:rsid w:val="00D1668B"/>
    <w:rsid w:val="00D1674A"/>
    <w:rsid w:val="00D167AD"/>
    <w:rsid w:val="00D167B4"/>
    <w:rsid w:val="00D1680F"/>
    <w:rsid w:val="00D1682D"/>
    <w:rsid w:val="00D168AD"/>
    <w:rsid w:val="00D1697C"/>
    <w:rsid w:val="00D16A8E"/>
    <w:rsid w:val="00D16ABE"/>
    <w:rsid w:val="00D16C1B"/>
    <w:rsid w:val="00D16D7D"/>
    <w:rsid w:val="00D16E0F"/>
    <w:rsid w:val="00D16F81"/>
    <w:rsid w:val="00D170A2"/>
    <w:rsid w:val="00D17147"/>
    <w:rsid w:val="00D17153"/>
    <w:rsid w:val="00D1718D"/>
    <w:rsid w:val="00D171F2"/>
    <w:rsid w:val="00D17223"/>
    <w:rsid w:val="00D173DA"/>
    <w:rsid w:val="00D174B6"/>
    <w:rsid w:val="00D17546"/>
    <w:rsid w:val="00D1766B"/>
    <w:rsid w:val="00D17747"/>
    <w:rsid w:val="00D1774E"/>
    <w:rsid w:val="00D17ACB"/>
    <w:rsid w:val="00D17ADB"/>
    <w:rsid w:val="00D17D8C"/>
    <w:rsid w:val="00D20077"/>
    <w:rsid w:val="00D200B3"/>
    <w:rsid w:val="00D200F8"/>
    <w:rsid w:val="00D2011F"/>
    <w:rsid w:val="00D202CF"/>
    <w:rsid w:val="00D202F7"/>
    <w:rsid w:val="00D203D8"/>
    <w:rsid w:val="00D204F3"/>
    <w:rsid w:val="00D20537"/>
    <w:rsid w:val="00D205BB"/>
    <w:rsid w:val="00D205D9"/>
    <w:rsid w:val="00D207FD"/>
    <w:rsid w:val="00D20878"/>
    <w:rsid w:val="00D2092A"/>
    <w:rsid w:val="00D20945"/>
    <w:rsid w:val="00D20CA7"/>
    <w:rsid w:val="00D20CC8"/>
    <w:rsid w:val="00D20CF0"/>
    <w:rsid w:val="00D20D13"/>
    <w:rsid w:val="00D20D1E"/>
    <w:rsid w:val="00D20F0D"/>
    <w:rsid w:val="00D20FAB"/>
    <w:rsid w:val="00D20FD4"/>
    <w:rsid w:val="00D210FF"/>
    <w:rsid w:val="00D212D5"/>
    <w:rsid w:val="00D216B2"/>
    <w:rsid w:val="00D216B3"/>
    <w:rsid w:val="00D21848"/>
    <w:rsid w:val="00D21912"/>
    <w:rsid w:val="00D21A9A"/>
    <w:rsid w:val="00D21ACA"/>
    <w:rsid w:val="00D21D1E"/>
    <w:rsid w:val="00D21DE6"/>
    <w:rsid w:val="00D21FBF"/>
    <w:rsid w:val="00D21FC6"/>
    <w:rsid w:val="00D22021"/>
    <w:rsid w:val="00D2208D"/>
    <w:rsid w:val="00D220B4"/>
    <w:rsid w:val="00D22269"/>
    <w:rsid w:val="00D22428"/>
    <w:rsid w:val="00D22853"/>
    <w:rsid w:val="00D228FC"/>
    <w:rsid w:val="00D22A29"/>
    <w:rsid w:val="00D22A38"/>
    <w:rsid w:val="00D22C06"/>
    <w:rsid w:val="00D22C1F"/>
    <w:rsid w:val="00D22C57"/>
    <w:rsid w:val="00D22D80"/>
    <w:rsid w:val="00D22FDF"/>
    <w:rsid w:val="00D230DE"/>
    <w:rsid w:val="00D2322C"/>
    <w:rsid w:val="00D232DD"/>
    <w:rsid w:val="00D2330F"/>
    <w:rsid w:val="00D23337"/>
    <w:rsid w:val="00D2336D"/>
    <w:rsid w:val="00D23420"/>
    <w:rsid w:val="00D23445"/>
    <w:rsid w:val="00D234E7"/>
    <w:rsid w:val="00D235F8"/>
    <w:rsid w:val="00D23724"/>
    <w:rsid w:val="00D23751"/>
    <w:rsid w:val="00D23795"/>
    <w:rsid w:val="00D23817"/>
    <w:rsid w:val="00D23A39"/>
    <w:rsid w:val="00D23D72"/>
    <w:rsid w:val="00D23D8E"/>
    <w:rsid w:val="00D23E48"/>
    <w:rsid w:val="00D24039"/>
    <w:rsid w:val="00D24148"/>
    <w:rsid w:val="00D24191"/>
    <w:rsid w:val="00D2436E"/>
    <w:rsid w:val="00D2438A"/>
    <w:rsid w:val="00D24442"/>
    <w:rsid w:val="00D2453E"/>
    <w:rsid w:val="00D2464F"/>
    <w:rsid w:val="00D24753"/>
    <w:rsid w:val="00D24841"/>
    <w:rsid w:val="00D24A4F"/>
    <w:rsid w:val="00D24AAB"/>
    <w:rsid w:val="00D24B00"/>
    <w:rsid w:val="00D24B9A"/>
    <w:rsid w:val="00D24CCB"/>
    <w:rsid w:val="00D24D54"/>
    <w:rsid w:val="00D24F55"/>
    <w:rsid w:val="00D250C9"/>
    <w:rsid w:val="00D250DD"/>
    <w:rsid w:val="00D252C1"/>
    <w:rsid w:val="00D25310"/>
    <w:rsid w:val="00D25363"/>
    <w:rsid w:val="00D253D7"/>
    <w:rsid w:val="00D254AB"/>
    <w:rsid w:val="00D25542"/>
    <w:rsid w:val="00D255AA"/>
    <w:rsid w:val="00D2562F"/>
    <w:rsid w:val="00D25799"/>
    <w:rsid w:val="00D25B23"/>
    <w:rsid w:val="00D25D5E"/>
    <w:rsid w:val="00D25DB5"/>
    <w:rsid w:val="00D26082"/>
    <w:rsid w:val="00D26087"/>
    <w:rsid w:val="00D2629C"/>
    <w:rsid w:val="00D2637E"/>
    <w:rsid w:val="00D26443"/>
    <w:rsid w:val="00D264CF"/>
    <w:rsid w:val="00D26504"/>
    <w:rsid w:val="00D265A5"/>
    <w:rsid w:val="00D265B7"/>
    <w:rsid w:val="00D266B0"/>
    <w:rsid w:val="00D26709"/>
    <w:rsid w:val="00D2678C"/>
    <w:rsid w:val="00D26A52"/>
    <w:rsid w:val="00D26A5F"/>
    <w:rsid w:val="00D26DAA"/>
    <w:rsid w:val="00D26E16"/>
    <w:rsid w:val="00D26EB7"/>
    <w:rsid w:val="00D26ECE"/>
    <w:rsid w:val="00D27281"/>
    <w:rsid w:val="00D2730B"/>
    <w:rsid w:val="00D2740D"/>
    <w:rsid w:val="00D27451"/>
    <w:rsid w:val="00D276A8"/>
    <w:rsid w:val="00D2795E"/>
    <w:rsid w:val="00D279D9"/>
    <w:rsid w:val="00D279FF"/>
    <w:rsid w:val="00D27A8B"/>
    <w:rsid w:val="00D27AAA"/>
    <w:rsid w:val="00D27C22"/>
    <w:rsid w:val="00D27C3C"/>
    <w:rsid w:val="00D27D37"/>
    <w:rsid w:val="00D27DB7"/>
    <w:rsid w:val="00D27E7A"/>
    <w:rsid w:val="00D27F0C"/>
    <w:rsid w:val="00D27F31"/>
    <w:rsid w:val="00D27F70"/>
    <w:rsid w:val="00D27F9A"/>
    <w:rsid w:val="00D27FD7"/>
    <w:rsid w:val="00D302D5"/>
    <w:rsid w:val="00D30526"/>
    <w:rsid w:val="00D30590"/>
    <w:rsid w:val="00D3065C"/>
    <w:rsid w:val="00D307FA"/>
    <w:rsid w:val="00D3082F"/>
    <w:rsid w:val="00D308D9"/>
    <w:rsid w:val="00D30937"/>
    <w:rsid w:val="00D309A9"/>
    <w:rsid w:val="00D309E5"/>
    <w:rsid w:val="00D30B26"/>
    <w:rsid w:val="00D30B32"/>
    <w:rsid w:val="00D30B59"/>
    <w:rsid w:val="00D30DD9"/>
    <w:rsid w:val="00D30DEC"/>
    <w:rsid w:val="00D30E83"/>
    <w:rsid w:val="00D31027"/>
    <w:rsid w:val="00D31076"/>
    <w:rsid w:val="00D31291"/>
    <w:rsid w:val="00D312BF"/>
    <w:rsid w:val="00D31330"/>
    <w:rsid w:val="00D31440"/>
    <w:rsid w:val="00D314EA"/>
    <w:rsid w:val="00D314FC"/>
    <w:rsid w:val="00D315BF"/>
    <w:rsid w:val="00D3173D"/>
    <w:rsid w:val="00D31748"/>
    <w:rsid w:val="00D31781"/>
    <w:rsid w:val="00D317C0"/>
    <w:rsid w:val="00D31882"/>
    <w:rsid w:val="00D31A77"/>
    <w:rsid w:val="00D31ACE"/>
    <w:rsid w:val="00D31B15"/>
    <w:rsid w:val="00D31C7A"/>
    <w:rsid w:val="00D31C9F"/>
    <w:rsid w:val="00D31CC5"/>
    <w:rsid w:val="00D31D39"/>
    <w:rsid w:val="00D31EE2"/>
    <w:rsid w:val="00D321BF"/>
    <w:rsid w:val="00D322A4"/>
    <w:rsid w:val="00D322E8"/>
    <w:rsid w:val="00D323A9"/>
    <w:rsid w:val="00D323C9"/>
    <w:rsid w:val="00D3240F"/>
    <w:rsid w:val="00D324EB"/>
    <w:rsid w:val="00D32521"/>
    <w:rsid w:val="00D32531"/>
    <w:rsid w:val="00D32759"/>
    <w:rsid w:val="00D3276D"/>
    <w:rsid w:val="00D3279B"/>
    <w:rsid w:val="00D32857"/>
    <w:rsid w:val="00D329BD"/>
    <w:rsid w:val="00D32AFB"/>
    <w:rsid w:val="00D32BA2"/>
    <w:rsid w:val="00D32C3E"/>
    <w:rsid w:val="00D32DBC"/>
    <w:rsid w:val="00D32F8A"/>
    <w:rsid w:val="00D32FBA"/>
    <w:rsid w:val="00D32FD0"/>
    <w:rsid w:val="00D33156"/>
    <w:rsid w:val="00D3321A"/>
    <w:rsid w:val="00D3326C"/>
    <w:rsid w:val="00D332A8"/>
    <w:rsid w:val="00D3331D"/>
    <w:rsid w:val="00D334FD"/>
    <w:rsid w:val="00D335A6"/>
    <w:rsid w:val="00D3361B"/>
    <w:rsid w:val="00D33696"/>
    <w:rsid w:val="00D33782"/>
    <w:rsid w:val="00D33799"/>
    <w:rsid w:val="00D3385E"/>
    <w:rsid w:val="00D3388D"/>
    <w:rsid w:val="00D33996"/>
    <w:rsid w:val="00D33AE8"/>
    <w:rsid w:val="00D33B05"/>
    <w:rsid w:val="00D33B68"/>
    <w:rsid w:val="00D33BA1"/>
    <w:rsid w:val="00D33C4A"/>
    <w:rsid w:val="00D33C55"/>
    <w:rsid w:val="00D33C62"/>
    <w:rsid w:val="00D33CDF"/>
    <w:rsid w:val="00D33E0B"/>
    <w:rsid w:val="00D33EDA"/>
    <w:rsid w:val="00D33F77"/>
    <w:rsid w:val="00D34200"/>
    <w:rsid w:val="00D34246"/>
    <w:rsid w:val="00D3439D"/>
    <w:rsid w:val="00D344DF"/>
    <w:rsid w:val="00D344E0"/>
    <w:rsid w:val="00D34582"/>
    <w:rsid w:val="00D3459B"/>
    <w:rsid w:val="00D345AA"/>
    <w:rsid w:val="00D347A8"/>
    <w:rsid w:val="00D34812"/>
    <w:rsid w:val="00D3485C"/>
    <w:rsid w:val="00D34879"/>
    <w:rsid w:val="00D348DF"/>
    <w:rsid w:val="00D348FA"/>
    <w:rsid w:val="00D349D1"/>
    <w:rsid w:val="00D34C50"/>
    <w:rsid w:val="00D34CF2"/>
    <w:rsid w:val="00D34CFD"/>
    <w:rsid w:val="00D35029"/>
    <w:rsid w:val="00D35232"/>
    <w:rsid w:val="00D353F9"/>
    <w:rsid w:val="00D35549"/>
    <w:rsid w:val="00D356B6"/>
    <w:rsid w:val="00D35836"/>
    <w:rsid w:val="00D358F7"/>
    <w:rsid w:val="00D35C2D"/>
    <w:rsid w:val="00D35C49"/>
    <w:rsid w:val="00D35D07"/>
    <w:rsid w:val="00D35EA3"/>
    <w:rsid w:val="00D35F50"/>
    <w:rsid w:val="00D35FFF"/>
    <w:rsid w:val="00D3609F"/>
    <w:rsid w:val="00D36226"/>
    <w:rsid w:val="00D3634F"/>
    <w:rsid w:val="00D3653A"/>
    <w:rsid w:val="00D365AF"/>
    <w:rsid w:val="00D365EC"/>
    <w:rsid w:val="00D3662F"/>
    <w:rsid w:val="00D366E1"/>
    <w:rsid w:val="00D36A03"/>
    <w:rsid w:val="00D36A8C"/>
    <w:rsid w:val="00D36B20"/>
    <w:rsid w:val="00D36BE2"/>
    <w:rsid w:val="00D36BFC"/>
    <w:rsid w:val="00D36D4D"/>
    <w:rsid w:val="00D36E2C"/>
    <w:rsid w:val="00D36E46"/>
    <w:rsid w:val="00D36F17"/>
    <w:rsid w:val="00D36FCF"/>
    <w:rsid w:val="00D3702A"/>
    <w:rsid w:val="00D371AA"/>
    <w:rsid w:val="00D37221"/>
    <w:rsid w:val="00D37370"/>
    <w:rsid w:val="00D3738D"/>
    <w:rsid w:val="00D373FD"/>
    <w:rsid w:val="00D37512"/>
    <w:rsid w:val="00D375BC"/>
    <w:rsid w:val="00D37629"/>
    <w:rsid w:val="00D3765E"/>
    <w:rsid w:val="00D3768E"/>
    <w:rsid w:val="00D377E6"/>
    <w:rsid w:val="00D37814"/>
    <w:rsid w:val="00D37881"/>
    <w:rsid w:val="00D3793B"/>
    <w:rsid w:val="00D379F3"/>
    <w:rsid w:val="00D37B09"/>
    <w:rsid w:val="00D37D6F"/>
    <w:rsid w:val="00D37DDA"/>
    <w:rsid w:val="00D37F96"/>
    <w:rsid w:val="00D4020B"/>
    <w:rsid w:val="00D40402"/>
    <w:rsid w:val="00D40436"/>
    <w:rsid w:val="00D4058F"/>
    <w:rsid w:val="00D4069E"/>
    <w:rsid w:val="00D406F3"/>
    <w:rsid w:val="00D409C5"/>
    <w:rsid w:val="00D40A8B"/>
    <w:rsid w:val="00D40B3D"/>
    <w:rsid w:val="00D40B4A"/>
    <w:rsid w:val="00D40C5C"/>
    <w:rsid w:val="00D40CFB"/>
    <w:rsid w:val="00D40D79"/>
    <w:rsid w:val="00D40DD2"/>
    <w:rsid w:val="00D40F0B"/>
    <w:rsid w:val="00D4140D"/>
    <w:rsid w:val="00D41463"/>
    <w:rsid w:val="00D41527"/>
    <w:rsid w:val="00D41610"/>
    <w:rsid w:val="00D4162E"/>
    <w:rsid w:val="00D41684"/>
    <w:rsid w:val="00D417BC"/>
    <w:rsid w:val="00D41974"/>
    <w:rsid w:val="00D41B52"/>
    <w:rsid w:val="00D41B79"/>
    <w:rsid w:val="00D41BAD"/>
    <w:rsid w:val="00D41C45"/>
    <w:rsid w:val="00D41CCB"/>
    <w:rsid w:val="00D41D17"/>
    <w:rsid w:val="00D41D2A"/>
    <w:rsid w:val="00D41E2E"/>
    <w:rsid w:val="00D41E3A"/>
    <w:rsid w:val="00D41E8C"/>
    <w:rsid w:val="00D41EB4"/>
    <w:rsid w:val="00D41F1B"/>
    <w:rsid w:val="00D42155"/>
    <w:rsid w:val="00D421D0"/>
    <w:rsid w:val="00D42227"/>
    <w:rsid w:val="00D4229E"/>
    <w:rsid w:val="00D424AB"/>
    <w:rsid w:val="00D4277C"/>
    <w:rsid w:val="00D4289D"/>
    <w:rsid w:val="00D42952"/>
    <w:rsid w:val="00D42A7E"/>
    <w:rsid w:val="00D42A95"/>
    <w:rsid w:val="00D42B3A"/>
    <w:rsid w:val="00D42CA9"/>
    <w:rsid w:val="00D42E3D"/>
    <w:rsid w:val="00D42EC2"/>
    <w:rsid w:val="00D42EDA"/>
    <w:rsid w:val="00D42EE5"/>
    <w:rsid w:val="00D43083"/>
    <w:rsid w:val="00D4341B"/>
    <w:rsid w:val="00D4346A"/>
    <w:rsid w:val="00D434AD"/>
    <w:rsid w:val="00D434B7"/>
    <w:rsid w:val="00D43570"/>
    <w:rsid w:val="00D437B7"/>
    <w:rsid w:val="00D43889"/>
    <w:rsid w:val="00D43AC5"/>
    <w:rsid w:val="00D43D69"/>
    <w:rsid w:val="00D43E07"/>
    <w:rsid w:val="00D43E8D"/>
    <w:rsid w:val="00D43EDF"/>
    <w:rsid w:val="00D44013"/>
    <w:rsid w:val="00D44102"/>
    <w:rsid w:val="00D44183"/>
    <w:rsid w:val="00D44226"/>
    <w:rsid w:val="00D44264"/>
    <w:rsid w:val="00D442C8"/>
    <w:rsid w:val="00D443CF"/>
    <w:rsid w:val="00D44475"/>
    <w:rsid w:val="00D44654"/>
    <w:rsid w:val="00D448F7"/>
    <w:rsid w:val="00D449D3"/>
    <w:rsid w:val="00D44C48"/>
    <w:rsid w:val="00D44C88"/>
    <w:rsid w:val="00D450A1"/>
    <w:rsid w:val="00D4526A"/>
    <w:rsid w:val="00D45344"/>
    <w:rsid w:val="00D45369"/>
    <w:rsid w:val="00D45406"/>
    <w:rsid w:val="00D455BE"/>
    <w:rsid w:val="00D45779"/>
    <w:rsid w:val="00D45976"/>
    <w:rsid w:val="00D45A53"/>
    <w:rsid w:val="00D45A9A"/>
    <w:rsid w:val="00D45FBC"/>
    <w:rsid w:val="00D46025"/>
    <w:rsid w:val="00D4604B"/>
    <w:rsid w:val="00D460F3"/>
    <w:rsid w:val="00D46222"/>
    <w:rsid w:val="00D4626B"/>
    <w:rsid w:val="00D4633E"/>
    <w:rsid w:val="00D4641C"/>
    <w:rsid w:val="00D46460"/>
    <w:rsid w:val="00D4658C"/>
    <w:rsid w:val="00D4658D"/>
    <w:rsid w:val="00D4669D"/>
    <w:rsid w:val="00D46721"/>
    <w:rsid w:val="00D46797"/>
    <w:rsid w:val="00D46858"/>
    <w:rsid w:val="00D46AAE"/>
    <w:rsid w:val="00D46AD4"/>
    <w:rsid w:val="00D46AF3"/>
    <w:rsid w:val="00D46BF9"/>
    <w:rsid w:val="00D46BFE"/>
    <w:rsid w:val="00D46C01"/>
    <w:rsid w:val="00D46C18"/>
    <w:rsid w:val="00D46D07"/>
    <w:rsid w:val="00D46D70"/>
    <w:rsid w:val="00D46D7D"/>
    <w:rsid w:val="00D46EF0"/>
    <w:rsid w:val="00D46F18"/>
    <w:rsid w:val="00D47096"/>
    <w:rsid w:val="00D471A4"/>
    <w:rsid w:val="00D472D7"/>
    <w:rsid w:val="00D473A6"/>
    <w:rsid w:val="00D473AF"/>
    <w:rsid w:val="00D47422"/>
    <w:rsid w:val="00D47495"/>
    <w:rsid w:val="00D47537"/>
    <w:rsid w:val="00D47549"/>
    <w:rsid w:val="00D475A5"/>
    <w:rsid w:val="00D47639"/>
    <w:rsid w:val="00D47685"/>
    <w:rsid w:val="00D476A6"/>
    <w:rsid w:val="00D47793"/>
    <w:rsid w:val="00D4790B"/>
    <w:rsid w:val="00D4791D"/>
    <w:rsid w:val="00D47B2E"/>
    <w:rsid w:val="00D47C99"/>
    <w:rsid w:val="00D47DEE"/>
    <w:rsid w:val="00D47E0B"/>
    <w:rsid w:val="00D47E47"/>
    <w:rsid w:val="00D5011E"/>
    <w:rsid w:val="00D50177"/>
    <w:rsid w:val="00D501B8"/>
    <w:rsid w:val="00D504E3"/>
    <w:rsid w:val="00D505B0"/>
    <w:rsid w:val="00D50702"/>
    <w:rsid w:val="00D50861"/>
    <w:rsid w:val="00D50904"/>
    <w:rsid w:val="00D509DE"/>
    <w:rsid w:val="00D50ADE"/>
    <w:rsid w:val="00D50B60"/>
    <w:rsid w:val="00D50BEB"/>
    <w:rsid w:val="00D50BF0"/>
    <w:rsid w:val="00D50C92"/>
    <w:rsid w:val="00D50CA4"/>
    <w:rsid w:val="00D50D20"/>
    <w:rsid w:val="00D50F39"/>
    <w:rsid w:val="00D50F3A"/>
    <w:rsid w:val="00D50FCE"/>
    <w:rsid w:val="00D5128C"/>
    <w:rsid w:val="00D513C0"/>
    <w:rsid w:val="00D5171E"/>
    <w:rsid w:val="00D51726"/>
    <w:rsid w:val="00D5176F"/>
    <w:rsid w:val="00D51845"/>
    <w:rsid w:val="00D518CA"/>
    <w:rsid w:val="00D51975"/>
    <w:rsid w:val="00D519E8"/>
    <w:rsid w:val="00D51A1E"/>
    <w:rsid w:val="00D51A40"/>
    <w:rsid w:val="00D51A4F"/>
    <w:rsid w:val="00D51A52"/>
    <w:rsid w:val="00D51B78"/>
    <w:rsid w:val="00D51CA3"/>
    <w:rsid w:val="00D51E40"/>
    <w:rsid w:val="00D51ECA"/>
    <w:rsid w:val="00D51EED"/>
    <w:rsid w:val="00D51F07"/>
    <w:rsid w:val="00D520BC"/>
    <w:rsid w:val="00D5235E"/>
    <w:rsid w:val="00D523C0"/>
    <w:rsid w:val="00D524B3"/>
    <w:rsid w:val="00D524F5"/>
    <w:rsid w:val="00D52840"/>
    <w:rsid w:val="00D52C8D"/>
    <w:rsid w:val="00D52CB7"/>
    <w:rsid w:val="00D52CD8"/>
    <w:rsid w:val="00D52D3D"/>
    <w:rsid w:val="00D52ED3"/>
    <w:rsid w:val="00D52EFA"/>
    <w:rsid w:val="00D52F4F"/>
    <w:rsid w:val="00D52F69"/>
    <w:rsid w:val="00D5307E"/>
    <w:rsid w:val="00D53249"/>
    <w:rsid w:val="00D53260"/>
    <w:rsid w:val="00D53307"/>
    <w:rsid w:val="00D53472"/>
    <w:rsid w:val="00D53599"/>
    <w:rsid w:val="00D535A4"/>
    <w:rsid w:val="00D535DB"/>
    <w:rsid w:val="00D5367A"/>
    <w:rsid w:val="00D53981"/>
    <w:rsid w:val="00D5399E"/>
    <w:rsid w:val="00D53A06"/>
    <w:rsid w:val="00D53A5D"/>
    <w:rsid w:val="00D53E20"/>
    <w:rsid w:val="00D53E45"/>
    <w:rsid w:val="00D53F66"/>
    <w:rsid w:val="00D53F6B"/>
    <w:rsid w:val="00D53F77"/>
    <w:rsid w:val="00D5418D"/>
    <w:rsid w:val="00D542A0"/>
    <w:rsid w:val="00D543F9"/>
    <w:rsid w:val="00D544B3"/>
    <w:rsid w:val="00D546A9"/>
    <w:rsid w:val="00D5474A"/>
    <w:rsid w:val="00D54985"/>
    <w:rsid w:val="00D54A2C"/>
    <w:rsid w:val="00D54B63"/>
    <w:rsid w:val="00D54B77"/>
    <w:rsid w:val="00D54D44"/>
    <w:rsid w:val="00D54E14"/>
    <w:rsid w:val="00D55063"/>
    <w:rsid w:val="00D550A1"/>
    <w:rsid w:val="00D550A2"/>
    <w:rsid w:val="00D5513A"/>
    <w:rsid w:val="00D5515B"/>
    <w:rsid w:val="00D553C7"/>
    <w:rsid w:val="00D5549C"/>
    <w:rsid w:val="00D554CF"/>
    <w:rsid w:val="00D554D1"/>
    <w:rsid w:val="00D55511"/>
    <w:rsid w:val="00D5557B"/>
    <w:rsid w:val="00D557A4"/>
    <w:rsid w:val="00D557D3"/>
    <w:rsid w:val="00D557E6"/>
    <w:rsid w:val="00D5586D"/>
    <w:rsid w:val="00D55876"/>
    <w:rsid w:val="00D55911"/>
    <w:rsid w:val="00D55CAE"/>
    <w:rsid w:val="00D55CC8"/>
    <w:rsid w:val="00D55D15"/>
    <w:rsid w:val="00D55D49"/>
    <w:rsid w:val="00D55EEE"/>
    <w:rsid w:val="00D55FBA"/>
    <w:rsid w:val="00D5629D"/>
    <w:rsid w:val="00D5638C"/>
    <w:rsid w:val="00D563AB"/>
    <w:rsid w:val="00D56568"/>
    <w:rsid w:val="00D565E1"/>
    <w:rsid w:val="00D56633"/>
    <w:rsid w:val="00D5671B"/>
    <w:rsid w:val="00D567BA"/>
    <w:rsid w:val="00D567E0"/>
    <w:rsid w:val="00D568B9"/>
    <w:rsid w:val="00D568C2"/>
    <w:rsid w:val="00D56969"/>
    <w:rsid w:val="00D56B0A"/>
    <w:rsid w:val="00D57033"/>
    <w:rsid w:val="00D57086"/>
    <w:rsid w:val="00D57154"/>
    <w:rsid w:val="00D571F6"/>
    <w:rsid w:val="00D5723D"/>
    <w:rsid w:val="00D572EB"/>
    <w:rsid w:val="00D57322"/>
    <w:rsid w:val="00D5737B"/>
    <w:rsid w:val="00D573F9"/>
    <w:rsid w:val="00D5740A"/>
    <w:rsid w:val="00D574CC"/>
    <w:rsid w:val="00D575A9"/>
    <w:rsid w:val="00D575D0"/>
    <w:rsid w:val="00D578AD"/>
    <w:rsid w:val="00D57970"/>
    <w:rsid w:val="00D57981"/>
    <w:rsid w:val="00D579A2"/>
    <w:rsid w:val="00D57A7D"/>
    <w:rsid w:val="00D57B19"/>
    <w:rsid w:val="00D57C0F"/>
    <w:rsid w:val="00D57CBB"/>
    <w:rsid w:val="00D57DD3"/>
    <w:rsid w:val="00D60071"/>
    <w:rsid w:val="00D6022F"/>
    <w:rsid w:val="00D602C6"/>
    <w:rsid w:val="00D602E3"/>
    <w:rsid w:val="00D602F0"/>
    <w:rsid w:val="00D6038B"/>
    <w:rsid w:val="00D603FE"/>
    <w:rsid w:val="00D60408"/>
    <w:rsid w:val="00D604DE"/>
    <w:rsid w:val="00D605BA"/>
    <w:rsid w:val="00D60619"/>
    <w:rsid w:val="00D60660"/>
    <w:rsid w:val="00D6086F"/>
    <w:rsid w:val="00D60A89"/>
    <w:rsid w:val="00D60B6A"/>
    <w:rsid w:val="00D60D1A"/>
    <w:rsid w:val="00D60D68"/>
    <w:rsid w:val="00D60D8B"/>
    <w:rsid w:val="00D60E16"/>
    <w:rsid w:val="00D60EB4"/>
    <w:rsid w:val="00D60F25"/>
    <w:rsid w:val="00D611B3"/>
    <w:rsid w:val="00D611FB"/>
    <w:rsid w:val="00D614CF"/>
    <w:rsid w:val="00D6150A"/>
    <w:rsid w:val="00D616F9"/>
    <w:rsid w:val="00D61716"/>
    <w:rsid w:val="00D6172A"/>
    <w:rsid w:val="00D6198C"/>
    <w:rsid w:val="00D61A0D"/>
    <w:rsid w:val="00D61F41"/>
    <w:rsid w:val="00D61F77"/>
    <w:rsid w:val="00D620C0"/>
    <w:rsid w:val="00D62330"/>
    <w:rsid w:val="00D623D0"/>
    <w:rsid w:val="00D625A0"/>
    <w:rsid w:val="00D6289B"/>
    <w:rsid w:val="00D62B4B"/>
    <w:rsid w:val="00D62C77"/>
    <w:rsid w:val="00D62DA7"/>
    <w:rsid w:val="00D62EF1"/>
    <w:rsid w:val="00D62F91"/>
    <w:rsid w:val="00D62FF8"/>
    <w:rsid w:val="00D630C6"/>
    <w:rsid w:val="00D6315C"/>
    <w:rsid w:val="00D631FF"/>
    <w:rsid w:val="00D63200"/>
    <w:rsid w:val="00D63423"/>
    <w:rsid w:val="00D63503"/>
    <w:rsid w:val="00D6355A"/>
    <w:rsid w:val="00D63852"/>
    <w:rsid w:val="00D63995"/>
    <w:rsid w:val="00D63AB6"/>
    <w:rsid w:val="00D63AD1"/>
    <w:rsid w:val="00D63B43"/>
    <w:rsid w:val="00D63C0F"/>
    <w:rsid w:val="00D63CA0"/>
    <w:rsid w:val="00D63EE3"/>
    <w:rsid w:val="00D63F1B"/>
    <w:rsid w:val="00D6405A"/>
    <w:rsid w:val="00D640E7"/>
    <w:rsid w:val="00D640EB"/>
    <w:rsid w:val="00D64338"/>
    <w:rsid w:val="00D64498"/>
    <w:rsid w:val="00D644B2"/>
    <w:rsid w:val="00D645DA"/>
    <w:rsid w:val="00D64753"/>
    <w:rsid w:val="00D6479A"/>
    <w:rsid w:val="00D64A1C"/>
    <w:rsid w:val="00D64A8A"/>
    <w:rsid w:val="00D64AB3"/>
    <w:rsid w:val="00D64DB1"/>
    <w:rsid w:val="00D64F7E"/>
    <w:rsid w:val="00D64FB5"/>
    <w:rsid w:val="00D64FFD"/>
    <w:rsid w:val="00D650B4"/>
    <w:rsid w:val="00D651E5"/>
    <w:rsid w:val="00D65390"/>
    <w:rsid w:val="00D653A8"/>
    <w:rsid w:val="00D65413"/>
    <w:rsid w:val="00D654C8"/>
    <w:rsid w:val="00D65696"/>
    <w:rsid w:val="00D658FB"/>
    <w:rsid w:val="00D65A8F"/>
    <w:rsid w:val="00D65B52"/>
    <w:rsid w:val="00D65C1D"/>
    <w:rsid w:val="00D65E3F"/>
    <w:rsid w:val="00D65E7E"/>
    <w:rsid w:val="00D65F44"/>
    <w:rsid w:val="00D65F8B"/>
    <w:rsid w:val="00D65FF5"/>
    <w:rsid w:val="00D661DA"/>
    <w:rsid w:val="00D66205"/>
    <w:rsid w:val="00D664F6"/>
    <w:rsid w:val="00D66541"/>
    <w:rsid w:val="00D6655E"/>
    <w:rsid w:val="00D6668D"/>
    <w:rsid w:val="00D66935"/>
    <w:rsid w:val="00D6695A"/>
    <w:rsid w:val="00D66A30"/>
    <w:rsid w:val="00D66A56"/>
    <w:rsid w:val="00D66B00"/>
    <w:rsid w:val="00D66B53"/>
    <w:rsid w:val="00D66BAC"/>
    <w:rsid w:val="00D66C10"/>
    <w:rsid w:val="00D66CA7"/>
    <w:rsid w:val="00D66D64"/>
    <w:rsid w:val="00D66E29"/>
    <w:rsid w:val="00D66ED1"/>
    <w:rsid w:val="00D66F03"/>
    <w:rsid w:val="00D66F81"/>
    <w:rsid w:val="00D67011"/>
    <w:rsid w:val="00D67058"/>
    <w:rsid w:val="00D67598"/>
    <w:rsid w:val="00D6759E"/>
    <w:rsid w:val="00D677B8"/>
    <w:rsid w:val="00D679C1"/>
    <w:rsid w:val="00D679D5"/>
    <w:rsid w:val="00D679DE"/>
    <w:rsid w:val="00D67A0B"/>
    <w:rsid w:val="00D67A28"/>
    <w:rsid w:val="00D67A39"/>
    <w:rsid w:val="00D67CA2"/>
    <w:rsid w:val="00D67CC2"/>
    <w:rsid w:val="00D67E5D"/>
    <w:rsid w:val="00D70026"/>
    <w:rsid w:val="00D703C3"/>
    <w:rsid w:val="00D704FF"/>
    <w:rsid w:val="00D705C6"/>
    <w:rsid w:val="00D7081E"/>
    <w:rsid w:val="00D70826"/>
    <w:rsid w:val="00D7083D"/>
    <w:rsid w:val="00D70904"/>
    <w:rsid w:val="00D70964"/>
    <w:rsid w:val="00D709DA"/>
    <w:rsid w:val="00D70BD0"/>
    <w:rsid w:val="00D70CB6"/>
    <w:rsid w:val="00D70CBF"/>
    <w:rsid w:val="00D70DD4"/>
    <w:rsid w:val="00D70EC6"/>
    <w:rsid w:val="00D7105A"/>
    <w:rsid w:val="00D71102"/>
    <w:rsid w:val="00D71120"/>
    <w:rsid w:val="00D71188"/>
    <w:rsid w:val="00D711EF"/>
    <w:rsid w:val="00D71314"/>
    <w:rsid w:val="00D7131A"/>
    <w:rsid w:val="00D7131B"/>
    <w:rsid w:val="00D713E4"/>
    <w:rsid w:val="00D7144B"/>
    <w:rsid w:val="00D71693"/>
    <w:rsid w:val="00D71770"/>
    <w:rsid w:val="00D717EF"/>
    <w:rsid w:val="00D7192C"/>
    <w:rsid w:val="00D71986"/>
    <w:rsid w:val="00D71A1C"/>
    <w:rsid w:val="00D71AD5"/>
    <w:rsid w:val="00D71AEE"/>
    <w:rsid w:val="00D71B10"/>
    <w:rsid w:val="00D71BB2"/>
    <w:rsid w:val="00D71C87"/>
    <w:rsid w:val="00D71E92"/>
    <w:rsid w:val="00D7205D"/>
    <w:rsid w:val="00D7227A"/>
    <w:rsid w:val="00D72316"/>
    <w:rsid w:val="00D72459"/>
    <w:rsid w:val="00D726A4"/>
    <w:rsid w:val="00D726E8"/>
    <w:rsid w:val="00D727D2"/>
    <w:rsid w:val="00D72868"/>
    <w:rsid w:val="00D728D2"/>
    <w:rsid w:val="00D72B8F"/>
    <w:rsid w:val="00D72BB7"/>
    <w:rsid w:val="00D72C24"/>
    <w:rsid w:val="00D72C8A"/>
    <w:rsid w:val="00D72DBE"/>
    <w:rsid w:val="00D72DE5"/>
    <w:rsid w:val="00D72E26"/>
    <w:rsid w:val="00D73009"/>
    <w:rsid w:val="00D73038"/>
    <w:rsid w:val="00D730DF"/>
    <w:rsid w:val="00D73121"/>
    <w:rsid w:val="00D731DB"/>
    <w:rsid w:val="00D7322C"/>
    <w:rsid w:val="00D73253"/>
    <w:rsid w:val="00D732E5"/>
    <w:rsid w:val="00D73383"/>
    <w:rsid w:val="00D733B2"/>
    <w:rsid w:val="00D73699"/>
    <w:rsid w:val="00D73718"/>
    <w:rsid w:val="00D73818"/>
    <w:rsid w:val="00D7381F"/>
    <w:rsid w:val="00D7387E"/>
    <w:rsid w:val="00D738C2"/>
    <w:rsid w:val="00D73B2F"/>
    <w:rsid w:val="00D73C34"/>
    <w:rsid w:val="00D73D8C"/>
    <w:rsid w:val="00D73D8F"/>
    <w:rsid w:val="00D73E7C"/>
    <w:rsid w:val="00D73EB5"/>
    <w:rsid w:val="00D74092"/>
    <w:rsid w:val="00D74269"/>
    <w:rsid w:val="00D742B8"/>
    <w:rsid w:val="00D743B6"/>
    <w:rsid w:val="00D74459"/>
    <w:rsid w:val="00D7456A"/>
    <w:rsid w:val="00D74635"/>
    <w:rsid w:val="00D74668"/>
    <w:rsid w:val="00D746B9"/>
    <w:rsid w:val="00D74886"/>
    <w:rsid w:val="00D7488C"/>
    <w:rsid w:val="00D748EA"/>
    <w:rsid w:val="00D74957"/>
    <w:rsid w:val="00D749BE"/>
    <w:rsid w:val="00D749FE"/>
    <w:rsid w:val="00D74AA7"/>
    <w:rsid w:val="00D74AF7"/>
    <w:rsid w:val="00D74B87"/>
    <w:rsid w:val="00D74BAF"/>
    <w:rsid w:val="00D74BD2"/>
    <w:rsid w:val="00D74C43"/>
    <w:rsid w:val="00D74C45"/>
    <w:rsid w:val="00D74C78"/>
    <w:rsid w:val="00D74DC6"/>
    <w:rsid w:val="00D74E30"/>
    <w:rsid w:val="00D74E88"/>
    <w:rsid w:val="00D75066"/>
    <w:rsid w:val="00D750E1"/>
    <w:rsid w:val="00D75153"/>
    <w:rsid w:val="00D751E8"/>
    <w:rsid w:val="00D75402"/>
    <w:rsid w:val="00D75531"/>
    <w:rsid w:val="00D756BE"/>
    <w:rsid w:val="00D7572C"/>
    <w:rsid w:val="00D75731"/>
    <w:rsid w:val="00D75A20"/>
    <w:rsid w:val="00D75CC3"/>
    <w:rsid w:val="00D75D10"/>
    <w:rsid w:val="00D75D16"/>
    <w:rsid w:val="00D75D4F"/>
    <w:rsid w:val="00D75E48"/>
    <w:rsid w:val="00D75E4B"/>
    <w:rsid w:val="00D75F31"/>
    <w:rsid w:val="00D75F7D"/>
    <w:rsid w:val="00D75F8E"/>
    <w:rsid w:val="00D76086"/>
    <w:rsid w:val="00D7621C"/>
    <w:rsid w:val="00D7626D"/>
    <w:rsid w:val="00D7627A"/>
    <w:rsid w:val="00D763F9"/>
    <w:rsid w:val="00D7647A"/>
    <w:rsid w:val="00D766EB"/>
    <w:rsid w:val="00D767BB"/>
    <w:rsid w:val="00D767DB"/>
    <w:rsid w:val="00D76898"/>
    <w:rsid w:val="00D76916"/>
    <w:rsid w:val="00D76EEA"/>
    <w:rsid w:val="00D76F92"/>
    <w:rsid w:val="00D77006"/>
    <w:rsid w:val="00D7704C"/>
    <w:rsid w:val="00D770CC"/>
    <w:rsid w:val="00D77119"/>
    <w:rsid w:val="00D77251"/>
    <w:rsid w:val="00D772A7"/>
    <w:rsid w:val="00D772BE"/>
    <w:rsid w:val="00D77307"/>
    <w:rsid w:val="00D773D3"/>
    <w:rsid w:val="00D77402"/>
    <w:rsid w:val="00D7752E"/>
    <w:rsid w:val="00D7753A"/>
    <w:rsid w:val="00D77640"/>
    <w:rsid w:val="00D7776B"/>
    <w:rsid w:val="00D7784D"/>
    <w:rsid w:val="00D778E3"/>
    <w:rsid w:val="00D77A13"/>
    <w:rsid w:val="00D77A87"/>
    <w:rsid w:val="00D77B10"/>
    <w:rsid w:val="00D77BAB"/>
    <w:rsid w:val="00D77C78"/>
    <w:rsid w:val="00D77D2F"/>
    <w:rsid w:val="00D77E3B"/>
    <w:rsid w:val="00D77E57"/>
    <w:rsid w:val="00D77E6F"/>
    <w:rsid w:val="00D77F94"/>
    <w:rsid w:val="00D77FC4"/>
    <w:rsid w:val="00D8000F"/>
    <w:rsid w:val="00D80059"/>
    <w:rsid w:val="00D80064"/>
    <w:rsid w:val="00D80071"/>
    <w:rsid w:val="00D8022A"/>
    <w:rsid w:val="00D802B9"/>
    <w:rsid w:val="00D80308"/>
    <w:rsid w:val="00D80421"/>
    <w:rsid w:val="00D804DC"/>
    <w:rsid w:val="00D80647"/>
    <w:rsid w:val="00D806AF"/>
    <w:rsid w:val="00D807B4"/>
    <w:rsid w:val="00D80AF7"/>
    <w:rsid w:val="00D80D37"/>
    <w:rsid w:val="00D80DFF"/>
    <w:rsid w:val="00D80E1B"/>
    <w:rsid w:val="00D80EA6"/>
    <w:rsid w:val="00D810D4"/>
    <w:rsid w:val="00D81108"/>
    <w:rsid w:val="00D81110"/>
    <w:rsid w:val="00D8122C"/>
    <w:rsid w:val="00D81258"/>
    <w:rsid w:val="00D8130A"/>
    <w:rsid w:val="00D81433"/>
    <w:rsid w:val="00D8154D"/>
    <w:rsid w:val="00D81625"/>
    <w:rsid w:val="00D817A3"/>
    <w:rsid w:val="00D818F6"/>
    <w:rsid w:val="00D8192D"/>
    <w:rsid w:val="00D81952"/>
    <w:rsid w:val="00D8199A"/>
    <w:rsid w:val="00D819CA"/>
    <w:rsid w:val="00D81AA6"/>
    <w:rsid w:val="00D81B00"/>
    <w:rsid w:val="00D81B3B"/>
    <w:rsid w:val="00D81C8C"/>
    <w:rsid w:val="00D81DA7"/>
    <w:rsid w:val="00D81ECB"/>
    <w:rsid w:val="00D81EF6"/>
    <w:rsid w:val="00D81F11"/>
    <w:rsid w:val="00D81F58"/>
    <w:rsid w:val="00D81F9A"/>
    <w:rsid w:val="00D81FC1"/>
    <w:rsid w:val="00D8208A"/>
    <w:rsid w:val="00D822CE"/>
    <w:rsid w:val="00D823E7"/>
    <w:rsid w:val="00D8254A"/>
    <w:rsid w:val="00D82619"/>
    <w:rsid w:val="00D82664"/>
    <w:rsid w:val="00D826A5"/>
    <w:rsid w:val="00D829A9"/>
    <w:rsid w:val="00D82AC2"/>
    <w:rsid w:val="00D82B96"/>
    <w:rsid w:val="00D82BC6"/>
    <w:rsid w:val="00D82BE0"/>
    <w:rsid w:val="00D82C3A"/>
    <w:rsid w:val="00D82C46"/>
    <w:rsid w:val="00D82D30"/>
    <w:rsid w:val="00D82D78"/>
    <w:rsid w:val="00D82E41"/>
    <w:rsid w:val="00D82E9B"/>
    <w:rsid w:val="00D82EAC"/>
    <w:rsid w:val="00D82F26"/>
    <w:rsid w:val="00D82FF0"/>
    <w:rsid w:val="00D82FF4"/>
    <w:rsid w:val="00D83131"/>
    <w:rsid w:val="00D831F0"/>
    <w:rsid w:val="00D83306"/>
    <w:rsid w:val="00D83348"/>
    <w:rsid w:val="00D833CD"/>
    <w:rsid w:val="00D83464"/>
    <w:rsid w:val="00D834AE"/>
    <w:rsid w:val="00D834E3"/>
    <w:rsid w:val="00D8358F"/>
    <w:rsid w:val="00D836AC"/>
    <w:rsid w:val="00D836E7"/>
    <w:rsid w:val="00D836FF"/>
    <w:rsid w:val="00D838B8"/>
    <w:rsid w:val="00D838C3"/>
    <w:rsid w:val="00D838F0"/>
    <w:rsid w:val="00D83A38"/>
    <w:rsid w:val="00D83B7B"/>
    <w:rsid w:val="00D83D84"/>
    <w:rsid w:val="00D83E47"/>
    <w:rsid w:val="00D83E8E"/>
    <w:rsid w:val="00D83F56"/>
    <w:rsid w:val="00D83F90"/>
    <w:rsid w:val="00D83FA9"/>
    <w:rsid w:val="00D84035"/>
    <w:rsid w:val="00D8406A"/>
    <w:rsid w:val="00D840A7"/>
    <w:rsid w:val="00D840F9"/>
    <w:rsid w:val="00D84113"/>
    <w:rsid w:val="00D842FC"/>
    <w:rsid w:val="00D84306"/>
    <w:rsid w:val="00D84328"/>
    <w:rsid w:val="00D8434B"/>
    <w:rsid w:val="00D843B7"/>
    <w:rsid w:val="00D843E4"/>
    <w:rsid w:val="00D8454E"/>
    <w:rsid w:val="00D84623"/>
    <w:rsid w:val="00D846BF"/>
    <w:rsid w:val="00D84711"/>
    <w:rsid w:val="00D8473B"/>
    <w:rsid w:val="00D84A09"/>
    <w:rsid w:val="00D84A60"/>
    <w:rsid w:val="00D84C5A"/>
    <w:rsid w:val="00D84D36"/>
    <w:rsid w:val="00D84DD5"/>
    <w:rsid w:val="00D84DF5"/>
    <w:rsid w:val="00D84EA5"/>
    <w:rsid w:val="00D84EC3"/>
    <w:rsid w:val="00D85119"/>
    <w:rsid w:val="00D85181"/>
    <w:rsid w:val="00D85193"/>
    <w:rsid w:val="00D851F7"/>
    <w:rsid w:val="00D8523D"/>
    <w:rsid w:val="00D85508"/>
    <w:rsid w:val="00D85696"/>
    <w:rsid w:val="00D856D2"/>
    <w:rsid w:val="00D856EA"/>
    <w:rsid w:val="00D85752"/>
    <w:rsid w:val="00D85775"/>
    <w:rsid w:val="00D858DC"/>
    <w:rsid w:val="00D858FF"/>
    <w:rsid w:val="00D85C19"/>
    <w:rsid w:val="00D85CA5"/>
    <w:rsid w:val="00D85E19"/>
    <w:rsid w:val="00D85F37"/>
    <w:rsid w:val="00D85F9F"/>
    <w:rsid w:val="00D86097"/>
    <w:rsid w:val="00D860B8"/>
    <w:rsid w:val="00D86132"/>
    <w:rsid w:val="00D861C0"/>
    <w:rsid w:val="00D8627D"/>
    <w:rsid w:val="00D864A5"/>
    <w:rsid w:val="00D86502"/>
    <w:rsid w:val="00D8663F"/>
    <w:rsid w:val="00D86720"/>
    <w:rsid w:val="00D86730"/>
    <w:rsid w:val="00D86B3B"/>
    <w:rsid w:val="00D86B80"/>
    <w:rsid w:val="00D86ECE"/>
    <w:rsid w:val="00D86ED9"/>
    <w:rsid w:val="00D87090"/>
    <w:rsid w:val="00D870BA"/>
    <w:rsid w:val="00D874BE"/>
    <w:rsid w:val="00D874C4"/>
    <w:rsid w:val="00D874D0"/>
    <w:rsid w:val="00D8751B"/>
    <w:rsid w:val="00D87594"/>
    <w:rsid w:val="00D87603"/>
    <w:rsid w:val="00D8776D"/>
    <w:rsid w:val="00D877E9"/>
    <w:rsid w:val="00D87955"/>
    <w:rsid w:val="00D87B47"/>
    <w:rsid w:val="00D87C0D"/>
    <w:rsid w:val="00D87C7C"/>
    <w:rsid w:val="00D87E54"/>
    <w:rsid w:val="00D87E94"/>
    <w:rsid w:val="00D87EB7"/>
    <w:rsid w:val="00D87F5E"/>
    <w:rsid w:val="00D9004C"/>
    <w:rsid w:val="00D90189"/>
    <w:rsid w:val="00D90230"/>
    <w:rsid w:val="00D9042E"/>
    <w:rsid w:val="00D90473"/>
    <w:rsid w:val="00D904A0"/>
    <w:rsid w:val="00D9057C"/>
    <w:rsid w:val="00D9058A"/>
    <w:rsid w:val="00D905AD"/>
    <w:rsid w:val="00D90660"/>
    <w:rsid w:val="00D9079E"/>
    <w:rsid w:val="00D9087B"/>
    <w:rsid w:val="00D908A5"/>
    <w:rsid w:val="00D909A2"/>
    <w:rsid w:val="00D90A2E"/>
    <w:rsid w:val="00D90A4D"/>
    <w:rsid w:val="00D90A9B"/>
    <w:rsid w:val="00D90AF7"/>
    <w:rsid w:val="00D90BE1"/>
    <w:rsid w:val="00D90EF3"/>
    <w:rsid w:val="00D90F8E"/>
    <w:rsid w:val="00D90F97"/>
    <w:rsid w:val="00D910D8"/>
    <w:rsid w:val="00D9112B"/>
    <w:rsid w:val="00D91217"/>
    <w:rsid w:val="00D912C3"/>
    <w:rsid w:val="00D91311"/>
    <w:rsid w:val="00D914A6"/>
    <w:rsid w:val="00D91505"/>
    <w:rsid w:val="00D91592"/>
    <w:rsid w:val="00D91685"/>
    <w:rsid w:val="00D916C8"/>
    <w:rsid w:val="00D916DA"/>
    <w:rsid w:val="00D917B6"/>
    <w:rsid w:val="00D918C7"/>
    <w:rsid w:val="00D9195A"/>
    <w:rsid w:val="00D91A01"/>
    <w:rsid w:val="00D91A98"/>
    <w:rsid w:val="00D91B6A"/>
    <w:rsid w:val="00D91B8D"/>
    <w:rsid w:val="00D91BD7"/>
    <w:rsid w:val="00D91BE2"/>
    <w:rsid w:val="00D91CE8"/>
    <w:rsid w:val="00D91DF8"/>
    <w:rsid w:val="00D91E43"/>
    <w:rsid w:val="00D91EF3"/>
    <w:rsid w:val="00D91EFF"/>
    <w:rsid w:val="00D92284"/>
    <w:rsid w:val="00D923D1"/>
    <w:rsid w:val="00D9240A"/>
    <w:rsid w:val="00D9242A"/>
    <w:rsid w:val="00D92467"/>
    <w:rsid w:val="00D925AA"/>
    <w:rsid w:val="00D926C6"/>
    <w:rsid w:val="00D92783"/>
    <w:rsid w:val="00D9293B"/>
    <w:rsid w:val="00D929E6"/>
    <w:rsid w:val="00D92A5C"/>
    <w:rsid w:val="00D92B2F"/>
    <w:rsid w:val="00D92B77"/>
    <w:rsid w:val="00D92B92"/>
    <w:rsid w:val="00D92CA8"/>
    <w:rsid w:val="00D92CE5"/>
    <w:rsid w:val="00D92D32"/>
    <w:rsid w:val="00D92DBA"/>
    <w:rsid w:val="00D92DC5"/>
    <w:rsid w:val="00D92DF7"/>
    <w:rsid w:val="00D92E2E"/>
    <w:rsid w:val="00D931BB"/>
    <w:rsid w:val="00D931C8"/>
    <w:rsid w:val="00D931E6"/>
    <w:rsid w:val="00D932E2"/>
    <w:rsid w:val="00D9332D"/>
    <w:rsid w:val="00D93384"/>
    <w:rsid w:val="00D933F3"/>
    <w:rsid w:val="00D93413"/>
    <w:rsid w:val="00D9344D"/>
    <w:rsid w:val="00D934D9"/>
    <w:rsid w:val="00D93530"/>
    <w:rsid w:val="00D93922"/>
    <w:rsid w:val="00D93957"/>
    <w:rsid w:val="00D93B61"/>
    <w:rsid w:val="00D93B96"/>
    <w:rsid w:val="00D93B9E"/>
    <w:rsid w:val="00D93CCD"/>
    <w:rsid w:val="00D93D4B"/>
    <w:rsid w:val="00D93DE9"/>
    <w:rsid w:val="00D93F12"/>
    <w:rsid w:val="00D93F81"/>
    <w:rsid w:val="00D942D2"/>
    <w:rsid w:val="00D94342"/>
    <w:rsid w:val="00D943C3"/>
    <w:rsid w:val="00D94488"/>
    <w:rsid w:val="00D945C6"/>
    <w:rsid w:val="00D9460D"/>
    <w:rsid w:val="00D94611"/>
    <w:rsid w:val="00D946CD"/>
    <w:rsid w:val="00D94819"/>
    <w:rsid w:val="00D948BC"/>
    <w:rsid w:val="00D949E2"/>
    <w:rsid w:val="00D949EE"/>
    <w:rsid w:val="00D94ACD"/>
    <w:rsid w:val="00D94B91"/>
    <w:rsid w:val="00D94B94"/>
    <w:rsid w:val="00D94C5F"/>
    <w:rsid w:val="00D94C9B"/>
    <w:rsid w:val="00D94D63"/>
    <w:rsid w:val="00D94DD4"/>
    <w:rsid w:val="00D94F12"/>
    <w:rsid w:val="00D94FE5"/>
    <w:rsid w:val="00D950A7"/>
    <w:rsid w:val="00D954CC"/>
    <w:rsid w:val="00D954CD"/>
    <w:rsid w:val="00D9563F"/>
    <w:rsid w:val="00D95641"/>
    <w:rsid w:val="00D9570F"/>
    <w:rsid w:val="00D958FA"/>
    <w:rsid w:val="00D95954"/>
    <w:rsid w:val="00D9598C"/>
    <w:rsid w:val="00D959EF"/>
    <w:rsid w:val="00D959FB"/>
    <w:rsid w:val="00D95AC5"/>
    <w:rsid w:val="00D95AE6"/>
    <w:rsid w:val="00D95BEA"/>
    <w:rsid w:val="00D95E61"/>
    <w:rsid w:val="00D95FEB"/>
    <w:rsid w:val="00D95FFD"/>
    <w:rsid w:val="00D961BB"/>
    <w:rsid w:val="00D9626E"/>
    <w:rsid w:val="00D9627B"/>
    <w:rsid w:val="00D962FF"/>
    <w:rsid w:val="00D963D3"/>
    <w:rsid w:val="00D96429"/>
    <w:rsid w:val="00D96433"/>
    <w:rsid w:val="00D96440"/>
    <w:rsid w:val="00D96479"/>
    <w:rsid w:val="00D964AD"/>
    <w:rsid w:val="00D9651F"/>
    <w:rsid w:val="00D965A9"/>
    <w:rsid w:val="00D966EF"/>
    <w:rsid w:val="00D96723"/>
    <w:rsid w:val="00D968D7"/>
    <w:rsid w:val="00D96A1E"/>
    <w:rsid w:val="00D96A4D"/>
    <w:rsid w:val="00D96AAB"/>
    <w:rsid w:val="00D96AF7"/>
    <w:rsid w:val="00D96CEF"/>
    <w:rsid w:val="00D96D74"/>
    <w:rsid w:val="00D96E46"/>
    <w:rsid w:val="00D970B7"/>
    <w:rsid w:val="00D9714C"/>
    <w:rsid w:val="00D9718B"/>
    <w:rsid w:val="00D97308"/>
    <w:rsid w:val="00D97390"/>
    <w:rsid w:val="00D973C1"/>
    <w:rsid w:val="00D974C1"/>
    <w:rsid w:val="00D97748"/>
    <w:rsid w:val="00D97753"/>
    <w:rsid w:val="00D97793"/>
    <w:rsid w:val="00D97815"/>
    <w:rsid w:val="00D97851"/>
    <w:rsid w:val="00D978C9"/>
    <w:rsid w:val="00D97922"/>
    <w:rsid w:val="00D9795B"/>
    <w:rsid w:val="00D979C5"/>
    <w:rsid w:val="00D979D7"/>
    <w:rsid w:val="00D979FE"/>
    <w:rsid w:val="00D97A44"/>
    <w:rsid w:val="00D97B8A"/>
    <w:rsid w:val="00D97BD2"/>
    <w:rsid w:val="00D97C0B"/>
    <w:rsid w:val="00D97C80"/>
    <w:rsid w:val="00D97C9E"/>
    <w:rsid w:val="00D97CBA"/>
    <w:rsid w:val="00D97EE1"/>
    <w:rsid w:val="00DA00A5"/>
    <w:rsid w:val="00DA018A"/>
    <w:rsid w:val="00DA020B"/>
    <w:rsid w:val="00DA0220"/>
    <w:rsid w:val="00DA0269"/>
    <w:rsid w:val="00DA02DE"/>
    <w:rsid w:val="00DA055B"/>
    <w:rsid w:val="00DA0591"/>
    <w:rsid w:val="00DA0596"/>
    <w:rsid w:val="00DA0681"/>
    <w:rsid w:val="00DA0884"/>
    <w:rsid w:val="00DA0906"/>
    <w:rsid w:val="00DA096B"/>
    <w:rsid w:val="00DA0C8D"/>
    <w:rsid w:val="00DA0D9C"/>
    <w:rsid w:val="00DA0E06"/>
    <w:rsid w:val="00DA0EDE"/>
    <w:rsid w:val="00DA0F67"/>
    <w:rsid w:val="00DA0FA1"/>
    <w:rsid w:val="00DA1068"/>
    <w:rsid w:val="00DA1100"/>
    <w:rsid w:val="00DA1129"/>
    <w:rsid w:val="00DA1385"/>
    <w:rsid w:val="00DA1398"/>
    <w:rsid w:val="00DA13E0"/>
    <w:rsid w:val="00DA1475"/>
    <w:rsid w:val="00DA15E9"/>
    <w:rsid w:val="00DA193C"/>
    <w:rsid w:val="00DA1A87"/>
    <w:rsid w:val="00DA1C09"/>
    <w:rsid w:val="00DA1C63"/>
    <w:rsid w:val="00DA1D4C"/>
    <w:rsid w:val="00DA1D8D"/>
    <w:rsid w:val="00DA1DEF"/>
    <w:rsid w:val="00DA1DFC"/>
    <w:rsid w:val="00DA1ECE"/>
    <w:rsid w:val="00DA1F45"/>
    <w:rsid w:val="00DA1FD4"/>
    <w:rsid w:val="00DA2013"/>
    <w:rsid w:val="00DA20D4"/>
    <w:rsid w:val="00DA21AF"/>
    <w:rsid w:val="00DA21DA"/>
    <w:rsid w:val="00DA2237"/>
    <w:rsid w:val="00DA2238"/>
    <w:rsid w:val="00DA23DE"/>
    <w:rsid w:val="00DA2460"/>
    <w:rsid w:val="00DA2602"/>
    <w:rsid w:val="00DA266E"/>
    <w:rsid w:val="00DA269C"/>
    <w:rsid w:val="00DA27F3"/>
    <w:rsid w:val="00DA293C"/>
    <w:rsid w:val="00DA2CD5"/>
    <w:rsid w:val="00DA2E99"/>
    <w:rsid w:val="00DA2F1A"/>
    <w:rsid w:val="00DA2FD2"/>
    <w:rsid w:val="00DA3213"/>
    <w:rsid w:val="00DA3218"/>
    <w:rsid w:val="00DA33A5"/>
    <w:rsid w:val="00DA3422"/>
    <w:rsid w:val="00DA3484"/>
    <w:rsid w:val="00DA355C"/>
    <w:rsid w:val="00DA3813"/>
    <w:rsid w:val="00DA3874"/>
    <w:rsid w:val="00DA387C"/>
    <w:rsid w:val="00DA3ACD"/>
    <w:rsid w:val="00DA3AF2"/>
    <w:rsid w:val="00DA3B1A"/>
    <w:rsid w:val="00DA3BEF"/>
    <w:rsid w:val="00DA3E29"/>
    <w:rsid w:val="00DA3F0C"/>
    <w:rsid w:val="00DA3F6A"/>
    <w:rsid w:val="00DA4085"/>
    <w:rsid w:val="00DA408C"/>
    <w:rsid w:val="00DA4148"/>
    <w:rsid w:val="00DA4252"/>
    <w:rsid w:val="00DA4463"/>
    <w:rsid w:val="00DA44D2"/>
    <w:rsid w:val="00DA4694"/>
    <w:rsid w:val="00DA49C3"/>
    <w:rsid w:val="00DA49EE"/>
    <w:rsid w:val="00DA4BE9"/>
    <w:rsid w:val="00DA4C82"/>
    <w:rsid w:val="00DA4D24"/>
    <w:rsid w:val="00DA4D94"/>
    <w:rsid w:val="00DA4F7E"/>
    <w:rsid w:val="00DA4FC6"/>
    <w:rsid w:val="00DA50DE"/>
    <w:rsid w:val="00DA5229"/>
    <w:rsid w:val="00DA5309"/>
    <w:rsid w:val="00DA5698"/>
    <w:rsid w:val="00DA5775"/>
    <w:rsid w:val="00DA57C1"/>
    <w:rsid w:val="00DA5903"/>
    <w:rsid w:val="00DA59BB"/>
    <w:rsid w:val="00DA5A14"/>
    <w:rsid w:val="00DA5A6F"/>
    <w:rsid w:val="00DA5AC7"/>
    <w:rsid w:val="00DA5BE3"/>
    <w:rsid w:val="00DA5D1D"/>
    <w:rsid w:val="00DA5D35"/>
    <w:rsid w:val="00DA5ED0"/>
    <w:rsid w:val="00DA5F2F"/>
    <w:rsid w:val="00DA6179"/>
    <w:rsid w:val="00DA6192"/>
    <w:rsid w:val="00DA6293"/>
    <w:rsid w:val="00DA63B8"/>
    <w:rsid w:val="00DA63FA"/>
    <w:rsid w:val="00DA6519"/>
    <w:rsid w:val="00DA6580"/>
    <w:rsid w:val="00DA6598"/>
    <w:rsid w:val="00DA6682"/>
    <w:rsid w:val="00DA6872"/>
    <w:rsid w:val="00DA6892"/>
    <w:rsid w:val="00DA68A0"/>
    <w:rsid w:val="00DA68FC"/>
    <w:rsid w:val="00DA6A6D"/>
    <w:rsid w:val="00DA6A73"/>
    <w:rsid w:val="00DA6AD1"/>
    <w:rsid w:val="00DA6B10"/>
    <w:rsid w:val="00DA6D32"/>
    <w:rsid w:val="00DA6E2E"/>
    <w:rsid w:val="00DA6E62"/>
    <w:rsid w:val="00DA6FD8"/>
    <w:rsid w:val="00DA7275"/>
    <w:rsid w:val="00DA7558"/>
    <w:rsid w:val="00DA76E7"/>
    <w:rsid w:val="00DA78B8"/>
    <w:rsid w:val="00DA78FB"/>
    <w:rsid w:val="00DA7A9E"/>
    <w:rsid w:val="00DA7B57"/>
    <w:rsid w:val="00DA7C24"/>
    <w:rsid w:val="00DA7D03"/>
    <w:rsid w:val="00DA7DF5"/>
    <w:rsid w:val="00DA7F13"/>
    <w:rsid w:val="00DA7F22"/>
    <w:rsid w:val="00DA7F7D"/>
    <w:rsid w:val="00DB0131"/>
    <w:rsid w:val="00DB018C"/>
    <w:rsid w:val="00DB01D8"/>
    <w:rsid w:val="00DB033D"/>
    <w:rsid w:val="00DB047B"/>
    <w:rsid w:val="00DB059D"/>
    <w:rsid w:val="00DB080F"/>
    <w:rsid w:val="00DB087A"/>
    <w:rsid w:val="00DB08B1"/>
    <w:rsid w:val="00DB095F"/>
    <w:rsid w:val="00DB0AE5"/>
    <w:rsid w:val="00DB0B88"/>
    <w:rsid w:val="00DB0D33"/>
    <w:rsid w:val="00DB0D63"/>
    <w:rsid w:val="00DB0D7D"/>
    <w:rsid w:val="00DB0E76"/>
    <w:rsid w:val="00DB0F8B"/>
    <w:rsid w:val="00DB1062"/>
    <w:rsid w:val="00DB11C3"/>
    <w:rsid w:val="00DB1210"/>
    <w:rsid w:val="00DB139D"/>
    <w:rsid w:val="00DB13A4"/>
    <w:rsid w:val="00DB1405"/>
    <w:rsid w:val="00DB14FF"/>
    <w:rsid w:val="00DB1579"/>
    <w:rsid w:val="00DB18D8"/>
    <w:rsid w:val="00DB1E32"/>
    <w:rsid w:val="00DB1F05"/>
    <w:rsid w:val="00DB1FBB"/>
    <w:rsid w:val="00DB205C"/>
    <w:rsid w:val="00DB2075"/>
    <w:rsid w:val="00DB20D7"/>
    <w:rsid w:val="00DB20EB"/>
    <w:rsid w:val="00DB20FC"/>
    <w:rsid w:val="00DB2163"/>
    <w:rsid w:val="00DB21DA"/>
    <w:rsid w:val="00DB220E"/>
    <w:rsid w:val="00DB2332"/>
    <w:rsid w:val="00DB236C"/>
    <w:rsid w:val="00DB23BC"/>
    <w:rsid w:val="00DB24CC"/>
    <w:rsid w:val="00DB25B5"/>
    <w:rsid w:val="00DB27B0"/>
    <w:rsid w:val="00DB27E4"/>
    <w:rsid w:val="00DB280D"/>
    <w:rsid w:val="00DB2824"/>
    <w:rsid w:val="00DB28C4"/>
    <w:rsid w:val="00DB2CB6"/>
    <w:rsid w:val="00DB2CEA"/>
    <w:rsid w:val="00DB2D42"/>
    <w:rsid w:val="00DB2E0D"/>
    <w:rsid w:val="00DB2E1D"/>
    <w:rsid w:val="00DB2E4D"/>
    <w:rsid w:val="00DB30E2"/>
    <w:rsid w:val="00DB317A"/>
    <w:rsid w:val="00DB317F"/>
    <w:rsid w:val="00DB32F9"/>
    <w:rsid w:val="00DB344C"/>
    <w:rsid w:val="00DB3524"/>
    <w:rsid w:val="00DB3591"/>
    <w:rsid w:val="00DB363B"/>
    <w:rsid w:val="00DB3727"/>
    <w:rsid w:val="00DB3790"/>
    <w:rsid w:val="00DB3904"/>
    <w:rsid w:val="00DB3997"/>
    <w:rsid w:val="00DB39A6"/>
    <w:rsid w:val="00DB3BEB"/>
    <w:rsid w:val="00DB3C06"/>
    <w:rsid w:val="00DB3C85"/>
    <w:rsid w:val="00DB3E54"/>
    <w:rsid w:val="00DB3F20"/>
    <w:rsid w:val="00DB3F29"/>
    <w:rsid w:val="00DB4213"/>
    <w:rsid w:val="00DB4225"/>
    <w:rsid w:val="00DB42C5"/>
    <w:rsid w:val="00DB4330"/>
    <w:rsid w:val="00DB4371"/>
    <w:rsid w:val="00DB44CB"/>
    <w:rsid w:val="00DB45DB"/>
    <w:rsid w:val="00DB46DA"/>
    <w:rsid w:val="00DB47F5"/>
    <w:rsid w:val="00DB49AB"/>
    <w:rsid w:val="00DB4A19"/>
    <w:rsid w:val="00DB4B52"/>
    <w:rsid w:val="00DB4B58"/>
    <w:rsid w:val="00DB4BCE"/>
    <w:rsid w:val="00DB4C61"/>
    <w:rsid w:val="00DB4C9F"/>
    <w:rsid w:val="00DB4CD3"/>
    <w:rsid w:val="00DB4CF4"/>
    <w:rsid w:val="00DB4DA2"/>
    <w:rsid w:val="00DB4DBA"/>
    <w:rsid w:val="00DB4E52"/>
    <w:rsid w:val="00DB4E6F"/>
    <w:rsid w:val="00DB4F1F"/>
    <w:rsid w:val="00DB4F68"/>
    <w:rsid w:val="00DB512A"/>
    <w:rsid w:val="00DB525D"/>
    <w:rsid w:val="00DB525F"/>
    <w:rsid w:val="00DB5394"/>
    <w:rsid w:val="00DB55AB"/>
    <w:rsid w:val="00DB55B9"/>
    <w:rsid w:val="00DB57AC"/>
    <w:rsid w:val="00DB599C"/>
    <w:rsid w:val="00DB5AF5"/>
    <w:rsid w:val="00DB5AF6"/>
    <w:rsid w:val="00DB5D4C"/>
    <w:rsid w:val="00DB5E4B"/>
    <w:rsid w:val="00DB5F14"/>
    <w:rsid w:val="00DB5F17"/>
    <w:rsid w:val="00DB5FC7"/>
    <w:rsid w:val="00DB609D"/>
    <w:rsid w:val="00DB6160"/>
    <w:rsid w:val="00DB627D"/>
    <w:rsid w:val="00DB636E"/>
    <w:rsid w:val="00DB63F0"/>
    <w:rsid w:val="00DB63F4"/>
    <w:rsid w:val="00DB6461"/>
    <w:rsid w:val="00DB64CD"/>
    <w:rsid w:val="00DB65DD"/>
    <w:rsid w:val="00DB6664"/>
    <w:rsid w:val="00DB66F1"/>
    <w:rsid w:val="00DB689E"/>
    <w:rsid w:val="00DB68F5"/>
    <w:rsid w:val="00DB69DD"/>
    <w:rsid w:val="00DB69F4"/>
    <w:rsid w:val="00DB6A32"/>
    <w:rsid w:val="00DB6AAD"/>
    <w:rsid w:val="00DB6B6A"/>
    <w:rsid w:val="00DB6C50"/>
    <w:rsid w:val="00DB6CAA"/>
    <w:rsid w:val="00DB6CEC"/>
    <w:rsid w:val="00DB6D67"/>
    <w:rsid w:val="00DB6D6F"/>
    <w:rsid w:val="00DB6D70"/>
    <w:rsid w:val="00DB6E2E"/>
    <w:rsid w:val="00DB6EE5"/>
    <w:rsid w:val="00DB6F37"/>
    <w:rsid w:val="00DB709B"/>
    <w:rsid w:val="00DB71C9"/>
    <w:rsid w:val="00DB720F"/>
    <w:rsid w:val="00DB723F"/>
    <w:rsid w:val="00DB7264"/>
    <w:rsid w:val="00DB72C9"/>
    <w:rsid w:val="00DB755D"/>
    <w:rsid w:val="00DB7911"/>
    <w:rsid w:val="00DB7A77"/>
    <w:rsid w:val="00DB7ABB"/>
    <w:rsid w:val="00DB7B81"/>
    <w:rsid w:val="00DB7BDC"/>
    <w:rsid w:val="00DB7D68"/>
    <w:rsid w:val="00DB7E64"/>
    <w:rsid w:val="00DB7E65"/>
    <w:rsid w:val="00DB7EFC"/>
    <w:rsid w:val="00DB7F5C"/>
    <w:rsid w:val="00DC008E"/>
    <w:rsid w:val="00DC022F"/>
    <w:rsid w:val="00DC0406"/>
    <w:rsid w:val="00DC0457"/>
    <w:rsid w:val="00DC0551"/>
    <w:rsid w:val="00DC0569"/>
    <w:rsid w:val="00DC05F4"/>
    <w:rsid w:val="00DC0A12"/>
    <w:rsid w:val="00DC0A99"/>
    <w:rsid w:val="00DC0A9B"/>
    <w:rsid w:val="00DC0D11"/>
    <w:rsid w:val="00DC0D62"/>
    <w:rsid w:val="00DC0E1A"/>
    <w:rsid w:val="00DC0E2C"/>
    <w:rsid w:val="00DC0ECE"/>
    <w:rsid w:val="00DC0EE3"/>
    <w:rsid w:val="00DC0F37"/>
    <w:rsid w:val="00DC1180"/>
    <w:rsid w:val="00DC120C"/>
    <w:rsid w:val="00DC13FB"/>
    <w:rsid w:val="00DC1487"/>
    <w:rsid w:val="00DC14BA"/>
    <w:rsid w:val="00DC14DE"/>
    <w:rsid w:val="00DC15E6"/>
    <w:rsid w:val="00DC1763"/>
    <w:rsid w:val="00DC1972"/>
    <w:rsid w:val="00DC1980"/>
    <w:rsid w:val="00DC198F"/>
    <w:rsid w:val="00DC1AFD"/>
    <w:rsid w:val="00DC1C0C"/>
    <w:rsid w:val="00DC1D26"/>
    <w:rsid w:val="00DC1D97"/>
    <w:rsid w:val="00DC2004"/>
    <w:rsid w:val="00DC21EA"/>
    <w:rsid w:val="00DC22B7"/>
    <w:rsid w:val="00DC22D1"/>
    <w:rsid w:val="00DC23DD"/>
    <w:rsid w:val="00DC2413"/>
    <w:rsid w:val="00DC2450"/>
    <w:rsid w:val="00DC2465"/>
    <w:rsid w:val="00DC24B6"/>
    <w:rsid w:val="00DC24E9"/>
    <w:rsid w:val="00DC2585"/>
    <w:rsid w:val="00DC260F"/>
    <w:rsid w:val="00DC2952"/>
    <w:rsid w:val="00DC2993"/>
    <w:rsid w:val="00DC2A71"/>
    <w:rsid w:val="00DC2AAC"/>
    <w:rsid w:val="00DC2B61"/>
    <w:rsid w:val="00DC2BE0"/>
    <w:rsid w:val="00DC2C0E"/>
    <w:rsid w:val="00DC2C49"/>
    <w:rsid w:val="00DC2D59"/>
    <w:rsid w:val="00DC3114"/>
    <w:rsid w:val="00DC31E3"/>
    <w:rsid w:val="00DC3237"/>
    <w:rsid w:val="00DC3266"/>
    <w:rsid w:val="00DC32C8"/>
    <w:rsid w:val="00DC3382"/>
    <w:rsid w:val="00DC3464"/>
    <w:rsid w:val="00DC34E7"/>
    <w:rsid w:val="00DC35DA"/>
    <w:rsid w:val="00DC36D9"/>
    <w:rsid w:val="00DC3711"/>
    <w:rsid w:val="00DC372C"/>
    <w:rsid w:val="00DC38D9"/>
    <w:rsid w:val="00DC3917"/>
    <w:rsid w:val="00DC3AC0"/>
    <w:rsid w:val="00DC3B7B"/>
    <w:rsid w:val="00DC3C10"/>
    <w:rsid w:val="00DC3CE7"/>
    <w:rsid w:val="00DC3CF5"/>
    <w:rsid w:val="00DC3D0C"/>
    <w:rsid w:val="00DC3D37"/>
    <w:rsid w:val="00DC3D67"/>
    <w:rsid w:val="00DC3DAD"/>
    <w:rsid w:val="00DC3EA7"/>
    <w:rsid w:val="00DC408B"/>
    <w:rsid w:val="00DC408F"/>
    <w:rsid w:val="00DC4170"/>
    <w:rsid w:val="00DC41D6"/>
    <w:rsid w:val="00DC4343"/>
    <w:rsid w:val="00DC439E"/>
    <w:rsid w:val="00DC454B"/>
    <w:rsid w:val="00DC4568"/>
    <w:rsid w:val="00DC47BC"/>
    <w:rsid w:val="00DC4885"/>
    <w:rsid w:val="00DC48CE"/>
    <w:rsid w:val="00DC4B83"/>
    <w:rsid w:val="00DC4BA7"/>
    <w:rsid w:val="00DC4C99"/>
    <w:rsid w:val="00DC4CD2"/>
    <w:rsid w:val="00DC4D00"/>
    <w:rsid w:val="00DC4E41"/>
    <w:rsid w:val="00DC4E43"/>
    <w:rsid w:val="00DC4E77"/>
    <w:rsid w:val="00DC4E7E"/>
    <w:rsid w:val="00DC4F0A"/>
    <w:rsid w:val="00DC509E"/>
    <w:rsid w:val="00DC50BE"/>
    <w:rsid w:val="00DC516F"/>
    <w:rsid w:val="00DC5330"/>
    <w:rsid w:val="00DC542B"/>
    <w:rsid w:val="00DC54AB"/>
    <w:rsid w:val="00DC5665"/>
    <w:rsid w:val="00DC5824"/>
    <w:rsid w:val="00DC5831"/>
    <w:rsid w:val="00DC583A"/>
    <w:rsid w:val="00DC5857"/>
    <w:rsid w:val="00DC58F7"/>
    <w:rsid w:val="00DC58FD"/>
    <w:rsid w:val="00DC5C2B"/>
    <w:rsid w:val="00DC5CA1"/>
    <w:rsid w:val="00DC5D04"/>
    <w:rsid w:val="00DC5DAA"/>
    <w:rsid w:val="00DC5DE5"/>
    <w:rsid w:val="00DC5F68"/>
    <w:rsid w:val="00DC5FF9"/>
    <w:rsid w:val="00DC60CB"/>
    <w:rsid w:val="00DC6173"/>
    <w:rsid w:val="00DC63B7"/>
    <w:rsid w:val="00DC64BF"/>
    <w:rsid w:val="00DC6709"/>
    <w:rsid w:val="00DC6858"/>
    <w:rsid w:val="00DC68AA"/>
    <w:rsid w:val="00DC6A53"/>
    <w:rsid w:val="00DC6CB6"/>
    <w:rsid w:val="00DC6D39"/>
    <w:rsid w:val="00DC6DC2"/>
    <w:rsid w:val="00DC6E2D"/>
    <w:rsid w:val="00DC6F47"/>
    <w:rsid w:val="00DC6FD3"/>
    <w:rsid w:val="00DC7044"/>
    <w:rsid w:val="00DC7156"/>
    <w:rsid w:val="00DC72ED"/>
    <w:rsid w:val="00DC72FA"/>
    <w:rsid w:val="00DC739A"/>
    <w:rsid w:val="00DC7401"/>
    <w:rsid w:val="00DC7442"/>
    <w:rsid w:val="00DC7574"/>
    <w:rsid w:val="00DC75E8"/>
    <w:rsid w:val="00DC78C9"/>
    <w:rsid w:val="00DC790E"/>
    <w:rsid w:val="00DC792C"/>
    <w:rsid w:val="00DC793E"/>
    <w:rsid w:val="00DC798E"/>
    <w:rsid w:val="00DC79E4"/>
    <w:rsid w:val="00DC7A43"/>
    <w:rsid w:val="00DC7AC7"/>
    <w:rsid w:val="00DC7C92"/>
    <w:rsid w:val="00DC7D40"/>
    <w:rsid w:val="00DC7D60"/>
    <w:rsid w:val="00DC7E13"/>
    <w:rsid w:val="00DC7E63"/>
    <w:rsid w:val="00DC7E8A"/>
    <w:rsid w:val="00DC7EAF"/>
    <w:rsid w:val="00DC7EDB"/>
    <w:rsid w:val="00DC7F90"/>
    <w:rsid w:val="00DD02BC"/>
    <w:rsid w:val="00DD0362"/>
    <w:rsid w:val="00DD037E"/>
    <w:rsid w:val="00DD0569"/>
    <w:rsid w:val="00DD064A"/>
    <w:rsid w:val="00DD0681"/>
    <w:rsid w:val="00DD06C2"/>
    <w:rsid w:val="00DD06DF"/>
    <w:rsid w:val="00DD07A2"/>
    <w:rsid w:val="00DD092C"/>
    <w:rsid w:val="00DD0A0C"/>
    <w:rsid w:val="00DD0A63"/>
    <w:rsid w:val="00DD0BC4"/>
    <w:rsid w:val="00DD0C0B"/>
    <w:rsid w:val="00DD0CF8"/>
    <w:rsid w:val="00DD0DD5"/>
    <w:rsid w:val="00DD0E76"/>
    <w:rsid w:val="00DD0ECF"/>
    <w:rsid w:val="00DD1023"/>
    <w:rsid w:val="00DD1128"/>
    <w:rsid w:val="00DD12F1"/>
    <w:rsid w:val="00DD1375"/>
    <w:rsid w:val="00DD13BD"/>
    <w:rsid w:val="00DD13ED"/>
    <w:rsid w:val="00DD1508"/>
    <w:rsid w:val="00DD176B"/>
    <w:rsid w:val="00DD1789"/>
    <w:rsid w:val="00DD178F"/>
    <w:rsid w:val="00DD18B5"/>
    <w:rsid w:val="00DD18B9"/>
    <w:rsid w:val="00DD1A86"/>
    <w:rsid w:val="00DD1C78"/>
    <w:rsid w:val="00DD1CD5"/>
    <w:rsid w:val="00DD1D42"/>
    <w:rsid w:val="00DD1DFF"/>
    <w:rsid w:val="00DD1EEB"/>
    <w:rsid w:val="00DD1F05"/>
    <w:rsid w:val="00DD2020"/>
    <w:rsid w:val="00DD20B6"/>
    <w:rsid w:val="00DD2131"/>
    <w:rsid w:val="00DD2171"/>
    <w:rsid w:val="00DD237F"/>
    <w:rsid w:val="00DD2422"/>
    <w:rsid w:val="00DD25E6"/>
    <w:rsid w:val="00DD2696"/>
    <w:rsid w:val="00DD286D"/>
    <w:rsid w:val="00DD293E"/>
    <w:rsid w:val="00DD29DC"/>
    <w:rsid w:val="00DD2ADB"/>
    <w:rsid w:val="00DD2C03"/>
    <w:rsid w:val="00DD2C0A"/>
    <w:rsid w:val="00DD2C50"/>
    <w:rsid w:val="00DD2DC3"/>
    <w:rsid w:val="00DD2E0E"/>
    <w:rsid w:val="00DD2E60"/>
    <w:rsid w:val="00DD2ECB"/>
    <w:rsid w:val="00DD2FC9"/>
    <w:rsid w:val="00DD301A"/>
    <w:rsid w:val="00DD3039"/>
    <w:rsid w:val="00DD30B5"/>
    <w:rsid w:val="00DD30EB"/>
    <w:rsid w:val="00DD3280"/>
    <w:rsid w:val="00DD3295"/>
    <w:rsid w:val="00DD32A8"/>
    <w:rsid w:val="00DD330C"/>
    <w:rsid w:val="00DD3318"/>
    <w:rsid w:val="00DD34A2"/>
    <w:rsid w:val="00DD34F4"/>
    <w:rsid w:val="00DD35E8"/>
    <w:rsid w:val="00DD3638"/>
    <w:rsid w:val="00DD3795"/>
    <w:rsid w:val="00DD37CE"/>
    <w:rsid w:val="00DD390C"/>
    <w:rsid w:val="00DD398F"/>
    <w:rsid w:val="00DD3A15"/>
    <w:rsid w:val="00DD3A1B"/>
    <w:rsid w:val="00DD3AD3"/>
    <w:rsid w:val="00DD3C47"/>
    <w:rsid w:val="00DD3C53"/>
    <w:rsid w:val="00DD3D7E"/>
    <w:rsid w:val="00DD3E93"/>
    <w:rsid w:val="00DD3E9D"/>
    <w:rsid w:val="00DD40E6"/>
    <w:rsid w:val="00DD4197"/>
    <w:rsid w:val="00DD472D"/>
    <w:rsid w:val="00DD4780"/>
    <w:rsid w:val="00DD48C7"/>
    <w:rsid w:val="00DD49CD"/>
    <w:rsid w:val="00DD4C48"/>
    <w:rsid w:val="00DD4CBE"/>
    <w:rsid w:val="00DD4E93"/>
    <w:rsid w:val="00DD4F5E"/>
    <w:rsid w:val="00DD50F1"/>
    <w:rsid w:val="00DD5118"/>
    <w:rsid w:val="00DD5138"/>
    <w:rsid w:val="00DD521B"/>
    <w:rsid w:val="00DD521F"/>
    <w:rsid w:val="00DD53EC"/>
    <w:rsid w:val="00DD5411"/>
    <w:rsid w:val="00DD5419"/>
    <w:rsid w:val="00DD542F"/>
    <w:rsid w:val="00DD54EC"/>
    <w:rsid w:val="00DD578F"/>
    <w:rsid w:val="00DD57E0"/>
    <w:rsid w:val="00DD5938"/>
    <w:rsid w:val="00DD5AE5"/>
    <w:rsid w:val="00DD5AE8"/>
    <w:rsid w:val="00DD5BA4"/>
    <w:rsid w:val="00DD5BBB"/>
    <w:rsid w:val="00DD5D70"/>
    <w:rsid w:val="00DD5D90"/>
    <w:rsid w:val="00DD5E48"/>
    <w:rsid w:val="00DD5E97"/>
    <w:rsid w:val="00DD5F7B"/>
    <w:rsid w:val="00DD60DE"/>
    <w:rsid w:val="00DD6221"/>
    <w:rsid w:val="00DD62B8"/>
    <w:rsid w:val="00DD630F"/>
    <w:rsid w:val="00DD645F"/>
    <w:rsid w:val="00DD6493"/>
    <w:rsid w:val="00DD6502"/>
    <w:rsid w:val="00DD651B"/>
    <w:rsid w:val="00DD65F5"/>
    <w:rsid w:val="00DD673D"/>
    <w:rsid w:val="00DD6824"/>
    <w:rsid w:val="00DD6829"/>
    <w:rsid w:val="00DD68D3"/>
    <w:rsid w:val="00DD68EC"/>
    <w:rsid w:val="00DD6901"/>
    <w:rsid w:val="00DD6933"/>
    <w:rsid w:val="00DD69A6"/>
    <w:rsid w:val="00DD69F0"/>
    <w:rsid w:val="00DD6A3D"/>
    <w:rsid w:val="00DD6BA0"/>
    <w:rsid w:val="00DD6C05"/>
    <w:rsid w:val="00DD6CE9"/>
    <w:rsid w:val="00DD6E5B"/>
    <w:rsid w:val="00DD6EA2"/>
    <w:rsid w:val="00DD70E2"/>
    <w:rsid w:val="00DD71B6"/>
    <w:rsid w:val="00DD71CC"/>
    <w:rsid w:val="00DD722C"/>
    <w:rsid w:val="00DD7349"/>
    <w:rsid w:val="00DD73D5"/>
    <w:rsid w:val="00DD73FB"/>
    <w:rsid w:val="00DD7427"/>
    <w:rsid w:val="00DD7538"/>
    <w:rsid w:val="00DD7556"/>
    <w:rsid w:val="00DD75DB"/>
    <w:rsid w:val="00DD7AB4"/>
    <w:rsid w:val="00DD7CA4"/>
    <w:rsid w:val="00DD7F4F"/>
    <w:rsid w:val="00DD7FCD"/>
    <w:rsid w:val="00DE02C9"/>
    <w:rsid w:val="00DE02D9"/>
    <w:rsid w:val="00DE02F5"/>
    <w:rsid w:val="00DE0372"/>
    <w:rsid w:val="00DE053A"/>
    <w:rsid w:val="00DE0848"/>
    <w:rsid w:val="00DE0907"/>
    <w:rsid w:val="00DE09D9"/>
    <w:rsid w:val="00DE0B2C"/>
    <w:rsid w:val="00DE0C2B"/>
    <w:rsid w:val="00DE0F13"/>
    <w:rsid w:val="00DE107D"/>
    <w:rsid w:val="00DE1242"/>
    <w:rsid w:val="00DE1314"/>
    <w:rsid w:val="00DE143E"/>
    <w:rsid w:val="00DE1466"/>
    <w:rsid w:val="00DE15AF"/>
    <w:rsid w:val="00DE170B"/>
    <w:rsid w:val="00DE17FA"/>
    <w:rsid w:val="00DE183C"/>
    <w:rsid w:val="00DE1855"/>
    <w:rsid w:val="00DE1887"/>
    <w:rsid w:val="00DE18BA"/>
    <w:rsid w:val="00DE194C"/>
    <w:rsid w:val="00DE1967"/>
    <w:rsid w:val="00DE19F7"/>
    <w:rsid w:val="00DE1ABE"/>
    <w:rsid w:val="00DE1AD4"/>
    <w:rsid w:val="00DE1B2B"/>
    <w:rsid w:val="00DE1B41"/>
    <w:rsid w:val="00DE1BF4"/>
    <w:rsid w:val="00DE1C1B"/>
    <w:rsid w:val="00DE1C54"/>
    <w:rsid w:val="00DE1C88"/>
    <w:rsid w:val="00DE1CB4"/>
    <w:rsid w:val="00DE1DF8"/>
    <w:rsid w:val="00DE1E3C"/>
    <w:rsid w:val="00DE1E56"/>
    <w:rsid w:val="00DE1FE6"/>
    <w:rsid w:val="00DE2051"/>
    <w:rsid w:val="00DE217C"/>
    <w:rsid w:val="00DE2314"/>
    <w:rsid w:val="00DE2377"/>
    <w:rsid w:val="00DE2401"/>
    <w:rsid w:val="00DE2431"/>
    <w:rsid w:val="00DE2521"/>
    <w:rsid w:val="00DE275D"/>
    <w:rsid w:val="00DE278B"/>
    <w:rsid w:val="00DE27F1"/>
    <w:rsid w:val="00DE2907"/>
    <w:rsid w:val="00DE2A62"/>
    <w:rsid w:val="00DE2AB2"/>
    <w:rsid w:val="00DE2AE4"/>
    <w:rsid w:val="00DE2BE5"/>
    <w:rsid w:val="00DE2C92"/>
    <w:rsid w:val="00DE2D7F"/>
    <w:rsid w:val="00DE3043"/>
    <w:rsid w:val="00DE304B"/>
    <w:rsid w:val="00DE30A8"/>
    <w:rsid w:val="00DE30B0"/>
    <w:rsid w:val="00DE30F1"/>
    <w:rsid w:val="00DE31A7"/>
    <w:rsid w:val="00DE326C"/>
    <w:rsid w:val="00DE32B6"/>
    <w:rsid w:val="00DE32EB"/>
    <w:rsid w:val="00DE32EF"/>
    <w:rsid w:val="00DE3474"/>
    <w:rsid w:val="00DE35B3"/>
    <w:rsid w:val="00DE366B"/>
    <w:rsid w:val="00DE36D7"/>
    <w:rsid w:val="00DE36F0"/>
    <w:rsid w:val="00DE38AD"/>
    <w:rsid w:val="00DE38AE"/>
    <w:rsid w:val="00DE390B"/>
    <w:rsid w:val="00DE3930"/>
    <w:rsid w:val="00DE3984"/>
    <w:rsid w:val="00DE3A2C"/>
    <w:rsid w:val="00DE3A30"/>
    <w:rsid w:val="00DE3C91"/>
    <w:rsid w:val="00DE3DA4"/>
    <w:rsid w:val="00DE4069"/>
    <w:rsid w:val="00DE424B"/>
    <w:rsid w:val="00DE431B"/>
    <w:rsid w:val="00DE4362"/>
    <w:rsid w:val="00DE440D"/>
    <w:rsid w:val="00DE457E"/>
    <w:rsid w:val="00DE45ED"/>
    <w:rsid w:val="00DE460D"/>
    <w:rsid w:val="00DE482E"/>
    <w:rsid w:val="00DE4832"/>
    <w:rsid w:val="00DE4851"/>
    <w:rsid w:val="00DE4867"/>
    <w:rsid w:val="00DE4959"/>
    <w:rsid w:val="00DE4A8D"/>
    <w:rsid w:val="00DE4B43"/>
    <w:rsid w:val="00DE4CDF"/>
    <w:rsid w:val="00DE4D12"/>
    <w:rsid w:val="00DE4DC6"/>
    <w:rsid w:val="00DE4EDE"/>
    <w:rsid w:val="00DE5173"/>
    <w:rsid w:val="00DE517F"/>
    <w:rsid w:val="00DE51B1"/>
    <w:rsid w:val="00DE5235"/>
    <w:rsid w:val="00DE5370"/>
    <w:rsid w:val="00DE568C"/>
    <w:rsid w:val="00DE56CB"/>
    <w:rsid w:val="00DE57FE"/>
    <w:rsid w:val="00DE58C3"/>
    <w:rsid w:val="00DE5916"/>
    <w:rsid w:val="00DE591C"/>
    <w:rsid w:val="00DE594A"/>
    <w:rsid w:val="00DE594C"/>
    <w:rsid w:val="00DE59AD"/>
    <w:rsid w:val="00DE5A74"/>
    <w:rsid w:val="00DE5B4D"/>
    <w:rsid w:val="00DE5DC4"/>
    <w:rsid w:val="00DE5DD8"/>
    <w:rsid w:val="00DE5DED"/>
    <w:rsid w:val="00DE5F3D"/>
    <w:rsid w:val="00DE6138"/>
    <w:rsid w:val="00DE618C"/>
    <w:rsid w:val="00DE61CB"/>
    <w:rsid w:val="00DE61F4"/>
    <w:rsid w:val="00DE6303"/>
    <w:rsid w:val="00DE632A"/>
    <w:rsid w:val="00DE63F9"/>
    <w:rsid w:val="00DE6433"/>
    <w:rsid w:val="00DE654A"/>
    <w:rsid w:val="00DE659D"/>
    <w:rsid w:val="00DE66E9"/>
    <w:rsid w:val="00DE6795"/>
    <w:rsid w:val="00DE6872"/>
    <w:rsid w:val="00DE6995"/>
    <w:rsid w:val="00DE69B7"/>
    <w:rsid w:val="00DE69EC"/>
    <w:rsid w:val="00DE6A8A"/>
    <w:rsid w:val="00DE6AA7"/>
    <w:rsid w:val="00DE6B37"/>
    <w:rsid w:val="00DE6D3C"/>
    <w:rsid w:val="00DE6D4C"/>
    <w:rsid w:val="00DE6D7D"/>
    <w:rsid w:val="00DE6E5F"/>
    <w:rsid w:val="00DE6F9D"/>
    <w:rsid w:val="00DE6FC2"/>
    <w:rsid w:val="00DE70F9"/>
    <w:rsid w:val="00DE7398"/>
    <w:rsid w:val="00DE7418"/>
    <w:rsid w:val="00DE748B"/>
    <w:rsid w:val="00DE767C"/>
    <w:rsid w:val="00DE780D"/>
    <w:rsid w:val="00DE7965"/>
    <w:rsid w:val="00DE7AEC"/>
    <w:rsid w:val="00DE7B03"/>
    <w:rsid w:val="00DE7EE3"/>
    <w:rsid w:val="00DE7EEB"/>
    <w:rsid w:val="00DF00B0"/>
    <w:rsid w:val="00DF0110"/>
    <w:rsid w:val="00DF016E"/>
    <w:rsid w:val="00DF0188"/>
    <w:rsid w:val="00DF03F4"/>
    <w:rsid w:val="00DF0436"/>
    <w:rsid w:val="00DF04FF"/>
    <w:rsid w:val="00DF0545"/>
    <w:rsid w:val="00DF0631"/>
    <w:rsid w:val="00DF0674"/>
    <w:rsid w:val="00DF06B1"/>
    <w:rsid w:val="00DF070E"/>
    <w:rsid w:val="00DF0909"/>
    <w:rsid w:val="00DF09A8"/>
    <w:rsid w:val="00DF09CC"/>
    <w:rsid w:val="00DF09DD"/>
    <w:rsid w:val="00DF0A03"/>
    <w:rsid w:val="00DF0A5C"/>
    <w:rsid w:val="00DF0B29"/>
    <w:rsid w:val="00DF0B5E"/>
    <w:rsid w:val="00DF0B82"/>
    <w:rsid w:val="00DF0BBF"/>
    <w:rsid w:val="00DF0CCA"/>
    <w:rsid w:val="00DF0DA7"/>
    <w:rsid w:val="00DF0E0F"/>
    <w:rsid w:val="00DF0E1D"/>
    <w:rsid w:val="00DF0FD3"/>
    <w:rsid w:val="00DF101F"/>
    <w:rsid w:val="00DF1251"/>
    <w:rsid w:val="00DF1334"/>
    <w:rsid w:val="00DF1455"/>
    <w:rsid w:val="00DF145D"/>
    <w:rsid w:val="00DF1528"/>
    <w:rsid w:val="00DF1593"/>
    <w:rsid w:val="00DF1598"/>
    <w:rsid w:val="00DF15AB"/>
    <w:rsid w:val="00DF15DD"/>
    <w:rsid w:val="00DF164F"/>
    <w:rsid w:val="00DF16A9"/>
    <w:rsid w:val="00DF1815"/>
    <w:rsid w:val="00DF1831"/>
    <w:rsid w:val="00DF1945"/>
    <w:rsid w:val="00DF19E9"/>
    <w:rsid w:val="00DF1A83"/>
    <w:rsid w:val="00DF1AB6"/>
    <w:rsid w:val="00DF1B3E"/>
    <w:rsid w:val="00DF1BFE"/>
    <w:rsid w:val="00DF1C56"/>
    <w:rsid w:val="00DF1C98"/>
    <w:rsid w:val="00DF1CC6"/>
    <w:rsid w:val="00DF1CF6"/>
    <w:rsid w:val="00DF1D3F"/>
    <w:rsid w:val="00DF1D68"/>
    <w:rsid w:val="00DF1E14"/>
    <w:rsid w:val="00DF2241"/>
    <w:rsid w:val="00DF238C"/>
    <w:rsid w:val="00DF253C"/>
    <w:rsid w:val="00DF256D"/>
    <w:rsid w:val="00DF25A1"/>
    <w:rsid w:val="00DF289B"/>
    <w:rsid w:val="00DF292A"/>
    <w:rsid w:val="00DF29DE"/>
    <w:rsid w:val="00DF2CC5"/>
    <w:rsid w:val="00DF2F0A"/>
    <w:rsid w:val="00DF3044"/>
    <w:rsid w:val="00DF3049"/>
    <w:rsid w:val="00DF3080"/>
    <w:rsid w:val="00DF30FA"/>
    <w:rsid w:val="00DF3101"/>
    <w:rsid w:val="00DF31E6"/>
    <w:rsid w:val="00DF31F9"/>
    <w:rsid w:val="00DF3317"/>
    <w:rsid w:val="00DF335C"/>
    <w:rsid w:val="00DF343E"/>
    <w:rsid w:val="00DF347C"/>
    <w:rsid w:val="00DF3508"/>
    <w:rsid w:val="00DF3551"/>
    <w:rsid w:val="00DF359A"/>
    <w:rsid w:val="00DF35D6"/>
    <w:rsid w:val="00DF3623"/>
    <w:rsid w:val="00DF3658"/>
    <w:rsid w:val="00DF371E"/>
    <w:rsid w:val="00DF372F"/>
    <w:rsid w:val="00DF377D"/>
    <w:rsid w:val="00DF37B1"/>
    <w:rsid w:val="00DF37B2"/>
    <w:rsid w:val="00DF3876"/>
    <w:rsid w:val="00DF3880"/>
    <w:rsid w:val="00DF392C"/>
    <w:rsid w:val="00DF3B67"/>
    <w:rsid w:val="00DF3C02"/>
    <w:rsid w:val="00DF3E4D"/>
    <w:rsid w:val="00DF4034"/>
    <w:rsid w:val="00DF4393"/>
    <w:rsid w:val="00DF456A"/>
    <w:rsid w:val="00DF472F"/>
    <w:rsid w:val="00DF4756"/>
    <w:rsid w:val="00DF4815"/>
    <w:rsid w:val="00DF4A3E"/>
    <w:rsid w:val="00DF4B0B"/>
    <w:rsid w:val="00DF50B5"/>
    <w:rsid w:val="00DF5154"/>
    <w:rsid w:val="00DF5196"/>
    <w:rsid w:val="00DF53F1"/>
    <w:rsid w:val="00DF54A9"/>
    <w:rsid w:val="00DF54CE"/>
    <w:rsid w:val="00DF5510"/>
    <w:rsid w:val="00DF556C"/>
    <w:rsid w:val="00DF559D"/>
    <w:rsid w:val="00DF55B8"/>
    <w:rsid w:val="00DF5640"/>
    <w:rsid w:val="00DF592E"/>
    <w:rsid w:val="00DF594B"/>
    <w:rsid w:val="00DF5A52"/>
    <w:rsid w:val="00DF5AF4"/>
    <w:rsid w:val="00DF5C76"/>
    <w:rsid w:val="00DF5D16"/>
    <w:rsid w:val="00DF5D2C"/>
    <w:rsid w:val="00DF5F77"/>
    <w:rsid w:val="00DF5F91"/>
    <w:rsid w:val="00DF5FF6"/>
    <w:rsid w:val="00DF6118"/>
    <w:rsid w:val="00DF62A2"/>
    <w:rsid w:val="00DF63E4"/>
    <w:rsid w:val="00DF66D1"/>
    <w:rsid w:val="00DF684A"/>
    <w:rsid w:val="00DF6860"/>
    <w:rsid w:val="00DF68B3"/>
    <w:rsid w:val="00DF68EA"/>
    <w:rsid w:val="00DF6948"/>
    <w:rsid w:val="00DF6967"/>
    <w:rsid w:val="00DF6A45"/>
    <w:rsid w:val="00DF6A5D"/>
    <w:rsid w:val="00DF6BC4"/>
    <w:rsid w:val="00DF6CA9"/>
    <w:rsid w:val="00DF6CEA"/>
    <w:rsid w:val="00DF6F85"/>
    <w:rsid w:val="00DF6F9B"/>
    <w:rsid w:val="00DF6FE4"/>
    <w:rsid w:val="00DF7072"/>
    <w:rsid w:val="00DF7085"/>
    <w:rsid w:val="00DF7117"/>
    <w:rsid w:val="00DF7119"/>
    <w:rsid w:val="00DF7138"/>
    <w:rsid w:val="00DF74C9"/>
    <w:rsid w:val="00DF74CF"/>
    <w:rsid w:val="00DF7511"/>
    <w:rsid w:val="00DF75D6"/>
    <w:rsid w:val="00DF7634"/>
    <w:rsid w:val="00DF77A7"/>
    <w:rsid w:val="00DF77EB"/>
    <w:rsid w:val="00DF78B5"/>
    <w:rsid w:val="00DF78DC"/>
    <w:rsid w:val="00DF7A0A"/>
    <w:rsid w:val="00DF7C3E"/>
    <w:rsid w:val="00DF7CB5"/>
    <w:rsid w:val="00DF7E80"/>
    <w:rsid w:val="00DF7EA8"/>
    <w:rsid w:val="00DF7EAB"/>
    <w:rsid w:val="00DF7EB3"/>
    <w:rsid w:val="00DF7F0D"/>
    <w:rsid w:val="00DF7F3B"/>
    <w:rsid w:val="00E00146"/>
    <w:rsid w:val="00E0017B"/>
    <w:rsid w:val="00E006DB"/>
    <w:rsid w:val="00E007FE"/>
    <w:rsid w:val="00E008B6"/>
    <w:rsid w:val="00E00A27"/>
    <w:rsid w:val="00E00ABD"/>
    <w:rsid w:val="00E00B27"/>
    <w:rsid w:val="00E00E3F"/>
    <w:rsid w:val="00E00EA3"/>
    <w:rsid w:val="00E01028"/>
    <w:rsid w:val="00E0103F"/>
    <w:rsid w:val="00E0105B"/>
    <w:rsid w:val="00E01118"/>
    <w:rsid w:val="00E0120D"/>
    <w:rsid w:val="00E01232"/>
    <w:rsid w:val="00E012ED"/>
    <w:rsid w:val="00E01326"/>
    <w:rsid w:val="00E01375"/>
    <w:rsid w:val="00E013C8"/>
    <w:rsid w:val="00E0151D"/>
    <w:rsid w:val="00E01590"/>
    <w:rsid w:val="00E016D1"/>
    <w:rsid w:val="00E016F6"/>
    <w:rsid w:val="00E0180F"/>
    <w:rsid w:val="00E01905"/>
    <w:rsid w:val="00E01A29"/>
    <w:rsid w:val="00E01A68"/>
    <w:rsid w:val="00E01ABB"/>
    <w:rsid w:val="00E01BAF"/>
    <w:rsid w:val="00E01CB2"/>
    <w:rsid w:val="00E01D7E"/>
    <w:rsid w:val="00E02153"/>
    <w:rsid w:val="00E021E3"/>
    <w:rsid w:val="00E02364"/>
    <w:rsid w:val="00E0237A"/>
    <w:rsid w:val="00E023F1"/>
    <w:rsid w:val="00E0246E"/>
    <w:rsid w:val="00E02625"/>
    <w:rsid w:val="00E026D4"/>
    <w:rsid w:val="00E026E3"/>
    <w:rsid w:val="00E02709"/>
    <w:rsid w:val="00E028CC"/>
    <w:rsid w:val="00E02B03"/>
    <w:rsid w:val="00E02B5B"/>
    <w:rsid w:val="00E02E97"/>
    <w:rsid w:val="00E030A3"/>
    <w:rsid w:val="00E0310C"/>
    <w:rsid w:val="00E0332A"/>
    <w:rsid w:val="00E03463"/>
    <w:rsid w:val="00E03574"/>
    <w:rsid w:val="00E03774"/>
    <w:rsid w:val="00E03876"/>
    <w:rsid w:val="00E03957"/>
    <w:rsid w:val="00E03A31"/>
    <w:rsid w:val="00E03AE3"/>
    <w:rsid w:val="00E03BCA"/>
    <w:rsid w:val="00E03BF6"/>
    <w:rsid w:val="00E03C0B"/>
    <w:rsid w:val="00E03CFF"/>
    <w:rsid w:val="00E03F6B"/>
    <w:rsid w:val="00E0402B"/>
    <w:rsid w:val="00E0408F"/>
    <w:rsid w:val="00E04092"/>
    <w:rsid w:val="00E040D5"/>
    <w:rsid w:val="00E041F0"/>
    <w:rsid w:val="00E04221"/>
    <w:rsid w:val="00E043E1"/>
    <w:rsid w:val="00E04447"/>
    <w:rsid w:val="00E04528"/>
    <w:rsid w:val="00E045A6"/>
    <w:rsid w:val="00E045BD"/>
    <w:rsid w:val="00E045E9"/>
    <w:rsid w:val="00E0478C"/>
    <w:rsid w:val="00E04AE6"/>
    <w:rsid w:val="00E04BD7"/>
    <w:rsid w:val="00E04C12"/>
    <w:rsid w:val="00E04D84"/>
    <w:rsid w:val="00E04E92"/>
    <w:rsid w:val="00E04EDF"/>
    <w:rsid w:val="00E050F3"/>
    <w:rsid w:val="00E051E0"/>
    <w:rsid w:val="00E05273"/>
    <w:rsid w:val="00E05484"/>
    <w:rsid w:val="00E0548A"/>
    <w:rsid w:val="00E054A5"/>
    <w:rsid w:val="00E0550E"/>
    <w:rsid w:val="00E05534"/>
    <w:rsid w:val="00E05570"/>
    <w:rsid w:val="00E0558C"/>
    <w:rsid w:val="00E05723"/>
    <w:rsid w:val="00E05A11"/>
    <w:rsid w:val="00E05AE9"/>
    <w:rsid w:val="00E05B0A"/>
    <w:rsid w:val="00E05B39"/>
    <w:rsid w:val="00E05BCC"/>
    <w:rsid w:val="00E05DFE"/>
    <w:rsid w:val="00E05E89"/>
    <w:rsid w:val="00E05F84"/>
    <w:rsid w:val="00E05F88"/>
    <w:rsid w:val="00E05FAB"/>
    <w:rsid w:val="00E06138"/>
    <w:rsid w:val="00E0617A"/>
    <w:rsid w:val="00E06227"/>
    <w:rsid w:val="00E062C7"/>
    <w:rsid w:val="00E0638D"/>
    <w:rsid w:val="00E063E0"/>
    <w:rsid w:val="00E063FB"/>
    <w:rsid w:val="00E064D4"/>
    <w:rsid w:val="00E064F6"/>
    <w:rsid w:val="00E065CB"/>
    <w:rsid w:val="00E0666E"/>
    <w:rsid w:val="00E066EE"/>
    <w:rsid w:val="00E0675B"/>
    <w:rsid w:val="00E06778"/>
    <w:rsid w:val="00E06877"/>
    <w:rsid w:val="00E0688A"/>
    <w:rsid w:val="00E06970"/>
    <w:rsid w:val="00E06987"/>
    <w:rsid w:val="00E06AD0"/>
    <w:rsid w:val="00E06B4B"/>
    <w:rsid w:val="00E06BB1"/>
    <w:rsid w:val="00E06BC4"/>
    <w:rsid w:val="00E06D56"/>
    <w:rsid w:val="00E06DBB"/>
    <w:rsid w:val="00E06F54"/>
    <w:rsid w:val="00E0701E"/>
    <w:rsid w:val="00E0708C"/>
    <w:rsid w:val="00E07181"/>
    <w:rsid w:val="00E071A7"/>
    <w:rsid w:val="00E07224"/>
    <w:rsid w:val="00E07379"/>
    <w:rsid w:val="00E0755C"/>
    <w:rsid w:val="00E0759F"/>
    <w:rsid w:val="00E075DA"/>
    <w:rsid w:val="00E07677"/>
    <w:rsid w:val="00E07720"/>
    <w:rsid w:val="00E0779D"/>
    <w:rsid w:val="00E077BD"/>
    <w:rsid w:val="00E07817"/>
    <w:rsid w:val="00E0790B"/>
    <w:rsid w:val="00E079CA"/>
    <w:rsid w:val="00E07BE5"/>
    <w:rsid w:val="00E07C1C"/>
    <w:rsid w:val="00E07C22"/>
    <w:rsid w:val="00E07CC9"/>
    <w:rsid w:val="00E07E97"/>
    <w:rsid w:val="00E07EC3"/>
    <w:rsid w:val="00E07FCE"/>
    <w:rsid w:val="00E10014"/>
    <w:rsid w:val="00E101DD"/>
    <w:rsid w:val="00E103AC"/>
    <w:rsid w:val="00E104A9"/>
    <w:rsid w:val="00E104FE"/>
    <w:rsid w:val="00E10548"/>
    <w:rsid w:val="00E10669"/>
    <w:rsid w:val="00E1075F"/>
    <w:rsid w:val="00E10760"/>
    <w:rsid w:val="00E107B3"/>
    <w:rsid w:val="00E108E7"/>
    <w:rsid w:val="00E10A28"/>
    <w:rsid w:val="00E10B4B"/>
    <w:rsid w:val="00E10C3F"/>
    <w:rsid w:val="00E10D58"/>
    <w:rsid w:val="00E10E7B"/>
    <w:rsid w:val="00E1103B"/>
    <w:rsid w:val="00E113A5"/>
    <w:rsid w:val="00E113C7"/>
    <w:rsid w:val="00E113DA"/>
    <w:rsid w:val="00E115A2"/>
    <w:rsid w:val="00E1160A"/>
    <w:rsid w:val="00E11610"/>
    <w:rsid w:val="00E1167F"/>
    <w:rsid w:val="00E11712"/>
    <w:rsid w:val="00E11842"/>
    <w:rsid w:val="00E118A1"/>
    <w:rsid w:val="00E1197F"/>
    <w:rsid w:val="00E119D2"/>
    <w:rsid w:val="00E11B0F"/>
    <w:rsid w:val="00E11B8B"/>
    <w:rsid w:val="00E11C8D"/>
    <w:rsid w:val="00E11E27"/>
    <w:rsid w:val="00E11ED0"/>
    <w:rsid w:val="00E11EDF"/>
    <w:rsid w:val="00E1208C"/>
    <w:rsid w:val="00E1228C"/>
    <w:rsid w:val="00E123BE"/>
    <w:rsid w:val="00E12488"/>
    <w:rsid w:val="00E1260B"/>
    <w:rsid w:val="00E12716"/>
    <w:rsid w:val="00E12855"/>
    <w:rsid w:val="00E12957"/>
    <w:rsid w:val="00E12A23"/>
    <w:rsid w:val="00E12C5C"/>
    <w:rsid w:val="00E12C93"/>
    <w:rsid w:val="00E12D9E"/>
    <w:rsid w:val="00E12DDB"/>
    <w:rsid w:val="00E12EB4"/>
    <w:rsid w:val="00E12EF6"/>
    <w:rsid w:val="00E12F3F"/>
    <w:rsid w:val="00E13084"/>
    <w:rsid w:val="00E1323B"/>
    <w:rsid w:val="00E132C1"/>
    <w:rsid w:val="00E132D4"/>
    <w:rsid w:val="00E133C6"/>
    <w:rsid w:val="00E13459"/>
    <w:rsid w:val="00E13462"/>
    <w:rsid w:val="00E13937"/>
    <w:rsid w:val="00E13CF7"/>
    <w:rsid w:val="00E13DD2"/>
    <w:rsid w:val="00E13F13"/>
    <w:rsid w:val="00E13F8C"/>
    <w:rsid w:val="00E13FCF"/>
    <w:rsid w:val="00E140E8"/>
    <w:rsid w:val="00E1413E"/>
    <w:rsid w:val="00E14253"/>
    <w:rsid w:val="00E1427A"/>
    <w:rsid w:val="00E1446D"/>
    <w:rsid w:val="00E145DB"/>
    <w:rsid w:val="00E146B9"/>
    <w:rsid w:val="00E14753"/>
    <w:rsid w:val="00E147EB"/>
    <w:rsid w:val="00E148C4"/>
    <w:rsid w:val="00E148D2"/>
    <w:rsid w:val="00E149C6"/>
    <w:rsid w:val="00E14A2D"/>
    <w:rsid w:val="00E14BE9"/>
    <w:rsid w:val="00E14DE4"/>
    <w:rsid w:val="00E1500D"/>
    <w:rsid w:val="00E15175"/>
    <w:rsid w:val="00E151A3"/>
    <w:rsid w:val="00E151C4"/>
    <w:rsid w:val="00E15294"/>
    <w:rsid w:val="00E158A9"/>
    <w:rsid w:val="00E158B2"/>
    <w:rsid w:val="00E159C3"/>
    <w:rsid w:val="00E15A15"/>
    <w:rsid w:val="00E15A39"/>
    <w:rsid w:val="00E15A61"/>
    <w:rsid w:val="00E15C90"/>
    <w:rsid w:val="00E15CA5"/>
    <w:rsid w:val="00E15D7D"/>
    <w:rsid w:val="00E15E2E"/>
    <w:rsid w:val="00E15EFE"/>
    <w:rsid w:val="00E15F45"/>
    <w:rsid w:val="00E15FF2"/>
    <w:rsid w:val="00E160AD"/>
    <w:rsid w:val="00E1622E"/>
    <w:rsid w:val="00E16247"/>
    <w:rsid w:val="00E1625C"/>
    <w:rsid w:val="00E163EB"/>
    <w:rsid w:val="00E165F2"/>
    <w:rsid w:val="00E1661A"/>
    <w:rsid w:val="00E167A6"/>
    <w:rsid w:val="00E16905"/>
    <w:rsid w:val="00E16938"/>
    <w:rsid w:val="00E16ABC"/>
    <w:rsid w:val="00E16C16"/>
    <w:rsid w:val="00E16CB6"/>
    <w:rsid w:val="00E16D5E"/>
    <w:rsid w:val="00E16DCC"/>
    <w:rsid w:val="00E16E9F"/>
    <w:rsid w:val="00E1717A"/>
    <w:rsid w:val="00E173B3"/>
    <w:rsid w:val="00E1753B"/>
    <w:rsid w:val="00E1757D"/>
    <w:rsid w:val="00E175B4"/>
    <w:rsid w:val="00E175CB"/>
    <w:rsid w:val="00E17764"/>
    <w:rsid w:val="00E17929"/>
    <w:rsid w:val="00E17AE3"/>
    <w:rsid w:val="00E17B1A"/>
    <w:rsid w:val="00E17C0C"/>
    <w:rsid w:val="00E17D05"/>
    <w:rsid w:val="00E17E41"/>
    <w:rsid w:val="00E17E6F"/>
    <w:rsid w:val="00E17E7D"/>
    <w:rsid w:val="00E17E8D"/>
    <w:rsid w:val="00E20013"/>
    <w:rsid w:val="00E20298"/>
    <w:rsid w:val="00E202BF"/>
    <w:rsid w:val="00E2038D"/>
    <w:rsid w:val="00E204FB"/>
    <w:rsid w:val="00E20502"/>
    <w:rsid w:val="00E205C6"/>
    <w:rsid w:val="00E207F2"/>
    <w:rsid w:val="00E20839"/>
    <w:rsid w:val="00E20868"/>
    <w:rsid w:val="00E208E0"/>
    <w:rsid w:val="00E20910"/>
    <w:rsid w:val="00E209C0"/>
    <w:rsid w:val="00E20A2C"/>
    <w:rsid w:val="00E20BEF"/>
    <w:rsid w:val="00E20BF8"/>
    <w:rsid w:val="00E20E98"/>
    <w:rsid w:val="00E2116B"/>
    <w:rsid w:val="00E2123B"/>
    <w:rsid w:val="00E2153F"/>
    <w:rsid w:val="00E21563"/>
    <w:rsid w:val="00E215F1"/>
    <w:rsid w:val="00E2197F"/>
    <w:rsid w:val="00E21D0E"/>
    <w:rsid w:val="00E21E75"/>
    <w:rsid w:val="00E21EAA"/>
    <w:rsid w:val="00E21EB7"/>
    <w:rsid w:val="00E21EC4"/>
    <w:rsid w:val="00E21F33"/>
    <w:rsid w:val="00E2211F"/>
    <w:rsid w:val="00E22144"/>
    <w:rsid w:val="00E22174"/>
    <w:rsid w:val="00E22178"/>
    <w:rsid w:val="00E22258"/>
    <w:rsid w:val="00E22422"/>
    <w:rsid w:val="00E22466"/>
    <w:rsid w:val="00E22500"/>
    <w:rsid w:val="00E226DB"/>
    <w:rsid w:val="00E227CE"/>
    <w:rsid w:val="00E228C0"/>
    <w:rsid w:val="00E22BDA"/>
    <w:rsid w:val="00E22D63"/>
    <w:rsid w:val="00E22D6F"/>
    <w:rsid w:val="00E22D89"/>
    <w:rsid w:val="00E22E77"/>
    <w:rsid w:val="00E22FA4"/>
    <w:rsid w:val="00E23147"/>
    <w:rsid w:val="00E23226"/>
    <w:rsid w:val="00E2324F"/>
    <w:rsid w:val="00E2347D"/>
    <w:rsid w:val="00E23498"/>
    <w:rsid w:val="00E2350A"/>
    <w:rsid w:val="00E23B0A"/>
    <w:rsid w:val="00E23B26"/>
    <w:rsid w:val="00E23BBA"/>
    <w:rsid w:val="00E23C45"/>
    <w:rsid w:val="00E23D2E"/>
    <w:rsid w:val="00E23DE7"/>
    <w:rsid w:val="00E240C0"/>
    <w:rsid w:val="00E24578"/>
    <w:rsid w:val="00E245F7"/>
    <w:rsid w:val="00E24931"/>
    <w:rsid w:val="00E249CC"/>
    <w:rsid w:val="00E24CB1"/>
    <w:rsid w:val="00E24D8A"/>
    <w:rsid w:val="00E25053"/>
    <w:rsid w:val="00E25116"/>
    <w:rsid w:val="00E2514D"/>
    <w:rsid w:val="00E251B6"/>
    <w:rsid w:val="00E251DB"/>
    <w:rsid w:val="00E252B5"/>
    <w:rsid w:val="00E252EF"/>
    <w:rsid w:val="00E25330"/>
    <w:rsid w:val="00E254F2"/>
    <w:rsid w:val="00E25503"/>
    <w:rsid w:val="00E25595"/>
    <w:rsid w:val="00E255BA"/>
    <w:rsid w:val="00E2580D"/>
    <w:rsid w:val="00E2583D"/>
    <w:rsid w:val="00E25F5D"/>
    <w:rsid w:val="00E260F1"/>
    <w:rsid w:val="00E26450"/>
    <w:rsid w:val="00E264C0"/>
    <w:rsid w:val="00E264DB"/>
    <w:rsid w:val="00E265A4"/>
    <w:rsid w:val="00E265A5"/>
    <w:rsid w:val="00E265CB"/>
    <w:rsid w:val="00E2674B"/>
    <w:rsid w:val="00E26AA7"/>
    <w:rsid w:val="00E26BE5"/>
    <w:rsid w:val="00E26BFE"/>
    <w:rsid w:val="00E26BFF"/>
    <w:rsid w:val="00E26D41"/>
    <w:rsid w:val="00E26DBA"/>
    <w:rsid w:val="00E26FAC"/>
    <w:rsid w:val="00E27031"/>
    <w:rsid w:val="00E2722B"/>
    <w:rsid w:val="00E2734C"/>
    <w:rsid w:val="00E2753A"/>
    <w:rsid w:val="00E2766D"/>
    <w:rsid w:val="00E276AB"/>
    <w:rsid w:val="00E277B4"/>
    <w:rsid w:val="00E2789D"/>
    <w:rsid w:val="00E278E2"/>
    <w:rsid w:val="00E278E4"/>
    <w:rsid w:val="00E27901"/>
    <w:rsid w:val="00E279C8"/>
    <w:rsid w:val="00E279FC"/>
    <w:rsid w:val="00E27A4D"/>
    <w:rsid w:val="00E27A68"/>
    <w:rsid w:val="00E27BAD"/>
    <w:rsid w:val="00E27CDF"/>
    <w:rsid w:val="00E27D1E"/>
    <w:rsid w:val="00E27D6C"/>
    <w:rsid w:val="00E27D7C"/>
    <w:rsid w:val="00E27E15"/>
    <w:rsid w:val="00E27E4C"/>
    <w:rsid w:val="00E27EBA"/>
    <w:rsid w:val="00E27F8A"/>
    <w:rsid w:val="00E27FDA"/>
    <w:rsid w:val="00E27FED"/>
    <w:rsid w:val="00E3004C"/>
    <w:rsid w:val="00E30053"/>
    <w:rsid w:val="00E300AB"/>
    <w:rsid w:val="00E300D2"/>
    <w:rsid w:val="00E300D4"/>
    <w:rsid w:val="00E300D7"/>
    <w:rsid w:val="00E300EB"/>
    <w:rsid w:val="00E30248"/>
    <w:rsid w:val="00E30340"/>
    <w:rsid w:val="00E308C7"/>
    <w:rsid w:val="00E309A5"/>
    <w:rsid w:val="00E30A60"/>
    <w:rsid w:val="00E30A68"/>
    <w:rsid w:val="00E30C2A"/>
    <w:rsid w:val="00E30DD4"/>
    <w:rsid w:val="00E30E49"/>
    <w:rsid w:val="00E30E54"/>
    <w:rsid w:val="00E311E1"/>
    <w:rsid w:val="00E312A4"/>
    <w:rsid w:val="00E312AE"/>
    <w:rsid w:val="00E31315"/>
    <w:rsid w:val="00E313DA"/>
    <w:rsid w:val="00E313F5"/>
    <w:rsid w:val="00E31431"/>
    <w:rsid w:val="00E314D7"/>
    <w:rsid w:val="00E314DA"/>
    <w:rsid w:val="00E314FB"/>
    <w:rsid w:val="00E31521"/>
    <w:rsid w:val="00E3153D"/>
    <w:rsid w:val="00E3154F"/>
    <w:rsid w:val="00E3155D"/>
    <w:rsid w:val="00E31819"/>
    <w:rsid w:val="00E31826"/>
    <w:rsid w:val="00E31AC2"/>
    <w:rsid w:val="00E31B5A"/>
    <w:rsid w:val="00E31D2C"/>
    <w:rsid w:val="00E31E21"/>
    <w:rsid w:val="00E31F01"/>
    <w:rsid w:val="00E31FF6"/>
    <w:rsid w:val="00E32024"/>
    <w:rsid w:val="00E32139"/>
    <w:rsid w:val="00E3227A"/>
    <w:rsid w:val="00E32280"/>
    <w:rsid w:val="00E32440"/>
    <w:rsid w:val="00E325A8"/>
    <w:rsid w:val="00E3272E"/>
    <w:rsid w:val="00E3275D"/>
    <w:rsid w:val="00E3280D"/>
    <w:rsid w:val="00E3290D"/>
    <w:rsid w:val="00E32933"/>
    <w:rsid w:val="00E32A95"/>
    <w:rsid w:val="00E32B4E"/>
    <w:rsid w:val="00E32B5B"/>
    <w:rsid w:val="00E32C77"/>
    <w:rsid w:val="00E32CAD"/>
    <w:rsid w:val="00E32CB2"/>
    <w:rsid w:val="00E32D93"/>
    <w:rsid w:val="00E32E6C"/>
    <w:rsid w:val="00E32ED3"/>
    <w:rsid w:val="00E32F6A"/>
    <w:rsid w:val="00E330CD"/>
    <w:rsid w:val="00E330E1"/>
    <w:rsid w:val="00E33215"/>
    <w:rsid w:val="00E3338F"/>
    <w:rsid w:val="00E3346D"/>
    <w:rsid w:val="00E3358F"/>
    <w:rsid w:val="00E33620"/>
    <w:rsid w:val="00E33847"/>
    <w:rsid w:val="00E338AC"/>
    <w:rsid w:val="00E339D1"/>
    <w:rsid w:val="00E33A14"/>
    <w:rsid w:val="00E33A91"/>
    <w:rsid w:val="00E33CA4"/>
    <w:rsid w:val="00E33CB3"/>
    <w:rsid w:val="00E33D2A"/>
    <w:rsid w:val="00E33E26"/>
    <w:rsid w:val="00E33E9E"/>
    <w:rsid w:val="00E33F6A"/>
    <w:rsid w:val="00E34007"/>
    <w:rsid w:val="00E3403A"/>
    <w:rsid w:val="00E34043"/>
    <w:rsid w:val="00E3409E"/>
    <w:rsid w:val="00E343F3"/>
    <w:rsid w:val="00E344C2"/>
    <w:rsid w:val="00E3453A"/>
    <w:rsid w:val="00E34591"/>
    <w:rsid w:val="00E345C8"/>
    <w:rsid w:val="00E34657"/>
    <w:rsid w:val="00E3468F"/>
    <w:rsid w:val="00E347B2"/>
    <w:rsid w:val="00E34864"/>
    <w:rsid w:val="00E348F7"/>
    <w:rsid w:val="00E34923"/>
    <w:rsid w:val="00E34A13"/>
    <w:rsid w:val="00E34A4A"/>
    <w:rsid w:val="00E34C6D"/>
    <w:rsid w:val="00E34CA5"/>
    <w:rsid w:val="00E34D2A"/>
    <w:rsid w:val="00E34E07"/>
    <w:rsid w:val="00E34E60"/>
    <w:rsid w:val="00E34F20"/>
    <w:rsid w:val="00E34F51"/>
    <w:rsid w:val="00E351D2"/>
    <w:rsid w:val="00E3546F"/>
    <w:rsid w:val="00E354B0"/>
    <w:rsid w:val="00E35837"/>
    <w:rsid w:val="00E358CB"/>
    <w:rsid w:val="00E3593D"/>
    <w:rsid w:val="00E35988"/>
    <w:rsid w:val="00E359A4"/>
    <w:rsid w:val="00E35A83"/>
    <w:rsid w:val="00E35BB3"/>
    <w:rsid w:val="00E35C0E"/>
    <w:rsid w:val="00E35DFE"/>
    <w:rsid w:val="00E35E89"/>
    <w:rsid w:val="00E35E96"/>
    <w:rsid w:val="00E35EBD"/>
    <w:rsid w:val="00E35F5B"/>
    <w:rsid w:val="00E36015"/>
    <w:rsid w:val="00E3625F"/>
    <w:rsid w:val="00E362D6"/>
    <w:rsid w:val="00E36397"/>
    <w:rsid w:val="00E363CD"/>
    <w:rsid w:val="00E36476"/>
    <w:rsid w:val="00E364E7"/>
    <w:rsid w:val="00E3663F"/>
    <w:rsid w:val="00E36651"/>
    <w:rsid w:val="00E367DA"/>
    <w:rsid w:val="00E36813"/>
    <w:rsid w:val="00E36862"/>
    <w:rsid w:val="00E36953"/>
    <w:rsid w:val="00E3698E"/>
    <w:rsid w:val="00E36B62"/>
    <w:rsid w:val="00E36BF7"/>
    <w:rsid w:val="00E36CD2"/>
    <w:rsid w:val="00E36CFB"/>
    <w:rsid w:val="00E36E10"/>
    <w:rsid w:val="00E36E44"/>
    <w:rsid w:val="00E36F0A"/>
    <w:rsid w:val="00E36F4F"/>
    <w:rsid w:val="00E36F77"/>
    <w:rsid w:val="00E37019"/>
    <w:rsid w:val="00E37154"/>
    <w:rsid w:val="00E3717F"/>
    <w:rsid w:val="00E371E7"/>
    <w:rsid w:val="00E37216"/>
    <w:rsid w:val="00E37290"/>
    <w:rsid w:val="00E37327"/>
    <w:rsid w:val="00E373A2"/>
    <w:rsid w:val="00E37428"/>
    <w:rsid w:val="00E3744A"/>
    <w:rsid w:val="00E374C8"/>
    <w:rsid w:val="00E374CE"/>
    <w:rsid w:val="00E3756E"/>
    <w:rsid w:val="00E377CE"/>
    <w:rsid w:val="00E37A3C"/>
    <w:rsid w:val="00E37BED"/>
    <w:rsid w:val="00E37C01"/>
    <w:rsid w:val="00E37D29"/>
    <w:rsid w:val="00E37D36"/>
    <w:rsid w:val="00E37E3A"/>
    <w:rsid w:val="00E37EEC"/>
    <w:rsid w:val="00E37FA4"/>
    <w:rsid w:val="00E400DC"/>
    <w:rsid w:val="00E400EC"/>
    <w:rsid w:val="00E401B9"/>
    <w:rsid w:val="00E401C4"/>
    <w:rsid w:val="00E401D9"/>
    <w:rsid w:val="00E401E3"/>
    <w:rsid w:val="00E40206"/>
    <w:rsid w:val="00E40262"/>
    <w:rsid w:val="00E402C0"/>
    <w:rsid w:val="00E4037F"/>
    <w:rsid w:val="00E4038D"/>
    <w:rsid w:val="00E404F9"/>
    <w:rsid w:val="00E4052D"/>
    <w:rsid w:val="00E406F5"/>
    <w:rsid w:val="00E407FB"/>
    <w:rsid w:val="00E40867"/>
    <w:rsid w:val="00E40987"/>
    <w:rsid w:val="00E409D2"/>
    <w:rsid w:val="00E40A5E"/>
    <w:rsid w:val="00E40A62"/>
    <w:rsid w:val="00E40ADD"/>
    <w:rsid w:val="00E40BEE"/>
    <w:rsid w:val="00E40C41"/>
    <w:rsid w:val="00E40CD7"/>
    <w:rsid w:val="00E40CDA"/>
    <w:rsid w:val="00E40D37"/>
    <w:rsid w:val="00E40D59"/>
    <w:rsid w:val="00E40E2A"/>
    <w:rsid w:val="00E40E5A"/>
    <w:rsid w:val="00E40EB7"/>
    <w:rsid w:val="00E410FE"/>
    <w:rsid w:val="00E41263"/>
    <w:rsid w:val="00E4139E"/>
    <w:rsid w:val="00E413C4"/>
    <w:rsid w:val="00E4147E"/>
    <w:rsid w:val="00E414CC"/>
    <w:rsid w:val="00E414FA"/>
    <w:rsid w:val="00E4158D"/>
    <w:rsid w:val="00E415B3"/>
    <w:rsid w:val="00E41613"/>
    <w:rsid w:val="00E41643"/>
    <w:rsid w:val="00E416A8"/>
    <w:rsid w:val="00E416D6"/>
    <w:rsid w:val="00E418C9"/>
    <w:rsid w:val="00E4193D"/>
    <w:rsid w:val="00E41997"/>
    <w:rsid w:val="00E419EB"/>
    <w:rsid w:val="00E41AAC"/>
    <w:rsid w:val="00E41B63"/>
    <w:rsid w:val="00E41D56"/>
    <w:rsid w:val="00E41D68"/>
    <w:rsid w:val="00E41DA5"/>
    <w:rsid w:val="00E41F1C"/>
    <w:rsid w:val="00E420A3"/>
    <w:rsid w:val="00E42185"/>
    <w:rsid w:val="00E42244"/>
    <w:rsid w:val="00E4224A"/>
    <w:rsid w:val="00E4258B"/>
    <w:rsid w:val="00E425CF"/>
    <w:rsid w:val="00E425FC"/>
    <w:rsid w:val="00E4266A"/>
    <w:rsid w:val="00E4266F"/>
    <w:rsid w:val="00E426EF"/>
    <w:rsid w:val="00E42747"/>
    <w:rsid w:val="00E42755"/>
    <w:rsid w:val="00E4281D"/>
    <w:rsid w:val="00E42852"/>
    <w:rsid w:val="00E42A42"/>
    <w:rsid w:val="00E42B07"/>
    <w:rsid w:val="00E42D4C"/>
    <w:rsid w:val="00E42E67"/>
    <w:rsid w:val="00E42F9F"/>
    <w:rsid w:val="00E43033"/>
    <w:rsid w:val="00E430BD"/>
    <w:rsid w:val="00E430E4"/>
    <w:rsid w:val="00E4317F"/>
    <w:rsid w:val="00E43214"/>
    <w:rsid w:val="00E4325D"/>
    <w:rsid w:val="00E4327E"/>
    <w:rsid w:val="00E43383"/>
    <w:rsid w:val="00E433E6"/>
    <w:rsid w:val="00E434BC"/>
    <w:rsid w:val="00E434D8"/>
    <w:rsid w:val="00E43543"/>
    <w:rsid w:val="00E43701"/>
    <w:rsid w:val="00E4373B"/>
    <w:rsid w:val="00E43832"/>
    <w:rsid w:val="00E4383E"/>
    <w:rsid w:val="00E43854"/>
    <w:rsid w:val="00E43A70"/>
    <w:rsid w:val="00E43B34"/>
    <w:rsid w:val="00E43B9A"/>
    <w:rsid w:val="00E43CF7"/>
    <w:rsid w:val="00E43D96"/>
    <w:rsid w:val="00E43DFD"/>
    <w:rsid w:val="00E43E59"/>
    <w:rsid w:val="00E43EAA"/>
    <w:rsid w:val="00E43F63"/>
    <w:rsid w:val="00E4409E"/>
    <w:rsid w:val="00E440A7"/>
    <w:rsid w:val="00E440D3"/>
    <w:rsid w:val="00E4417B"/>
    <w:rsid w:val="00E44184"/>
    <w:rsid w:val="00E44430"/>
    <w:rsid w:val="00E44494"/>
    <w:rsid w:val="00E444D1"/>
    <w:rsid w:val="00E446EC"/>
    <w:rsid w:val="00E4471F"/>
    <w:rsid w:val="00E447A9"/>
    <w:rsid w:val="00E44822"/>
    <w:rsid w:val="00E44858"/>
    <w:rsid w:val="00E448B7"/>
    <w:rsid w:val="00E448BD"/>
    <w:rsid w:val="00E4491D"/>
    <w:rsid w:val="00E44932"/>
    <w:rsid w:val="00E44BEE"/>
    <w:rsid w:val="00E44BFE"/>
    <w:rsid w:val="00E44C9F"/>
    <w:rsid w:val="00E44D1B"/>
    <w:rsid w:val="00E44D8B"/>
    <w:rsid w:val="00E44F22"/>
    <w:rsid w:val="00E44F5B"/>
    <w:rsid w:val="00E44F81"/>
    <w:rsid w:val="00E45041"/>
    <w:rsid w:val="00E4505F"/>
    <w:rsid w:val="00E45107"/>
    <w:rsid w:val="00E45181"/>
    <w:rsid w:val="00E451F6"/>
    <w:rsid w:val="00E45209"/>
    <w:rsid w:val="00E4524C"/>
    <w:rsid w:val="00E4524E"/>
    <w:rsid w:val="00E453EA"/>
    <w:rsid w:val="00E45495"/>
    <w:rsid w:val="00E45522"/>
    <w:rsid w:val="00E45532"/>
    <w:rsid w:val="00E4571B"/>
    <w:rsid w:val="00E457C1"/>
    <w:rsid w:val="00E459D6"/>
    <w:rsid w:val="00E45B29"/>
    <w:rsid w:val="00E45C6F"/>
    <w:rsid w:val="00E45D21"/>
    <w:rsid w:val="00E45D9B"/>
    <w:rsid w:val="00E45DAF"/>
    <w:rsid w:val="00E45E9C"/>
    <w:rsid w:val="00E46095"/>
    <w:rsid w:val="00E46189"/>
    <w:rsid w:val="00E461DF"/>
    <w:rsid w:val="00E46391"/>
    <w:rsid w:val="00E467E4"/>
    <w:rsid w:val="00E467E7"/>
    <w:rsid w:val="00E468AA"/>
    <w:rsid w:val="00E469CA"/>
    <w:rsid w:val="00E46A7F"/>
    <w:rsid w:val="00E46DDB"/>
    <w:rsid w:val="00E46DF2"/>
    <w:rsid w:val="00E46F76"/>
    <w:rsid w:val="00E4701E"/>
    <w:rsid w:val="00E47289"/>
    <w:rsid w:val="00E4728C"/>
    <w:rsid w:val="00E472DC"/>
    <w:rsid w:val="00E473C4"/>
    <w:rsid w:val="00E47488"/>
    <w:rsid w:val="00E4758C"/>
    <w:rsid w:val="00E475EB"/>
    <w:rsid w:val="00E4770E"/>
    <w:rsid w:val="00E47730"/>
    <w:rsid w:val="00E4777E"/>
    <w:rsid w:val="00E477A5"/>
    <w:rsid w:val="00E4799F"/>
    <w:rsid w:val="00E47BF8"/>
    <w:rsid w:val="00E47C61"/>
    <w:rsid w:val="00E47D79"/>
    <w:rsid w:val="00E47E36"/>
    <w:rsid w:val="00E47ED8"/>
    <w:rsid w:val="00E50017"/>
    <w:rsid w:val="00E500C1"/>
    <w:rsid w:val="00E50382"/>
    <w:rsid w:val="00E503F0"/>
    <w:rsid w:val="00E5069A"/>
    <w:rsid w:val="00E507E2"/>
    <w:rsid w:val="00E50942"/>
    <w:rsid w:val="00E50C64"/>
    <w:rsid w:val="00E50DB2"/>
    <w:rsid w:val="00E50F60"/>
    <w:rsid w:val="00E51340"/>
    <w:rsid w:val="00E51469"/>
    <w:rsid w:val="00E5146C"/>
    <w:rsid w:val="00E51514"/>
    <w:rsid w:val="00E51659"/>
    <w:rsid w:val="00E516EB"/>
    <w:rsid w:val="00E51710"/>
    <w:rsid w:val="00E5173C"/>
    <w:rsid w:val="00E51873"/>
    <w:rsid w:val="00E518A6"/>
    <w:rsid w:val="00E51935"/>
    <w:rsid w:val="00E519BF"/>
    <w:rsid w:val="00E51A75"/>
    <w:rsid w:val="00E51BCF"/>
    <w:rsid w:val="00E51C0D"/>
    <w:rsid w:val="00E51FA3"/>
    <w:rsid w:val="00E51FEA"/>
    <w:rsid w:val="00E522C7"/>
    <w:rsid w:val="00E523D8"/>
    <w:rsid w:val="00E523E3"/>
    <w:rsid w:val="00E523EE"/>
    <w:rsid w:val="00E52471"/>
    <w:rsid w:val="00E525E7"/>
    <w:rsid w:val="00E5276E"/>
    <w:rsid w:val="00E527AD"/>
    <w:rsid w:val="00E527B9"/>
    <w:rsid w:val="00E5286C"/>
    <w:rsid w:val="00E528EB"/>
    <w:rsid w:val="00E529A0"/>
    <w:rsid w:val="00E52B08"/>
    <w:rsid w:val="00E52CAF"/>
    <w:rsid w:val="00E530CF"/>
    <w:rsid w:val="00E531CD"/>
    <w:rsid w:val="00E534C9"/>
    <w:rsid w:val="00E53706"/>
    <w:rsid w:val="00E5371A"/>
    <w:rsid w:val="00E53729"/>
    <w:rsid w:val="00E53855"/>
    <w:rsid w:val="00E539E7"/>
    <w:rsid w:val="00E53B13"/>
    <w:rsid w:val="00E53B39"/>
    <w:rsid w:val="00E53CE4"/>
    <w:rsid w:val="00E53D38"/>
    <w:rsid w:val="00E53D4B"/>
    <w:rsid w:val="00E53DB0"/>
    <w:rsid w:val="00E53DE4"/>
    <w:rsid w:val="00E53E21"/>
    <w:rsid w:val="00E53F6A"/>
    <w:rsid w:val="00E53F87"/>
    <w:rsid w:val="00E53FBB"/>
    <w:rsid w:val="00E54097"/>
    <w:rsid w:val="00E540F3"/>
    <w:rsid w:val="00E54103"/>
    <w:rsid w:val="00E54125"/>
    <w:rsid w:val="00E54161"/>
    <w:rsid w:val="00E542C3"/>
    <w:rsid w:val="00E544B7"/>
    <w:rsid w:val="00E544E0"/>
    <w:rsid w:val="00E545DA"/>
    <w:rsid w:val="00E545F7"/>
    <w:rsid w:val="00E545FE"/>
    <w:rsid w:val="00E5484E"/>
    <w:rsid w:val="00E54AFF"/>
    <w:rsid w:val="00E54ED2"/>
    <w:rsid w:val="00E54F01"/>
    <w:rsid w:val="00E54F24"/>
    <w:rsid w:val="00E54F52"/>
    <w:rsid w:val="00E54FD9"/>
    <w:rsid w:val="00E550E3"/>
    <w:rsid w:val="00E550EB"/>
    <w:rsid w:val="00E55457"/>
    <w:rsid w:val="00E55491"/>
    <w:rsid w:val="00E55809"/>
    <w:rsid w:val="00E55862"/>
    <w:rsid w:val="00E558E5"/>
    <w:rsid w:val="00E55C64"/>
    <w:rsid w:val="00E55D51"/>
    <w:rsid w:val="00E55D96"/>
    <w:rsid w:val="00E55ED7"/>
    <w:rsid w:val="00E55F6F"/>
    <w:rsid w:val="00E5606C"/>
    <w:rsid w:val="00E5608B"/>
    <w:rsid w:val="00E560BC"/>
    <w:rsid w:val="00E5610D"/>
    <w:rsid w:val="00E56232"/>
    <w:rsid w:val="00E56233"/>
    <w:rsid w:val="00E56372"/>
    <w:rsid w:val="00E56421"/>
    <w:rsid w:val="00E5647F"/>
    <w:rsid w:val="00E564C7"/>
    <w:rsid w:val="00E5658C"/>
    <w:rsid w:val="00E56602"/>
    <w:rsid w:val="00E566B0"/>
    <w:rsid w:val="00E56735"/>
    <w:rsid w:val="00E56750"/>
    <w:rsid w:val="00E569F9"/>
    <w:rsid w:val="00E56B3F"/>
    <w:rsid w:val="00E56B40"/>
    <w:rsid w:val="00E56B73"/>
    <w:rsid w:val="00E56BFA"/>
    <w:rsid w:val="00E56C8A"/>
    <w:rsid w:val="00E56CC7"/>
    <w:rsid w:val="00E56CF8"/>
    <w:rsid w:val="00E56F56"/>
    <w:rsid w:val="00E57024"/>
    <w:rsid w:val="00E570C5"/>
    <w:rsid w:val="00E57275"/>
    <w:rsid w:val="00E57319"/>
    <w:rsid w:val="00E575B9"/>
    <w:rsid w:val="00E575BB"/>
    <w:rsid w:val="00E57698"/>
    <w:rsid w:val="00E57740"/>
    <w:rsid w:val="00E57808"/>
    <w:rsid w:val="00E57A21"/>
    <w:rsid w:val="00E57BA7"/>
    <w:rsid w:val="00E57BC5"/>
    <w:rsid w:val="00E57CEB"/>
    <w:rsid w:val="00E57F36"/>
    <w:rsid w:val="00E600FC"/>
    <w:rsid w:val="00E6016E"/>
    <w:rsid w:val="00E60279"/>
    <w:rsid w:val="00E60284"/>
    <w:rsid w:val="00E602D1"/>
    <w:rsid w:val="00E603E5"/>
    <w:rsid w:val="00E604EE"/>
    <w:rsid w:val="00E60589"/>
    <w:rsid w:val="00E605AB"/>
    <w:rsid w:val="00E605E3"/>
    <w:rsid w:val="00E60782"/>
    <w:rsid w:val="00E60C81"/>
    <w:rsid w:val="00E60D90"/>
    <w:rsid w:val="00E61235"/>
    <w:rsid w:val="00E61236"/>
    <w:rsid w:val="00E61337"/>
    <w:rsid w:val="00E61489"/>
    <w:rsid w:val="00E6157E"/>
    <w:rsid w:val="00E6184A"/>
    <w:rsid w:val="00E619DC"/>
    <w:rsid w:val="00E61A1D"/>
    <w:rsid w:val="00E61B34"/>
    <w:rsid w:val="00E61F83"/>
    <w:rsid w:val="00E62145"/>
    <w:rsid w:val="00E621BB"/>
    <w:rsid w:val="00E62314"/>
    <w:rsid w:val="00E62341"/>
    <w:rsid w:val="00E62384"/>
    <w:rsid w:val="00E623AB"/>
    <w:rsid w:val="00E62538"/>
    <w:rsid w:val="00E625A9"/>
    <w:rsid w:val="00E625E9"/>
    <w:rsid w:val="00E62779"/>
    <w:rsid w:val="00E6277C"/>
    <w:rsid w:val="00E62A00"/>
    <w:rsid w:val="00E62B60"/>
    <w:rsid w:val="00E62BA2"/>
    <w:rsid w:val="00E62C1A"/>
    <w:rsid w:val="00E62CDD"/>
    <w:rsid w:val="00E62D16"/>
    <w:rsid w:val="00E62D54"/>
    <w:rsid w:val="00E62F50"/>
    <w:rsid w:val="00E62F70"/>
    <w:rsid w:val="00E62F97"/>
    <w:rsid w:val="00E63006"/>
    <w:rsid w:val="00E6304E"/>
    <w:rsid w:val="00E63054"/>
    <w:rsid w:val="00E631F5"/>
    <w:rsid w:val="00E63298"/>
    <w:rsid w:val="00E632B4"/>
    <w:rsid w:val="00E632DD"/>
    <w:rsid w:val="00E63326"/>
    <w:rsid w:val="00E635CE"/>
    <w:rsid w:val="00E63637"/>
    <w:rsid w:val="00E6366E"/>
    <w:rsid w:val="00E636CB"/>
    <w:rsid w:val="00E63A30"/>
    <w:rsid w:val="00E63BCC"/>
    <w:rsid w:val="00E63CF3"/>
    <w:rsid w:val="00E63D2F"/>
    <w:rsid w:val="00E63F6C"/>
    <w:rsid w:val="00E63FCA"/>
    <w:rsid w:val="00E640CE"/>
    <w:rsid w:val="00E6426B"/>
    <w:rsid w:val="00E642C1"/>
    <w:rsid w:val="00E643FA"/>
    <w:rsid w:val="00E644D0"/>
    <w:rsid w:val="00E6450C"/>
    <w:rsid w:val="00E64516"/>
    <w:rsid w:val="00E646CB"/>
    <w:rsid w:val="00E64763"/>
    <w:rsid w:val="00E6476A"/>
    <w:rsid w:val="00E647B7"/>
    <w:rsid w:val="00E6480E"/>
    <w:rsid w:val="00E64B21"/>
    <w:rsid w:val="00E64C92"/>
    <w:rsid w:val="00E64CA5"/>
    <w:rsid w:val="00E64D2B"/>
    <w:rsid w:val="00E64DFC"/>
    <w:rsid w:val="00E64E02"/>
    <w:rsid w:val="00E64F61"/>
    <w:rsid w:val="00E64F91"/>
    <w:rsid w:val="00E64FD4"/>
    <w:rsid w:val="00E65056"/>
    <w:rsid w:val="00E65128"/>
    <w:rsid w:val="00E6527D"/>
    <w:rsid w:val="00E65282"/>
    <w:rsid w:val="00E652A8"/>
    <w:rsid w:val="00E652B2"/>
    <w:rsid w:val="00E65303"/>
    <w:rsid w:val="00E6536D"/>
    <w:rsid w:val="00E654A9"/>
    <w:rsid w:val="00E65700"/>
    <w:rsid w:val="00E65956"/>
    <w:rsid w:val="00E65966"/>
    <w:rsid w:val="00E659B3"/>
    <w:rsid w:val="00E65C15"/>
    <w:rsid w:val="00E65CB1"/>
    <w:rsid w:val="00E6602C"/>
    <w:rsid w:val="00E66030"/>
    <w:rsid w:val="00E66038"/>
    <w:rsid w:val="00E662E1"/>
    <w:rsid w:val="00E662EB"/>
    <w:rsid w:val="00E66413"/>
    <w:rsid w:val="00E66442"/>
    <w:rsid w:val="00E66536"/>
    <w:rsid w:val="00E667CA"/>
    <w:rsid w:val="00E667FA"/>
    <w:rsid w:val="00E6682D"/>
    <w:rsid w:val="00E6686D"/>
    <w:rsid w:val="00E6690B"/>
    <w:rsid w:val="00E669D3"/>
    <w:rsid w:val="00E66BA4"/>
    <w:rsid w:val="00E66E6A"/>
    <w:rsid w:val="00E66F0F"/>
    <w:rsid w:val="00E671B0"/>
    <w:rsid w:val="00E6739E"/>
    <w:rsid w:val="00E676DC"/>
    <w:rsid w:val="00E676F6"/>
    <w:rsid w:val="00E67740"/>
    <w:rsid w:val="00E67884"/>
    <w:rsid w:val="00E67915"/>
    <w:rsid w:val="00E67A3D"/>
    <w:rsid w:val="00E67ABC"/>
    <w:rsid w:val="00E67AC3"/>
    <w:rsid w:val="00E67AE5"/>
    <w:rsid w:val="00E67C0E"/>
    <w:rsid w:val="00E67CC0"/>
    <w:rsid w:val="00E67D00"/>
    <w:rsid w:val="00E67E47"/>
    <w:rsid w:val="00E67E6F"/>
    <w:rsid w:val="00E67F42"/>
    <w:rsid w:val="00E67F4B"/>
    <w:rsid w:val="00E70018"/>
    <w:rsid w:val="00E70189"/>
    <w:rsid w:val="00E70421"/>
    <w:rsid w:val="00E704F7"/>
    <w:rsid w:val="00E70626"/>
    <w:rsid w:val="00E707AA"/>
    <w:rsid w:val="00E7084D"/>
    <w:rsid w:val="00E708B2"/>
    <w:rsid w:val="00E7095D"/>
    <w:rsid w:val="00E709E8"/>
    <w:rsid w:val="00E70BCA"/>
    <w:rsid w:val="00E70C1C"/>
    <w:rsid w:val="00E70C7D"/>
    <w:rsid w:val="00E70CF3"/>
    <w:rsid w:val="00E70D43"/>
    <w:rsid w:val="00E70F49"/>
    <w:rsid w:val="00E711BF"/>
    <w:rsid w:val="00E71232"/>
    <w:rsid w:val="00E71281"/>
    <w:rsid w:val="00E712FC"/>
    <w:rsid w:val="00E71371"/>
    <w:rsid w:val="00E715CB"/>
    <w:rsid w:val="00E715DF"/>
    <w:rsid w:val="00E7164B"/>
    <w:rsid w:val="00E71720"/>
    <w:rsid w:val="00E717BE"/>
    <w:rsid w:val="00E71814"/>
    <w:rsid w:val="00E71A42"/>
    <w:rsid w:val="00E71C01"/>
    <w:rsid w:val="00E71C5F"/>
    <w:rsid w:val="00E71F2C"/>
    <w:rsid w:val="00E71F46"/>
    <w:rsid w:val="00E71FD9"/>
    <w:rsid w:val="00E7218A"/>
    <w:rsid w:val="00E72198"/>
    <w:rsid w:val="00E722F4"/>
    <w:rsid w:val="00E7238E"/>
    <w:rsid w:val="00E724B4"/>
    <w:rsid w:val="00E724CA"/>
    <w:rsid w:val="00E72660"/>
    <w:rsid w:val="00E72674"/>
    <w:rsid w:val="00E7274E"/>
    <w:rsid w:val="00E7282B"/>
    <w:rsid w:val="00E7296C"/>
    <w:rsid w:val="00E72A04"/>
    <w:rsid w:val="00E72A17"/>
    <w:rsid w:val="00E72A48"/>
    <w:rsid w:val="00E72A72"/>
    <w:rsid w:val="00E72C5A"/>
    <w:rsid w:val="00E72E16"/>
    <w:rsid w:val="00E72EC5"/>
    <w:rsid w:val="00E72FFF"/>
    <w:rsid w:val="00E73028"/>
    <w:rsid w:val="00E73048"/>
    <w:rsid w:val="00E73148"/>
    <w:rsid w:val="00E73310"/>
    <w:rsid w:val="00E73340"/>
    <w:rsid w:val="00E73469"/>
    <w:rsid w:val="00E73503"/>
    <w:rsid w:val="00E73653"/>
    <w:rsid w:val="00E736E0"/>
    <w:rsid w:val="00E7370A"/>
    <w:rsid w:val="00E7375A"/>
    <w:rsid w:val="00E7386A"/>
    <w:rsid w:val="00E738C3"/>
    <w:rsid w:val="00E738DF"/>
    <w:rsid w:val="00E73A9E"/>
    <w:rsid w:val="00E73BAF"/>
    <w:rsid w:val="00E73CAE"/>
    <w:rsid w:val="00E73CB0"/>
    <w:rsid w:val="00E73E19"/>
    <w:rsid w:val="00E73F58"/>
    <w:rsid w:val="00E73FDD"/>
    <w:rsid w:val="00E74042"/>
    <w:rsid w:val="00E74141"/>
    <w:rsid w:val="00E7431F"/>
    <w:rsid w:val="00E743FD"/>
    <w:rsid w:val="00E7442A"/>
    <w:rsid w:val="00E7454B"/>
    <w:rsid w:val="00E745EC"/>
    <w:rsid w:val="00E745F0"/>
    <w:rsid w:val="00E747C2"/>
    <w:rsid w:val="00E747E9"/>
    <w:rsid w:val="00E74878"/>
    <w:rsid w:val="00E748C6"/>
    <w:rsid w:val="00E74947"/>
    <w:rsid w:val="00E7497F"/>
    <w:rsid w:val="00E74BBD"/>
    <w:rsid w:val="00E74CB7"/>
    <w:rsid w:val="00E74F17"/>
    <w:rsid w:val="00E74FE1"/>
    <w:rsid w:val="00E75000"/>
    <w:rsid w:val="00E75044"/>
    <w:rsid w:val="00E75210"/>
    <w:rsid w:val="00E75531"/>
    <w:rsid w:val="00E755C3"/>
    <w:rsid w:val="00E75713"/>
    <w:rsid w:val="00E75BD8"/>
    <w:rsid w:val="00E75C87"/>
    <w:rsid w:val="00E76087"/>
    <w:rsid w:val="00E7609B"/>
    <w:rsid w:val="00E760BB"/>
    <w:rsid w:val="00E760EE"/>
    <w:rsid w:val="00E761C7"/>
    <w:rsid w:val="00E762B8"/>
    <w:rsid w:val="00E76374"/>
    <w:rsid w:val="00E763A7"/>
    <w:rsid w:val="00E765B0"/>
    <w:rsid w:val="00E765B8"/>
    <w:rsid w:val="00E767B5"/>
    <w:rsid w:val="00E767FA"/>
    <w:rsid w:val="00E7683F"/>
    <w:rsid w:val="00E76ADC"/>
    <w:rsid w:val="00E76CE0"/>
    <w:rsid w:val="00E76EF0"/>
    <w:rsid w:val="00E76F31"/>
    <w:rsid w:val="00E7706D"/>
    <w:rsid w:val="00E77124"/>
    <w:rsid w:val="00E771A0"/>
    <w:rsid w:val="00E772C7"/>
    <w:rsid w:val="00E77329"/>
    <w:rsid w:val="00E773F6"/>
    <w:rsid w:val="00E77501"/>
    <w:rsid w:val="00E77542"/>
    <w:rsid w:val="00E77599"/>
    <w:rsid w:val="00E7763D"/>
    <w:rsid w:val="00E77680"/>
    <w:rsid w:val="00E776A9"/>
    <w:rsid w:val="00E7780A"/>
    <w:rsid w:val="00E778B9"/>
    <w:rsid w:val="00E778DC"/>
    <w:rsid w:val="00E7791B"/>
    <w:rsid w:val="00E77A12"/>
    <w:rsid w:val="00E77AA9"/>
    <w:rsid w:val="00E77ABE"/>
    <w:rsid w:val="00E77DA6"/>
    <w:rsid w:val="00E77E71"/>
    <w:rsid w:val="00E77E97"/>
    <w:rsid w:val="00E77F67"/>
    <w:rsid w:val="00E77FC5"/>
    <w:rsid w:val="00E8014A"/>
    <w:rsid w:val="00E80156"/>
    <w:rsid w:val="00E801EF"/>
    <w:rsid w:val="00E804B1"/>
    <w:rsid w:val="00E806E9"/>
    <w:rsid w:val="00E8086B"/>
    <w:rsid w:val="00E80871"/>
    <w:rsid w:val="00E80A58"/>
    <w:rsid w:val="00E80CC5"/>
    <w:rsid w:val="00E80DBB"/>
    <w:rsid w:val="00E80F28"/>
    <w:rsid w:val="00E80FB5"/>
    <w:rsid w:val="00E8109A"/>
    <w:rsid w:val="00E81170"/>
    <w:rsid w:val="00E81218"/>
    <w:rsid w:val="00E81300"/>
    <w:rsid w:val="00E813B4"/>
    <w:rsid w:val="00E81516"/>
    <w:rsid w:val="00E81590"/>
    <w:rsid w:val="00E816A6"/>
    <w:rsid w:val="00E816D7"/>
    <w:rsid w:val="00E81704"/>
    <w:rsid w:val="00E817A4"/>
    <w:rsid w:val="00E817DE"/>
    <w:rsid w:val="00E817E3"/>
    <w:rsid w:val="00E81846"/>
    <w:rsid w:val="00E819DA"/>
    <w:rsid w:val="00E819DC"/>
    <w:rsid w:val="00E81A98"/>
    <w:rsid w:val="00E81C03"/>
    <w:rsid w:val="00E81C84"/>
    <w:rsid w:val="00E81CC9"/>
    <w:rsid w:val="00E8206C"/>
    <w:rsid w:val="00E8209F"/>
    <w:rsid w:val="00E82215"/>
    <w:rsid w:val="00E822F8"/>
    <w:rsid w:val="00E8234A"/>
    <w:rsid w:val="00E82507"/>
    <w:rsid w:val="00E825CA"/>
    <w:rsid w:val="00E8264C"/>
    <w:rsid w:val="00E82662"/>
    <w:rsid w:val="00E82669"/>
    <w:rsid w:val="00E8272A"/>
    <w:rsid w:val="00E82879"/>
    <w:rsid w:val="00E829FB"/>
    <w:rsid w:val="00E82A49"/>
    <w:rsid w:val="00E82AA3"/>
    <w:rsid w:val="00E82B8B"/>
    <w:rsid w:val="00E82BE9"/>
    <w:rsid w:val="00E82E5D"/>
    <w:rsid w:val="00E830B4"/>
    <w:rsid w:val="00E83202"/>
    <w:rsid w:val="00E8339D"/>
    <w:rsid w:val="00E834D4"/>
    <w:rsid w:val="00E8354C"/>
    <w:rsid w:val="00E838BE"/>
    <w:rsid w:val="00E838DD"/>
    <w:rsid w:val="00E83B2C"/>
    <w:rsid w:val="00E83B5D"/>
    <w:rsid w:val="00E83BC2"/>
    <w:rsid w:val="00E83C2E"/>
    <w:rsid w:val="00E83D05"/>
    <w:rsid w:val="00E83DBD"/>
    <w:rsid w:val="00E83E9D"/>
    <w:rsid w:val="00E83ECC"/>
    <w:rsid w:val="00E84012"/>
    <w:rsid w:val="00E840B6"/>
    <w:rsid w:val="00E840BA"/>
    <w:rsid w:val="00E840E9"/>
    <w:rsid w:val="00E84118"/>
    <w:rsid w:val="00E84202"/>
    <w:rsid w:val="00E8434A"/>
    <w:rsid w:val="00E84391"/>
    <w:rsid w:val="00E843B6"/>
    <w:rsid w:val="00E843BA"/>
    <w:rsid w:val="00E844FB"/>
    <w:rsid w:val="00E84562"/>
    <w:rsid w:val="00E845E9"/>
    <w:rsid w:val="00E8467A"/>
    <w:rsid w:val="00E847B4"/>
    <w:rsid w:val="00E848B5"/>
    <w:rsid w:val="00E849B7"/>
    <w:rsid w:val="00E84A37"/>
    <w:rsid w:val="00E84B33"/>
    <w:rsid w:val="00E84B34"/>
    <w:rsid w:val="00E84B51"/>
    <w:rsid w:val="00E84B8C"/>
    <w:rsid w:val="00E84C5A"/>
    <w:rsid w:val="00E84CFE"/>
    <w:rsid w:val="00E84E6D"/>
    <w:rsid w:val="00E84F5F"/>
    <w:rsid w:val="00E84FD3"/>
    <w:rsid w:val="00E85084"/>
    <w:rsid w:val="00E850F7"/>
    <w:rsid w:val="00E850FB"/>
    <w:rsid w:val="00E85111"/>
    <w:rsid w:val="00E85163"/>
    <w:rsid w:val="00E85201"/>
    <w:rsid w:val="00E85207"/>
    <w:rsid w:val="00E85418"/>
    <w:rsid w:val="00E85592"/>
    <w:rsid w:val="00E85647"/>
    <w:rsid w:val="00E85691"/>
    <w:rsid w:val="00E857E0"/>
    <w:rsid w:val="00E85883"/>
    <w:rsid w:val="00E85997"/>
    <w:rsid w:val="00E859DF"/>
    <w:rsid w:val="00E859F5"/>
    <w:rsid w:val="00E85A7D"/>
    <w:rsid w:val="00E85B10"/>
    <w:rsid w:val="00E85F55"/>
    <w:rsid w:val="00E85F8F"/>
    <w:rsid w:val="00E8622B"/>
    <w:rsid w:val="00E86353"/>
    <w:rsid w:val="00E8636F"/>
    <w:rsid w:val="00E86483"/>
    <w:rsid w:val="00E864C1"/>
    <w:rsid w:val="00E864DA"/>
    <w:rsid w:val="00E865C3"/>
    <w:rsid w:val="00E865ED"/>
    <w:rsid w:val="00E866E2"/>
    <w:rsid w:val="00E86979"/>
    <w:rsid w:val="00E869B7"/>
    <w:rsid w:val="00E86B32"/>
    <w:rsid w:val="00E86B9E"/>
    <w:rsid w:val="00E86C77"/>
    <w:rsid w:val="00E86CA1"/>
    <w:rsid w:val="00E8724C"/>
    <w:rsid w:val="00E873EE"/>
    <w:rsid w:val="00E8749E"/>
    <w:rsid w:val="00E8750D"/>
    <w:rsid w:val="00E8767D"/>
    <w:rsid w:val="00E876A2"/>
    <w:rsid w:val="00E876FB"/>
    <w:rsid w:val="00E877C6"/>
    <w:rsid w:val="00E8788B"/>
    <w:rsid w:val="00E878E9"/>
    <w:rsid w:val="00E87A21"/>
    <w:rsid w:val="00E87A74"/>
    <w:rsid w:val="00E87B75"/>
    <w:rsid w:val="00E87C49"/>
    <w:rsid w:val="00E87CAA"/>
    <w:rsid w:val="00E87CFC"/>
    <w:rsid w:val="00E87E96"/>
    <w:rsid w:val="00E87EF1"/>
    <w:rsid w:val="00E9004B"/>
    <w:rsid w:val="00E903B7"/>
    <w:rsid w:val="00E903D4"/>
    <w:rsid w:val="00E903FB"/>
    <w:rsid w:val="00E9081B"/>
    <w:rsid w:val="00E90893"/>
    <w:rsid w:val="00E909DE"/>
    <w:rsid w:val="00E90A20"/>
    <w:rsid w:val="00E90B0A"/>
    <w:rsid w:val="00E90C7B"/>
    <w:rsid w:val="00E90D33"/>
    <w:rsid w:val="00E90D82"/>
    <w:rsid w:val="00E90E53"/>
    <w:rsid w:val="00E9105C"/>
    <w:rsid w:val="00E9105E"/>
    <w:rsid w:val="00E9112B"/>
    <w:rsid w:val="00E9124F"/>
    <w:rsid w:val="00E913BB"/>
    <w:rsid w:val="00E915E6"/>
    <w:rsid w:val="00E91734"/>
    <w:rsid w:val="00E91812"/>
    <w:rsid w:val="00E918BC"/>
    <w:rsid w:val="00E918C9"/>
    <w:rsid w:val="00E919D2"/>
    <w:rsid w:val="00E91A18"/>
    <w:rsid w:val="00E91CF5"/>
    <w:rsid w:val="00E91E23"/>
    <w:rsid w:val="00E91F29"/>
    <w:rsid w:val="00E91F67"/>
    <w:rsid w:val="00E91FD6"/>
    <w:rsid w:val="00E91FDA"/>
    <w:rsid w:val="00E92001"/>
    <w:rsid w:val="00E9214B"/>
    <w:rsid w:val="00E92218"/>
    <w:rsid w:val="00E92395"/>
    <w:rsid w:val="00E923DE"/>
    <w:rsid w:val="00E924A4"/>
    <w:rsid w:val="00E925C4"/>
    <w:rsid w:val="00E925C8"/>
    <w:rsid w:val="00E925E0"/>
    <w:rsid w:val="00E9261B"/>
    <w:rsid w:val="00E92970"/>
    <w:rsid w:val="00E92A6C"/>
    <w:rsid w:val="00E92AB5"/>
    <w:rsid w:val="00E92ACD"/>
    <w:rsid w:val="00E92DA8"/>
    <w:rsid w:val="00E92E40"/>
    <w:rsid w:val="00E92EF9"/>
    <w:rsid w:val="00E93073"/>
    <w:rsid w:val="00E931C3"/>
    <w:rsid w:val="00E93312"/>
    <w:rsid w:val="00E933E8"/>
    <w:rsid w:val="00E93549"/>
    <w:rsid w:val="00E936B8"/>
    <w:rsid w:val="00E936CE"/>
    <w:rsid w:val="00E937A4"/>
    <w:rsid w:val="00E93824"/>
    <w:rsid w:val="00E93852"/>
    <w:rsid w:val="00E9398F"/>
    <w:rsid w:val="00E93B72"/>
    <w:rsid w:val="00E93C2E"/>
    <w:rsid w:val="00E93C55"/>
    <w:rsid w:val="00E93CB6"/>
    <w:rsid w:val="00E93D66"/>
    <w:rsid w:val="00E93E4C"/>
    <w:rsid w:val="00E93EFB"/>
    <w:rsid w:val="00E93F3F"/>
    <w:rsid w:val="00E940B5"/>
    <w:rsid w:val="00E9412D"/>
    <w:rsid w:val="00E941E1"/>
    <w:rsid w:val="00E9420E"/>
    <w:rsid w:val="00E94308"/>
    <w:rsid w:val="00E94324"/>
    <w:rsid w:val="00E94329"/>
    <w:rsid w:val="00E94361"/>
    <w:rsid w:val="00E944A8"/>
    <w:rsid w:val="00E9454C"/>
    <w:rsid w:val="00E9470D"/>
    <w:rsid w:val="00E94832"/>
    <w:rsid w:val="00E948D7"/>
    <w:rsid w:val="00E94A43"/>
    <w:rsid w:val="00E94AFB"/>
    <w:rsid w:val="00E94B63"/>
    <w:rsid w:val="00E94DD8"/>
    <w:rsid w:val="00E94DDE"/>
    <w:rsid w:val="00E94DEC"/>
    <w:rsid w:val="00E94E43"/>
    <w:rsid w:val="00E94F87"/>
    <w:rsid w:val="00E94FE4"/>
    <w:rsid w:val="00E95139"/>
    <w:rsid w:val="00E95188"/>
    <w:rsid w:val="00E952D7"/>
    <w:rsid w:val="00E9531E"/>
    <w:rsid w:val="00E95479"/>
    <w:rsid w:val="00E954C0"/>
    <w:rsid w:val="00E956DB"/>
    <w:rsid w:val="00E9576B"/>
    <w:rsid w:val="00E9578A"/>
    <w:rsid w:val="00E957B7"/>
    <w:rsid w:val="00E95851"/>
    <w:rsid w:val="00E95867"/>
    <w:rsid w:val="00E95956"/>
    <w:rsid w:val="00E95AB4"/>
    <w:rsid w:val="00E95BBE"/>
    <w:rsid w:val="00E95C81"/>
    <w:rsid w:val="00E95CE7"/>
    <w:rsid w:val="00E95EC4"/>
    <w:rsid w:val="00E961C8"/>
    <w:rsid w:val="00E9620A"/>
    <w:rsid w:val="00E964BD"/>
    <w:rsid w:val="00E966EB"/>
    <w:rsid w:val="00E966F3"/>
    <w:rsid w:val="00E9672D"/>
    <w:rsid w:val="00E968C5"/>
    <w:rsid w:val="00E96AC8"/>
    <w:rsid w:val="00E96B80"/>
    <w:rsid w:val="00E96BDA"/>
    <w:rsid w:val="00E96C15"/>
    <w:rsid w:val="00E96D4C"/>
    <w:rsid w:val="00E96E81"/>
    <w:rsid w:val="00E97020"/>
    <w:rsid w:val="00E97238"/>
    <w:rsid w:val="00E9724A"/>
    <w:rsid w:val="00E9749F"/>
    <w:rsid w:val="00E9759E"/>
    <w:rsid w:val="00E97640"/>
    <w:rsid w:val="00E9772B"/>
    <w:rsid w:val="00E9777A"/>
    <w:rsid w:val="00E97899"/>
    <w:rsid w:val="00E978AC"/>
    <w:rsid w:val="00E978D9"/>
    <w:rsid w:val="00E97922"/>
    <w:rsid w:val="00E97A70"/>
    <w:rsid w:val="00E97C2D"/>
    <w:rsid w:val="00E97D09"/>
    <w:rsid w:val="00E97DD1"/>
    <w:rsid w:val="00E97DED"/>
    <w:rsid w:val="00E97EA6"/>
    <w:rsid w:val="00EA000B"/>
    <w:rsid w:val="00EA0050"/>
    <w:rsid w:val="00EA012C"/>
    <w:rsid w:val="00EA012D"/>
    <w:rsid w:val="00EA017B"/>
    <w:rsid w:val="00EA045A"/>
    <w:rsid w:val="00EA0485"/>
    <w:rsid w:val="00EA057B"/>
    <w:rsid w:val="00EA0605"/>
    <w:rsid w:val="00EA06F3"/>
    <w:rsid w:val="00EA0887"/>
    <w:rsid w:val="00EA08EE"/>
    <w:rsid w:val="00EA08FD"/>
    <w:rsid w:val="00EA0901"/>
    <w:rsid w:val="00EA0B71"/>
    <w:rsid w:val="00EA0B8B"/>
    <w:rsid w:val="00EA0B97"/>
    <w:rsid w:val="00EA0BB8"/>
    <w:rsid w:val="00EA0BBA"/>
    <w:rsid w:val="00EA0CB4"/>
    <w:rsid w:val="00EA0E40"/>
    <w:rsid w:val="00EA0E56"/>
    <w:rsid w:val="00EA0F8B"/>
    <w:rsid w:val="00EA0F93"/>
    <w:rsid w:val="00EA10D9"/>
    <w:rsid w:val="00EA1218"/>
    <w:rsid w:val="00EA1252"/>
    <w:rsid w:val="00EA12C2"/>
    <w:rsid w:val="00EA1329"/>
    <w:rsid w:val="00EA1519"/>
    <w:rsid w:val="00EA1649"/>
    <w:rsid w:val="00EA164B"/>
    <w:rsid w:val="00EA172B"/>
    <w:rsid w:val="00EA1767"/>
    <w:rsid w:val="00EA17AE"/>
    <w:rsid w:val="00EA186D"/>
    <w:rsid w:val="00EA199A"/>
    <w:rsid w:val="00EA1ABC"/>
    <w:rsid w:val="00EA1B60"/>
    <w:rsid w:val="00EA1B6A"/>
    <w:rsid w:val="00EA1BD9"/>
    <w:rsid w:val="00EA1BE1"/>
    <w:rsid w:val="00EA1D11"/>
    <w:rsid w:val="00EA1DC0"/>
    <w:rsid w:val="00EA1DD2"/>
    <w:rsid w:val="00EA211A"/>
    <w:rsid w:val="00EA218F"/>
    <w:rsid w:val="00EA21BF"/>
    <w:rsid w:val="00EA2300"/>
    <w:rsid w:val="00EA2562"/>
    <w:rsid w:val="00EA2625"/>
    <w:rsid w:val="00EA26C1"/>
    <w:rsid w:val="00EA26D3"/>
    <w:rsid w:val="00EA28EF"/>
    <w:rsid w:val="00EA290F"/>
    <w:rsid w:val="00EA2985"/>
    <w:rsid w:val="00EA2A8B"/>
    <w:rsid w:val="00EA2AD0"/>
    <w:rsid w:val="00EA2AEE"/>
    <w:rsid w:val="00EA2B81"/>
    <w:rsid w:val="00EA2CA2"/>
    <w:rsid w:val="00EA3214"/>
    <w:rsid w:val="00EA327D"/>
    <w:rsid w:val="00EA32F3"/>
    <w:rsid w:val="00EA32FB"/>
    <w:rsid w:val="00EA3311"/>
    <w:rsid w:val="00EA336B"/>
    <w:rsid w:val="00EA3605"/>
    <w:rsid w:val="00EA36F0"/>
    <w:rsid w:val="00EA38E9"/>
    <w:rsid w:val="00EA38F8"/>
    <w:rsid w:val="00EA393C"/>
    <w:rsid w:val="00EA3AFC"/>
    <w:rsid w:val="00EA3B96"/>
    <w:rsid w:val="00EA3D20"/>
    <w:rsid w:val="00EA3E9F"/>
    <w:rsid w:val="00EA4164"/>
    <w:rsid w:val="00EA4259"/>
    <w:rsid w:val="00EA442C"/>
    <w:rsid w:val="00EA44CB"/>
    <w:rsid w:val="00EA45E1"/>
    <w:rsid w:val="00EA48D0"/>
    <w:rsid w:val="00EA49E7"/>
    <w:rsid w:val="00EA4A44"/>
    <w:rsid w:val="00EA4A8E"/>
    <w:rsid w:val="00EA4BE3"/>
    <w:rsid w:val="00EA4D30"/>
    <w:rsid w:val="00EA4E52"/>
    <w:rsid w:val="00EA52F5"/>
    <w:rsid w:val="00EA5491"/>
    <w:rsid w:val="00EA558F"/>
    <w:rsid w:val="00EA560A"/>
    <w:rsid w:val="00EA565F"/>
    <w:rsid w:val="00EA5769"/>
    <w:rsid w:val="00EA57AB"/>
    <w:rsid w:val="00EA5AAC"/>
    <w:rsid w:val="00EA5B01"/>
    <w:rsid w:val="00EA5BA9"/>
    <w:rsid w:val="00EA5C1C"/>
    <w:rsid w:val="00EA5C37"/>
    <w:rsid w:val="00EA5C7E"/>
    <w:rsid w:val="00EA5CB6"/>
    <w:rsid w:val="00EA5CDB"/>
    <w:rsid w:val="00EA5CDD"/>
    <w:rsid w:val="00EA5F3A"/>
    <w:rsid w:val="00EA5F9C"/>
    <w:rsid w:val="00EA5FF1"/>
    <w:rsid w:val="00EA60E1"/>
    <w:rsid w:val="00EA619A"/>
    <w:rsid w:val="00EA6338"/>
    <w:rsid w:val="00EA63BF"/>
    <w:rsid w:val="00EA63F1"/>
    <w:rsid w:val="00EA64FA"/>
    <w:rsid w:val="00EA660D"/>
    <w:rsid w:val="00EA6652"/>
    <w:rsid w:val="00EA66C9"/>
    <w:rsid w:val="00EA670F"/>
    <w:rsid w:val="00EA68BF"/>
    <w:rsid w:val="00EA6960"/>
    <w:rsid w:val="00EA6AA3"/>
    <w:rsid w:val="00EA6C42"/>
    <w:rsid w:val="00EA6C61"/>
    <w:rsid w:val="00EA6CBB"/>
    <w:rsid w:val="00EA6D5A"/>
    <w:rsid w:val="00EA6D6D"/>
    <w:rsid w:val="00EA6DB0"/>
    <w:rsid w:val="00EA6E58"/>
    <w:rsid w:val="00EA7053"/>
    <w:rsid w:val="00EA7101"/>
    <w:rsid w:val="00EA721C"/>
    <w:rsid w:val="00EA73BA"/>
    <w:rsid w:val="00EA7422"/>
    <w:rsid w:val="00EA752E"/>
    <w:rsid w:val="00EA754C"/>
    <w:rsid w:val="00EA7646"/>
    <w:rsid w:val="00EA76AE"/>
    <w:rsid w:val="00EA798D"/>
    <w:rsid w:val="00EA7AF0"/>
    <w:rsid w:val="00EA7B62"/>
    <w:rsid w:val="00EA7BBD"/>
    <w:rsid w:val="00EA7C35"/>
    <w:rsid w:val="00EA7DD9"/>
    <w:rsid w:val="00EA7F55"/>
    <w:rsid w:val="00EB003C"/>
    <w:rsid w:val="00EB00F8"/>
    <w:rsid w:val="00EB0192"/>
    <w:rsid w:val="00EB0205"/>
    <w:rsid w:val="00EB021A"/>
    <w:rsid w:val="00EB025C"/>
    <w:rsid w:val="00EB028C"/>
    <w:rsid w:val="00EB02AF"/>
    <w:rsid w:val="00EB0302"/>
    <w:rsid w:val="00EB0357"/>
    <w:rsid w:val="00EB0407"/>
    <w:rsid w:val="00EB04D1"/>
    <w:rsid w:val="00EB04F5"/>
    <w:rsid w:val="00EB0536"/>
    <w:rsid w:val="00EB062B"/>
    <w:rsid w:val="00EB07B1"/>
    <w:rsid w:val="00EB07FA"/>
    <w:rsid w:val="00EB0807"/>
    <w:rsid w:val="00EB08BB"/>
    <w:rsid w:val="00EB0962"/>
    <w:rsid w:val="00EB0AE8"/>
    <w:rsid w:val="00EB0CB2"/>
    <w:rsid w:val="00EB0CB8"/>
    <w:rsid w:val="00EB0DEA"/>
    <w:rsid w:val="00EB0E06"/>
    <w:rsid w:val="00EB0E47"/>
    <w:rsid w:val="00EB0F1D"/>
    <w:rsid w:val="00EB11D2"/>
    <w:rsid w:val="00EB11DA"/>
    <w:rsid w:val="00EB1203"/>
    <w:rsid w:val="00EB122E"/>
    <w:rsid w:val="00EB12D5"/>
    <w:rsid w:val="00EB12FF"/>
    <w:rsid w:val="00EB1354"/>
    <w:rsid w:val="00EB14BF"/>
    <w:rsid w:val="00EB151C"/>
    <w:rsid w:val="00EB1572"/>
    <w:rsid w:val="00EB197F"/>
    <w:rsid w:val="00EB1AC7"/>
    <w:rsid w:val="00EB1B00"/>
    <w:rsid w:val="00EB1B40"/>
    <w:rsid w:val="00EB1B79"/>
    <w:rsid w:val="00EB1C72"/>
    <w:rsid w:val="00EB1D83"/>
    <w:rsid w:val="00EB1F40"/>
    <w:rsid w:val="00EB2065"/>
    <w:rsid w:val="00EB20EE"/>
    <w:rsid w:val="00EB216E"/>
    <w:rsid w:val="00EB2195"/>
    <w:rsid w:val="00EB221B"/>
    <w:rsid w:val="00EB2268"/>
    <w:rsid w:val="00EB2374"/>
    <w:rsid w:val="00EB242E"/>
    <w:rsid w:val="00EB248C"/>
    <w:rsid w:val="00EB24A2"/>
    <w:rsid w:val="00EB251C"/>
    <w:rsid w:val="00EB253E"/>
    <w:rsid w:val="00EB2587"/>
    <w:rsid w:val="00EB2792"/>
    <w:rsid w:val="00EB2838"/>
    <w:rsid w:val="00EB29BC"/>
    <w:rsid w:val="00EB2BAB"/>
    <w:rsid w:val="00EB2C94"/>
    <w:rsid w:val="00EB2ECF"/>
    <w:rsid w:val="00EB2F2A"/>
    <w:rsid w:val="00EB30FA"/>
    <w:rsid w:val="00EB314C"/>
    <w:rsid w:val="00EB3186"/>
    <w:rsid w:val="00EB3198"/>
    <w:rsid w:val="00EB3202"/>
    <w:rsid w:val="00EB32C3"/>
    <w:rsid w:val="00EB335A"/>
    <w:rsid w:val="00EB33B3"/>
    <w:rsid w:val="00EB33BA"/>
    <w:rsid w:val="00EB33C3"/>
    <w:rsid w:val="00EB345F"/>
    <w:rsid w:val="00EB355A"/>
    <w:rsid w:val="00EB35C3"/>
    <w:rsid w:val="00EB35C7"/>
    <w:rsid w:val="00EB37F1"/>
    <w:rsid w:val="00EB392C"/>
    <w:rsid w:val="00EB39C8"/>
    <w:rsid w:val="00EB3AB9"/>
    <w:rsid w:val="00EB3AC6"/>
    <w:rsid w:val="00EB3B3A"/>
    <w:rsid w:val="00EB3B85"/>
    <w:rsid w:val="00EB3C5C"/>
    <w:rsid w:val="00EB3D65"/>
    <w:rsid w:val="00EB3E02"/>
    <w:rsid w:val="00EB3E7D"/>
    <w:rsid w:val="00EB3FD0"/>
    <w:rsid w:val="00EB4291"/>
    <w:rsid w:val="00EB42A8"/>
    <w:rsid w:val="00EB42DA"/>
    <w:rsid w:val="00EB430F"/>
    <w:rsid w:val="00EB4439"/>
    <w:rsid w:val="00EB44C6"/>
    <w:rsid w:val="00EB45A4"/>
    <w:rsid w:val="00EB464E"/>
    <w:rsid w:val="00EB488E"/>
    <w:rsid w:val="00EB4944"/>
    <w:rsid w:val="00EB494F"/>
    <w:rsid w:val="00EB4B63"/>
    <w:rsid w:val="00EB4BD1"/>
    <w:rsid w:val="00EB4D3E"/>
    <w:rsid w:val="00EB4D7E"/>
    <w:rsid w:val="00EB4DE2"/>
    <w:rsid w:val="00EB50CE"/>
    <w:rsid w:val="00EB550B"/>
    <w:rsid w:val="00EB55E6"/>
    <w:rsid w:val="00EB5601"/>
    <w:rsid w:val="00EB5817"/>
    <w:rsid w:val="00EB58D6"/>
    <w:rsid w:val="00EB590D"/>
    <w:rsid w:val="00EB59CB"/>
    <w:rsid w:val="00EB5AAD"/>
    <w:rsid w:val="00EB5AD2"/>
    <w:rsid w:val="00EB5BEE"/>
    <w:rsid w:val="00EB5C4F"/>
    <w:rsid w:val="00EB5C86"/>
    <w:rsid w:val="00EB5CC6"/>
    <w:rsid w:val="00EB5D31"/>
    <w:rsid w:val="00EB5D51"/>
    <w:rsid w:val="00EB5E74"/>
    <w:rsid w:val="00EB611F"/>
    <w:rsid w:val="00EB6169"/>
    <w:rsid w:val="00EB62B4"/>
    <w:rsid w:val="00EB6309"/>
    <w:rsid w:val="00EB645F"/>
    <w:rsid w:val="00EB6467"/>
    <w:rsid w:val="00EB6475"/>
    <w:rsid w:val="00EB6580"/>
    <w:rsid w:val="00EB6604"/>
    <w:rsid w:val="00EB68C2"/>
    <w:rsid w:val="00EB6A7E"/>
    <w:rsid w:val="00EB6B58"/>
    <w:rsid w:val="00EB6CAF"/>
    <w:rsid w:val="00EB6D1F"/>
    <w:rsid w:val="00EB6DCF"/>
    <w:rsid w:val="00EB6F31"/>
    <w:rsid w:val="00EB7027"/>
    <w:rsid w:val="00EB7152"/>
    <w:rsid w:val="00EB7291"/>
    <w:rsid w:val="00EB72C6"/>
    <w:rsid w:val="00EB7383"/>
    <w:rsid w:val="00EB73BE"/>
    <w:rsid w:val="00EB742B"/>
    <w:rsid w:val="00EB746E"/>
    <w:rsid w:val="00EB7479"/>
    <w:rsid w:val="00EB75E7"/>
    <w:rsid w:val="00EB7642"/>
    <w:rsid w:val="00EB76E7"/>
    <w:rsid w:val="00EB77C9"/>
    <w:rsid w:val="00EB7811"/>
    <w:rsid w:val="00EB7B7E"/>
    <w:rsid w:val="00EB7D15"/>
    <w:rsid w:val="00EB7DA4"/>
    <w:rsid w:val="00EB7EEC"/>
    <w:rsid w:val="00EC00A4"/>
    <w:rsid w:val="00EC00FF"/>
    <w:rsid w:val="00EC020C"/>
    <w:rsid w:val="00EC0220"/>
    <w:rsid w:val="00EC0278"/>
    <w:rsid w:val="00EC02B3"/>
    <w:rsid w:val="00EC0395"/>
    <w:rsid w:val="00EC03CA"/>
    <w:rsid w:val="00EC058C"/>
    <w:rsid w:val="00EC07B4"/>
    <w:rsid w:val="00EC0877"/>
    <w:rsid w:val="00EC097E"/>
    <w:rsid w:val="00EC0C70"/>
    <w:rsid w:val="00EC0DB8"/>
    <w:rsid w:val="00EC1000"/>
    <w:rsid w:val="00EC1116"/>
    <w:rsid w:val="00EC132E"/>
    <w:rsid w:val="00EC139C"/>
    <w:rsid w:val="00EC142A"/>
    <w:rsid w:val="00EC15A9"/>
    <w:rsid w:val="00EC1631"/>
    <w:rsid w:val="00EC16B9"/>
    <w:rsid w:val="00EC17BA"/>
    <w:rsid w:val="00EC196A"/>
    <w:rsid w:val="00EC19FC"/>
    <w:rsid w:val="00EC1A40"/>
    <w:rsid w:val="00EC1BD4"/>
    <w:rsid w:val="00EC1DC3"/>
    <w:rsid w:val="00EC1E1C"/>
    <w:rsid w:val="00EC1F91"/>
    <w:rsid w:val="00EC1FC3"/>
    <w:rsid w:val="00EC2017"/>
    <w:rsid w:val="00EC20D4"/>
    <w:rsid w:val="00EC20ED"/>
    <w:rsid w:val="00EC23CF"/>
    <w:rsid w:val="00EC23DB"/>
    <w:rsid w:val="00EC250A"/>
    <w:rsid w:val="00EC2689"/>
    <w:rsid w:val="00EC2810"/>
    <w:rsid w:val="00EC2813"/>
    <w:rsid w:val="00EC28A2"/>
    <w:rsid w:val="00EC28CE"/>
    <w:rsid w:val="00EC292C"/>
    <w:rsid w:val="00EC2AD4"/>
    <w:rsid w:val="00EC2B37"/>
    <w:rsid w:val="00EC2B3B"/>
    <w:rsid w:val="00EC2BAF"/>
    <w:rsid w:val="00EC2CF8"/>
    <w:rsid w:val="00EC2D2D"/>
    <w:rsid w:val="00EC2D77"/>
    <w:rsid w:val="00EC30F8"/>
    <w:rsid w:val="00EC3228"/>
    <w:rsid w:val="00EC3324"/>
    <w:rsid w:val="00EC33A3"/>
    <w:rsid w:val="00EC35B8"/>
    <w:rsid w:val="00EC35E4"/>
    <w:rsid w:val="00EC3607"/>
    <w:rsid w:val="00EC368C"/>
    <w:rsid w:val="00EC36F3"/>
    <w:rsid w:val="00EC36F8"/>
    <w:rsid w:val="00EC37AE"/>
    <w:rsid w:val="00EC37C9"/>
    <w:rsid w:val="00EC37E9"/>
    <w:rsid w:val="00EC387F"/>
    <w:rsid w:val="00EC3909"/>
    <w:rsid w:val="00EC3959"/>
    <w:rsid w:val="00EC3A0C"/>
    <w:rsid w:val="00EC3A4B"/>
    <w:rsid w:val="00EC3B93"/>
    <w:rsid w:val="00EC3BCF"/>
    <w:rsid w:val="00EC3DF6"/>
    <w:rsid w:val="00EC3E09"/>
    <w:rsid w:val="00EC3E65"/>
    <w:rsid w:val="00EC41E1"/>
    <w:rsid w:val="00EC437C"/>
    <w:rsid w:val="00EC4454"/>
    <w:rsid w:val="00EC464E"/>
    <w:rsid w:val="00EC46E3"/>
    <w:rsid w:val="00EC48F6"/>
    <w:rsid w:val="00EC4946"/>
    <w:rsid w:val="00EC4A4C"/>
    <w:rsid w:val="00EC501A"/>
    <w:rsid w:val="00EC5037"/>
    <w:rsid w:val="00EC50E7"/>
    <w:rsid w:val="00EC51B6"/>
    <w:rsid w:val="00EC526F"/>
    <w:rsid w:val="00EC5288"/>
    <w:rsid w:val="00EC52BB"/>
    <w:rsid w:val="00EC54FD"/>
    <w:rsid w:val="00EC55A7"/>
    <w:rsid w:val="00EC5930"/>
    <w:rsid w:val="00EC59F2"/>
    <w:rsid w:val="00EC5A5E"/>
    <w:rsid w:val="00EC5A7D"/>
    <w:rsid w:val="00EC5B03"/>
    <w:rsid w:val="00EC5B3E"/>
    <w:rsid w:val="00EC5B91"/>
    <w:rsid w:val="00EC5C01"/>
    <w:rsid w:val="00EC5DE1"/>
    <w:rsid w:val="00EC619F"/>
    <w:rsid w:val="00EC6240"/>
    <w:rsid w:val="00EC6253"/>
    <w:rsid w:val="00EC6339"/>
    <w:rsid w:val="00EC63CA"/>
    <w:rsid w:val="00EC63CD"/>
    <w:rsid w:val="00EC63F2"/>
    <w:rsid w:val="00EC648B"/>
    <w:rsid w:val="00EC64BC"/>
    <w:rsid w:val="00EC6578"/>
    <w:rsid w:val="00EC65DE"/>
    <w:rsid w:val="00EC66AC"/>
    <w:rsid w:val="00EC6787"/>
    <w:rsid w:val="00EC698E"/>
    <w:rsid w:val="00EC6A27"/>
    <w:rsid w:val="00EC6A53"/>
    <w:rsid w:val="00EC6A5B"/>
    <w:rsid w:val="00EC6AF1"/>
    <w:rsid w:val="00EC6B65"/>
    <w:rsid w:val="00EC6DB6"/>
    <w:rsid w:val="00EC6DF5"/>
    <w:rsid w:val="00EC6F0D"/>
    <w:rsid w:val="00EC6F3C"/>
    <w:rsid w:val="00EC6F4B"/>
    <w:rsid w:val="00EC6F7F"/>
    <w:rsid w:val="00EC7012"/>
    <w:rsid w:val="00EC7017"/>
    <w:rsid w:val="00EC7285"/>
    <w:rsid w:val="00EC73DE"/>
    <w:rsid w:val="00EC753F"/>
    <w:rsid w:val="00EC76B6"/>
    <w:rsid w:val="00EC7704"/>
    <w:rsid w:val="00EC7711"/>
    <w:rsid w:val="00EC77CF"/>
    <w:rsid w:val="00EC79C0"/>
    <w:rsid w:val="00EC7B99"/>
    <w:rsid w:val="00EC7D51"/>
    <w:rsid w:val="00EC7E28"/>
    <w:rsid w:val="00EC7E50"/>
    <w:rsid w:val="00EC7E66"/>
    <w:rsid w:val="00EC7F11"/>
    <w:rsid w:val="00EC7F60"/>
    <w:rsid w:val="00ED00AE"/>
    <w:rsid w:val="00ED00EC"/>
    <w:rsid w:val="00ED0167"/>
    <w:rsid w:val="00ED040A"/>
    <w:rsid w:val="00ED04EF"/>
    <w:rsid w:val="00ED0738"/>
    <w:rsid w:val="00ED0840"/>
    <w:rsid w:val="00ED0A0A"/>
    <w:rsid w:val="00ED0A70"/>
    <w:rsid w:val="00ED0A75"/>
    <w:rsid w:val="00ED0C2A"/>
    <w:rsid w:val="00ED0CCB"/>
    <w:rsid w:val="00ED0D26"/>
    <w:rsid w:val="00ED0D50"/>
    <w:rsid w:val="00ED0DCC"/>
    <w:rsid w:val="00ED0F0E"/>
    <w:rsid w:val="00ED0F63"/>
    <w:rsid w:val="00ED0FA8"/>
    <w:rsid w:val="00ED0FCD"/>
    <w:rsid w:val="00ED1397"/>
    <w:rsid w:val="00ED13A1"/>
    <w:rsid w:val="00ED1425"/>
    <w:rsid w:val="00ED1444"/>
    <w:rsid w:val="00ED16F4"/>
    <w:rsid w:val="00ED1A53"/>
    <w:rsid w:val="00ED1AC5"/>
    <w:rsid w:val="00ED1AD3"/>
    <w:rsid w:val="00ED1BBB"/>
    <w:rsid w:val="00ED1BC7"/>
    <w:rsid w:val="00ED1C5D"/>
    <w:rsid w:val="00ED1C6B"/>
    <w:rsid w:val="00ED1F1E"/>
    <w:rsid w:val="00ED1F9D"/>
    <w:rsid w:val="00ED2105"/>
    <w:rsid w:val="00ED2151"/>
    <w:rsid w:val="00ED220B"/>
    <w:rsid w:val="00ED220D"/>
    <w:rsid w:val="00ED23C8"/>
    <w:rsid w:val="00ED23F4"/>
    <w:rsid w:val="00ED248A"/>
    <w:rsid w:val="00ED2577"/>
    <w:rsid w:val="00ED264A"/>
    <w:rsid w:val="00ED272D"/>
    <w:rsid w:val="00ED2757"/>
    <w:rsid w:val="00ED299B"/>
    <w:rsid w:val="00ED29EF"/>
    <w:rsid w:val="00ED2A75"/>
    <w:rsid w:val="00ED2EB0"/>
    <w:rsid w:val="00ED2F06"/>
    <w:rsid w:val="00ED2F47"/>
    <w:rsid w:val="00ED2F4B"/>
    <w:rsid w:val="00ED3266"/>
    <w:rsid w:val="00ED3445"/>
    <w:rsid w:val="00ED3462"/>
    <w:rsid w:val="00ED3663"/>
    <w:rsid w:val="00ED36D0"/>
    <w:rsid w:val="00ED3BDA"/>
    <w:rsid w:val="00ED3C47"/>
    <w:rsid w:val="00ED3CFB"/>
    <w:rsid w:val="00ED3D30"/>
    <w:rsid w:val="00ED3E38"/>
    <w:rsid w:val="00ED40FC"/>
    <w:rsid w:val="00ED4100"/>
    <w:rsid w:val="00ED4364"/>
    <w:rsid w:val="00ED4461"/>
    <w:rsid w:val="00ED45FD"/>
    <w:rsid w:val="00ED462E"/>
    <w:rsid w:val="00ED46F4"/>
    <w:rsid w:val="00ED4877"/>
    <w:rsid w:val="00ED48E0"/>
    <w:rsid w:val="00ED48EA"/>
    <w:rsid w:val="00ED4AFD"/>
    <w:rsid w:val="00ED4B87"/>
    <w:rsid w:val="00ED4B8F"/>
    <w:rsid w:val="00ED4B94"/>
    <w:rsid w:val="00ED4D52"/>
    <w:rsid w:val="00ED5047"/>
    <w:rsid w:val="00ED507B"/>
    <w:rsid w:val="00ED5174"/>
    <w:rsid w:val="00ED5210"/>
    <w:rsid w:val="00ED5305"/>
    <w:rsid w:val="00ED5309"/>
    <w:rsid w:val="00ED530E"/>
    <w:rsid w:val="00ED551F"/>
    <w:rsid w:val="00ED5666"/>
    <w:rsid w:val="00ED56B0"/>
    <w:rsid w:val="00ED5770"/>
    <w:rsid w:val="00ED5791"/>
    <w:rsid w:val="00ED58D0"/>
    <w:rsid w:val="00ED58FC"/>
    <w:rsid w:val="00ED5AEB"/>
    <w:rsid w:val="00ED5D9F"/>
    <w:rsid w:val="00ED5E69"/>
    <w:rsid w:val="00ED61B5"/>
    <w:rsid w:val="00ED6397"/>
    <w:rsid w:val="00ED6564"/>
    <w:rsid w:val="00ED6597"/>
    <w:rsid w:val="00ED6599"/>
    <w:rsid w:val="00ED6635"/>
    <w:rsid w:val="00ED6829"/>
    <w:rsid w:val="00ED6947"/>
    <w:rsid w:val="00ED6967"/>
    <w:rsid w:val="00ED6976"/>
    <w:rsid w:val="00ED69F0"/>
    <w:rsid w:val="00ED6B7B"/>
    <w:rsid w:val="00ED6CC1"/>
    <w:rsid w:val="00ED6CDA"/>
    <w:rsid w:val="00ED6D1A"/>
    <w:rsid w:val="00ED6D2B"/>
    <w:rsid w:val="00ED6D6E"/>
    <w:rsid w:val="00ED6D81"/>
    <w:rsid w:val="00ED6DD3"/>
    <w:rsid w:val="00ED6E81"/>
    <w:rsid w:val="00ED6F28"/>
    <w:rsid w:val="00ED6FE8"/>
    <w:rsid w:val="00ED70E2"/>
    <w:rsid w:val="00ED7156"/>
    <w:rsid w:val="00ED72A0"/>
    <w:rsid w:val="00ED73CD"/>
    <w:rsid w:val="00ED73ED"/>
    <w:rsid w:val="00ED7436"/>
    <w:rsid w:val="00ED74F7"/>
    <w:rsid w:val="00ED75FA"/>
    <w:rsid w:val="00ED7655"/>
    <w:rsid w:val="00ED767C"/>
    <w:rsid w:val="00ED76C1"/>
    <w:rsid w:val="00ED78FD"/>
    <w:rsid w:val="00ED7999"/>
    <w:rsid w:val="00ED799F"/>
    <w:rsid w:val="00ED79DB"/>
    <w:rsid w:val="00ED79FA"/>
    <w:rsid w:val="00ED7AE7"/>
    <w:rsid w:val="00ED7AF8"/>
    <w:rsid w:val="00ED7B55"/>
    <w:rsid w:val="00ED7C39"/>
    <w:rsid w:val="00ED7C7F"/>
    <w:rsid w:val="00ED7D42"/>
    <w:rsid w:val="00ED7E32"/>
    <w:rsid w:val="00ED7EDC"/>
    <w:rsid w:val="00ED7FF9"/>
    <w:rsid w:val="00EE0133"/>
    <w:rsid w:val="00EE015F"/>
    <w:rsid w:val="00EE016E"/>
    <w:rsid w:val="00EE02CB"/>
    <w:rsid w:val="00EE02E2"/>
    <w:rsid w:val="00EE02E8"/>
    <w:rsid w:val="00EE032A"/>
    <w:rsid w:val="00EE037A"/>
    <w:rsid w:val="00EE0610"/>
    <w:rsid w:val="00EE0686"/>
    <w:rsid w:val="00EE07D6"/>
    <w:rsid w:val="00EE0895"/>
    <w:rsid w:val="00EE08D3"/>
    <w:rsid w:val="00EE0B99"/>
    <w:rsid w:val="00EE0C99"/>
    <w:rsid w:val="00EE0CEC"/>
    <w:rsid w:val="00EE0D20"/>
    <w:rsid w:val="00EE0E08"/>
    <w:rsid w:val="00EE0E57"/>
    <w:rsid w:val="00EE0ED9"/>
    <w:rsid w:val="00EE0FCF"/>
    <w:rsid w:val="00EE1055"/>
    <w:rsid w:val="00EE105E"/>
    <w:rsid w:val="00EE11CB"/>
    <w:rsid w:val="00EE1223"/>
    <w:rsid w:val="00EE128F"/>
    <w:rsid w:val="00EE1326"/>
    <w:rsid w:val="00EE1451"/>
    <w:rsid w:val="00EE19EA"/>
    <w:rsid w:val="00EE1A4A"/>
    <w:rsid w:val="00EE1B54"/>
    <w:rsid w:val="00EE1C18"/>
    <w:rsid w:val="00EE1EF9"/>
    <w:rsid w:val="00EE1F2F"/>
    <w:rsid w:val="00EE200B"/>
    <w:rsid w:val="00EE21CD"/>
    <w:rsid w:val="00EE21F2"/>
    <w:rsid w:val="00EE2251"/>
    <w:rsid w:val="00EE230A"/>
    <w:rsid w:val="00EE234B"/>
    <w:rsid w:val="00EE23FE"/>
    <w:rsid w:val="00EE2443"/>
    <w:rsid w:val="00EE2448"/>
    <w:rsid w:val="00EE24E3"/>
    <w:rsid w:val="00EE250C"/>
    <w:rsid w:val="00EE2533"/>
    <w:rsid w:val="00EE26B6"/>
    <w:rsid w:val="00EE2726"/>
    <w:rsid w:val="00EE290D"/>
    <w:rsid w:val="00EE293D"/>
    <w:rsid w:val="00EE294A"/>
    <w:rsid w:val="00EE29D0"/>
    <w:rsid w:val="00EE2A36"/>
    <w:rsid w:val="00EE2CC1"/>
    <w:rsid w:val="00EE2E0F"/>
    <w:rsid w:val="00EE3067"/>
    <w:rsid w:val="00EE3083"/>
    <w:rsid w:val="00EE31A0"/>
    <w:rsid w:val="00EE31A7"/>
    <w:rsid w:val="00EE31E3"/>
    <w:rsid w:val="00EE326B"/>
    <w:rsid w:val="00EE3370"/>
    <w:rsid w:val="00EE3394"/>
    <w:rsid w:val="00EE33CD"/>
    <w:rsid w:val="00EE3577"/>
    <w:rsid w:val="00EE3618"/>
    <w:rsid w:val="00EE36AE"/>
    <w:rsid w:val="00EE36CB"/>
    <w:rsid w:val="00EE3711"/>
    <w:rsid w:val="00EE385D"/>
    <w:rsid w:val="00EE3906"/>
    <w:rsid w:val="00EE3A05"/>
    <w:rsid w:val="00EE3BA1"/>
    <w:rsid w:val="00EE3C33"/>
    <w:rsid w:val="00EE3EB8"/>
    <w:rsid w:val="00EE3FBE"/>
    <w:rsid w:val="00EE4100"/>
    <w:rsid w:val="00EE42C9"/>
    <w:rsid w:val="00EE44F1"/>
    <w:rsid w:val="00EE4623"/>
    <w:rsid w:val="00EE47BA"/>
    <w:rsid w:val="00EE4CAA"/>
    <w:rsid w:val="00EE4D10"/>
    <w:rsid w:val="00EE4FD0"/>
    <w:rsid w:val="00EE5010"/>
    <w:rsid w:val="00EE5227"/>
    <w:rsid w:val="00EE52E9"/>
    <w:rsid w:val="00EE5494"/>
    <w:rsid w:val="00EE55F0"/>
    <w:rsid w:val="00EE5803"/>
    <w:rsid w:val="00EE59B4"/>
    <w:rsid w:val="00EE5A8D"/>
    <w:rsid w:val="00EE5F5C"/>
    <w:rsid w:val="00EE6079"/>
    <w:rsid w:val="00EE60A2"/>
    <w:rsid w:val="00EE62F3"/>
    <w:rsid w:val="00EE6307"/>
    <w:rsid w:val="00EE6338"/>
    <w:rsid w:val="00EE63FA"/>
    <w:rsid w:val="00EE640F"/>
    <w:rsid w:val="00EE65E2"/>
    <w:rsid w:val="00EE66D4"/>
    <w:rsid w:val="00EE66E4"/>
    <w:rsid w:val="00EE6795"/>
    <w:rsid w:val="00EE68B0"/>
    <w:rsid w:val="00EE68BE"/>
    <w:rsid w:val="00EE6A53"/>
    <w:rsid w:val="00EE6A91"/>
    <w:rsid w:val="00EE6B03"/>
    <w:rsid w:val="00EE6CBD"/>
    <w:rsid w:val="00EE6D3F"/>
    <w:rsid w:val="00EE6E4A"/>
    <w:rsid w:val="00EE6F55"/>
    <w:rsid w:val="00EE6F5D"/>
    <w:rsid w:val="00EE708A"/>
    <w:rsid w:val="00EE71E5"/>
    <w:rsid w:val="00EE720A"/>
    <w:rsid w:val="00EE725F"/>
    <w:rsid w:val="00EE7266"/>
    <w:rsid w:val="00EE7315"/>
    <w:rsid w:val="00EE732A"/>
    <w:rsid w:val="00EE7562"/>
    <w:rsid w:val="00EE75C1"/>
    <w:rsid w:val="00EE75DF"/>
    <w:rsid w:val="00EE75F5"/>
    <w:rsid w:val="00EE770D"/>
    <w:rsid w:val="00EE7809"/>
    <w:rsid w:val="00EE7829"/>
    <w:rsid w:val="00EE7A94"/>
    <w:rsid w:val="00EE7AE6"/>
    <w:rsid w:val="00EE7B02"/>
    <w:rsid w:val="00EE7B84"/>
    <w:rsid w:val="00EE7BC5"/>
    <w:rsid w:val="00EE7BFC"/>
    <w:rsid w:val="00EE7E9B"/>
    <w:rsid w:val="00EE7EA4"/>
    <w:rsid w:val="00EE7EC2"/>
    <w:rsid w:val="00EE7F4C"/>
    <w:rsid w:val="00EF0065"/>
    <w:rsid w:val="00EF006B"/>
    <w:rsid w:val="00EF0129"/>
    <w:rsid w:val="00EF023B"/>
    <w:rsid w:val="00EF0363"/>
    <w:rsid w:val="00EF0365"/>
    <w:rsid w:val="00EF0499"/>
    <w:rsid w:val="00EF05A2"/>
    <w:rsid w:val="00EF0711"/>
    <w:rsid w:val="00EF08E3"/>
    <w:rsid w:val="00EF0C6A"/>
    <w:rsid w:val="00EF0C71"/>
    <w:rsid w:val="00EF0E34"/>
    <w:rsid w:val="00EF0FBE"/>
    <w:rsid w:val="00EF1059"/>
    <w:rsid w:val="00EF122B"/>
    <w:rsid w:val="00EF1231"/>
    <w:rsid w:val="00EF12CC"/>
    <w:rsid w:val="00EF132A"/>
    <w:rsid w:val="00EF1354"/>
    <w:rsid w:val="00EF146C"/>
    <w:rsid w:val="00EF1547"/>
    <w:rsid w:val="00EF1606"/>
    <w:rsid w:val="00EF18BE"/>
    <w:rsid w:val="00EF1914"/>
    <w:rsid w:val="00EF191E"/>
    <w:rsid w:val="00EF1965"/>
    <w:rsid w:val="00EF1969"/>
    <w:rsid w:val="00EF1971"/>
    <w:rsid w:val="00EF1B9F"/>
    <w:rsid w:val="00EF1D4C"/>
    <w:rsid w:val="00EF1D5D"/>
    <w:rsid w:val="00EF1DC9"/>
    <w:rsid w:val="00EF1E40"/>
    <w:rsid w:val="00EF1E57"/>
    <w:rsid w:val="00EF1E64"/>
    <w:rsid w:val="00EF1EF4"/>
    <w:rsid w:val="00EF1F14"/>
    <w:rsid w:val="00EF1F8A"/>
    <w:rsid w:val="00EF1F98"/>
    <w:rsid w:val="00EF20AF"/>
    <w:rsid w:val="00EF234C"/>
    <w:rsid w:val="00EF23B8"/>
    <w:rsid w:val="00EF250A"/>
    <w:rsid w:val="00EF25FF"/>
    <w:rsid w:val="00EF2866"/>
    <w:rsid w:val="00EF286B"/>
    <w:rsid w:val="00EF293B"/>
    <w:rsid w:val="00EF2A08"/>
    <w:rsid w:val="00EF2BC7"/>
    <w:rsid w:val="00EF2E4D"/>
    <w:rsid w:val="00EF2EAB"/>
    <w:rsid w:val="00EF3021"/>
    <w:rsid w:val="00EF30C8"/>
    <w:rsid w:val="00EF31DC"/>
    <w:rsid w:val="00EF3251"/>
    <w:rsid w:val="00EF327E"/>
    <w:rsid w:val="00EF33DF"/>
    <w:rsid w:val="00EF3427"/>
    <w:rsid w:val="00EF3442"/>
    <w:rsid w:val="00EF344F"/>
    <w:rsid w:val="00EF347E"/>
    <w:rsid w:val="00EF3671"/>
    <w:rsid w:val="00EF36D0"/>
    <w:rsid w:val="00EF3836"/>
    <w:rsid w:val="00EF3987"/>
    <w:rsid w:val="00EF3AC8"/>
    <w:rsid w:val="00EF3BE8"/>
    <w:rsid w:val="00EF3C28"/>
    <w:rsid w:val="00EF3C4B"/>
    <w:rsid w:val="00EF3D33"/>
    <w:rsid w:val="00EF3DF8"/>
    <w:rsid w:val="00EF3E0D"/>
    <w:rsid w:val="00EF3F7F"/>
    <w:rsid w:val="00EF40CF"/>
    <w:rsid w:val="00EF413E"/>
    <w:rsid w:val="00EF41F3"/>
    <w:rsid w:val="00EF42E5"/>
    <w:rsid w:val="00EF43A2"/>
    <w:rsid w:val="00EF445A"/>
    <w:rsid w:val="00EF4672"/>
    <w:rsid w:val="00EF475F"/>
    <w:rsid w:val="00EF4897"/>
    <w:rsid w:val="00EF4A28"/>
    <w:rsid w:val="00EF4A3A"/>
    <w:rsid w:val="00EF4B07"/>
    <w:rsid w:val="00EF4BFB"/>
    <w:rsid w:val="00EF4D63"/>
    <w:rsid w:val="00EF4E33"/>
    <w:rsid w:val="00EF4E7C"/>
    <w:rsid w:val="00EF4F43"/>
    <w:rsid w:val="00EF4F67"/>
    <w:rsid w:val="00EF5074"/>
    <w:rsid w:val="00EF517B"/>
    <w:rsid w:val="00EF5211"/>
    <w:rsid w:val="00EF52FE"/>
    <w:rsid w:val="00EF5348"/>
    <w:rsid w:val="00EF53F0"/>
    <w:rsid w:val="00EF5548"/>
    <w:rsid w:val="00EF554C"/>
    <w:rsid w:val="00EF55DE"/>
    <w:rsid w:val="00EF563D"/>
    <w:rsid w:val="00EF58DA"/>
    <w:rsid w:val="00EF5B8B"/>
    <w:rsid w:val="00EF5D65"/>
    <w:rsid w:val="00EF5E03"/>
    <w:rsid w:val="00EF5EFA"/>
    <w:rsid w:val="00EF5FD5"/>
    <w:rsid w:val="00EF608E"/>
    <w:rsid w:val="00EF624C"/>
    <w:rsid w:val="00EF6530"/>
    <w:rsid w:val="00EF669D"/>
    <w:rsid w:val="00EF6764"/>
    <w:rsid w:val="00EF6920"/>
    <w:rsid w:val="00EF6A7B"/>
    <w:rsid w:val="00EF6B20"/>
    <w:rsid w:val="00EF6C22"/>
    <w:rsid w:val="00EF6C2C"/>
    <w:rsid w:val="00EF6CAF"/>
    <w:rsid w:val="00EF6CF1"/>
    <w:rsid w:val="00EF6DAC"/>
    <w:rsid w:val="00EF705B"/>
    <w:rsid w:val="00EF70BD"/>
    <w:rsid w:val="00EF7146"/>
    <w:rsid w:val="00EF71AE"/>
    <w:rsid w:val="00EF74BB"/>
    <w:rsid w:val="00EF756D"/>
    <w:rsid w:val="00EF75F0"/>
    <w:rsid w:val="00EF76FC"/>
    <w:rsid w:val="00EF77B8"/>
    <w:rsid w:val="00EF797E"/>
    <w:rsid w:val="00EF7991"/>
    <w:rsid w:val="00EF7B71"/>
    <w:rsid w:val="00EF7B72"/>
    <w:rsid w:val="00EF7D07"/>
    <w:rsid w:val="00EF7DBD"/>
    <w:rsid w:val="00EF7F9C"/>
    <w:rsid w:val="00EF7FE7"/>
    <w:rsid w:val="00F00040"/>
    <w:rsid w:val="00F00059"/>
    <w:rsid w:val="00F000DD"/>
    <w:rsid w:val="00F0010C"/>
    <w:rsid w:val="00F001B7"/>
    <w:rsid w:val="00F002FB"/>
    <w:rsid w:val="00F0036D"/>
    <w:rsid w:val="00F0046D"/>
    <w:rsid w:val="00F00510"/>
    <w:rsid w:val="00F005CA"/>
    <w:rsid w:val="00F0062F"/>
    <w:rsid w:val="00F006B0"/>
    <w:rsid w:val="00F00792"/>
    <w:rsid w:val="00F0094C"/>
    <w:rsid w:val="00F009B2"/>
    <w:rsid w:val="00F009CB"/>
    <w:rsid w:val="00F009F8"/>
    <w:rsid w:val="00F00C18"/>
    <w:rsid w:val="00F00C6B"/>
    <w:rsid w:val="00F00CBB"/>
    <w:rsid w:val="00F00D4A"/>
    <w:rsid w:val="00F00D95"/>
    <w:rsid w:val="00F00F33"/>
    <w:rsid w:val="00F01074"/>
    <w:rsid w:val="00F01095"/>
    <w:rsid w:val="00F012E5"/>
    <w:rsid w:val="00F01345"/>
    <w:rsid w:val="00F0139E"/>
    <w:rsid w:val="00F013A2"/>
    <w:rsid w:val="00F013C2"/>
    <w:rsid w:val="00F01416"/>
    <w:rsid w:val="00F014F7"/>
    <w:rsid w:val="00F01545"/>
    <w:rsid w:val="00F017F3"/>
    <w:rsid w:val="00F018A1"/>
    <w:rsid w:val="00F01963"/>
    <w:rsid w:val="00F019F1"/>
    <w:rsid w:val="00F01A54"/>
    <w:rsid w:val="00F01A66"/>
    <w:rsid w:val="00F01C07"/>
    <w:rsid w:val="00F01D14"/>
    <w:rsid w:val="00F01EFF"/>
    <w:rsid w:val="00F01F36"/>
    <w:rsid w:val="00F01F41"/>
    <w:rsid w:val="00F020B0"/>
    <w:rsid w:val="00F020F8"/>
    <w:rsid w:val="00F02159"/>
    <w:rsid w:val="00F02195"/>
    <w:rsid w:val="00F0228E"/>
    <w:rsid w:val="00F023E7"/>
    <w:rsid w:val="00F025DE"/>
    <w:rsid w:val="00F02651"/>
    <w:rsid w:val="00F026A4"/>
    <w:rsid w:val="00F026F5"/>
    <w:rsid w:val="00F02713"/>
    <w:rsid w:val="00F0278D"/>
    <w:rsid w:val="00F0281F"/>
    <w:rsid w:val="00F02891"/>
    <w:rsid w:val="00F02904"/>
    <w:rsid w:val="00F02957"/>
    <w:rsid w:val="00F02AE2"/>
    <w:rsid w:val="00F02BCE"/>
    <w:rsid w:val="00F02CFD"/>
    <w:rsid w:val="00F02DD6"/>
    <w:rsid w:val="00F02E14"/>
    <w:rsid w:val="00F02EF1"/>
    <w:rsid w:val="00F032DA"/>
    <w:rsid w:val="00F03370"/>
    <w:rsid w:val="00F03389"/>
    <w:rsid w:val="00F0346D"/>
    <w:rsid w:val="00F03831"/>
    <w:rsid w:val="00F038FF"/>
    <w:rsid w:val="00F03AFC"/>
    <w:rsid w:val="00F03D12"/>
    <w:rsid w:val="00F03D69"/>
    <w:rsid w:val="00F03E49"/>
    <w:rsid w:val="00F03ECD"/>
    <w:rsid w:val="00F040BB"/>
    <w:rsid w:val="00F04105"/>
    <w:rsid w:val="00F04145"/>
    <w:rsid w:val="00F04194"/>
    <w:rsid w:val="00F04237"/>
    <w:rsid w:val="00F0427E"/>
    <w:rsid w:val="00F044F9"/>
    <w:rsid w:val="00F046D8"/>
    <w:rsid w:val="00F04728"/>
    <w:rsid w:val="00F04808"/>
    <w:rsid w:val="00F0482A"/>
    <w:rsid w:val="00F049C2"/>
    <w:rsid w:val="00F04B81"/>
    <w:rsid w:val="00F04BA2"/>
    <w:rsid w:val="00F04BA6"/>
    <w:rsid w:val="00F04C64"/>
    <w:rsid w:val="00F04C67"/>
    <w:rsid w:val="00F04D64"/>
    <w:rsid w:val="00F04E58"/>
    <w:rsid w:val="00F04E5E"/>
    <w:rsid w:val="00F04ED1"/>
    <w:rsid w:val="00F05089"/>
    <w:rsid w:val="00F0531D"/>
    <w:rsid w:val="00F05517"/>
    <w:rsid w:val="00F055E2"/>
    <w:rsid w:val="00F058FA"/>
    <w:rsid w:val="00F05927"/>
    <w:rsid w:val="00F05A37"/>
    <w:rsid w:val="00F05A74"/>
    <w:rsid w:val="00F05B3A"/>
    <w:rsid w:val="00F05BE1"/>
    <w:rsid w:val="00F05C5C"/>
    <w:rsid w:val="00F05D99"/>
    <w:rsid w:val="00F05E3E"/>
    <w:rsid w:val="00F05E5B"/>
    <w:rsid w:val="00F05E98"/>
    <w:rsid w:val="00F05EDD"/>
    <w:rsid w:val="00F05FF8"/>
    <w:rsid w:val="00F060D6"/>
    <w:rsid w:val="00F06163"/>
    <w:rsid w:val="00F0617D"/>
    <w:rsid w:val="00F06303"/>
    <w:rsid w:val="00F06361"/>
    <w:rsid w:val="00F0639A"/>
    <w:rsid w:val="00F065B1"/>
    <w:rsid w:val="00F068C0"/>
    <w:rsid w:val="00F06928"/>
    <w:rsid w:val="00F06AA2"/>
    <w:rsid w:val="00F06AFE"/>
    <w:rsid w:val="00F06B62"/>
    <w:rsid w:val="00F06C0E"/>
    <w:rsid w:val="00F06C2E"/>
    <w:rsid w:val="00F06CC2"/>
    <w:rsid w:val="00F06EF0"/>
    <w:rsid w:val="00F07172"/>
    <w:rsid w:val="00F071DB"/>
    <w:rsid w:val="00F072D9"/>
    <w:rsid w:val="00F07303"/>
    <w:rsid w:val="00F0740D"/>
    <w:rsid w:val="00F07439"/>
    <w:rsid w:val="00F0751A"/>
    <w:rsid w:val="00F0755A"/>
    <w:rsid w:val="00F07759"/>
    <w:rsid w:val="00F077CA"/>
    <w:rsid w:val="00F078C2"/>
    <w:rsid w:val="00F079A2"/>
    <w:rsid w:val="00F07B46"/>
    <w:rsid w:val="00F07BB9"/>
    <w:rsid w:val="00F07DDD"/>
    <w:rsid w:val="00F07DE1"/>
    <w:rsid w:val="00F100D5"/>
    <w:rsid w:val="00F101E4"/>
    <w:rsid w:val="00F10287"/>
    <w:rsid w:val="00F102B6"/>
    <w:rsid w:val="00F10410"/>
    <w:rsid w:val="00F1046D"/>
    <w:rsid w:val="00F10629"/>
    <w:rsid w:val="00F106B2"/>
    <w:rsid w:val="00F107D6"/>
    <w:rsid w:val="00F107DC"/>
    <w:rsid w:val="00F10806"/>
    <w:rsid w:val="00F1089D"/>
    <w:rsid w:val="00F108A8"/>
    <w:rsid w:val="00F108AD"/>
    <w:rsid w:val="00F108F3"/>
    <w:rsid w:val="00F10924"/>
    <w:rsid w:val="00F109D7"/>
    <w:rsid w:val="00F10A0A"/>
    <w:rsid w:val="00F10A5A"/>
    <w:rsid w:val="00F10AC3"/>
    <w:rsid w:val="00F10B16"/>
    <w:rsid w:val="00F10B52"/>
    <w:rsid w:val="00F10BAE"/>
    <w:rsid w:val="00F10C29"/>
    <w:rsid w:val="00F10D48"/>
    <w:rsid w:val="00F10E18"/>
    <w:rsid w:val="00F10E4E"/>
    <w:rsid w:val="00F10E62"/>
    <w:rsid w:val="00F10F9F"/>
    <w:rsid w:val="00F10FCC"/>
    <w:rsid w:val="00F1103F"/>
    <w:rsid w:val="00F11154"/>
    <w:rsid w:val="00F112F2"/>
    <w:rsid w:val="00F1130D"/>
    <w:rsid w:val="00F11359"/>
    <w:rsid w:val="00F11411"/>
    <w:rsid w:val="00F1183E"/>
    <w:rsid w:val="00F11989"/>
    <w:rsid w:val="00F11994"/>
    <w:rsid w:val="00F119BA"/>
    <w:rsid w:val="00F119DC"/>
    <w:rsid w:val="00F11A82"/>
    <w:rsid w:val="00F11AC0"/>
    <w:rsid w:val="00F11CAA"/>
    <w:rsid w:val="00F11CC1"/>
    <w:rsid w:val="00F11EE8"/>
    <w:rsid w:val="00F121F4"/>
    <w:rsid w:val="00F1228C"/>
    <w:rsid w:val="00F12377"/>
    <w:rsid w:val="00F124AB"/>
    <w:rsid w:val="00F12507"/>
    <w:rsid w:val="00F12550"/>
    <w:rsid w:val="00F12695"/>
    <w:rsid w:val="00F12D87"/>
    <w:rsid w:val="00F12E53"/>
    <w:rsid w:val="00F13123"/>
    <w:rsid w:val="00F1317C"/>
    <w:rsid w:val="00F13245"/>
    <w:rsid w:val="00F13339"/>
    <w:rsid w:val="00F13423"/>
    <w:rsid w:val="00F13551"/>
    <w:rsid w:val="00F1363D"/>
    <w:rsid w:val="00F1377C"/>
    <w:rsid w:val="00F13780"/>
    <w:rsid w:val="00F138D3"/>
    <w:rsid w:val="00F13969"/>
    <w:rsid w:val="00F13A5C"/>
    <w:rsid w:val="00F13A8C"/>
    <w:rsid w:val="00F13B0F"/>
    <w:rsid w:val="00F13B10"/>
    <w:rsid w:val="00F13B88"/>
    <w:rsid w:val="00F13B9C"/>
    <w:rsid w:val="00F13C95"/>
    <w:rsid w:val="00F13D3F"/>
    <w:rsid w:val="00F13F3A"/>
    <w:rsid w:val="00F13FD4"/>
    <w:rsid w:val="00F141EE"/>
    <w:rsid w:val="00F142BB"/>
    <w:rsid w:val="00F1431E"/>
    <w:rsid w:val="00F143F1"/>
    <w:rsid w:val="00F145D8"/>
    <w:rsid w:val="00F14605"/>
    <w:rsid w:val="00F146A5"/>
    <w:rsid w:val="00F14700"/>
    <w:rsid w:val="00F14854"/>
    <w:rsid w:val="00F1495B"/>
    <w:rsid w:val="00F14B72"/>
    <w:rsid w:val="00F14B9A"/>
    <w:rsid w:val="00F14D2F"/>
    <w:rsid w:val="00F14E35"/>
    <w:rsid w:val="00F150B0"/>
    <w:rsid w:val="00F1525C"/>
    <w:rsid w:val="00F152A2"/>
    <w:rsid w:val="00F152FD"/>
    <w:rsid w:val="00F1548E"/>
    <w:rsid w:val="00F154B0"/>
    <w:rsid w:val="00F15573"/>
    <w:rsid w:val="00F1560C"/>
    <w:rsid w:val="00F15640"/>
    <w:rsid w:val="00F156A6"/>
    <w:rsid w:val="00F156D7"/>
    <w:rsid w:val="00F1573A"/>
    <w:rsid w:val="00F15839"/>
    <w:rsid w:val="00F1585A"/>
    <w:rsid w:val="00F15892"/>
    <w:rsid w:val="00F158E9"/>
    <w:rsid w:val="00F15938"/>
    <w:rsid w:val="00F15AA8"/>
    <w:rsid w:val="00F15B8A"/>
    <w:rsid w:val="00F15BEA"/>
    <w:rsid w:val="00F15C47"/>
    <w:rsid w:val="00F15CB9"/>
    <w:rsid w:val="00F15CEC"/>
    <w:rsid w:val="00F15D20"/>
    <w:rsid w:val="00F15E1D"/>
    <w:rsid w:val="00F15F08"/>
    <w:rsid w:val="00F1610C"/>
    <w:rsid w:val="00F16166"/>
    <w:rsid w:val="00F163CF"/>
    <w:rsid w:val="00F16569"/>
    <w:rsid w:val="00F16759"/>
    <w:rsid w:val="00F1676E"/>
    <w:rsid w:val="00F167AB"/>
    <w:rsid w:val="00F1685D"/>
    <w:rsid w:val="00F16864"/>
    <w:rsid w:val="00F16AD5"/>
    <w:rsid w:val="00F16BDB"/>
    <w:rsid w:val="00F16E63"/>
    <w:rsid w:val="00F16E9F"/>
    <w:rsid w:val="00F16F32"/>
    <w:rsid w:val="00F170CA"/>
    <w:rsid w:val="00F17213"/>
    <w:rsid w:val="00F17435"/>
    <w:rsid w:val="00F17509"/>
    <w:rsid w:val="00F175A6"/>
    <w:rsid w:val="00F1761F"/>
    <w:rsid w:val="00F17629"/>
    <w:rsid w:val="00F17646"/>
    <w:rsid w:val="00F176CD"/>
    <w:rsid w:val="00F1776B"/>
    <w:rsid w:val="00F178A9"/>
    <w:rsid w:val="00F178DE"/>
    <w:rsid w:val="00F178E8"/>
    <w:rsid w:val="00F179A9"/>
    <w:rsid w:val="00F179D5"/>
    <w:rsid w:val="00F17A53"/>
    <w:rsid w:val="00F17AE0"/>
    <w:rsid w:val="00F17BDD"/>
    <w:rsid w:val="00F17CAC"/>
    <w:rsid w:val="00F17EA9"/>
    <w:rsid w:val="00F17EF3"/>
    <w:rsid w:val="00F17F6D"/>
    <w:rsid w:val="00F201D7"/>
    <w:rsid w:val="00F20213"/>
    <w:rsid w:val="00F20378"/>
    <w:rsid w:val="00F205CD"/>
    <w:rsid w:val="00F20639"/>
    <w:rsid w:val="00F20833"/>
    <w:rsid w:val="00F20AE4"/>
    <w:rsid w:val="00F20D55"/>
    <w:rsid w:val="00F20DD7"/>
    <w:rsid w:val="00F20E77"/>
    <w:rsid w:val="00F20EBB"/>
    <w:rsid w:val="00F21180"/>
    <w:rsid w:val="00F2124C"/>
    <w:rsid w:val="00F212E2"/>
    <w:rsid w:val="00F212E3"/>
    <w:rsid w:val="00F21335"/>
    <w:rsid w:val="00F2148E"/>
    <w:rsid w:val="00F2155F"/>
    <w:rsid w:val="00F2187F"/>
    <w:rsid w:val="00F21889"/>
    <w:rsid w:val="00F218C8"/>
    <w:rsid w:val="00F21980"/>
    <w:rsid w:val="00F21BBA"/>
    <w:rsid w:val="00F21E6A"/>
    <w:rsid w:val="00F21F91"/>
    <w:rsid w:val="00F21FBF"/>
    <w:rsid w:val="00F21FE2"/>
    <w:rsid w:val="00F22093"/>
    <w:rsid w:val="00F220BC"/>
    <w:rsid w:val="00F221D3"/>
    <w:rsid w:val="00F22355"/>
    <w:rsid w:val="00F22420"/>
    <w:rsid w:val="00F2248B"/>
    <w:rsid w:val="00F22826"/>
    <w:rsid w:val="00F22965"/>
    <w:rsid w:val="00F2299B"/>
    <w:rsid w:val="00F22BB5"/>
    <w:rsid w:val="00F22BFE"/>
    <w:rsid w:val="00F22C13"/>
    <w:rsid w:val="00F22D76"/>
    <w:rsid w:val="00F22DA4"/>
    <w:rsid w:val="00F22EB0"/>
    <w:rsid w:val="00F232A5"/>
    <w:rsid w:val="00F2355E"/>
    <w:rsid w:val="00F235BF"/>
    <w:rsid w:val="00F23775"/>
    <w:rsid w:val="00F23AF2"/>
    <w:rsid w:val="00F23B29"/>
    <w:rsid w:val="00F23BB3"/>
    <w:rsid w:val="00F23C4A"/>
    <w:rsid w:val="00F23D29"/>
    <w:rsid w:val="00F23D37"/>
    <w:rsid w:val="00F23DBE"/>
    <w:rsid w:val="00F23E7D"/>
    <w:rsid w:val="00F23F25"/>
    <w:rsid w:val="00F23FEB"/>
    <w:rsid w:val="00F240E8"/>
    <w:rsid w:val="00F2429C"/>
    <w:rsid w:val="00F24406"/>
    <w:rsid w:val="00F24484"/>
    <w:rsid w:val="00F244FF"/>
    <w:rsid w:val="00F2459D"/>
    <w:rsid w:val="00F2466A"/>
    <w:rsid w:val="00F24722"/>
    <w:rsid w:val="00F24839"/>
    <w:rsid w:val="00F248A6"/>
    <w:rsid w:val="00F2490F"/>
    <w:rsid w:val="00F2499B"/>
    <w:rsid w:val="00F24A46"/>
    <w:rsid w:val="00F24ABF"/>
    <w:rsid w:val="00F24E16"/>
    <w:rsid w:val="00F24EA8"/>
    <w:rsid w:val="00F24EEE"/>
    <w:rsid w:val="00F24F08"/>
    <w:rsid w:val="00F25336"/>
    <w:rsid w:val="00F2533B"/>
    <w:rsid w:val="00F25397"/>
    <w:rsid w:val="00F253B2"/>
    <w:rsid w:val="00F25468"/>
    <w:rsid w:val="00F2552C"/>
    <w:rsid w:val="00F255E0"/>
    <w:rsid w:val="00F2592E"/>
    <w:rsid w:val="00F25945"/>
    <w:rsid w:val="00F25C74"/>
    <w:rsid w:val="00F25D20"/>
    <w:rsid w:val="00F25D40"/>
    <w:rsid w:val="00F25DEC"/>
    <w:rsid w:val="00F25E3F"/>
    <w:rsid w:val="00F25E81"/>
    <w:rsid w:val="00F25E82"/>
    <w:rsid w:val="00F25F91"/>
    <w:rsid w:val="00F25FE6"/>
    <w:rsid w:val="00F26237"/>
    <w:rsid w:val="00F2623F"/>
    <w:rsid w:val="00F26426"/>
    <w:rsid w:val="00F26475"/>
    <w:rsid w:val="00F265CC"/>
    <w:rsid w:val="00F26610"/>
    <w:rsid w:val="00F26998"/>
    <w:rsid w:val="00F269F2"/>
    <w:rsid w:val="00F26ADB"/>
    <w:rsid w:val="00F26B4C"/>
    <w:rsid w:val="00F26C3D"/>
    <w:rsid w:val="00F26D04"/>
    <w:rsid w:val="00F26E14"/>
    <w:rsid w:val="00F26ED3"/>
    <w:rsid w:val="00F26FA3"/>
    <w:rsid w:val="00F26FBB"/>
    <w:rsid w:val="00F2702A"/>
    <w:rsid w:val="00F27041"/>
    <w:rsid w:val="00F272C3"/>
    <w:rsid w:val="00F273D4"/>
    <w:rsid w:val="00F27421"/>
    <w:rsid w:val="00F27449"/>
    <w:rsid w:val="00F2744C"/>
    <w:rsid w:val="00F274F8"/>
    <w:rsid w:val="00F275CF"/>
    <w:rsid w:val="00F276D8"/>
    <w:rsid w:val="00F276F8"/>
    <w:rsid w:val="00F27B1A"/>
    <w:rsid w:val="00F27B7C"/>
    <w:rsid w:val="00F27BA4"/>
    <w:rsid w:val="00F27BFC"/>
    <w:rsid w:val="00F27C36"/>
    <w:rsid w:val="00F27C42"/>
    <w:rsid w:val="00F27CB6"/>
    <w:rsid w:val="00F27DD9"/>
    <w:rsid w:val="00F27F3B"/>
    <w:rsid w:val="00F30131"/>
    <w:rsid w:val="00F3023F"/>
    <w:rsid w:val="00F302CB"/>
    <w:rsid w:val="00F3036C"/>
    <w:rsid w:val="00F303DB"/>
    <w:rsid w:val="00F304A9"/>
    <w:rsid w:val="00F30594"/>
    <w:rsid w:val="00F307C6"/>
    <w:rsid w:val="00F3081E"/>
    <w:rsid w:val="00F3085F"/>
    <w:rsid w:val="00F30920"/>
    <w:rsid w:val="00F30930"/>
    <w:rsid w:val="00F30931"/>
    <w:rsid w:val="00F30952"/>
    <w:rsid w:val="00F3099B"/>
    <w:rsid w:val="00F309DD"/>
    <w:rsid w:val="00F30AD9"/>
    <w:rsid w:val="00F30D8F"/>
    <w:rsid w:val="00F310A6"/>
    <w:rsid w:val="00F31117"/>
    <w:rsid w:val="00F311C6"/>
    <w:rsid w:val="00F311E2"/>
    <w:rsid w:val="00F31431"/>
    <w:rsid w:val="00F31450"/>
    <w:rsid w:val="00F3157B"/>
    <w:rsid w:val="00F3157C"/>
    <w:rsid w:val="00F31623"/>
    <w:rsid w:val="00F316ED"/>
    <w:rsid w:val="00F31835"/>
    <w:rsid w:val="00F318FE"/>
    <w:rsid w:val="00F31A0F"/>
    <w:rsid w:val="00F31B39"/>
    <w:rsid w:val="00F31BE1"/>
    <w:rsid w:val="00F31D64"/>
    <w:rsid w:val="00F31DE9"/>
    <w:rsid w:val="00F31ECF"/>
    <w:rsid w:val="00F31F3D"/>
    <w:rsid w:val="00F32134"/>
    <w:rsid w:val="00F3213C"/>
    <w:rsid w:val="00F321AA"/>
    <w:rsid w:val="00F322A5"/>
    <w:rsid w:val="00F32305"/>
    <w:rsid w:val="00F32319"/>
    <w:rsid w:val="00F3232A"/>
    <w:rsid w:val="00F3238C"/>
    <w:rsid w:val="00F32445"/>
    <w:rsid w:val="00F3276C"/>
    <w:rsid w:val="00F32836"/>
    <w:rsid w:val="00F32A55"/>
    <w:rsid w:val="00F32A8A"/>
    <w:rsid w:val="00F32B57"/>
    <w:rsid w:val="00F32BD0"/>
    <w:rsid w:val="00F32C69"/>
    <w:rsid w:val="00F32C90"/>
    <w:rsid w:val="00F32CFB"/>
    <w:rsid w:val="00F32EBB"/>
    <w:rsid w:val="00F32EC7"/>
    <w:rsid w:val="00F32EFB"/>
    <w:rsid w:val="00F32FF2"/>
    <w:rsid w:val="00F33194"/>
    <w:rsid w:val="00F33271"/>
    <w:rsid w:val="00F33405"/>
    <w:rsid w:val="00F3342E"/>
    <w:rsid w:val="00F33581"/>
    <w:rsid w:val="00F335AC"/>
    <w:rsid w:val="00F33A2F"/>
    <w:rsid w:val="00F33BF7"/>
    <w:rsid w:val="00F33C51"/>
    <w:rsid w:val="00F33CF5"/>
    <w:rsid w:val="00F33D53"/>
    <w:rsid w:val="00F33D5D"/>
    <w:rsid w:val="00F33E16"/>
    <w:rsid w:val="00F33E90"/>
    <w:rsid w:val="00F341A3"/>
    <w:rsid w:val="00F34369"/>
    <w:rsid w:val="00F343DB"/>
    <w:rsid w:val="00F34445"/>
    <w:rsid w:val="00F34499"/>
    <w:rsid w:val="00F3449D"/>
    <w:rsid w:val="00F344BE"/>
    <w:rsid w:val="00F34527"/>
    <w:rsid w:val="00F34577"/>
    <w:rsid w:val="00F34723"/>
    <w:rsid w:val="00F34761"/>
    <w:rsid w:val="00F347D6"/>
    <w:rsid w:val="00F34807"/>
    <w:rsid w:val="00F348FC"/>
    <w:rsid w:val="00F3496B"/>
    <w:rsid w:val="00F34988"/>
    <w:rsid w:val="00F3498D"/>
    <w:rsid w:val="00F349F4"/>
    <w:rsid w:val="00F34AED"/>
    <w:rsid w:val="00F34BA8"/>
    <w:rsid w:val="00F34BB0"/>
    <w:rsid w:val="00F34CB4"/>
    <w:rsid w:val="00F34D50"/>
    <w:rsid w:val="00F34ED3"/>
    <w:rsid w:val="00F34EFE"/>
    <w:rsid w:val="00F3503F"/>
    <w:rsid w:val="00F35119"/>
    <w:rsid w:val="00F3522A"/>
    <w:rsid w:val="00F35259"/>
    <w:rsid w:val="00F35342"/>
    <w:rsid w:val="00F35462"/>
    <w:rsid w:val="00F355E2"/>
    <w:rsid w:val="00F35601"/>
    <w:rsid w:val="00F35692"/>
    <w:rsid w:val="00F356F6"/>
    <w:rsid w:val="00F3570C"/>
    <w:rsid w:val="00F3573A"/>
    <w:rsid w:val="00F357F0"/>
    <w:rsid w:val="00F3584A"/>
    <w:rsid w:val="00F35968"/>
    <w:rsid w:val="00F359AA"/>
    <w:rsid w:val="00F359C8"/>
    <w:rsid w:val="00F35B67"/>
    <w:rsid w:val="00F35B79"/>
    <w:rsid w:val="00F35BB0"/>
    <w:rsid w:val="00F35C58"/>
    <w:rsid w:val="00F35CD0"/>
    <w:rsid w:val="00F35E41"/>
    <w:rsid w:val="00F35F93"/>
    <w:rsid w:val="00F35FFC"/>
    <w:rsid w:val="00F3600D"/>
    <w:rsid w:val="00F360BD"/>
    <w:rsid w:val="00F365F7"/>
    <w:rsid w:val="00F36748"/>
    <w:rsid w:val="00F367DD"/>
    <w:rsid w:val="00F369A2"/>
    <w:rsid w:val="00F369CC"/>
    <w:rsid w:val="00F36B5D"/>
    <w:rsid w:val="00F36D22"/>
    <w:rsid w:val="00F36E25"/>
    <w:rsid w:val="00F36E95"/>
    <w:rsid w:val="00F36F7C"/>
    <w:rsid w:val="00F37091"/>
    <w:rsid w:val="00F370F2"/>
    <w:rsid w:val="00F37192"/>
    <w:rsid w:val="00F371FB"/>
    <w:rsid w:val="00F37216"/>
    <w:rsid w:val="00F373CF"/>
    <w:rsid w:val="00F37415"/>
    <w:rsid w:val="00F375BA"/>
    <w:rsid w:val="00F3760D"/>
    <w:rsid w:val="00F37780"/>
    <w:rsid w:val="00F377D9"/>
    <w:rsid w:val="00F37879"/>
    <w:rsid w:val="00F37955"/>
    <w:rsid w:val="00F37975"/>
    <w:rsid w:val="00F37986"/>
    <w:rsid w:val="00F37A1F"/>
    <w:rsid w:val="00F37A6A"/>
    <w:rsid w:val="00F37BCB"/>
    <w:rsid w:val="00F37C45"/>
    <w:rsid w:val="00F37F23"/>
    <w:rsid w:val="00F37F5F"/>
    <w:rsid w:val="00F37FC0"/>
    <w:rsid w:val="00F400ED"/>
    <w:rsid w:val="00F401DF"/>
    <w:rsid w:val="00F40235"/>
    <w:rsid w:val="00F40334"/>
    <w:rsid w:val="00F4042B"/>
    <w:rsid w:val="00F4044D"/>
    <w:rsid w:val="00F40467"/>
    <w:rsid w:val="00F40592"/>
    <w:rsid w:val="00F406A4"/>
    <w:rsid w:val="00F40721"/>
    <w:rsid w:val="00F4073D"/>
    <w:rsid w:val="00F40851"/>
    <w:rsid w:val="00F409EA"/>
    <w:rsid w:val="00F40AA1"/>
    <w:rsid w:val="00F40B38"/>
    <w:rsid w:val="00F40C67"/>
    <w:rsid w:val="00F40D75"/>
    <w:rsid w:val="00F40DC0"/>
    <w:rsid w:val="00F40DF2"/>
    <w:rsid w:val="00F40E0B"/>
    <w:rsid w:val="00F4107E"/>
    <w:rsid w:val="00F411C3"/>
    <w:rsid w:val="00F41269"/>
    <w:rsid w:val="00F41588"/>
    <w:rsid w:val="00F41636"/>
    <w:rsid w:val="00F41681"/>
    <w:rsid w:val="00F41961"/>
    <w:rsid w:val="00F419BC"/>
    <w:rsid w:val="00F41BA6"/>
    <w:rsid w:val="00F41C0C"/>
    <w:rsid w:val="00F41CB6"/>
    <w:rsid w:val="00F41D0C"/>
    <w:rsid w:val="00F41DD0"/>
    <w:rsid w:val="00F41E7D"/>
    <w:rsid w:val="00F42167"/>
    <w:rsid w:val="00F421A2"/>
    <w:rsid w:val="00F423F1"/>
    <w:rsid w:val="00F423F3"/>
    <w:rsid w:val="00F4243B"/>
    <w:rsid w:val="00F424A3"/>
    <w:rsid w:val="00F425B3"/>
    <w:rsid w:val="00F426E8"/>
    <w:rsid w:val="00F42AEA"/>
    <w:rsid w:val="00F42B49"/>
    <w:rsid w:val="00F42B5E"/>
    <w:rsid w:val="00F42E8F"/>
    <w:rsid w:val="00F42F72"/>
    <w:rsid w:val="00F42FAE"/>
    <w:rsid w:val="00F43022"/>
    <w:rsid w:val="00F43113"/>
    <w:rsid w:val="00F4312F"/>
    <w:rsid w:val="00F43209"/>
    <w:rsid w:val="00F43532"/>
    <w:rsid w:val="00F4354E"/>
    <w:rsid w:val="00F436C3"/>
    <w:rsid w:val="00F4389C"/>
    <w:rsid w:val="00F438C1"/>
    <w:rsid w:val="00F43BA5"/>
    <w:rsid w:val="00F43D1D"/>
    <w:rsid w:val="00F43EFD"/>
    <w:rsid w:val="00F43FBC"/>
    <w:rsid w:val="00F43FCF"/>
    <w:rsid w:val="00F44068"/>
    <w:rsid w:val="00F441FE"/>
    <w:rsid w:val="00F442FD"/>
    <w:rsid w:val="00F444B7"/>
    <w:rsid w:val="00F444D5"/>
    <w:rsid w:val="00F44549"/>
    <w:rsid w:val="00F44555"/>
    <w:rsid w:val="00F4467E"/>
    <w:rsid w:val="00F4493C"/>
    <w:rsid w:val="00F44A45"/>
    <w:rsid w:val="00F44ADB"/>
    <w:rsid w:val="00F44BAC"/>
    <w:rsid w:val="00F44BCB"/>
    <w:rsid w:val="00F44EA0"/>
    <w:rsid w:val="00F450AC"/>
    <w:rsid w:val="00F450B9"/>
    <w:rsid w:val="00F450D3"/>
    <w:rsid w:val="00F4528A"/>
    <w:rsid w:val="00F452C5"/>
    <w:rsid w:val="00F45304"/>
    <w:rsid w:val="00F45368"/>
    <w:rsid w:val="00F45417"/>
    <w:rsid w:val="00F45445"/>
    <w:rsid w:val="00F454AD"/>
    <w:rsid w:val="00F45571"/>
    <w:rsid w:val="00F4559A"/>
    <w:rsid w:val="00F455C7"/>
    <w:rsid w:val="00F455CC"/>
    <w:rsid w:val="00F455E5"/>
    <w:rsid w:val="00F455F8"/>
    <w:rsid w:val="00F45786"/>
    <w:rsid w:val="00F45830"/>
    <w:rsid w:val="00F4587D"/>
    <w:rsid w:val="00F46132"/>
    <w:rsid w:val="00F4624A"/>
    <w:rsid w:val="00F4628A"/>
    <w:rsid w:val="00F464CD"/>
    <w:rsid w:val="00F464FA"/>
    <w:rsid w:val="00F46618"/>
    <w:rsid w:val="00F468DD"/>
    <w:rsid w:val="00F46965"/>
    <w:rsid w:val="00F46A03"/>
    <w:rsid w:val="00F46A7D"/>
    <w:rsid w:val="00F46AB9"/>
    <w:rsid w:val="00F46B33"/>
    <w:rsid w:val="00F46B51"/>
    <w:rsid w:val="00F46B5A"/>
    <w:rsid w:val="00F46B7E"/>
    <w:rsid w:val="00F46BE9"/>
    <w:rsid w:val="00F46C78"/>
    <w:rsid w:val="00F46CC7"/>
    <w:rsid w:val="00F46E68"/>
    <w:rsid w:val="00F4700C"/>
    <w:rsid w:val="00F4708A"/>
    <w:rsid w:val="00F470C6"/>
    <w:rsid w:val="00F470F3"/>
    <w:rsid w:val="00F470FA"/>
    <w:rsid w:val="00F47119"/>
    <w:rsid w:val="00F471AD"/>
    <w:rsid w:val="00F47390"/>
    <w:rsid w:val="00F47436"/>
    <w:rsid w:val="00F47531"/>
    <w:rsid w:val="00F47541"/>
    <w:rsid w:val="00F47687"/>
    <w:rsid w:val="00F477CF"/>
    <w:rsid w:val="00F477FA"/>
    <w:rsid w:val="00F479AF"/>
    <w:rsid w:val="00F47AB3"/>
    <w:rsid w:val="00F47C32"/>
    <w:rsid w:val="00F47C78"/>
    <w:rsid w:val="00F47CF4"/>
    <w:rsid w:val="00F47D56"/>
    <w:rsid w:val="00F47E47"/>
    <w:rsid w:val="00F47E49"/>
    <w:rsid w:val="00F47E8F"/>
    <w:rsid w:val="00F47EC6"/>
    <w:rsid w:val="00F47F0D"/>
    <w:rsid w:val="00F50034"/>
    <w:rsid w:val="00F50124"/>
    <w:rsid w:val="00F5018B"/>
    <w:rsid w:val="00F50195"/>
    <w:rsid w:val="00F50221"/>
    <w:rsid w:val="00F50236"/>
    <w:rsid w:val="00F502C7"/>
    <w:rsid w:val="00F503EF"/>
    <w:rsid w:val="00F50579"/>
    <w:rsid w:val="00F506B3"/>
    <w:rsid w:val="00F50788"/>
    <w:rsid w:val="00F5079E"/>
    <w:rsid w:val="00F508C3"/>
    <w:rsid w:val="00F508F8"/>
    <w:rsid w:val="00F5092A"/>
    <w:rsid w:val="00F50986"/>
    <w:rsid w:val="00F50B39"/>
    <w:rsid w:val="00F50B81"/>
    <w:rsid w:val="00F50C45"/>
    <w:rsid w:val="00F50C6F"/>
    <w:rsid w:val="00F50D5F"/>
    <w:rsid w:val="00F50D78"/>
    <w:rsid w:val="00F50D9C"/>
    <w:rsid w:val="00F50E71"/>
    <w:rsid w:val="00F50EA9"/>
    <w:rsid w:val="00F50FC2"/>
    <w:rsid w:val="00F50FFF"/>
    <w:rsid w:val="00F51062"/>
    <w:rsid w:val="00F51067"/>
    <w:rsid w:val="00F5108C"/>
    <w:rsid w:val="00F51149"/>
    <w:rsid w:val="00F51183"/>
    <w:rsid w:val="00F51255"/>
    <w:rsid w:val="00F51377"/>
    <w:rsid w:val="00F5154F"/>
    <w:rsid w:val="00F51671"/>
    <w:rsid w:val="00F5168D"/>
    <w:rsid w:val="00F516A4"/>
    <w:rsid w:val="00F5172D"/>
    <w:rsid w:val="00F517E7"/>
    <w:rsid w:val="00F518F9"/>
    <w:rsid w:val="00F5195D"/>
    <w:rsid w:val="00F519E6"/>
    <w:rsid w:val="00F51A61"/>
    <w:rsid w:val="00F51AD6"/>
    <w:rsid w:val="00F51ADB"/>
    <w:rsid w:val="00F51BCA"/>
    <w:rsid w:val="00F51BE4"/>
    <w:rsid w:val="00F51C6D"/>
    <w:rsid w:val="00F51CD7"/>
    <w:rsid w:val="00F51D49"/>
    <w:rsid w:val="00F51DA3"/>
    <w:rsid w:val="00F51EB2"/>
    <w:rsid w:val="00F51F40"/>
    <w:rsid w:val="00F5200B"/>
    <w:rsid w:val="00F520ED"/>
    <w:rsid w:val="00F521C5"/>
    <w:rsid w:val="00F521D1"/>
    <w:rsid w:val="00F521F1"/>
    <w:rsid w:val="00F523C9"/>
    <w:rsid w:val="00F524B5"/>
    <w:rsid w:val="00F524F1"/>
    <w:rsid w:val="00F52633"/>
    <w:rsid w:val="00F52853"/>
    <w:rsid w:val="00F52A7E"/>
    <w:rsid w:val="00F52A8E"/>
    <w:rsid w:val="00F52CEB"/>
    <w:rsid w:val="00F52DF5"/>
    <w:rsid w:val="00F52FF7"/>
    <w:rsid w:val="00F5306F"/>
    <w:rsid w:val="00F5323A"/>
    <w:rsid w:val="00F53515"/>
    <w:rsid w:val="00F53552"/>
    <w:rsid w:val="00F53585"/>
    <w:rsid w:val="00F53630"/>
    <w:rsid w:val="00F53806"/>
    <w:rsid w:val="00F53843"/>
    <w:rsid w:val="00F5388E"/>
    <w:rsid w:val="00F538BB"/>
    <w:rsid w:val="00F53C3B"/>
    <w:rsid w:val="00F53D36"/>
    <w:rsid w:val="00F53D65"/>
    <w:rsid w:val="00F53DC4"/>
    <w:rsid w:val="00F53FEE"/>
    <w:rsid w:val="00F5400D"/>
    <w:rsid w:val="00F5403F"/>
    <w:rsid w:val="00F5405B"/>
    <w:rsid w:val="00F54299"/>
    <w:rsid w:val="00F542A2"/>
    <w:rsid w:val="00F54355"/>
    <w:rsid w:val="00F5458E"/>
    <w:rsid w:val="00F54593"/>
    <w:rsid w:val="00F5468D"/>
    <w:rsid w:val="00F546E3"/>
    <w:rsid w:val="00F547B9"/>
    <w:rsid w:val="00F547D8"/>
    <w:rsid w:val="00F547E7"/>
    <w:rsid w:val="00F54977"/>
    <w:rsid w:val="00F5498C"/>
    <w:rsid w:val="00F549AC"/>
    <w:rsid w:val="00F549B3"/>
    <w:rsid w:val="00F54A63"/>
    <w:rsid w:val="00F54B45"/>
    <w:rsid w:val="00F54B84"/>
    <w:rsid w:val="00F54C32"/>
    <w:rsid w:val="00F54D3C"/>
    <w:rsid w:val="00F54DB4"/>
    <w:rsid w:val="00F54E1E"/>
    <w:rsid w:val="00F54E27"/>
    <w:rsid w:val="00F54E6F"/>
    <w:rsid w:val="00F54E87"/>
    <w:rsid w:val="00F54EE2"/>
    <w:rsid w:val="00F550CF"/>
    <w:rsid w:val="00F5518C"/>
    <w:rsid w:val="00F5523C"/>
    <w:rsid w:val="00F5535A"/>
    <w:rsid w:val="00F5566F"/>
    <w:rsid w:val="00F5583F"/>
    <w:rsid w:val="00F55851"/>
    <w:rsid w:val="00F558A5"/>
    <w:rsid w:val="00F55B2B"/>
    <w:rsid w:val="00F55DF8"/>
    <w:rsid w:val="00F55E9D"/>
    <w:rsid w:val="00F55FAE"/>
    <w:rsid w:val="00F55FCE"/>
    <w:rsid w:val="00F55FD7"/>
    <w:rsid w:val="00F56006"/>
    <w:rsid w:val="00F561C3"/>
    <w:rsid w:val="00F562DF"/>
    <w:rsid w:val="00F56316"/>
    <w:rsid w:val="00F563B9"/>
    <w:rsid w:val="00F56422"/>
    <w:rsid w:val="00F56623"/>
    <w:rsid w:val="00F56756"/>
    <w:rsid w:val="00F5677F"/>
    <w:rsid w:val="00F5678B"/>
    <w:rsid w:val="00F56989"/>
    <w:rsid w:val="00F56B3B"/>
    <w:rsid w:val="00F56B8D"/>
    <w:rsid w:val="00F56BF2"/>
    <w:rsid w:val="00F56DE1"/>
    <w:rsid w:val="00F56E16"/>
    <w:rsid w:val="00F56EA4"/>
    <w:rsid w:val="00F57032"/>
    <w:rsid w:val="00F5733F"/>
    <w:rsid w:val="00F57401"/>
    <w:rsid w:val="00F57440"/>
    <w:rsid w:val="00F574F3"/>
    <w:rsid w:val="00F575F1"/>
    <w:rsid w:val="00F5762D"/>
    <w:rsid w:val="00F57900"/>
    <w:rsid w:val="00F57AE7"/>
    <w:rsid w:val="00F57B3B"/>
    <w:rsid w:val="00F57B93"/>
    <w:rsid w:val="00F57E26"/>
    <w:rsid w:val="00F57E84"/>
    <w:rsid w:val="00F57F10"/>
    <w:rsid w:val="00F57F8A"/>
    <w:rsid w:val="00F600C3"/>
    <w:rsid w:val="00F60176"/>
    <w:rsid w:val="00F60215"/>
    <w:rsid w:val="00F60349"/>
    <w:rsid w:val="00F604AA"/>
    <w:rsid w:val="00F6054D"/>
    <w:rsid w:val="00F60942"/>
    <w:rsid w:val="00F60984"/>
    <w:rsid w:val="00F60992"/>
    <w:rsid w:val="00F60AF5"/>
    <w:rsid w:val="00F60C4E"/>
    <w:rsid w:val="00F60C55"/>
    <w:rsid w:val="00F60D78"/>
    <w:rsid w:val="00F60E0D"/>
    <w:rsid w:val="00F60EC8"/>
    <w:rsid w:val="00F60F30"/>
    <w:rsid w:val="00F60FB7"/>
    <w:rsid w:val="00F6104A"/>
    <w:rsid w:val="00F610BA"/>
    <w:rsid w:val="00F610C4"/>
    <w:rsid w:val="00F6118A"/>
    <w:rsid w:val="00F611D2"/>
    <w:rsid w:val="00F612C4"/>
    <w:rsid w:val="00F61369"/>
    <w:rsid w:val="00F61403"/>
    <w:rsid w:val="00F6142B"/>
    <w:rsid w:val="00F61474"/>
    <w:rsid w:val="00F61658"/>
    <w:rsid w:val="00F61661"/>
    <w:rsid w:val="00F6171F"/>
    <w:rsid w:val="00F61720"/>
    <w:rsid w:val="00F6173F"/>
    <w:rsid w:val="00F617BC"/>
    <w:rsid w:val="00F617D0"/>
    <w:rsid w:val="00F61826"/>
    <w:rsid w:val="00F61B21"/>
    <w:rsid w:val="00F61BA8"/>
    <w:rsid w:val="00F61BB1"/>
    <w:rsid w:val="00F61CA9"/>
    <w:rsid w:val="00F61E34"/>
    <w:rsid w:val="00F61E70"/>
    <w:rsid w:val="00F61FAF"/>
    <w:rsid w:val="00F620D7"/>
    <w:rsid w:val="00F623AD"/>
    <w:rsid w:val="00F624A0"/>
    <w:rsid w:val="00F625A2"/>
    <w:rsid w:val="00F626A8"/>
    <w:rsid w:val="00F626E5"/>
    <w:rsid w:val="00F6274E"/>
    <w:rsid w:val="00F6284A"/>
    <w:rsid w:val="00F629BB"/>
    <w:rsid w:val="00F62AC7"/>
    <w:rsid w:val="00F62B08"/>
    <w:rsid w:val="00F62CCF"/>
    <w:rsid w:val="00F62E95"/>
    <w:rsid w:val="00F62EB8"/>
    <w:rsid w:val="00F62EB9"/>
    <w:rsid w:val="00F62EDD"/>
    <w:rsid w:val="00F63057"/>
    <w:rsid w:val="00F6306B"/>
    <w:rsid w:val="00F630F8"/>
    <w:rsid w:val="00F63121"/>
    <w:rsid w:val="00F63177"/>
    <w:rsid w:val="00F6320B"/>
    <w:rsid w:val="00F6321B"/>
    <w:rsid w:val="00F63604"/>
    <w:rsid w:val="00F636F5"/>
    <w:rsid w:val="00F637E2"/>
    <w:rsid w:val="00F63818"/>
    <w:rsid w:val="00F63860"/>
    <w:rsid w:val="00F6392E"/>
    <w:rsid w:val="00F639CB"/>
    <w:rsid w:val="00F63AAC"/>
    <w:rsid w:val="00F63B34"/>
    <w:rsid w:val="00F63B42"/>
    <w:rsid w:val="00F63B53"/>
    <w:rsid w:val="00F63B59"/>
    <w:rsid w:val="00F63CB7"/>
    <w:rsid w:val="00F63CE4"/>
    <w:rsid w:val="00F63E52"/>
    <w:rsid w:val="00F63E5C"/>
    <w:rsid w:val="00F63EDE"/>
    <w:rsid w:val="00F63F2C"/>
    <w:rsid w:val="00F64109"/>
    <w:rsid w:val="00F64247"/>
    <w:rsid w:val="00F64343"/>
    <w:rsid w:val="00F644B5"/>
    <w:rsid w:val="00F6459E"/>
    <w:rsid w:val="00F6475A"/>
    <w:rsid w:val="00F64808"/>
    <w:rsid w:val="00F64860"/>
    <w:rsid w:val="00F6487A"/>
    <w:rsid w:val="00F6491E"/>
    <w:rsid w:val="00F649A5"/>
    <w:rsid w:val="00F64A89"/>
    <w:rsid w:val="00F64B47"/>
    <w:rsid w:val="00F64C55"/>
    <w:rsid w:val="00F64D1B"/>
    <w:rsid w:val="00F64E63"/>
    <w:rsid w:val="00F64F37"/>
    <w:rsid w:val="00F6526F"/>
    <w:rsid w:val="00F65292"/>
    <w:rsid w:val="00F653F6"/>
    <w:rsid w:val="00F6550B"/>
    <w:rsid w:val="00F65514"/>
    <w:rsid w:val="00F65522"/>
    <w:rsid w:val="00F65525"/>
    <w:rsid w:val="00F657E1"/>
    <w:rsid w:val="00F65835"/>
    <w:rsid w:val="00F65B36"/>
    <w:rsid w:val="00F65C45"/>
    <w:rsid w:val="00F65CFA"/>
    <w:rsid w:val="00F65D5A"/>
    <w:rsid w:val="00F65F5F"/>
    <w:rsid w:val="00F65F7C"/>
    <w:rsid w:val="00F66080"/>
    <w:rsid w:val="00F66234"/>
    <w:rsid w:val="00F66297"/>
    <w:rsid w:val="00F6632F"/>
    <w:rsid w:val="00F6644C"/>
    <w:rsid w:val="00F664E1"/>
    <w:rsid w:val="00F664F4"/>
    <w:rsid w:val="00F66533"/>
    <w:rsid w:val="00F66542"/>
    <w:rsid w:val="00F66687"/>
    <w:rsid w:val="00F66739"/>
    <w:rsid w:val="00F668B4"/>
    <w:rsid w:val="00F66B97"/>
    <w:rsid w:val="00F66DC1"/>
    <w:rsid w:val="00F66FC1"/>
    <w:rsid w:val="00F67048"/>
    <w:rsid w:val="00F6713C"/>
    <w:rsid w:val="00F67149"/>
    <w:rsid w:val="00F67260"/>
    <w:rsid w:val="00F6731D"/>
    <w:rsid w:val="00F673E8"/>
    <w:rsid w:val="00F67456"/>
    <w:rsid w:val="00F678E5"/>
    <w:rsid w:val="00F67A14"/>
    <w:rsid w:val="00F67B7E"/>
    <w:rsid w:val="00F67BBB"/>
    <w:rsid w:val="00F67BE7"/>
    <w:rsid w:val="00F67C35"/>
    <w:rsid w:val="00F67CB3"/>
    <w:rsid w:val="00F67D50"/>
    <w:rsid w:val="00F67E57"/>
    <w:rsid w:val="00F67EAF"/>
    <w:rsid w:val="00F70073"/>
    <w:rsid w:val="00F7023C"/>
    <w:rsid w:val="00F70246"/>
    <w:rsid w:val="00F70799"/>
    <w:rsid w:val="00F707C3"/>
    <w:rsid w:val="00F70802"/>
    <w:rsid w:val="00F7080C"/>
    <w:rsid w:val="00F7087C"/>
    <w:rsid w:val="00F70C38"/>
    <w:rsid w:val="00F70D70"/>
    <w:rsid w:val="00F70FB1"/>
    <w:rsid w:val="00F70FF8"/>
    <w:rsid w:val="00F7112E"/>
    <w:rsid w:val="00F71354"/>
    <w:rsid w:val="00F7135E"/>
    <w:rsid w:val="00F7138B"/>
    <w:rsid w:val="00F71690"/>
    <w:rsid w:val="00F71843"/>
    <w:rsid w:val="00F718A7"/>
    <w:rsid w:val="00F718C9"/>
    <w:rsid w:val="00F71984"/>
    <w:rsid w:val="00F719B8"/>
    <w:rsid w:val="00F719D3"/>
    <w:rsid w:val="00F71AB4"/>
    <w:rsid w:val="00F71B13"/>
    <w:rsid w:val="00F71B48"/>
    <w:rsid w:val="00F71BAB"/>
    <w:rsid w:val="00F71BD0"/>
    <w:rsid w:val="00F71C65"/>
    <w:rsid w:val="00F71CD0"/>
    <w:rsid w:val="00F71E76"/>
    <w:rsid w:val="00F71EDC"/>
    <w:rsid w:val="00F71FF6"/>
    <w:rsid w:val="00F7204A"/>
    <w:rsid w:val="00F720AD"/>
    <w:rsid w:val="00F720ED"/>
    <w:rsid w:val="00F7233C"/>
    <w:rsid w:val="00F724AC"/>
    <w:rsid w:val="00F7276F"/>
    <w:rsid w:val="00F727DF"/>
    <w:rsid w:val="00F729B2"/>
    <w:rsid w:val="00F72A15"/>
    <w:rsid w:val="00F72A60"/>
    <w:rsid w:val="00F72B5D"/>
    <w:rsid w:val="00F72B5E"/>
    <w:rsid w:val="00F72B84"/>
    <w:rsid w:val="00F72C70"/>
    <w:rsid w:val="00F72CFE"/>
    <w:rsid w:val="00F72E8A"/>
    <w:rsid w:val="00F72F5E"/>
    <w:rsid w:val="00F72F72"/>
    <w:rsid w:val="00F730C3"/>
    <w:rsid w:val="00F7341D"/>
    <w:rsid w:val="00F73453"/>
    <w:rsid w:val="00F7346C"/>
    <w:rsid w:val="00F7351E"/>
    <w:rsid w:val="00F73528"/>
    <w:rsid w:val="00F73554"/>
    <w:rsid w:val="00F7355B"/>
    <w:rsid w:val="00F73620"/>
    <w:rsid w:val="00F736D6"/>
    <w:rsid w:val="00F736DA"/>
    <w:rsid w:val="00F736EE"/>
    <w:rsid w:val="00F737FE"/>
    <w:rsid w:val="00F738A3"/>
    <w:rsid w:val="00F73ACA"/>
    <w:rsid w:val="00F73AFA"/>
    <w:rsid w:val="00F73B39"/>
    <w:rsid w:val="00F73BDE"/>
    <w:rsid w:val="00F741FB"/>
    <w:rsid w:val="00F74355"/>
    <w:rsid w:val="00F744CB"/>
    <w:rsid w:val="00F74712"/>
    <w:rsid w:val="00F747B4"/>
    <w:rsid w:val="00F7498F"/>
    <w:rsid w:val="00F74A52"/>
    <w:rsid w:val="00F74A7F"/>
    <w:rsid w:val="00F74AD2"/>
    <w:rsid w:val="00F74BFD"/>
    <w:rsid w:val="00F74D78"/>
    <w:rsid w:val="00F75052"/>
    <w:rsid w:val="00F7507A"/>
    <w:rsid w:val="00F75258"/>
    <w:rsid w:val="00F75532"/>
    <w:rsid w:val="00F7560B"/>
    <w:rsid w:val="00F756ED"/>
    <w:rsid w:val="00F7573F"/>
    <w:rsid w:val="00F75742"/>
    <w:rsid w:val="00F7585F"/>
    <w:rsid w:val="00F75880"/>
    <w:rsid w:val="00F7593B"/>
    <w:rsid w:val="00F759DA"/>
    <w:rsid w:val="00F75AC0"/>
    <w:rsid w:val="00F75AF0"/>
    <w:rsid w:val="00F75C84"/>
    <w:rsid w:val="00F75CA3"/>
    <w:rsid w:val="00F75D82"/>
    <w:rsid w:val="00F75E63"/>
    <w:rsid w:val="00F75FAE"/>
    <w:rsid w:val="00F7617A"/>
    <w:rsid w:val="00F76344"/>
    <w:rsid w:val="00F763D2"/>
    <w:rsid w:val="00F7657E"/>
    <w:rsid w:val="00F76613"/>
    <w:rsid w:val="00F7673D"/>
    <w:rsid w:val="00F76A92"/>
    <w:rsid w:val="00F76ACD"/>
    <w:rsid w:val="00F76B77"/>
    <w:rsid w:val="00F76CCB"/>
    <w:rsid w:val="00F76DED"/>
    <w:rsid w:val="00F76FE3"/>
    <w:rsid w:val="00F7700B"/>
    <w:rsid w:val="00F77241"/>
    <w:rsid w:val="00F772B3"/>
    <w:rsid w:val="00F77349"/>
    <w:rsid w:val="00F7737E"/>
    <w:rsid w:val="00F773BA"/>
    <w:rsid w:val="00F77457"/>
    <w:rsid w:val="00F774C7"/>
    <w:rsid w:val="00F7752A"/>
    <w:rsid w:val="00F775D4"/>
    <w:rsid w:val="00F77725"/>
    <w:rsid w:val="00F77768"/>
    <w:rsid w:val="00F777E5"/>
    <w:rsid w:val="00F778A7"/>
    <w:rsid w:val="00F77AAF"/>
    <w:rsid w:val="00F77ACB"/>
    <w:rsid w:val="00F77D3A"/>
    <w:rsid w:val="00F77D3B"/>
    <w:rsid w:val="00F77DFF"/>
    <w:rsid w:val="00F77F97"/>
    <w:rsid w:val="00F80102"/>
    <w:rsid w:val="00F8015B"/>
    <w:rsid w:val="00F80238"/>
    <w:rsid w:val="00F80271"/>
    <w:rsid w:val="00F802BD"/>
    <w:rsid w:val="00F802D6"/>
    <w:rsid w:val="00F803CF"/>
    <w:rsid w:val="00F80474"/>
    <w:rsid w:val="00F8050A"/>
    <w:rsid w:val="00F8057C"/>
    <w:rsid w:val="00F8061C"/>
    <w:rsid w:val="00F80639"/>
    <w:rsid w:val="00F806A2"/>
    <w:rsid w:val="00F8074B"/>
    <w:rsid w:val="00F80991"/>
    <w:rsid w:val="00F809BD"/>
    <w:rsid w:val="00F80A0B"/>
    <w:rsid w:val="00F80B51"/>
    <w:rsid w:val="00F80BBD"/>
    <w:rsid w:val="00F80C02"/>
    <w:rsid w:val="00F80CB8"/>
    <w:rsid w:val="00F80D1F"/>
    <w:rsid w:val="00F80F6A"/>
    <w:rsid w:val="00F80FD7"/>
    <w:rsid w:val="00F810B1"/>
    <w:rsid w:val="00F811A1"/>
    <w:rsid w:val="00F8129D"/>
    <w:rsid w:val="00F812AA"/>
    <w:rsid w:val="00F8141D"/>
    <w:rsid w:val="00F81432"/>
    <w:rsid w:val="00F81538"/>
    <w:rsid w:val="00F815F9"/>
    <w:rsid w:val="00F81729"/>
    <w:rsid w:val="00F81824"/>
    <w:rsid w:val="00F818BF"/>
    <w:rsid w:val="00F81916"/>
    <w:rsid w:val="00F81978"/>
    <w:rsid w:val="00F819D3"/>
    <w:rsid w:val="00F81C37"/>
    <w:rsid w:val="00F81CF2"/>
    <w:rsid w:val="00F81D55"/>
    <w:rsid w:val="00F81FA2"/>
    <w:rsid w:val="00F820B6"/>
    <w:rsid w:val="00F822FD"/>
    <w:rsid w:val="00F824F3"/>
    <w:rsid w:val="00F8256B"/>
    <w:rsid w:val="00F82656"/>
    <w:rsid w:val="00F8265F"/>
    <w:rsid w:val="00F82685"/>
    <w:rsid w:val="00F8271D"/>
    <w:rsid w:val="00F8273E"/>
    <w:rsid w:val="00F8282C"/>
    <w:rsid w:val="00F82859"/>
    <w:rsid w:val="00F82907"/>
    <w:rsid w:val="00F829A1"/>
    <w:rsid w:val="00F829D1"/>
    <w:rsid w:val="00F82B2B"/>
    <w:rsid w:val="00F82C0A"/>
    <w:rsid w:val="00F82D11"/>
    <w:rsid w:val="00F82D6C"/>
    <w:rsid w:val="00F82D9F"/>
    <w:rsid w:val="00F82F29"/>
    <w:rsid w:val="00F82F8C"/>
    <w:rsid w:val="00F830A6"/>
    <w:rsid w:val="00F830BD"/>
    <w:rsid w:val="00F830CF"/>
    <w:rsid w:val="00F830F6"/>
    <w:rsid w:val="00F83417"/>
    <w:rsid w:val="00F83572"/>
    <w:rsid w:val="00F8357C"/>
    <w:rsid w:val="00F835C8"/>
    <w:rsid w:val="00F8372E"/>
    <w:rsid w:val="00F8383B"/>
    <w:rsid w:val="00F8394C"/>
    <w:rsid w:val="00F839A5"/>
    <w:rsid w:val="00F839AD"/>
    <w:rsid w:val="00F83A20"/>
    <w:rsid w:val="00F83A3A"/>
    <w:rsid w:val="00F83A40"/>
    <w:rsid w:val="00F83AD8"/>
    <w:rsid w:val="00F83B2C"/>
    <w:rsid w:val="00F83B84"/>
    <w:rsid w:val="00F83C00"/>
    <w:rsid w:val="00F83C59"/>
    <w:rsid w:val="00F83CE0"/>
    <w:rsid w:val="00F83D58"/>
    <w:rsid w:val="00F83DA6"/>
    <w:rsid w:val="00F83DFE"/>
    <w:rsid w:val="00F83E17"/>
    <w:rsid w:val="00F83E6B"/>
    <w:rsid w:val="00F83EC5"/>
    <w:rsid w:val="00F84043"/>
    <w:rsid w:val="00F84151"/>
    <w:rsid w:val="00F841DD"/>
    <w:rsid w:val="00F84291"/>
    <w:rsid w:val="00F84396"/>
    <w:rsid w:val="00F8446B"/>
    <w:rsid w:val="00F8447F"/>
    <w:rsid w:val="00F8449C"/>
    <w:rsid w:val="00F8460E"/>
    <w:rsid w:val="00F84683"/>
    <w:rsid w:val="00F8472B"/>
    <w:rsid w:val="00F84978"/>
    <w:rsid w:val="00F84B5F"/>
    <w:rsid w:val="00F84CB3"/>
    <w:rsid w:val="00F84ED1"/>
    <w:rsid w:val="00F84EFF"/>
    <w:rsid w:val="00F84F2D"/>
    <w:rsid w:val="00F850F5"/>
    <w:rsid w:val="00F85169"/>
    <w:rsid w:val="00F85172"/>
    <w:rsid w:val="00F85233"/>
    <w:rsid w:val="00F8524B"/>
    <w:rsid w:val="00F8524C"/>
    <w:rsid w:val="00F8537C"/>
    <w:rsid w:val="00F853B7"/>
    <w:rsid w:val="00F853BA"/>
    <w:rsid w:val="00F853C3"/>
    <w:rsid w:val="00F853DF"/>
    <w:rsid w:val="00F85550"/>
    <w:rsid w:val="00F85594"/>
    <w:rsid w:val="00F8560A"/>
    <w:rsid w:val="00F856E8"/>
    <w:rsid w:val="00F85851"/>
    <w:rsid w:val="00F85870"/>
    <w:rsid w:val="00F858BC"/>
    <w:rsid w:val="00F859D2"/>
    <w:rsid w:val="00F85A59"/>
    <w:rsid w:val="00F85BCD"/>
    <w:rsid w:val="00F85BD7"/>
    <w:rsid w:val="00F85E4C"/>
    <w:rsid w:val="00F85E4D"/>
    <w:rsid w:val="00F86035"/>
    <w:rsid w:val="00F8608C"/>
    <w:rsid w:val="00F860CC"/>
    <w:rsid w:val="00F86215"/>
    <w:rsid w:val="00F86293"/>
    <w:rsid w:val="00F86356"/>
    <w:rsid w:val="00F86360"/>
    <w:rsid w:val="00F86456"/>
    <w:rsid w:val="00F865C1"/>
    <w:rsid w:val="00F86688"/>
    <w:rsid w:val="00F8692B"/>
    <w:rsid w:val="00F86993"/>
    <w:rsid w:val="00F86AA3"/>
    <w:rsid w:val="00F86D0C"/>
    <w:rsid w:val="00F86D93"/>
    <w:rsid w:val="00F86E3C"/>
    <w:rsid w:val="00F86E79"/>
    <w:rsid w:val="00F86ED9"/>
    <w:rsid w:val="00F870DB"/>
    <w:rsid w:val="00F870E9"/>
    <w:rsid w:val="00F87130"/>
    <w:rsid w:val="00F8713D"/>
    <w:rsid w:val="00F87145"/>
    <w:rsid w:val="00F87167"/>
    <w:rsid w:val="00F87219"/>
    <w:rsid w:val="00F8730A"/>
    <w:rsid w:val="00F8758B"/>
    <w:rsid w:val="00F87636"/>
    <w:rsid w:val="00F876F7"/>
    <w:rsid w:val="00F8770A"/>
    <w:rsid w:val="00F8770D"/>
    <w:rsid w:val="00F87725"/>
    <w:rsid w:val="00F877BA"/>
    <w:rsid w:val="00F877D2"/>
    <w:rsid w:val="00F8781E"/>
    <w:rsid w:val="00F87828"/>
    <w:rsid w:val="00F878BF"/>
    <w:rsid w:val="00F87CFD"/>
    <w:rsid w:val="00F87DC4"/>
    <w:rsid w:val="00F87DF4"/>
    <w:rsid w:val="00F87ECD"/>
    <w:rsid w:val="00F9000B"/>
    <w:rsid w:val="00F90053"/>
    <w:rsid w:val="00F900DE"/>
    <w:rsid w:val="00F90127"/>
    <w:rsid w:val="00F90279"/>
    <w:rsid w:val="00F903F1"/>
    <w:rsid w:val="00F90622"/>
    <w:rsid w:val="00F9069A"/>
    <w:rsid w:val="00F90760"/>
    <w:rsid w:val="00F9079A"/>
    <w:rsid w:val="00F90962"/>
    <w:rsid w:val="00F90B68"/>
    <w:rsid w:val="00F90BFC"/>
    <w:rsid w:val="00F90C37"/>
    <w:rsid w:val="00F90C9F"/>
    <w:rsid w:val="00F90DBA"/>
    <w:rsid w:val="00F90DEC"/>
    <w:rsid w:val="00F90E00"/>
    <w:rsid w:val="00F90E4E"/>
    <w:rsid w:val="00F90ECA"/>
    <w:rsid w:val="00F90FE0"/>
    <w:rsid w:val="00F9110F"/>
    <w:rsid w:val="00F9113A"/>
    <w:rsid w:val="00F91164"/>
    <w:rsid w:val="00F91329"/>
    <w:rsid w:val="00F9132D"/>
    <w:rsid w:val="00F9133A"/>
    <w:rsid w:val="00F914A3"/>
    <w:rsid w:val="00F914B5"/>
    <w:rsid w:val="00F914FD"/>
    <w:rsid w:val="00F9151A"/>
    <w:rsid w:val="00F91579"/>
    <w:rsid w:val="00F91832"/>
    <w:rsid w:val="00F91888"/>
    <w:rsid w:val="00F918E9"/>
    <w:rsid w:val="00F91923"/>
    <w:rsid w:val="00F91945"/>
    <w:rsid w:val="00F91A9C"/>
    <w:rsid w:val="00F91B09"/>
    <w:rsid w:val="00F91BA6"/>
    <w:rsid w:val="00F91C0D"/>
    <w:rsid w:val="00F91D7E"/>
    <w:rsid w:val="00F920E2"/>
    <w:rsid w:val="00F92238"/>
    <w:rsid w:val="00F922D5"/>
    <w:rsid w:val="00F922ED"/>
    <w:rsid w:val="00F9244E"/>
    <w:rsid w:val="00F925FB"/>
    <w:rsid w:val="00F926CE"/>
    <w:rsid w:val="00F928DD"/>
    <w:rsid w:val="00F92932"/>
    <w:rsid w:val="00F92978"/>
    <w:rsid w:val="00F92B44"/>
    <w:rsid w:val="00F92B73"/>
    <w:rsid w:val="00F92C3A"/>
    <w:rsid w:val="00F92CCF"/>
    <w:rsid w:val="00F92CE6"/>
    <w:rsid w:val="00F92F50"/>
    <w:rsid w:val="00F92FB0"/>
    <w:rsid w:val="00F93201"/>
    <w:rsid w:val="00F9340B"/>
    <w:rsid w:val="00F93464"/>
    <w:rsid w:val="00F935CE"/>
    <w:rsid w:val="00F93602"/>
    <w:rsid w:val="00F93646"/>
    <w:rsid w:val="00F9368B"/>
    <w:rsid w:val="00F93706"/>
    <w:rsid w:val="00F93727"/>
    <w:rsid w:val="00F938A5"/>
    <w:rsid w:val="00F938B6"/>
    <w:rsid w:val="00F938D3"/>
    <w:rsid w:val="00F93979"/>
    <w:rsid w:val="00F93A72"/>
    <w:rsid w:val="00F93AFD"/>
    <w:rsid w:val="00F93C7B"/>
    <w:rsid w:val="00F94062"/>
    <w:rsid w:val="00F940C2"/>
    <w:rsid w:val="00F9415D"/>
    <w:rsid w:val="00F942FF"/>
    <w:rsid w:val="00F94332"/>
    <w:rsid w:val="00F94397"/>
    <w:rsid w:val="00F94774"/>
    <w:rsid w:val="00F947AE"/>
    <w:rsid w:val="00F9497E"/>
    <w:rsid w:val="00F94AEA"/>
    <w:rsid w:val="00F94B7B"/>
    <w:rsid w:val="00F94CF5"/>
    <w:rsid w:val="00F94D1F"/>
    <w:rsid w:val="00F94DC3"/>
    <w:rsid w:val="00F94EF4"/>
    <w:rsid w:val="00F94FA4"/>
    <w:rsid w:val="00F94FBF"/>
    <w:rsid w:val="00F95042"/>
    <w:rsid w:val="00F95131"/>
    <w:rsid w:val="00F95540"/>
    <w:rsid w:val="00F95582"/>
    <w:rsid w:val="00F955B9"/>
    <w:rsid w:val="00F95663"/>
    <w:rsid w:val="00F95748"/>
    <w:rsid w:val="00F9580A"/>
    <w:rsid w:val="00F958DC"/>
    <w:rsid w:val="00F95919"/>
    <w:rsid w:val="00F9593A"/>
    <w:rsid w:val="00F95967"/>
    <w:rsid w:val="00F9598F"/>
    <w:rsid w:val="00F959E8"/>
    <w:rsid w:val="00F95A38"/>
    <w:rsid w:val="00F95BD9"/>
    <w:rsid w:val="00F95CA8"/>
    <w:rsid w:val="00F95D23"/>
    <w:rsid w:val="00F95F76"/>
    <w:rsid w:val="00F9611C"/>
    <w:rsid w:val="00F96324"/>
    <w:rsid w:val="00F9634A"/>
    <w:rsid w:val="00F963DC"/>
    <w:rsid w:val="00F9646B"/>
    <w:rsid w:val="00F96498"/>
    <w:rsid w:val="00F96709"/>
    <w:rsid w:val="00F96787"/>
    <w:rsid w:val="00F9679A"/>
    <w:rsid w:val="00F96A18"/>
    <w:rsid w:val="00F96D40"/>
    <w:rsid w:val="00F96DD1"/>
    <w:rsid w:val="00F96F21"/>
    <w:rsid w:val="00F96F6A"/>
    <w:rsid w:val="00F96FE3"/>
    <w:rsid w:val="00F96FF2"/>
    <w:rsid w:val="00F97200"/>
    <w:rsid w:val="00F97222"/>
    <w:rsid w:val="00F97518"/>
    <w:rsid w:val="00F97566"/>
    <w:rsid w:val="00F97591"/>
    <w:rsid w:val="00F975A0"/>
    <w:rsid w:val="00F975A8"/>
    <w:rsid w:val="00F975F8"/>
    <w:rsid w:val="00F977CA"/>
    <w:rsid w:val="00F97826"/>
    <w:rsid w:val="00F97A55"/>
    <w:rsid w:val="00F97B42"/>
    <w:rsid w:val="00F97B84"/>
    <w:rsid w:val="00F97BAB"/>
    <w:rsid w:val="00F97BF9"/>
    <w:rsid w:val="00F97C27"/>
    <w:rsid w:val="00F97C33"/>
    <w:rsid w:val="00F97C3C"/>
    <w:rsid w:val="00F97C5D"/>
    <w:rsid w:val="00F97CD3"/>
    <w:rsid w:val="00F97DC5"/>
    <w:rsid w:val="00F97DCA"/>
    <w:rsid w:val="00F97E37"/>
    <w:rsid w:val="00F97E75"/>
    <w:rsid w:val="00F97ED3"/>
    <w:rsid w:val="00F97FBB"/>
    <w:rsid w:val="00FA008B"/>
    <w:rsid w:val="00FA0240"/>
    <w:rsid w:val="00FA02C8"/>
    <w:rsid w:val="00FA03BE"/>
    <w:rsid w:val="00FA04A0"/>
    <w:rsid w:val="00FA0566"/>
    <w:rsid w:val="00FA0617"/>
    <w:rsid w:val="00FA06D2"/>
    <w:rsid w:val="00FA06E5"/>
    <w:rsid w:val="00FA0774"/>
    <w:rsid w:val="00FA08B1"/>
    <w:rsid w:val="00FA0A5E"/>
    <w:rsid w:val="00FA0B1C"/>
    <w:rsid w:val="00FA0C38"/>
    <w:rsid w:val="00FA0D3F"/>
    <w:rsid w:val="00FA0DE3"/>
    <w:rsid w:val="00FA0E30"/>
    <w:rsid w:val="00FA0E95"/>
    <w:rsid w:val="00FA11B2"/>
    <w:rsid w:val="00FA1220"/>
    <w:rsid w:val="00FA12B5"/>
    <w:rsid w:val="00FA13D7"/>
    <w:rsid w:val="00FA13EC"/>
    <w:rsid w:val="00FA13F7"/>
    <w:rsid w:val="00FA1488"/>
    <w:rsid w:val="00FA1510"/>
    <w:rsid w:val="00FA1543"/>
    <w:rsid w:val="00FA161D"/>
    <w:rsid w:val="00FA1636"/>
    <w:rsid w:val="00FA166A"/>
    <w:rsid w:val="00FA1737"/>
    <w:rsid w:val="00FA1B15"/>
    <w:rsid w:val="00FA1B87"/>
    <w:rsid w:val="00FA1C4A"/>
    <w:rsid w:val="00FA1D9B"/>
    <w:rsid w:val="00FA1E2C"/>
    <w:rsid w:val="00FA204B"/>
    <w:rsid w:val="00FA207E"/>
    <w:rsid w:val="00FA2166"/>
    <w:rsid w:val="00FA21EC"/>
    <w:rsid w:val="00FA222C"/>
    <w:rsid w:val="00FA2372"/>
    <w:rsid w:val="00FA23A3"/>
    <w:rsid w:val="00FA24C2"/>
    <w:rsid w:val="00FA25E7"/>
    <w:rsid w:val="00FA26DE"/>
    <w:rsid w:val="00FA284D"/>
    <w:rsid w:val="00FA286B"/>
    <w:rsid w:val="00FA286E"/>
    <w:rsid w:val="00FA2A0B"/>
    <w:rsid w:val="00FA2B66"/>
    <w:rsid w:val="00FA2B82"/>
    <w:rsid w:val="00FA2BDB"/>
    <w:rsid w:val="00FA2D1F"/>
    <w:rsid w:val="00FA2D50"/>
    <w:rsid w:val="00FA2E94"/>
    <w:rsid w:val="00FA30E7"/>
    <w:rsid w:val="00FA3160"/>
    <w:rsid w:val="00FA3381"/>
    <w:rsid w:val="00FA341B"/>
    <w:rsid w:val="00FA3625"/>
    <w:rsid w:val="00FA378B"/>
    <w:rsid w:val="00FA37AF"/>
    <w:rsid w:val="00FA3A16"/>
    <w:rsid w:val="00FA3A88"/>
    <w:rsid w:val="00FA3BFF"/>
    <w:rsid w:val="00FA3D6F"/>
    <w:rsid w:val="00FA3DB0"/>
    <w:rsid w:val="00FA3DE0"/>
    <w:rsid w:val="00FA3DF6"/>
    <w:rsid w:val="00FA3E4B"/>
    <w:rsid w:val="00FA3E95"/>
    <w:rsid w:val="00FA3E9C"/>
    <w:rsid w:val="00FA3F01"/>
    <w:rsid w:val="00FA4015"/>
    <w:rsid w:val="00FA4125"/>
    <w:rsid w:val="00FA4138"/>
    <w:rsid w:val="00FA4272"/>
    <w:rsid w:val="00FA42F8"/>
    <w:rsid w:val="00FA437A"/>
    <w:rsid w:val="00FA4412"/>
    <w:rsid w:val="00FA4433"/>
    <w:rsid w:val="00FA461B"/>
    <w:rsid w:val="00FA4647"/>
    <w:rsid w:val="00FA465C"/>
    <w:rsid w:val="00FA482C"/>
    <w:rsid w:val="00FA49F8"/>
    <w:rsid w:val="00FA4A45"/>
    <w:rsid w:val="00FA4CDA"/>
    <w:rsid w:val="00FA4D52"/>
    <w:rsid w:val="00FA4D8A"/>
    <w:rsid w:val="00FA4F70"/>
    <w:rsid w:val="00FA50DF"/>
    <w:rsid w:val="00FA5146"/>
    <w:rsid w:val="00FA5205"/>
    <w:rsid w:val="00FA53A3"/>
    <w:rsid w:val="00FA53B1"/>
    <w:rsid w:val="00FA5448"/>
    <w:rsid w:val="00FA5488"/>
    <w:rsid w:val="00FA54B1"/>
    <w:rsid w:val="00FA5616"/>
    <w:rsid w:val="00FA564E"/>
    <w:rsid w:val="00FA56A4"/>
    <w:rsid w:val="00FA572B"/>
    <w:rsid w:val="00FA5989"/>
    <w:rsid w:val="00FA5A65"/>
    <w:rsid w:val="00FA5C0F"/>
    <w:rsid w:val="00FA5C54"/>
    <w:rsid w:val="00FA5F2D"/>
    <w:rsid w:val="00FA611F"/>
    <w:rsid w:val="00FA6170"/>
    <w:rsid w:val="00FA6227"/>
    <w:rsid w:val="00FA64CF"/>
    <w:rsid w:val="00FA64DA"/>
    <w:rsid w:val="00FA652A"/>
    <w:rsid w:val="00FA65E4"/>
    <w:rsid w:val="00FA66F7"/>
    <w:rsid w:val="00FA6722"/>
    <w:rsid w:val="00FA6895"/>
    <w:rsid w:val="00FA6C04"/>
    <w:rsid w:val="00FA6C55"/>
    <w:rsid w:val="00FA6DC1"/>
    <w:rsid w:val="00FA6F21"/>
    <w:rsid w:val="00FA6F3E"/>
    <w:rsid w:val="00FA6F47"/>
    <w:rsid w:val="00FA6FAF"/>
    <w:rsid w:val="00FA7031"/>
    <w:rsid w:val="00FA71AB"/>
    <w:rsid w:val="00FA71B9"/>
    <w:rsid w:val="00FA722E"/>
    <w:rsid w:val="00FA738A"/>
    <w:rsid w:val="00FA7434"/>
    <w:rsid w:val="00FA7549"/>
    <w:rsid w:val="00FA754F"/>
    <w:rsid w:val="00FA75FB"/>
    <w:rsid w:val="00FA76BF"/>
    <w:rsid w:val="00FA77DE"/>
    <w:rsid w:val="00FA7801"/>
    <w:rsid w:val="00FA78F1"/>
    <w:rsid w:val="00FA7967"/>
    <w:rsid w:val="00FA7974"/>
    <w:rsid w:val="00FA79DC"/>
    <w:rsid w:val="00FA7A4B"/>
    <w:rsid w:val="00FA7AE6"/>
    <w:rsid w:val="00FA7D1F"/>
    <w:rsid w:val="00FA7D7E"/>
    <w:rsid w:val="00FA7E1E"/>
    <w:rsid w:val="00FA7E38"/>
    <w:rsid w:val="00FB0008"/>
    <w:rsid w:val="00FB0191"/>
    <w:rsid w:val="00FB0226"/>
    <w:rsid w:val="00FB0327"/>
    <w:rsid w:val="00FB03BA"/>
    <w:rsid w:val="00FB04AE"/>
    <w:rsid w:val="00FB050F"/>
    <w:rsid w:val="00FB0566"/>
    <w:rsid w:val="00FB0637"/>
    <w:rsid w:val="00FB0672"/>
    <w:rsid w:val="00FB06E8"/>
    <w:rsid w:val="00FB071D"/>
    <w:rsid w:val="00FB0831"/>
    <w:rsid w:val="00FB0A6F"/>
    <w:rsid w:val="00FB0B64"/>
    <w:rsid w:val="00FB0B88"/>
    <w:rsid w:val="00FB0BB8"/>
    <w:rsid w:val="00FB0D3F"/>
    <w:rsid w:val="00FB0D89"/>
    <w:rsid w:val="00FB0D91"/>
    <w:rsid w:val="00FB0E5F"/>
    <w:rsid w:val="00FB108F"/>
    <w:rsid w:val="00FB109B"/>
    <w:rsid w:val="00FB11A9"/>
    <w:rsid w:val="00FB11C7"/>
    <w:rsid w:val="00FB1245"/>
    <w:rsid w:val="00FB126D"/>
    <w:rsid w:val="00FB149A"/>
    <w:rsid w:val="00FB14B0"/>
    <w:rsid w:val="00FB14D3"/>
    <w:rsid w:val="00FB171C"/>
    <w:rsid w:val="00FB1731"/>
    <w:rsid w:val="00FB17D7"/>
    <w:rsid w:val="00FB18B6"/>
    <w:rsid w:val="00FB18E3"/>
    <w:rsid w:val="00FB191F"/>
    <w:rsid w:val="00FB1CE8"/>
    <w:rsid w:val="00FB1E3E"/>
    <w:rsid w:val="00FB1E8C"/>
    <w:rsid w:val="00FB2001"/>
    <w:rsid w:val="00FB207B"/>
    <w:rsid w:val="00FB20FB"/>
    <w:rsid w:val="00FB2118"/>
    <w:rsid w:val="00FB2134"/>
    <w:rsid w:val="00FB217F"/>
    <w:rsid w:val="00FB21A3"/>
    <w:rsid w:val="00FB24A0"/>
    <w:rsid w:val="00FB2596"/>
    <w:rsid w:val="00FB2623"/>
    <w:rsid w:val="00FB26DE"/>
    <w:rsid w:val="00FB274F"/>
    <w:rsid w:val="00FB2783"/>
    <w:rsid w:val="00FB2958"/>
    <w:rsid w:val="00FB29A8"/>
    <w:rsid w:val="00FB2A4C"/>
    <w:rsid w:val="00FB2AAC"/>
    <w:rsid w:val="00FB2B56"/>
    <w:rsid w:val="00FB2BD5"/>
    <w:rsid w:val="00FB2E41"/>
    <w:rsid w:val="00FB2E82"/>
    <w:rsid w:val="00FB2F72"/>
    <w:rsid w:val="00FB30E0"/>
    <w:rsid w:val="00FB31CC"/>
    <w:rsid w:val="00FB3413"/>
    <w:rsid w:val="00FB3439"/>
    <w:rsid w:val="00FB3493"/>
    <w:rsid w:val="00FB34A3"/>
    <w:rsid w:val="00FB36F4"/>
    <w:rsid w:val="00FB3B85"/>
    <w:rsid w:val="00FB3C48"/>
    <w:rsid w:val="00FB3C7D"/>
    <w:rsid w:val="00FB3D55"/>
    <w:rsid w:val="00FB3E94"/>
    <w:rsid w:val="00FB3EA5"/>
    <w:rsid w:val="00FB3FF4"/>
    <w:rsid w:val="00FB4101"/>
    <w:rsid w:val="00FB424F"/>
    <w:rsid w:val="00FB4338"/>
    <w:rsid w:val="00FB4373"/>
    <w:rsid w:val="00FB4508"/>
    <w:rsid w:val="00FB4512"/>
    <w:rsid w:val="00FB45D8"/>
    <w:rsid w:val="00FB4672"/>
    <w:rsid w:val="00FB46FE"/>
    <w:rsid w:val="00FB4716"/>
    <w:rsid w:val="00FB4722"/>
    <w:rsid w:val="00FB480A"/>
    <w:rsid w:val="00FB487C"/>
    <w:rsid w:val="00FB488A"/>
    <w:rsid w:val="00FB48AD"/>
    <w:rsid w:val="00FB48C0"/>
    <w:rsid w:val="00FB490A"/>
    <w:rsid w:val="00FB4A96"/>
    <w:rsid w:val="00FB4BE8"/>
    <w:rsid w:val="00FB4C0B"/>
    <w:rsid w:val="00FB4CFF"/>
    <w:rsid w:val="00FB4E75"/>
    <w:rsid w:val="00FB4ECA"/>
    <w:rsid w:val="00FB4F12"/>
    <w:rsid w:val="00FB540F"/>
    <w:rsid w:val="00FB5425"/>
    <w:rsid w:val="00FB586F"/>
    <w:rsid w:val="00FB590F"/>
    <w:rsid w:val="00FB59EB"/>
    <w:rsid w:val="00FB5B5C"/>
    <w:rsid w:val="00FB5BAF"/>
    <w:rsid w:val="00FB5BE7"/>
    <w:rsid w:val="00FB5BF5"/>
    <w:rsid w:val="00FB5CC6"/>
    <w:rsid w:val="00FB5CD0"/>
    <w:rsid w:val="00FB5E2D"/>
    <w:rsid w:val="00FB5E36"/>
    <w:rsid w:val="00FB5F47"/>
    <w:rsid w:val="00FB60A9"/>
    <w:rsid w:val="00FB60E4"/>
    <w:rsid w:val="00FB6106"/>
    <w:rsid w:val="00FB61C9"/>
    <w:rsid w:val="00FB65E4"/>
    <w:rsid w:val="00FB66A8"/>
    <w:rsid w:val="00FB671D"/>
    <w:rsid w:val="00FB6758"/>
    <w:rsid w:val="00FB6A22"/>
    <w:rsid w:val="00FB6A86"/>
    <w:rsid w:val="00FB6C47"/>
    <w:rsid w:val="00FB6DB1"/>
    <w:rsid w:val="00FB6DF5"/>
    <w:rsid w:val="00FB6E28"/>
    <w:rsid w:val="00FB6E5B"/>
    <w:rsid w:val="00FB6F3A"/>
    <w:rsid w:val="00FB702E"/>
    <w:rsid w:val="00FB709B"/>
    <w:rsid w:val="00FB70F6"/>
    <w:rsid w:val="00FB7337"/>
    <w:rsid w:val="00FB7340"/>
    <w:rsid w:val="00FB7471"/>
    <w:rsid w:val="00FB7565"/>
    <w:rsid w:val="00FB760C"/>
    <w:rsid w:val="00FB760F"/>
    <w:rsid w:val="00FB770E"/>
    <w:rsid w:val="00FB777C"/>
    <w:rsid w:val="00FB7786"/>
    <w:rsid w:val="00FB7931"/>
    <w:rsid w:val="00FB7BCA"/>
    <w:rsid w:val="00FB7CE2"/>
    <w:rsid w:val="00FB7CE3"/>
    <w:rsid w:val="00FB7E2B"/>
    <w:rsid w:val="00FB7FC2"/>
    <w:rsid w:val="00FC033B"/>
    <w:rsid w:val="00FC0502"/>
    <w:rsid w:val="00FC064C"/>
    <w:rsid w:val="00FC08A9"/>
    <w:rsid w:val="00FC0A42"/>
    <w:rsid w:val="00FC0A78"/>
    <w:rsid w:val="00FC0D5A"/>
    <w:rsid w:val="00FC0DD9"/>
    <w:rsid w:val="00FC0DEC"/>
    <w:rsid w:val="00FC0FF4"/>
    <w:rsid w:val="00FC108E"/>
    <w:rsid w:val="00FC1196"/>
    <w:rsid w:val="00FC147E"/>
    <w:rsid w:val="00FC1565"/>
    <w:rsid w:val="00FC1729"/>
    <w:rsid w:val="00FC1809"/>
    <w:rsid w:val="00FC1892"/>
    <w:rsid w:val="00FC18AB"/>
    <w:rsid w:val="00FC1B81"/>
    <w:rsid w:val="00FC1BC8"/>
    <w:rsid w:val="00FC1C2F"/>
    <w:rsid w:val="00FC1C4B"/>
    <w:rsid w:val="00FC1E42"/>
    <w:rsid w:val="00FC1E87"/>
    <w:rsid w:val="00FC1E8E"/>
    <w:rsid w:val="00FC1EA3"/>
    <w:rsid w:val="00FC201B"/>
    <w:rsid w:val="00FC21CB"/>
    <w:rsid w:val="00FC21E2"/>
    <w:rsid w:val="00FC2201"/>
    <w:rsid w:val="00FC2466"/>
    <w:rsid w:val="00FC24CC"/>
    <w:rsid w:val="00FC24EF"/>
    <w:rsid w:val="00FC250B"/>
    <w:rsid w:val="00FC2565"/>
    <w:rsid w:val="00FC264E"/>
    <w:rsid w:val="00FC26EC"/>
    <w:rsid w:val="00FC2708"/>
    <w:rsid w:val="00FC28CB"/>
    <w:rsid w:val="00FC2995"/>
    <w:rsid w:val="00FC2E29"/>
    <w:rsid w:val="00FC2E96"/>
    <w:rsid w:val="00FC2F7D"/>
    <w:rsid w:val="00FC3084"/>
    <w:rsid w:val="00FC3140"/>
    <w:rsid w:val="00FC3156"/>
    <w:rsid w:val="00FC3290"/>
    <w:rsid w:val="00FC32FD"/>
    <w:rsid w:val="00FC3328"/>
    <w:rsid w:val="00FC345F"/>
    <w:rsid w:val="00FC357E"/>
    <w:rsid w:val="00FC364C"/>
    <w:rsid w:val="00FC364D"/>
    <w:rsid w:val="00FC3840"/>
    <w:rsid w:val="00FC3847"/>
    <w:rsid w:val="00FC38E2"/>
    <w:rsid w:val="00FC390A"/>
    <w:rsid w:val="00FC3B16"/>
    <w:rsid w:val="00FC3C37"/>
    <w:rsid w:val="00FC3D07"/>
    <w:rsid w:val="00FC3DB3"/>
    <w:rsid w:val="00FC3DDC"/>
    <w:rsid w:val="00FC3E40"/>
    <w:rsid w:val="00FC3F90"/>
    <w:rsid w:val="00FC3FCE"/>
    <w:rsid w:val="00FC40EF"/>
    <w:rsid w:val="00FC41EB"/>
    <w:rsid w:val="00FC4240"/>
    <w:rsid w:val="00FC42B8"/>
    <w:rsid w:val="00FC4330"/>
    <w:rsid w:val="00FC4481"/>
    <w:rsid w:val="00FC45DD"/>
    <w:rsid w:val="00FC47DC"/>
    <w:rsid w:val="00FC4894"/>
    <w:rsid w:val="00FC4B72"/>
    <w:rsid w:val="00FC4D2E"/>
    <w:rsid w:val="00FC4D89"/>
    <w:rsid w:val="00FC50F5"/>
    <w:rsid w:val="00FC511B"/>
    <w:rsid w:val="00FC5173"/>
    <w:rsid w:val="00FC5206"/>
    <w:rsid w:val="00FC5232"/>
    <w:rsid w:val="00FC527A"/>
    <w:rsid w:val="00FC52EF"/>
    <w:rsid w:val="00FC52F5"/>
    <w:rsid w:val="00FC52FD"/>
    <w:rsid w:val="00FC5338"/>
    <w:rsid w:val="00FC5508"/>
    <w:rsid w:val="00FC5551"/>
    <w:rsid w:val="00FC561D"/>
    <w:rsid w:val="00FC587C"/>
    <w:rsid w:val="00FC58B4"/>
    <w:rsid w:val="00FC5996"/>
    <w:rsid w:val="00FC59AC"/>
    <w:rsid w:val="00FC5A57"/>
    <w:rsid w:val="00FC5D60"/>
    <w:rsid w:val="00FC5D96"/>
    <w:rsid w:val="00FC5EEB"/>
    <w:rsid w:val="00FC5F7A"/>
    <w:rsid w:val="00FC632A"/>
    <w:rsid w:val="00FC6336"/>
    <w:rsid w:val="00FC6418"/>
    <w:rsid w:val="00FC64F9"/>
    <w:rsid w:val="00FC6570"/>
    <w:rsid w:val="00FC6585"/>
    <w:rsid w:val="00FC6648"/>
    <w:rsid w:val="00FC664C"/>
    <w:rsid w:val="00FC670F"/>
    <w:rsid w:val="00FC6752"/>
    <w:rsid w:val="00FC67AF"/>
    <w:rsid w:val="00FC67B8"/>
    <w:rsid w:val="00FC6834"/>
    <w:rsid w:val="00FC69AE"/>
    <w:rsid w:val="00FC6A95"/>
    <w:rsid w:val="00FC6B7E"/>
    <w:rsid w:val="00FC6E69"/>
    <w:rsid w:val="00FC6F02"/>
    <w:rsid w:val="00FC70DD"/>
    <w:rsid w:val="00FC713C"/>
    <w:rsid w:val="00FC7331"/>
    <w:rsid w:val="00FC7424"/>
    <w:rsid w:val="00FC7526"/>
    <w:rsid w:val="00FC7810"/>
    <w:rsid w:val="00FC79E4"/>
    <w:rsid w:val="00FC79F4"/>
    <w:rsid w:val="00FC7A3C"/>
    <w:rsid w:val="00FC7B7C"/>
    <w:rsid w:val="00FC7CBD"/>
    <w:rsid w:val="00FC7D62"/>
    <w:rsid w:val="00FC7DDD"/>
    <w:rsid w:val="00FD0070"/>
    <w:rsid w:val="00FD017B"/>
    <w:rsid w:val="00FD0261"/>
    <w:rsid w:val="00FD0279"/>
    <w:rsid w:val="00FD028C"/>
    <w:rsid w:val="00FD0298"/>
    <w:rsid w:val="00FD02FE"/>
    <w:rsid w:val="00FD0305"/>
    <w:rsid w:val="00FD03D4"/>
    <w:rsid w:val="00FD04AE"/>
    <w:rsid w:val="00FD07DD"/>
    <w:rsid w:val="00FD08A1"/>
    <w:rsid w:val="00FD08E2"/>
    <w:rsid w:val="00FD0C75"/>
    <w:rsid w:val="00FD0CF1"/>
    <w:rsid w:val="00FD0D5E"/>
    <w:rsid w:val="00FD0D70"/>
    <w:rsid w:val="00FD0DDC"/>
    <w:rsid w:val="00FD0E21"/>
    <w:rsid w:val="00FD0E63"/>
    <w:rsid w:val="00FD0EE1"/>
    <w:rsid w:val="00FD106C"/>
    <w:rsid w:val="00FD10C6"/>
    <w:rsid w:val="00FD121B"/>
    <w:rsid w:val="00FD1225"/>
    <w:rsid w:val="00FD12F5"/>
    <w:rsid w:val="00FD1316"/>
    <w:rsid w:val="00FD13BE"/>
    <w:rsid w:val="00FD145D"/>
    <w:rsid w:val="00FD164D"/>
    <w:rsid w:val="00FD1693"/>
    <w:rsid w:val="00FD1763"/>
    <w:rsid w:val="00FD181B"/>
    <w:rsid w:val="00FD18FB"/>
    <w:rsid w:val="00FD1939"/>
    <w:rsid w:val="00FD1A04"/>
    <w:rsid w:val="00FD1C95"/>
    <w:rsid w:val="00FD1D7A"/>
    <w:rsid w:val="00FD1ED2"/>
    <w:rsid w:val="00FD1EE3"/>
    <w:rsid w:val="00FD1FDB"/>
    <w:rsid w:val="00FD1FDC"/>
    <w:rsid w:val="00FD21DF"/>
    <w:rsid w:val="00FD220F"/>
    <w:rsid w:val="00FD2217"/>
    <w:rsid w:val="00FD2280"/>
    <w:rsid w:val="00FD26FC"/>
    <w:rsid w:val="00FD2713"/>
    <w:rsid w:val="00FD29E4"/>
    <w:rsid w:val="00FD2A33"/>
    <w:rsid w:val="00FD2A83"/>
    <w:rsid w:val="00FD2B6D"/>
    <w:rsid w:val="00FD2C0F"/>
    <w:rsid w:val="00FD2C15"/>
    <w:rsid w:val="00FD2C5C"/>
    <w:rsid w:val="00FD2E28"/>
    <w:rsid w:val="00FD2F7F"/>
    <w:rsid w:val="00FD3032"/>
    <w:rsid w:val="00FD319B"/>
    <w:rsid w:val="00FD3383"/>
    <w:rsid w:val="00FD37F4"/>
    <w:rsid w:val="00FD3892"/>
    <w:rsid w:val="00FD3A3F"/>
    <w:rsid w:val="00FD3A57"/>
    <w:rsid w:val="00FD3A60"/>
    <w:rsid w:val="00FD3C35"/>
    <w:rsid w:val="00FD3D62"/>
    <w:rsid w:val="00FD3DE0"/>
    <w:rsid w:val="00FD3DFB"/>
    <w:rsid w:val="00FD3E06"/>
    <w:rsid w:val="00FD3E9F"/>
    <w:rsid w:val="00FD3F1F"/>
    <w:rsid w:val="00FD3F2B"/>
    <w:rsid w:val="00FD4034"/>
    <w:rsid w:val="00FD40F6"/>
    <w:rsid w:val="00FD427D"/>
    <w:rsid w:val="00FD44DB"/>
    <w:rsid w:val="00FD4557"/>
    <w:rsid w:val="00FD4579"/>
    <w:rsid w:val="00FD473E"/>
    <w:rsid w:val="00FD48D3"/>
    <w:rsid w:val="00FD494C"/>
    <w:rsid w:val="00FD4B11"/>
    <w:rsid w:val="00FD4B29"/>
    <w:rsid w:val="00FD4B55"/>
    <w:rsid w:val="00FD4B93"/>
    <w:rsid w:val="00FD4B9D"/>
    <w:rsid w:val="00FD4C26"/>
    <w:rsid w:val="00FD4C3D"/>
    <w:rsid w:val="00FD4C89"/>
    <w:rsid w:val="00FD4CB4"/>
    <w:rsid w:val="00FD4CFB"/>
    <w:rsid w:val="00FD4E2D"/>
    <w:rsid w:val="00FD4EEA"/>
    <w:rsid w:val="00FD4F1C"/>
    <w:rsid w:val="00FD4F65"/>
    <w:rsid w:val="00FD503A"/>
    <w:rsid w:val="00FD5151"/>
    <w:rsid w:val="00FD51AE"/>
    <w:rsid w:val="00FD5201"/>
    <w:rsid w:val="00FD52DB"/>
    <w:rsid w:val="00FD546E"/>
    <w:rsid w:val="00FD5516"/>
    <w:rsid w:val="00FD578F"/>
    <w:rsid w:val="00FD5820"/>
    <w:rsid w:val="00FD58E5"/>
    <w:rsid w:val="00FD5914"/>
    <w:rsid w:val="00FD5935"/>
    <w:rsid w:val="00FD5AA1"/>
    <w:rsid w:val="00FD5B1A"/>
    <w:rsid w:val="00FD5C2B"/>
    <w:rsid w:val="00FD5C68"/>
    <w:rsid w:val="00FD5EA3"/>
    <w:rsid w:val="00FD5F9A"/>
    <w:rsid w:val="00FD6094"/>
    <w:rsid w:val="00FD60AD"/>
    <w:rsid w:val="00FD6261"/>
    <w:rsid w:val="00FD629F"/>
    <w:rsid w:val="00FD62BD"/>
    <w:rsid w:val="00FD6449"/>
    <w:rsid w:val="00FD6455"/>
    <w:rsid w:val="00FD650B"/>
    <w:rsid w:val="00FD66F2"/>
    <w:rsid w:val="00FD6974"/>
    <w:rsid w:val="00FD6A4A"/>
    <w:rsid w:val="00FD6B07"/>
    <w:rsid w:val="00FD6B5A"/>
    <w:rsid w:val="00FD6BBE"/>
    <w:rsid w:val="00FD6BE4"/>
    <w:rsid w:val="00FD6E47"/>
    <w:rsid w:val="00FD6EB2"/>
    <w:rsid w:val="00FD6F23"/>
    <w:rsid w:val="00FD7110"/>
    <w:rsid w:val="00FD717A"/>
    <w:rsid w:val="00FD7255"/>
    <w:rsid w:val="00FD72E5"/>
    <w:rsid w:val="00FD738A"/>
    <w:rsid w:val="00FD73D0"/>
    <w:rsid w:val="00FD7413"/>
    <w:rsid w:val="00FD7450"/>
    <w:rsid w:val="00FD7646"/>
    <w:rsid w:val="00FD7662"/>
    <w:rsid w:val="00FD76CC"/>
    <w:rsid w:val="00FD77A2"/>
    <w:rsid w:val="00FD78BF"/>
    <w:rsid w:val="00FD78C2"/>
    <w:rsid w:val="00FD7919"/>
    <w:rsid w:val="00FD7926"/>
    <w:rsid w:val="00FD7C06"/>
    <w:rsid w:val="00FD7C18"/>
    <w:rsid w:val="00FD7C56"/>
    <w:rsid w:val="00FE0053"/>
    <w:rsid w:val="00FE034B"/>
    <w:rsid w:val="00FE0363"/>
    <w:rsid w:val="00FE03BE"/>
    <w:rsid w:val="00FE0400"/>
    <w:rsid w:val="00FE04E9"/>
    <w:rsid w:val="00FE04F9"/>
    <w:rsid w:val="00FE054D"/>
    <w:rsid w:val="00FE0553"/>
    <w:rsid w:val="00FE066C"/>
    <w:rsid w:val="00FE06C6"/>
    <w:rsid w:val="00FE06CA"/>
    <w:rsid w:val="00FE06DF"/>
    <w:rsid w:val="00FE06E1"/>
    <w:rsid w:val="00FE097C"/>
    <w:rsid w:val="00FE0B42"/>
    <w:rsid w:val="00FE0B58"/>
    <w:rsid w:val="00FE0C1B"/>
    <w:rsid w:val="00FE0CF9"/>
    <w:rsid w:val="00FE0D28"/>
    <w:rsid w:val="00FE0E81"/>
    <w:rsid w:val="00FE0F23"/>
    <w:rsid w:val="00FE0F95"/>
    <w:rsid w:val="00FE0FA8"/>
    <w:rsid w:val="00FE10A5"/>
    <w:rsid w:val="00FE13F5"/>
    <w:rsid w:val="00FE144F"/>
    <w:rsid w:val="00FE1451"/>
    <w:rsid w:val="00FE1490"/>
    <w:rsid w:val="00FE1493"/>
    <w:rsid w:val="00FE1514"/>
    <w:rsid w:val="00FE1590"/>
    <w:rsid w:val="00FE1744"/>
    <w:rsid w:val="00FE1775"/>
    <w:rsid w:val="00FE1896"/>
    <w:rsid w:val="00FE18D4"/>
    <w:rsid w:val="00FE1971"/>
    <w:rsid w:val="00FE1973"/>
    <w:rsid w:val="00FE19F7"/>
    <w:rsid w:val="00FE1A50"/>
    <w:rsid w:val="00FE1A77"/>
    <w:rsid w:val="00FE1C42"/>
    <w:rsid w:val="00FE1C77"/>
    <w:rsid w:val="00FE1D2F"/>
    <w:rsid w:val="00FE1E5C"/>
    <w:rsid w:val="00FE1F65"/>
    <w:rsid w:val="00FE2255"/>
    <w:rsid w:val="00FE225B"/>
    <w:rsid w:val="00FE2260"/>
    <w:rsid w:val="00FE2264"/>
    <w:rsid w:val="00FE22E0"/>
    <w:rsid w:val="00FE2416"/>
    <w:rsid w:val="00FE243D"/>
    <w:rsid w:val="00FE2577"/>
    <w:rsid w:val="00FE2626"/>
    <w:rsid w:val="00FE27CB"/>
    <w:rsid w:val="00FE283E"/>
    <w:rsid w:val="00FE29DC"/>
    <w:rsid w:val="00FE2A30"/>
    <w:rsid w:val="00FE2B5D"/>
    <w:rsid w:val="00FE2DBB"/>
    <w:rsid w:val="00FE2E4E"/>
    <w:rsid w:val="00FE2EF2"/>
    <w:rsid w:val="00FE2F79"/>
    <w:rsid w:val="00FE3010"/>
    <w:rsid w:val="00FE32BF"/>
    <w:rsid w:val="00FE3306"/>
    <w:rsid w:val="00FE3348"/>
    <w:rsid w:val="00FE34CE"/>
    <w:rsid w:val="00FE3552"/>
    <w:rsid w:val="00FE355E"/>
    <w:rsid w:val="00FE3649"/>
    <w:rsid w:val="00FE3706"/>
    <w:rsid w:val="00FE3D9E"/>
    <w:rsid w:val="00FE3ECB"/>
    <w:rsid w:val="00FE3EF4"/>
    <w:rsid w:val="00FE3F4D"/>
    <w:rsid w:val="00FE3F59"/>
    <w:rsid w:val="00FE3FB2"/>
    <w:rsid w:val="00FE417D"/>
    <w:rsid w:val="00FE42F7"/>
    <w:rsid w:val="00FE4453"/>
    <w:rsid w:val="00FE45A9"/>
    <w:rsid w:val="00FE45C1"/>
    <w:rsid w:val="00FE461A"/>
    <w:rsid w:val="00FE461F"/>
    <w:rsid w:val="00FE4857"/>
    <w:rsid w:val="00FE485F"/>
    <w:rsid w:val="00FE489F"/>
    <w:rsid w:val="00FE4A62"/>
    <w:rsid w:val="00FE4F71"/>
    <w:rsid w:val="00FE4F78"/>
    <w:rsid w:val="00FE5074"/>
    <w:rsid w:val="00FE51B7"/>
    <w:rsid w:val="00FE5339"/>
    <w:rsid w:val="00FE5371"/>
    <w:rsid w:val="00FE53E9"/>
    <w:rsid w:val="00FE5412"/>
    <w:rsid w:val="00FE542B"/>
    <w:rsid w:val="00FE557E"/>
    <w:rsid w:val="00FE5615"/>
    <w:rsid w:val="00FE5685"/>
    <w:rsid w:val="00FE574F"/>
    <w:rsid w:val="00FE5792"/>
    <w:rsid w:val="00FE57AA"/>
    <w:rsid w:val="00FE5976"/>
    <w:rsid w:val="00FE59F2"/>
    <w:rsid w:val="00FE5A27"/>
    <w:rsid w:val="00FE5AE4"/>
    <w:rsid w:val="00FE5BD1"/>
    <w:rsid w:val="00FE5C2E"/>
    <w:rsid w:val="00FE5C4B"/>
    <w:rsid w:val="00FE5D6D"/>
    <w:rsid w:val="00FE5DBC"/>
    <w:rsid w:val="00FE5DF9"/>
    <w:rsid w:val="00FE5EB5"/>
    <w:rsid w:val="00FE5FA6"/>
    <w:rsid w:val="00FE5FDF"/>
    <w:rsid w:val="00FE60C8"/>
    <w:rsid w:val="00FE60F8"/>
    <w:rsid w:val="00FE6152"/>
    <w:rsid w:val="00FE6323"/>
    <w:rsid w:val="00FE64A1"/>
    <w:rsid w:val="00FE664D"/>
    <w:rsid w:val="00FE665E"/>
    <w:rsid w:val="00FE669E"/>
    <w:rsid w:val="00FE6722"/>
    <w:rsid w:val="00FE67DB"/>
    <w:rsid w:val="00FE6849"/>
    <w:rsid w:val="00FE69C4"/>
    <w:rsid w:val="00FE6A97"/>
    <w:rsid w:val="00FE6AAF"/>
    <w:rsid w:val="00FE6CE5"/>
    <w:rsid w:val="00FE6D30"/>
    <w:rsid w:val="00FE6E12"/>
    <w:rsid w:val="00FE6FDC"/>
    <w:rsid w:val="00FE707C"/>
    <w:rsid w:val="00FE70A9"/>
    <w:rsid w:val="00FE7109"/>
    <w:rsid w:val="00FE718D"/>
    <w:rsid w:val="00FE71D7"/>
    <w:rsid w:val="00FE7488"/>
    <w:rsid w:val="00FE74DA"/>
    <w:rsid w:val="00FE7723"/>
    <w:rsid w:val="00FE7772"/>
    <w:rsid w:val="00FE77CB"/>
    <w:rsid w:val="00FE78ED"/>
    <w:rsid w:val="00FE79F3"/>
    <w:rsid w:val="00FE7AB7"/>
    <w:rsid w:val="00FE7C25"/>
    <w:rsid w:val="00FE7CAE"/>
    <w:rsid w:val="00FE7DD5"/>
    <w:rsid w:val="00FE7DFD"/>
    <w:rsid w:val="00FE7E2E"/>
    <w:rsid w:val="00FE7E4A"/>
    <w:rsid w:val="00FE7F9E"/>
    <w:rsid w:val="00FE7FD5"/>
    <w:rsid w:val="00FE7FFA"/>
    <w:rsid w:val="00FF004B"/>
    <w:rsid w:val="00FF014F"/>
    <w:rsid w:val="00FF02A3"/>
    <w:rsid w:val="00FF038B"/>
    <w:rsid w:val="00FF03D7"/>
    <w:rsid w:val="00FF07B0"/>
    <w:rsid w:val="00FF0806"/>
    <w:rsid w:val="00FF0886"/>
    <w:rsid w:val="00FF094C"/>
    <w:rsid w:val="00FF0A54"/>
    <w:rsid w:val="00FF0A7D"/>
    <w:rsid w:val="00FF0C00"/>
    <w:rsid w:val="00FF0C35"/>
    <w:rsid w:val="00FF0D39"/>
    <w:rsid w:val="00FF0E27"/>
    <w:rsid w:val="00FF1125"/>
    <w:rsid w:val="00FF1193"/>
    <w:rsid w:val="00FF1248"/>
    <w:rsid w:val="00FF1326"/>
    <w:rsid w:val="00FF133A"/>
    <w:rsid w:val="00FF172E"/>
    <w:rsid w:val="00FF17CC"/>
    <w:rsid w:val="00FF180E"/>
    <w:rsid w:val="00FF18A2"/>
    <w:rsid w:val="00FF1921"/>
    <w:rsid w:val="00FF19D5"/>
    <w:rsid w:val="00FF1AA4"/>
    <w:rsid w:val="00FF1BFC"/>
    <w:rsid w:val="00FF1C67"/>
    <w:rsid w:val="00FF1DC7"/>
    <w:rsid w:val="00FF1DE2"/>
    <w:rsid w:val="00FF1FC7"/>
    <w:rsid w:val="00FF1FEC"/>
    <w:rsid w:val="00FF2024"/>
    <w:rsid w:val="00FF20F4"/>
    <w:rsid w:val="00FF21D9"/>
    <w:rsid w:val="00FF2258"/>
    <w:rsid w:val="00FF22C8"/>
    <w:rsid w:val="00FF2416"/>
    <w:rsid w:val="00FF2439"/>
    <w:rsid w:val="00FF2455"/>
    <w:rsid w:val="00FF248A"/>
    <w:rsid w:val="00FF2534"/>
    <w:rsid w:val="00FF257D"/>
    <w:rsid w:val="00FF2607"/>
    <w:rsid w:val="00FF263E"/>
    <w:rsid w:val="00FF2742"/>
    <w:rsid w:val="00FF2768"/>
    <w:rsid w:val="00FF29D4"/>
    <w:rsid w:val="00FF2AD1"/>
    <w:rsid w:val="00FF2C7D"/>
    <w:rsid w:val="00FF2D3E"/>
    <w:rsid w:val="00FF2F2B"/>
    <w:rsid w:val="00FF2FC2"/>
    <w:rsid w:val="00FF2FD9"/>
    <w:rsid w:val="00FF2FEE"/>
    <w:rsid w:val="00FF305D"/>
    <w:rsid w:val="00FF3070"/>
    <w:rsid w:val="00FF307A"/>
    <w:rsid w:val="00FF315F"/>
    <w:rsid w:val="00FF31AF"/>
    <w:rsid w:val="00FF32D2"/>
    <w:rsid w:val="00FF33C5"/>
    <w:rsid w:val="00FF3779"/>
    <w:rsid w:val="00FF37B8"/>
    <w:rsid w:val="00FF381D"/>
    <w:rsid w:val="00FF398D"/>
    <w:rsid w:val="00FF3AB1"/>
    <w:rsid w:val="00FF3B64"/>
    <w:rsid w:val="00FF3D5F"/>
    <w:rsid w:val="00FF3D78"/>
    <w:rsid w:val="00FF3D83"/>
    <w:rsid w:val="00FF3D91"/>
    <w:rsid w:val="00FF3F3D"/>
    <w:rsid w:val="00FF4118"/>
    <w:rsid w:val="00FF4190"/>
    <w:rsid w:val="00FF427E"/>
    <w:rsid w:val="00FF42ED"/>
    <w:rsid w:val="00FF43D6"/>
    <w:rsid w:val="00FF45E0"/>
    <w:rsid w:val="00FF4A17"/>
    <w:rsid w:val="00FF4AC5"/>
    <w:rsid w:val="00FF4C3F"/>
    <w:rsid w:val="00FF4C59"/>
    <w:rsid w:val="00FF4D1C"/>
    <w:rsid w:val="00FF4D80"/>
    <w:rsid w:val="00FF4F01"/>
    <w:rsid w:val="00FF5116"/>
    <w:rsid w:val="00FF5355"/>
    <w:rsid w:val="00FF5577"/>
    <w:rsid w:val="00FF5632"/>
    <w:rsid w:val="00FF57B6"/>
    <w:rsid w:val="00FF580F"/>
    <w:rsid w:val="00FF5886"/>
    <w:rsid w:val="00FF5AC2"/>
    <w:rsid w:val="00FF5AC6"/>
    <w:rsid w:val="00FF5AEF"/>
    <w:rsid w:val="00FF5B15"/>
    <w:rsid w:val="00FF5BC5"/>
    <w:rsid w:val="00FF5BFB"/>
    <w:rsid w:val="00FF6041"/>
    <w:rsid w:val="00FF605E"/>
    <w:rsid w:val="00FF6128"/>
    <w:rsid w:val="00FF6180"/>
    <w:rsid w:val="00FF62EE"/>
    <w:rsid w:val="00FF630B"/>
    <w:rsid w:val="00FF6369"/>
    <w:rsid w:val="00FF6451"/>
    <w:rsid w:val="00FF6471"/>
    <w:rsid w:val="00FF648D"/>
    <w:rsid w:val="00FF66A1"/>
    <w:rsid w:val="00FF66ED"/>
    <w:rsid w:val="00FF6855"/>
    <w:rsid w:val="00FF6C4F"/>
    <w:rsid w:val="00FF6C7E"/>
    <w:rsid w:val="00FF6CA2"/>
    <w:rsid w:val="00FF6ED2"/>
    <w:rsid w:val="00FF6FAA"/>
    <w:rsid w:val="00FF7191"/>
    <w:rsid w:val="00FF72E1"/>
    <w:rsid w:val="00FF76FD"/>
    <w:rsid w:val="00FF7720"/>
    <w:rsid w:val="00FF77DE"/>
    <w:rsid w:val="00FF77FC"/>
    <w:rsid w:val="00FF790A"/>
    <w:rsid w:val="00FF793B"/>
    <w:rsid w:val="00FF794D"/>
    <w:rsid w:val="00FF79A7"/>
    <w:rsid w:val="00FF7AF6"/>
    <w:rsid w:val="00FF7D74"/>
    <w:rsid w:val="00FF7D9D"/>
    <w:rsid w:val="00FF7F1F"/>
    <w:rsid w:val="00FF7FC8"/>
    <w:rsid w:val="0107D03A"/>
    <w:rsid w:val="01275491"/>
    <w:rsid w:val="012DC5C7"/>
    <w:rsid w:val="012E8279"/>
    <w:rsid w:val="0132F251"/>
    <w:rsid w:val="013CD09F"/>
    <w:rsid w:val="0153EB2D"/>
    <w:rsid w:val="01815B6B"/>
    <w:rsid w:val="0194B4EE"/>
    <w:rsid w:val="01A1C0C9"/>
    <w:rsid w:val="01D8CD2F"/>
    <w:rsid w:val="01D9CFF5"/>
    <w:rsid w:val="01DF738F"/>
    <w:rsid w:val="021279D3"/>
    <w:rsid w:val="0224D851"/>
    <w:rsid w:val="02372DAC"/>
    <w:rsid w:val="023F95DD"/>
    <w:rsid w:val="0240D260"/>
    <w:rsid w:val="0246AE56"/>
    <w:rsid w:val="02490AD5"/>
    <w:rsid w:val="02531777"/>
    <w:rsid w:val="026121A4"/>
    <w:rsid w:val="027A1896"/>
    <w:rsid w:val="02998B06"/>
    <w:rsid w:val="02A05B12"/>
    <w:rsid w:val="02A8C7FD"/>
    <w:rsid w:val="02AD3C74"/>
    <w:rsid w:val="02B823C3"/>
    <w:rsid w:val="02BCB529"/>
    <w:rsid w:val="02CAED42"/>
    <w:rsid w:val="02CFF95C"/>
    <w:rsid w:val="02E267D9"/>
    <w:rsid w:val="0304542F"/>
    <w:rsid w:val="030C13D5"/>
    <w:rsid w:val="031531E5"/>
    <w:rsid w:val="0317A714"/>
    <w:rsid w:val="03378CA9"/>
    <w:rsid w:val="033DF79F"/>
    <w:rsid w:val="0351AE2C"/>
    <w:rsid w:val="03544412"/>
    <w:rsid w:val="0356601B"/>
    <w:rsid w:val="036ADEBC"/>
    <w:rsid w:val="036AFFA5"/>
    <w:rsid w:val="037991BC"/>
    <w:rsid w:val="037C1EA3"/>
    <w:rsid w:val="037E8246"/>
    <w:rsid w:val="037EC004"/>
    <w:rsid w:val="03899539"/>
    <w:rsid w:val="038AE176"/>
    <w:rsid w:val="03B2031F"/>
    <w:rsid w:val="03C1C117"/>
    <w:rsid w:val="03C4A2DC"/>
    <w:rsid w:val="03CA55C8"/>
    <w:rsid w:val="03FE0B3D"/>
    <w:rsid w:val="043080A5"/>
    <w:rsid w:val="0438DE22"/>
    <w:rsid w:val="043FE61C"/>
    <w:rsid w:val="0461D5DA"/>
    <w:rsid w:val="0472B61C"/>
    <w:rsid w:val="04756A5B"/>
    <w:rsid w:val="0489D797"/>
    <w:rsid w:val="0491845B"/>
    <w:rsid w:val="0498296A"/>
    <w:rsid w:val="04BABC67"/>
    <w:rsid w:val="04BE266D"/>
    <w:rsid w:val="04D0EA6B"/>
    <w:rsid w:val="04D46581"/>
    <w:rsid w:val="04D7C7EE"/>
    <w:rsid w:val="04DB90E1"/>
    <w:rsid w:val="04E5FB4C"/>
    <w:rsid w:val="04FB277D"/>
    <w:rsid w:val="05302CDE"/>
    <w:rsid w:val="0538AA49"/>
    <w:rsid w:val="05487E97"/>
    <w:rsid w:val="055720F7"/>
    <w:rsid w:val="055FDDAB"/>
    <w:rsid w:val="05661A87"/>
    <w:rsid w:val="056D8B4A"/>
    <w:rsid w:val="05704D14"/>
    <w:rsid w:val="057BBE1B"/>
    <w:rsid w:val="05891DF9"/>
    <w:rsid w:val="0589E6A1"/>
    <w:rsid w:val="05A2D9C0"/>
    <w:rsid w:val="05BC2922"/>
    <w:rsid w:val="05C3354B"/>
    <w:rsid w:val="05D40876"/>
    <w:rsid w:val="05D7959A"/>
    <w:rsid w:val="05D91A67"/>
    <w:rsid w:val="05DD1177"/>
    <w:rsid w:val="05E661E2"/>
    <w:rsid w:val="05FBE175"/>
    <w:rsid w:val="0611E6D2"/>
    <w:rsid w:val="06225EEC"/>
    <w:rsid w:val="06286E16"/>
    <w:rsid w:val="062A7E19"/>
    <w:rsid w:val="064F0772"/>
    <w:rsid w:val="0675C82F"/>
    <w:rsid w:val="067B5B64"/>
    <w:rsid w:val="0684051D"/>
    <w:rsid w:val="06854332"/>
    <w:rsid w:val="0689B933"/>
    <w:rsid w:val="068C8094"/>
    <w:rsid w:val="06A2DBD4"/>
    <w:rsid w:val="06AFB613"/>
    <w:rsid w:val="06BF9549"/>
    <w:rsid w:val="06D16D0B"/>
    <w:rsid w:val="06E3D3A4"/>
    <w:rsid w:val="06F76E54"/>
    <w:rsid w:val="072A0749"/>
    <w:rsid w:val="072B08E6"/>
    <w:rsid w:val="07455A30"/>
    <w:rsid w:val="074DC083"/>
    <w:rsid w:val="075018D9"/>
    <w:rsid w:val="075B1667"/>
    <w:rsid w:val="075EC024"/>
    <w:rsid w:val="0762658E"/>
    <w:rsid w:val="0764DFAE"/>
    <w:rsid w:val="077AB6FE"/>
    <w:rsid w:val="079E8597"/>
    <w:rsid w:val="07A4235F"/>
    <w:rsid w:val="07FFFD7D"/>
    <w:rsid w:val="08303F91"/>
    <w:rsid w:val="0851BF00"/>
    <w:rsid w:val="085B2834"/>
    <w:rsid w:val="086D92F3"/>
    <w:rsid w:val="087ABC7D"/>
    <w:rsid w:val="087F44D1"/>
    <w:rsid w:val="08820FAB"/>
    <w:rsid w:val="0890966F"/>
    <w:rsid w:val="08913B0D"/>
    <w:rsid w:val="0896AF19"/>
    <w:rsid w:val="08BFE4A4"/>
    <w:rsid w:val="08C2DA6D"/>
    <w:rsid w:val="08C7E47E"/>
    <w:rsid w:val="08E201FB"/>
    <w:rsid w:val="0917EC37"/>
    <w:rsid w:val="094FB9B2"/>
    <w:rsid w:val="0953358B"/>
    <w:rsid w:val="0976D486"/>
    <w:rsid w:val="09789CA1"/>
    <w:rsid w:val="09809C9E"/>
    <w:rsid w:val="0981B3B4"/>
    <w:rsid w:val="0993D936"/>
    <w:rsid w:val="0994F927"/>
    <w:rsid w:val="09A1E457"/>
    <w:rsid w:val="09BFC171"/>
    <w:rsid w:val="09CDC127"/>
    <w:rsid w:val="09CE55A1"/>
    <w:rsid w:val="09E54E2E"/>
    <w:rsid w:val="09F3F6F9"/>
    <w:rsid w:val="09F566AE"/>
    <w:rsid w:val="09F8F0D8"/>
    <w:rsid w:val="0A2CE840"/>
    <w:rsid w:val="0A6EA2D9"/>
    <w:rsid w:val="0A753FC1"/>
    <w:rsid w:val="0A8700C8"/>
    <w:rsid w:val="0AA9FC81"/>
    <w:rsid w:val="0AAC3BF8"/>
    <w:rsid w:val="0AAE11F0"/>
    <w:rsid w:val="0AB4E492"/>
    <w:rsid w:val="0AC5B658"/>
    <w:rsid w:val="0AD0F2EB"/>
    <w:rsid w:val="0AED2D00"/>
    <w:rsid w:val="0B03DE15"/>
    <w:rsid w:val="0B04E95E"/>
    <w:rsid w:val="0B0EB8DF"/>
    <w:rsid w:val="0B1560AA"/>
    <w:rsid w:val="0B502415"/>
    <w:rsid w:val="0B67F092"/>
    <w:rsid w:val="0B9245FC"/>
    <w:rsid w:val="0B937CD5"/>
    <w:rsid w:val="0B9E5AB9"/>
    <w:rsid w:val="0BA354A9"/>
    <w:rsid w:val="0BA3ECA7"/>
    <w:rsid w:val="0BA4F414"/>
    <w:rsid w:val="0BAF6188"/>
    <w:rsid w:val="0BC5164F"/>
    <w:rsid w:val="0BC7B8F8"/>
    <w:rsid w:val="0BCFA9FE"/>
    <w:rsid w:val="0BD4683F"/>
    <w:rsid w:val="0BE704D7"/>
    <w:rsid w:val="0BE74B8B"/>
    <w:rsid w:val="0BEC8A9D"/>
    <w:rsid w:val="0C094F31"/>
    <w:rsid w:val="0C3BCAC9"/>
    <w:rsid w:val="0C466A24"/>
    <w:rsid w:val="0C60EE78"/>
    <w:rsid w:val="0C69DE85"/>
    <w:rsid w:val="0C8262BF"/>
    <w:rsid w:val="0C82A392"/>
    <w:rsid w:val="0C832A39"/>
    <w:rsid w:val="0C995379"/>
    <w:rsid w:val="0CA24180"/>
    <w:rsid w:val="0CAA9D6C"/>
    <w:rsid w:val="0CE0197C"/>
    <w:rsid w:val="0CECDE91"/>
    <w:rsid w:val="0CFB3ADA"/>
    <w:rsid w:val="0CFBEB67"/>
    <w:rsid w:val="0D0A6E61"/>
    <w:rsid w:val="0D35E9DC"/>
    <w:rsid w:val="0D3C5871"/>
    <w:rsid w:val="0D42A52B"/>
    <w:rsid w:val="0D54007E"/>
    <w:rsid w:val="0D573E3B"/>
    <w:rsid w:val="0D5F3F0A"/>
    <w:rsid w:val="0D74F765"/>
    <w:rsid w:val="0D98CFA8"/>
    <w:rsid w:val="0DDA98D3"/>
    <w:rsid w:val="0DE659B5"/>
    <w:rsid w:val="0DE9C1CA"/>
    <w:rsid w:val="0E0A4D66"/>
    <w:rsid w:val="0E1A6311"/>
    <w:rsid w:val="0E32969C"/>
    <w:rsid w:val="0E3ABFAA"/>
    <w:rsid w:val="0E40ABD3"/>
    <w:rsid w:val="0E499CE5"/>
    <w:rsid w:val="0E4D6ED0"/>
    <w:rsid w:val="0E5DE32F"/>
    <w:rsid w:val="0E6F309E"/>
    <w:rsid w:val="0E788EF5"/>
    <w:rsid w:val="0E7FB36C"/>
    <w:rsid w:val="0E8C8795"/>
    <w:rsid w:val="0E916601"/>
    <w:rsid w:val="0EBA204B"/>
    <w:rsid w:val="0EC4FEB5"/>
    <w:rsid w:val="0ECC4AD0"/>
    <w:rsid w:val="0EFAA6F2"/>
    <w:rsid w:val="0F07BBA8"/>
    <w:rsid w:val="0F11AAF2"/>
    <w:rsid w:val="0F1CC1C5"/>
    <w:rsid w:val="0F296263"/>
    <w:rsid w:val="0F3ED0C4"/>
    <w:rsid w:val="0F424118"/>
    <w:rsid w:val="0F43973B"/>
    <w:rsid w:val="0F4B1D82"/>
    <w:rsid w:val="0F4CDEBF"/>
    <w:rsid w:val="0F551261"/>
    <w:rsid w:val="0F5528B4"/>
    <w:rsid w:val="0F5B8053"/>
    <w:rsid w:val="0F69EF7B"/>
    <w:rsid w:val="0F757985"/>
    <w:rsid w:val="0F7B43B0"/>
    <w:rsid w:val="0F98AEB9"/>
    <w:rsid w:val="0F9DD323"/>
    <w:rsid w:val="0FA48639"/>
    <w:rsid w:val="0FB30443"/>
    <w:rsid w:val="0FBFCF90"/>
    <w:rsid w:val="0FC05534"/>
    <w:rsid w:val="0FC2FC2B"/>
    <w:rsid w:val="0FCE44CA"/>
    <w:rsid w:val="0FD42593"/>
    <w:rsid w:val="0FDCD585"/>
    <w:rsid w:val="0FE225CB"/>
    <w:rsid w:val="100047C1"/>
    <w:rsid w:val="100BF3FB"/>
    <w:rsid w:val="101F3F0E"/>
    <w:rsid w:val="10265F83"/>
    <w:rsid w:val="103AC31A"/>
    <w:rsid w:val="1040415F"/>
    <w:rsid w:val="1047D4E7"/>
    <w:rsid w:val="107C32C4"/>
    <w:rsid w:val="108E4178"/>
    <w:rsid w:val="1090E941"/>
    <w:rsid w:val="1091AD6C"/>
    <w:rsid w:val="1091AD9F"/>
    <w:rsid w:val="10A0BEEA"/>
    <w:rsid w:val="10B5125E"/>
    <w:rsid w:val="10BE6B5F"/>
    <w:rsid w:val="10C889A3"/>
    <w:rsid w:val="10EB88CE"/>
    <w:rsid w:val="1105834B"/>
    <w:rsid w:val="1109D283"/>
    <w:rsid w:val="112C9699"/>
    <w:rsid w:val="113E0EDF"/>
    <w:rsid w:val="113FDE45"/>
    <w:rsid w:val="1155AFE1"/>
    <w:rsid w:val="11663D4F"/>
    <w:rsid w:val="1187665F"/>
    <w:rsid w:val="11910AA7"/>
    <w:rsid w:val="1199454F"/>
    <w:rsid w:val="119E1549"/>
    <w:rsid w:val="11B2F55D"/>
    <w:rsid w:val="11BA7081"/>
    <w:rsid w:val="11CAF83E"/>
    <w:rsid w:val="11DD49E1"/>
    <w:rsid w:val="11EA971E"/>
    <w:rsid w:val="11F38025"/>
    <w:rsid w:val="11FBF565"/>
    <w:rsid w:val="11FE5217"/>
    <w:rsid w:val="120FC994"/>
    <w:rsid w:val="12128C37"/>
    <w:rsid w:val="121488F3"/>
    <w:rsid w:val="12183017"/>
    <w:rsid w:val="1229E53A"/>
    <w:rsid w:val="122D3CEA"/>
    <w:rsid w:val="12311F90"/>
    <w:rsid w:val="124720BF"/>
    <w:rsid w:val="1250212B"/>
    <w:rsid w:val="1281595E"/>
    <w:rsid w:val="12888700"/>
    <w:rsid w:val="12B9F0ED"/>
    <w:rsid w:val="12BB6FE1"/>
    <w:rsid w:val="12C90903"/>
    <w:rsid w:val="12DDD7AE"/>
    <w:rsid w:val="12DFAE20"/>
    <w:rsid w:val="1314ECBE"/>
    <w:rsid w:val="1322EF1A"/>
    <w:rsid w:val="1323B388"/>
    <w:rsid w:val="1334799F"/>
    <w:rsid w:val="13499477"/>
    <w:rsid w:val="13792BE2"/>
    <w:rsid w:val="1393CFD3"/>
    <w:rsid w:val="13A0B61E"/>
    <w:rsid w:val="13B1006C"/>
    <w:rsid w:val="13B5788A"/>
    <w:rsid w:val="13B86B40"/>
    <w:rsid w:val="13CCFCE5"/>
    <w:rsid w:val="13EE65A0"/>
    <w:rsid w:val="13EFDCF0"/>
    <w:rsid w:val="13F59001"/>
    <w:rsid w:val="13F845A4"/>
    <w:rsid w:val="13FB323E"/>
    <w:rsid w:val="14011D4B"/>
    <w:rsid w:val="14046B24"/>
    <w:rsid w:val="14197AF1"/>
    <w:rsid w:val="143B5EF4"/>
    <w:rsid w:val="1443F264"/>
    <w:rsid w:val="14495A0D"/>
    <w:rsid w:val="144AA64E"/>
    <w:rsid w:val="146F3243"/>
    <w:rsid w:val="14897238"/>
    <w:rsid w:val="1489A320"/>
    <w:rsid w:val="149619D4"/>
    <w:rsid w:val="14ACD9E4"/>
    <w:rsid w:val="14C7E3CC"/>
    <w:rsid w:val="14E0E9E3"/>
    <w:rsid w:val="14FB18F5"/>
    <w:rsid w:val="15048AC8"/>
    <w:rsid w:val="150B65A0"/>
    <w:rsid w:val="151DAAE0"/>
    <w:rsid w:val="15244C90"/>
    <w:rsid w:val="15314046"/>
    <w:rsid w:val="1547D49B"/>
    <w:rsid w:val="1554A91E"/>
    <w:rsid w:val="156185FC"/>
    <w:rsid w:val="1583380B"/>
    <w:rsid w:val="15848AA0"/>
    <w:rsid w:val="15B1997A"/>
    <w:rsid w:val="15B6F840"/>
    <w:rsid w:val="15D8CC67"/>
    <w:rsid w:val="15DE2047"/>
    <w:rsid w:val="15E71BDE"/>
    <w:rsid w:val="15FB39C8"/>
    <w:rsid w:val="15FBBB68"/>
    <w:rsid w:val="15FCEE5F"/>
    <w:rsid w:val="1600DEE0"/>
    <w:rsid w:val="1609C532"/>
    <w:rsid w:val="161D887A"/>
    <w:rsid w:val="162C82DD"/>
    <w:rsid w:val="16362B51"/>
    <w:rsid w:val="1644F5BA"/>
    <w:rsid w:val="166532E5"/>
    <w:rsid w:val="166E3D41"/>
    <w:rsid w:val="167125AC"/>
    <w:rsid w:val="167B192B"/>
    <w:rsid w:val="16813EAC"/>
    <w:rsid w:val="168DEC30"/>
    <w:rsid w:val="1692BFBD"/>
    <w:rsid w:val="16A34C88"/>
    <w:rsid w:val="16B67CB9"/>
    <w:rsid w:val="16CEC703"/>
    <w:rsid w:val="16D56477"/>
    <w:rsid w:val="16D8B201"/>
    <w:rsid w:val="16E7F29D"/>
    <w:rsid w:val="16E9FC22"/>
    <w:rsid w:val="16EB7F83"/>
    <w:rsid w:val="16F4B9AD"/>
    <w:rsid w:val="17088376"/>
    <w:rsid w:val="170F43EC"/>
    <w:rsid w:val="173C64F6"/>
    <w:rsid w:val="17764E22"/>
    <w:rsid w:val="177C39AF"/>
    <w:rsid w:val="177D5C3A"/>
    <w:rsid w:val="178093EC"/>
    <w:rsid w:val="1780DAF5"/>
    <w:rsid w:val="1797E79A"/>
    <w:rsid w:val="17991A85"/>
    <w:rsid w:val="179C2D68"/>
    <w:rsid w:val="17B81C40"/>
    <w:rsid w:val="17BF418E"/>
    <w:rsid w:val="17C17F8A"/>
    <w:rsid w:val="17CE18A9"/>
    <w:rsid w:val="17E625C1"/>
    <w:rsid w:val="17E6BC86"/>
    <w:rsid w:val="17E9F5D5"/>
    <w:rsid w:val="17F5215C"/>
    <w:rsid w:val="1811E5AA"/>
    <w:rsid w:val="18139C34"/>
    <w:rsid w:val="1833E73E"/>
    <w:rsid w:val="183E7FEC"/>
    <w:rsid w:val="1840F6EA"/>
    <w:rsid w:val="184439AA"/>
    <w:rsid w:val="18459B9F"/>
    <w:rsid w:val="18604438"/>
    <w:rsid w:val="1873F6D9"/>
    <w:rsid w:val="187A1E7D"/>
    <w:rsid w:val="187CAE6E"/>
    <w:rsid w:val="1881548F"/>
    <w:rsid w:val="18816951"/>
    <w:rsid w:val="189FEADB"/>
    <w:rsid w:val="18A58435"/>
    <w:rsid w:val="18AA14FF"/>
    <w:rsid w:val="18B4A43C"/>
    <w:rsid w:val="18E916E9"/>
    <w:rsid w:val="18F2C852"/>
    <w:rsid w:val="19089161"/>
    <w:rsid w:val="1912CA51"/>
    <w:rsid w:val="191C2C0B"/>
    <w:rsid w:val="191CB404"/>
    <w:rsid w:val="19240627"/>
    <w:rsid w:val="1941AD15"/>
    <w:rsid w:val="1966EA9C"/>
    <w:rsid w:val="198907C7"/>
    <w:rsid w:val="1992F326"/>
    <w:rsid w:val="19B6960A"/>
    <w:rsid w:val="19BC2298"/>
    <w:rsid w:val="19C75E7B"/>
    <w:rsid w:val="19CBEBDB"/>
    <w:rsid w:val="19E93B60"/>
    <w:rsid w:val="19EB91D7"/>
    <w:rsid w:val="19F6F69E"/>
    <w:rsid w:val="1A02E7C9"/>
    <w:rsid w:val="1A2D5AE5"/>
    <w:rsid w:val="1A603B3A"/>
    <w:rsid w:val="1A6105FB"/>
    <w:rsid w:val="1A750DF1"/>
    <w:rsid w:val="1A8F82AF"/>
    <w:rsid w:val="1A91A054"/>
    <w:rsid w:val="1A9EA184"/>
    <w:rsid w:val="1AC14F5B"/>
    <w:rsid w:val="1AC2C9CF"/>
    <w:rsid w:val="1AE91C58"/>
    <w:rsid w:val="1AF57C87"/>
    <w:rsid w:val="1B3DAC20"/>
    <w:rsid w:val="1B4685B9"/>
    <w:rsid w:val="1B4D59DD"/>
    <w:rsid w:val="1B5A1C2B"/>
    <w:rsid w:val="1B5CD378"/>
    <w:rsid w:val="1B74968B"/>
    <w:rsid w:val="1B76631E"/>
    <w:rsid w:val="1B796D8B"/>
    <w:rsid w:val="1B7E0DBF"/>
    <w:rsid w:val="1B86469A"/>
    <w:rsid w:val="1BB807CD"/>
    <w:rsid w:val="1C14341F"/>
    <w:rsid w:val="1C14D6B4"/>
    <w:rsid w:val="1C1BBB48"/>
    <w:rsid w:val="1C3314B1"/>
    <w:rsid w:val="1C4A4485"/>
    <w:rsid w:val="1C602F9F"/>
    <w:rsid w:val="1C6F95F6"/>
    <w:rsid w:val="1C797E50"/>
    <w:rsid w:val="1C7A4F3E"/>
    <w:rsid w:val="1C846D50"/>
    <w:rsid w:val="1CA311F2"/>
    <w:rsid w:val="1CA578DC"/>
    <w:rsid w:val="1CB651C1"/>
    <w:rsid w:val="1CBDA3D3"/>
    <w:rsid w:val="1CFF5EB3"/>
    <w:rsid w:val="1CFFDBE8"/>
    <w:rsid w:val="1D0AD6FA"/>
    <w:rsid w:val="1D0D995F"/>
    <w:rsid w:val="1D22C3BA"/>
    <w:rsid w:val="1D370308"/>
    <w:rsid w:val="1D42378E"/>
    <w:rsid w:val="1D527C3B"/>
    <w:rsid w:val="1D64FBA7"/>
    <w:rsid w:val="1D688D0E"/>
    <w:rsid w:val="1D76D13F"/>
    <w:rsid w:val="1D87A53E"/>
    <w:rsid w:val="1DB1CF1A"/>
    <w:rsid w:val="1DB9A09E"/>
    <w:rsid w:val="1DD20534"/>
    <w:rsid w:val="1DF17DB9"/>
    <w:rsid w:val="1DF5E814"/>
    <w:rsid w:val="1E05D224"/>
    <w:rsid w:val="1E1C87A2"/>
    <w:rsid w:val="1E2F7BB2"/>
    <w:rsid w:val="1E354A83"/>
    <w:rsid w:val="1E3A0A35"/>
    <w:rsid w:val="1E3E4EF2"/>
    <w:rsid w:val="1E3F441B"/>
    <w:rsid w:val="1E5CAEEF"/>
    <w:rsid w:val="1E793E7B"/>
    <w:rsid w:val="1E913502"/>
    <w:rsid w:val="1EA57901"/>
    <w:rsid w:val="1EAC12FF"/>
    <w:rsid w:val="1EAC577B"/>
    <w:rsid w:val="1EB1387F"/>
    <w:rsid w:val="1EB71199"/>
    <w:rsid w:val="1EC3B00C"/>
    <w:rsid w:val="1ECBF536"/>
    <w:rsid w:val="1EE0765C"/>
    <w:rsid w:val="1EE64AF0"/>
    <w:rsid w:val="1EFD794D"/>
    <w:rsid w:val="1F0B21B8"/>
    <w:rsid w:val="1F0B2BE2"/>
    <w:rsid w:val="1F3D66B8"/>
    <w:rsid w:val="1F58E7AE"/>
    <w:rsid w:val="1F8755E7"/>
    <w:rsid w:val="1F87FEDE"/>
    <w:rsid w:val="1F92698E"/>
    <w:rsid w:val="1FB0914B"/>
    <w:rsid w:val="1FBB9103"/>
    <w:rsid w:val="1FBFD575"/>
    <w:rsid w:val="1FE0A992"/>
    <w:rsid w:val="20150C6B"/>
    <w:rsid w:val="2015EAA2"/>
    <w:rsid w:val="202C81BB"/>
    <w:rsid w:val="2053965F"/>
    <w:rsid w:val="2087B2C5"/>
    <w:rsid w:val="208FB214"/>
    <w:rsid w:val="20986B85"/>
    <w:rsid w:val="209D7FBC"/>
    <w:rsid w:val="20A10F46"/>
    <w:rsid w:val="20A3455A"/>
    <w:rsid w:val="20C00EBC"/>
    <w:rsid w:val="20C4BD75"/>
    <w:rsid w:val="20C9FA2B"/>
    <w:rsid w:val="20D5314E"/>
    <w:rsid w:val="20DAA206"/>
    <w:rsid w:val="20DD0057"/>
    <w:rsid w:val="20EE3A0E"/>
    <w:rsid w:val="21136FD8"/>
    <w:rsid w:val="21172CD3"/>
    <w:rsid w:val="213B0B3A"/>
    <w:rsid w:val="2154D041"/>
    <w:rsid w:val="2165061A"/>
    <w:rsid w:val="21681C2A"/>
    <w:rsid w:val="219D7541"/>
    <w:rsid w:val="21A06717"/>
    <w:rsid w:val="21A53DD9"/>
    <w:rsid w:val="21A7CC6B"/>
    <w:rsid w:val="21AC5916"/>
    <w:rsid w:val="21C989E5"/>
    <w:rsid w:val="21D1A4AC"/>
    <w:rsid w:val="21D27060"/>
    <w:rsid w:val="21E7808B"/>
    <w:rsid w:val="21ED0DC6"/>
    <w:rsid w:val="21F92C3D"/>
    <w:rsid w:val="21FB73F8"/>
    <w:rsid w:val="22063299"/>
    <w:rsid w:val="222ABDC0"/>
    <w:rsid w:val="222D6892"/>
    <w:rsid w:val="2230F205"/>
    <w:rsid w:val="2236DD2D"/>
    <w:rsid w:val="224D3BE2"/>
    <w:rsid w:val="2262C77C"/>
    <w:rsid w:val="227E4BF5"/>
    <w:rsid w:val="22985309"/>
    <w:rsid w:val="22BCE304"/>
    <w:rsid w:val="22C11613"/>
    <w:rsid w:val="22C36262"/>
    <w:rsid w:val="22C57EC0"/>
    <w:rsid w:val="22E64DCC"/>
    <w:rsid w:val="22F0989D"/>
    <w:rsid w:val="22FBCD69"/>
    <w:rsid w:val="23085DD8"/>
    <w:rsid w:val="231E99B5"/>
    <w:rsid w:val="23662E9B"/>
    <w:rsid w:val="23739561"/>
    <w:rsid w:val="2374BD19"/>
    <w:rsid w:val="237800A7"/>
    <w:rsid w:val="237A2431"/>
    <w:rsid w:val="23998862"/>
    <w:rsid w:val="23A24801"/>
    <w:rsid w:val="23A81D06"/>
    <w:rsid w:val="23BA7240"/>
    <w:rsid w:val="23C622DA"/>
    <w:rsid w:val="23C7419F"/>
    <w:rsid w:val="23D23E00"/>
    <w:rsid w:val="23D8A376"/>
    <w:rsid w:val="23E56C02"/>
    <w:rsid w:val="24058913"/>
    <w:rsid w:val="242DB325"/>
    <w:rsid w:val="24332A9A"/>
    <w:rsid w:val="2438A76B"/>
    <w:rsid w:val="2445F1F9"/>
    <w:rsid w:val="24465F3C"/>
    <w:rsid w:val="244CAA50"/>
    <w:rsid w:val="244CB254"/>
    <w:rsid w:val="2457642B"/>
    <w:rsid w:val="2458BA36"/>
    <w:rsid w:val="2480E471"/>
    <w:rsid w:val="2489E0D9"/>
    <w:rsid w:val="2497AFFA"/>
    <w:rsid w:val="249DE0DA"/>
    <w:rsid w:val="24AB2BA5"/>
    <w:rsid w:val="24B64376"/>
    <w:rsid w:val="24B7AF6D"/>
    <w:rsid w:val="24B80B76"/>
    <w:rsid w:val="24E30394"/>
    <w:rsid w:val="24E6E9BA"/>
    <w:rsid w:val="24E87D8E"/>
    <w:rsid w:val="24E88008"/>
    <w:rsid w:val="24FB7EB2"/>
    <w:rsid w:val="250C1550"/>
    <w:rsid w:val="25301995"/>
    <w:rsid w:val="2534F7D2"/>
    <w:rsid w:val="254F1FE2"/>
    <w:rsid w:val="255A84E8"/>
    <w:rsid w:val="255C48A9"/>
    <w:rsid w:val="255DF865"/>
    <w:rsid w:val="256B3C2F"/>
    <w:rsid w:val="258C3CFD"/>
    <w:rsid w:val="258C70A7"/>
    <w:rsid w:val="258F741C"/>
    <w:rsid w:val="259EDC5F"/>
    <w:rsid w:val="25A8B4E4"/>
    <w:rsid w:val="25B23685"/>
    <w:rsid w:val="25C88559"/>
    <w:rsid w:val="25D12FCB"/>
    <w:rsid w:val="25D37D39"/>
    <w:rsid w:val="25D45634"/>
    <w:rsid w:val="25EA8F06"/>
    <w:rsid w:val="25FDCA21"/>
    <w:rsid w:val="2631573A"/>
    <w:rsid w:val="2641E654"/>
    <w:rsid w:val="2653CA87"/>
    <w:rsid w:val="2656173A"/>
    <w:rsid w:val="2656D835"/>
    <w:rsid w:val="2681A58B"/>
    <w:rsid w:val="26B257D7"/>
    <w:rsid w:val="26B2B6E5"/>
    <w:rsid w:val="26D0D677"/>
    <w:rsid w:val="26E00EE6"/>
    <w:rsid w:val="26E59901"/>
    <w:rsid w:val="26F1FD0E"/>
    <w:rsid w:val="26F6CE69"/>
    <w:rsid w:val="26F9E28B"/>
    <w:rsid w:val="26FFC0D3"/>
    <w:rsid w:val="270E59EF"/>
    <w:rsid w:val="27267099"/>
    <w:rsid w:val="27408B17"/>
    <w:rsid w:val="274CDD74"/>
    <w:rsid w:val="27591EB2"/>
    <w:rsid w:val="27609D04"/>
    <w:rsid w:val="276B1CA1"/>
    <w:rsid w:val="27732013"/>
    <w:rsid w:val="277BB31C"/>
    <w:rsid w:val="277D8DB9"/>
    <w:rsid w:val="2785A0CA"/>
    <w:rsid w:val="278AE203"/>
    <w:rsid w:val="27AEA992"/>
    <w:rsid w:val="27BE18D6"/>
    <w:rsid w:val="27E47D33"/>
    <w:rsid w:val="27ED2174"/>
    <w:rsid w:val="27EDFCA1"/>
    <w:rsid w:val="28009AE9"/>
    <w:rsid w:val="2803BF69"/>
    <w:rsid w:val="280E62CF"/>
    <w:rsid w:val="2815932D"/>
    <w:rsid w:val="2819AC90"/>
    <w:rsid w:val="283B2C30"/>
    <w:rsid w:val="28424796"/>
    <w:rsid w:val="28790FF9"/>
    <w:rsid w:val="287B52DC"/>
    <w:rsid w:val="28926385"/>
    <w:rsid w:val="289654FC"/>
    <w:rsid w:val="28A2793D"/>
    <w:rsid w:val="28A3DE23"/>
    <w:rsid w:val="28B8F56F"/>
    <w:rsid w:val="28D16E84"/>
    <w:rsid w:val="28DC5B78"/>
    <w:rsid w:val="28DD6BAA"/>
    <w:rsid w:val="28E71E9D"/>
    <w:rsid w:val="28E88E5B"/>
    <w:rsid w:val="28FD8B21"/>
    <w:rsid w:val="2908B59B"/>
    <w:rsid w:val="290FCBC2"/>
    <w:rsid w:val="29113D8B"/>
    <w:rsid w:val="2918EA25"/>
    <w:rsid w:val="2930511C"/>
    <w:rsid w:val="293F2755"/>
    <w:rsid w:val="294B4DCD"/>
    <w:rsid w:val="294B73B6"/>
    <w:rsid w:val="29678885"/>
    <w:rsid w:val="29687465"/>
    <w:rsid w:val="296B6703"/>
    <w:rsid w:val="2973CF83"/>
    <w:rsid w:val="29BBA05C"/>
    <w:rsid w:val="29CC5D7D"/>
    <w:rsid w:val="2A025E12"/>
    <w:rsid w:val="2A16425C"/>
    <w:rsid w:val="2A3C89B4"/>
    <w:rsid w:val="2A44515E"/>
    <w:rsid w:val="2A5D0020"/>
    <w:rsid w:val="2A652440"/>
    <w:rsid w:val="2A65BD95"/>
    <w:rsid w:val="2A681120"/>
    <w:rsid w:val="2A6E13B9"/>
    <w:rsid w:val="2A793C0B"/>
    <w:rsid w:val="2A7BFF15"/>
    <w:rsid w:val="2A90E55C"/>
    <w:rsid w:val="2A9D0504"/>
    <w:rsid w:val="2AA366B4"/>
    <w:rsid w:val="2AB342E1"/>
    <w:rsid w:val="2AD3FC57"/>
    <w:rsid w:val="2AD4E63D"/>
    <w:rsid w:val="2AE55055"/>
    <w:rsid w:val="2AF56357"/>
    <w:rsid w:val="2B08EE99"/>
    <w:rsid w:val="2B1190DD"/>
    <w:rsid w:val="2B17E7EE"/>
    <w:rsid w:val="2B1C89B1"/>
    <w:rsid w:val="2B2D7857"/>
    <w:rsid w:val="2B4088F3"/>
    <w:rsid w:val="2B5945E7"/>
    <w:rsid w:val="2B675AD5"/>
    <w:rsid w:val="2B7138B9"/>
    <w:rsid w:val="2B8D335E"/>
    <w:rsid w:val="2B8E233F"/>
    <w:rsid w:val="2B9CC240"/>
    <w:rsid w:val="2B9CCA78"/>
    <w:rsid w:val="2BD1AD87"/>
    <w:rsid w:val="2BEE91A9"/>
    <w:rsid w:val="2C139722"/>
    <w:rsid w:val="2C32045E"/>
    <w:rsid w:val="2C3445E6"/>
    <w:rsid w:val="2C439EF4"/>
    <w:rsid w:val="2C4C5EC5"/>
    <w:rsid w:val="2C4D5D94"/>
    <w:rsid w:val="2C4D94F6"/>
    <w:rsid w:val="2C4FA990"/>
    <w:rsid w:val="2C6C8584"/>
    <w:rsid w:val="2C95E629"/>
    <w:rsid w:val="2CB78630"/>
    <w:rsid w:val="2CD75517"/>
    <w:rsid w:val="2CE898D9"/>
    <w:rsid w:val="2CFF3DA2"/>
    <w:rsid w:val="2D0F847A"/>
    <w:rsid w:val="2D1B8767"/>
    <w:rsid w:val="2D33BF09"/>
    <w:rsid w:val="2D36FC7E"/>
    <w:rsid w:val="2D516D75"/>
    <w:rsid w:val="2D56E602"/>
    <w:rsid w:val="2D5BBB4C"/>
    <w:rsid w:val="2D65ACBA"/>
    <w:rsid w:val="2D908A6A"/>
    <w:rsid w:val="2D961402"/>
    <w:rsid w:val="2DA0D864"/>
    <w:rsid w:val="2DAD3C5F"/>
    <w:rsid w:val="2DC2F368"/>
    <w:rsid w:val="2DC7AF3F"/>
    <w:rsid w:val="2DCEB865"/>
    <w:rsid w:val="2E02CD91"/>
    <w:rsid w:val="2E03C8BA"/>
    <w:rsid w:val="2E0CCF80"/>
    <w:rsid w:val="2E191C89"/>
    <w:rsid w:val="2E1A5F87"/>
    <w:rsid w:val="2E21BAA1"/>
    <w:rsid w:val="2E23C4DD"/>
    <w:rsid w:val="2E2C3AE4"/>
    <w:rsid w:val="2E3ED886"/>
    <w:rsid w:val="2E4B13B8"/>
    <w:rsid w:val="2E54EFAA"/>
    <w:rsid w:val="2E570D2D"/>
    <w:rsid w:val="2E590FFA"/>
    <w:rsid w:val="2E5C6E66"/>
    <w:rsid w:val="2E6229B4"/>
    <w:rsid w:val="2E68C3BC"/>
    <w:rsid w:val="2E6EE264"/>
    <w:rsid w:val="2E7E9267"/>
    <w:rsid w:val="2E7F5CB0"/>
    <w:rsid w:val="2E82D2A9"/>
    <w:rsid w:val="2EB3C3AE"/>
    <w:rsid w:val="2EDBB32C"/>
    <w:rsid w:val="2F055D18"/>
    <w:rsid w:val="2F2D2C20"/>
    <w:rsid w:val="2F2D3CC6"/>
    <w:rsid w:val="2F3A14FC"/>
    <w:rsid w:val="2F3EF368"/>
    <w:rsid w:val="2F5B7C7F"/>
    <w:rsid w:val="2F5B7CF9"/>
    <w:rsid w:val="2F69F022"/>
    <w:rsid w:val="2F6C8AA6"/>
    <w:rsid w:val="2F803344"/>
    <w:rsid w:val="2F8D1F14"/>
    <w:rsid w:val="2F9470F9"/>
    <w:rsid w:val="2F948AAE"/>
    <w:rsid w:val="2FA04F22"/>
    <w:rsid w:val="2FA91D8F"/>
    <w:rsid w:val="2FAA6543"/>
    <w:rsid w:val="2FAC94BF"/>
    <w:rsid w:val="2FB4ECEA"/>
    <w:rsid w:val="2FC13525"/>
    <w:rsid w:val="300A0DCD"/>
    <w:rsid w:val="30124158"/>
    <w:rsid w:val="301562F0"/>
    <w:rsid w:val="3038A031"/>
    <w:rsid w:val="3039A561"/>
    <w:rsid w:val="303C0D20"/>
    <w:rsid w:val="303C78CA"/>
    <w:rsid w:val="3043D475"/>
    <w:rsid w:val="3065E16A"/>
    <w:rsid w:val="306D51EE"/>
    <w:rsid w:val="3077608B"/>
    <w:rsid w:val="30897AED"/>
    <w:rsid w:val="3089E97B"/>
    <w:rsid w:val="308BA4B2"/>
    <w:rsid w:val="3095544C"/>
    <w:rsid w:val="30A95D8B"/>
    <w:rsid w:val="30B32729"/>
    <w:rsid w:val="30D5E1AF"/>
    <w:rsid w:val="30E5E82F"/>
    <w:rsid w:val="30EBD679"/>
    <w:rsid w:val="30F43391"/>
    <w:rsid w:val="312011AF"/>
    <w:rsid w:val="3136968D"/>
    <w:rsid w:val="313D3755"/>
    <w:rsid w:val="313F526D"/>
    <w:rsid w:val="315C9CC1"/>
    <w:rsid w:val="31625F43"/>
    <w:rsid w:val="3163F2DA"/>
    <w:rsid w:val="3190DD8A"/>
    <w:rsid w:val="3191AFA5"/>
    <w:rsid w:val="31923FD6"/>
    <w:rsid w:val="31A6A710"/>
    <w:rsid w:val="31A81CBE"/>
    <w:rsid w:val="31B855FB"/>
    <w:rsid w:val="31CE54CF"/>
    <w:rsid w:val="31CEEB91"/>
    <w:rsid w:val="31D8D651"/>
    <w:rsid w:val="31EA6947"/>
    <w:rsid w:val="31F2EE72"/>
    <w:rsid w:val="32133525"/>
    <w:rsid w:val="321390AA"/>
    <w:rsid w:val="32291C3C"/>
    <w:rsid w:val="3231F16C"/>
    <w:rsid w:val="32388BAD"/>
    <w:rsid w:val="32473B0C"/>
    <w:rsid w:val="324E23ED"/>
    <w:rsid w:val="325A7EEA"/>
    <w:rsid w:val="326F2667"/>
    <w:rsid w:val="3283D515"/>
    <w:rsid w:val="32981060"/>
    <w:rsid w:val="32B026FF"/>
    <w:rsid w:val="32CF9348"/>
    <w:rsid w:val="32D2F620"/>
    <w:rsid w:val="32DDDF52"/>
    <w:rsid w:val="32DF8334"/>
    <w:rsid w:val="32FCF1FF"/>
    <w:rsid w:val="33046709"/>
    <w:rsid w:val="3309AA9B"/>
    <w:rsid w:val="3322EF62"/>
    <w:rsid w:val="332B212C"/>
    <w:rsid w:val="332F7558"/>
    <w:rsid w:val="3331DFCF"/>
    <w:rsid w:val="33478749"/>
    <w:rsid w:val="334D2E7D"/>
    <w:rsid w:val="336402DD"/>
    <w:rsid w:val="33729A06"/>
    <w:rsid w:val="337AD208"/>
    <w:rsid w:val="3397ABBD"/>
    <w:rsid w:val="33BF3324"/>
    <w:rsid w:val="33DA5BB1"/>
    <w:rsid w:val="3409DB19"/>
    <w:rsid w:val="3413231E"/>
    <w:rsid w:val="34189F92"/>
    <w:rsid w:val="343A0725"/>
    <w:rsid w:val="344235D2"/>
    <w:rsid w:val="344EA394"/>
    <w:rsid w:val="346D1F96"/>
    <w:rsid w:val="3475580C"/>
    <w:rsid w:val="348461F4"/>
    <w:rsid w:val="348A0C98"/>
    <w:rsid w:val="3493AEAE"/>
    <w:rsid w:val="34BA69A5"/>
    <w:rsid w:val="34F93906"/>
    <w:rsid w:val="3502A4AB"/>
    <w:rsid w:val="350D387A"/>
    <w:rsid w:val="350ED61C"/>
    <w:rsid w:val="35247EEB"/>
    <w:rsid w:val="35922133"/>
    <w:rsid w:val="35AD7E5F"/>
    <w:rsid w:val="35B15C0E"/>
    <w:rsid w:val="35C022D4"/>
    <w:rsid w:val="361FD351"/>
    <w:rsid w:val="362640C2"/>
    <w:rsid w:val="362A0A47"/>
    <w:rsid w:val="363C66C3"/>
    <w:rsid w:val="366EC163"/>
    <w:rsid w:val="368BF6D0"/>
    <w:rsid w:val="369A74EE"/>
    <w:rsid w:val="36A0B386"/>
    <w:rsid w:val="36A493EB"/>
    <w:rsid w:val="36B1E583"/>
    <w:rsid w:val="36BA5837"/>
    <w:rsid w:val="36D7D01C"/>
    <w:rsid w:val="36DF2647"/>
    <w:rsid w:val="36FAB059"/>
    <w:rsid w:val="3700A9F7"/>
    <w:rsid w:val="370C9DE5"/>
    <w:rsid w:val="3711A5D3"/>
    <w:rsid w:val="37410CFD"/>
    <w:rsid w:val="37469A3D"/>
    <w:rsid w:val="374DC23E"/>
    <w:rsid w:val="3754C854"/>
    <w:rsid w:val="3757C0FA"/>
    <w:rsid w:val="3777BAF3"/>
    <w:rsid w:val="377F073B"/>
    <w:rsid w:val="378C038E"/>
    <w:rsid w:val="3799085D"/>
    <w:rsid w:val="37A83107"/>
    <w:rsid w:val="37AC07D7"/>
    <w:rsid w:val="37B1A6FF"/>
    <w:rsid w:val="37D5B065"/>
    <w:rsid w:val="37DBB98B"/>
    <w:rsid w:val="37E2E9A1"/>
    <w:rsid w:val="37EBC313"/>
    <w:rsid w:val="37EFB38D"/>
    <w:rsid w:val="37FB64B3"/>
    <w:rsid w:val="37FC9C4D"/>
    <w:rsid w:val="38181DFB"/>
    <w:rsid w:val="3823B60D"/>
    <w:rsid w:val="38314A3B"/>
    <w:rsid w:val="3836CD92"/>
    <w:rsid w:val="384AFFAA"/>
    <w:rsid w:val="384FFD93"/>
    <w:rsid w:val="3860359A"/>
    <w:rsid w:val="38619EB0"/>
    <w:rsid w:val="38703776"/>
    <w:rsid w:val="3884A656"/>
    <w:rsid w:val="38C005DC"/>
    <w:rsid w:val="38C9B291"/>
    <w:rsid w:val="38DB563D"/>
    <w:rsid w:val="38DB63EE"/>
    <w:rsid w:val="38E77345"/>
    <w:rsid w:val="38ECA790"/>
    <w:rsid w:val="38F103D5"/>
    <w:rsid w:val="38FC7919"/>
    <w:rsid w:val="3924B725"/>
    <w:rsid w:val="396D1451"/>
    <w:rsid w:val="3973B83D"/>
    <w:rsid w:val="39884FC5"/>
    <w:rsid w:val="39B3625E"/>
    <w:rsid w:val="39D5075E"/>
    <w:rsid w:val="39D73CF1"/>
    <w:rsid w:val="39DA7922"/>
    <w:rsid w:val="39F5F41D"/>
    <w:rsid w:val="3A0A0CD8"/>
    <w:rsid w:val="3A1C780C"/>
    <w:rsid w:val="3A31CF81"/>
    <w:rsid w:val="3A3387F5"/>
    <w:rsid w:val="3A3F889D"/>
    <w:rsid w:val="3A49566C"/>
    <w:rsid w:val="3A64EDFF"/>
    <w:rsid w:val="3A6EB883"/>
    <w:rsid w:val="3A744DBF"/>
    <w:rsid w:val="3A78AE21"/>
    <w:rsid w:val="3A7F2730"/>
    <w:rsid w:val="3A857A09"/>
    <w:rsid w:val="3AA8838E"/>
    <w:rsid w:val="3AB4AE37"/>
    <w:rsid w:val="3AB51848"/>
    <w:rsid w:val="3AC383F0"/>
    <w:rsid w:val="3AC54BD9"/>
    <w:rsid w:val="3AD16CBC"/>
    <w:rsid w:val="3AF98084"/>
    <w:rsid w:val="3B0AD520"/>
    <w:rsid w:val="3B0EF0A4"/>
    <w:rsid w:val="3B110874"/>
    <w:rsid w:val="3B124432"/>
    <w:rsid w:val="3B1E5DDE"/>
    <w:rsid w:val="3B2C1040"/>
    <w:rsid w:val="3B516232"/>
    <w:rsid w:val="3B572C5B"/>
    <w:rsid w:val="3B5C3BEB"/>
    <w:rsid w:val="3B642BA4"/>
    <w:rsid w:val="3B791E59"/>
    <w:rsid w:val="3BA16B83"/>
    <w:rsid w:val="3BCFEEC2"/>
    <w:rsid w:val="3BD5FA06"/>
    <w:rsid w:val="3BDC3CED"/>
    <w:rsid w:val="3BF7EEAD"/>
    <w:rsid w:val="3BF95DE7"/>
    <w:rsid w:val="3C01A600"/>
    <w:rsid w:val="3C0CC3EA"/>
    <w:rsid w:val="3C11BA50"/>
    <w:rsid w:val="3C388EA8"/>
    <w:rsid w:val="3C3F4B20"/>
    <w:rsid w:val="3C50E8A9"/>
    <w:rsid w:val="3C5CD427"/>
    <w:rsid w:val="3C7A619F"/>
    <w:rsid w:val="3C7BD9AD"/>
    <w:rsid w:val="3C8BAC48"/>
    <w:rsid w:val="3CF583C6"/>
    <w:rsid w:val="3D0F7DBF"/>
    <w:rsid w:val="3D1589C1"/>
    <w:rsid w:val="3D168DE4"/>
    <w:rsid w:val="3D2253FA"/>
    <w:rsid w:val="3D2B6B27"/>
    <w:rsid w:val="3D3B0073"/>
    <w:rsid w:val="3D494C5C"/>
    <w:rsid w:val="3D4BD5E5"/>
    <w:rsid w:val="3D53B640"/>
    <w:rsid w:val="3D58B6B9"/>
    <w:rsid w:val="3D592A6C"/>
    <w:rsid w:val="3D646A5B"/>
    <w:rsid w:val="3D6A79DD"/>
    <w:rsid w:val="3D6D20BA"/>
    <w:rsid w:val="3D71DF16"/>
    <w:rsid w:val="3D7DBEDA"/>
    <w:rsid w:val="3D92031B"/>
    <w:rsid w:val="3D9892DF"/>
    <w:rsid w:val="3DAC37F5"/>
    <w:rsid w:val="3DB55BD1"/>
    <w:rsid w:val="3DB93E7D"/>
    <w:rsid w:val="3DBCA314"/>
    <w:rsid w:val="3DBF18D2"/>
    <w:rsid w:val="3E174AA1"/>
    <w:rsid w:val="3E20DF8D"/>
    <w:rsid w:val="3E37A053"/>
    <w:rsid w:val="3E4ECDBB"/>
    <w:rsid w:val="3E5CC2FC"/>
    <w:rsid w:val="3E5E3913"/>
    <w:rsid w:val="3E640600"/>
    <w:rsid w:val="3EA23E02"/>
    <w:rsid w:val="3EA5E399"/>
    <w:rsid w:val="3ECE6FCF"/>
    <w:rsid w:val="3EDF8315"/>
    <w:rsid w:val="3EE51CBD"/>
    <w:rsid w:val="3EF07147"/>
    <w:rsid w:val="3EF42014"/>
    <w:rsid w:val="3F3B5A9B"/>
    <w:rsid w:val="3F3C8FF1"/>
    <w:rsid w:val="3F522C6E"/>
    <w:rsid w:val="3F7511B2"/>
    <w:rsid w:val="3FA81123"/>
    <w:rsid w:val="3FACF327"/>
    <w:rsid w:val="3FC59515"/>
    <w:rsid w:val="3FDBBA6B"/>
    <w:rsid w:val="3FE15290"/>
    <w:rsid w:val="3FE84EB0"/>
    <w:rsid w:val="4008CC41"/>
    <w:rsid w:val="40130912"/>
    <w:rsid w:val="40255132"/>
    <w:rsid w:val="40307C08"/>
    <w:rsid w:val="4036E5C4"/>
    <w:rsid w:val="40471E81"/>
    <w:rsid w:val="404F67CE"/>
    <w:rsid w:val="406382DD"/>
    <w:rsid w:val="4083D92B"/>
    <w:rsid w:val="409B911D"/>
    <w:rsid w:val="40A1E560"/>
    <w:rsid w:val="40AACAAB"/>
    <w:rsid w:val="40AFC8ED"/>
    <w:rsid w:val="40B5A528"/>
    <w:rsid w:val="40B71B16"/>
    <w:rsid w:val="40C90ACE"/>
    <w:rsid w:val="40F2D77D"/>
    <w:rsid w:val="40FE4E89"/>
    <w:rsid w:val="41060C83"/>
    <w:rsid w:val="410818FB"/>
    <w:rsid w:val="410959A9"/>
    <w:rsid w:val="4113FBA0"/>
    <w:rsid w:val="41291571"/>
    <w:rsid w:val="4139A80B"/>
    <w:rsid w:val="4168876D"/>
    <w:rsid w:val="417533A6"/>
    <w:rsid w:val="41866E7D"/>
    <w:rsid w:val="4190FF27"/>
    <w:rsid w:val="4197B1E8"/>
    <w:rsid w:val="41C6F248"/>
    <w:rsid w:val="41D2CAC0"/>
    <w:rsid w:val="41DFF17F"/>
    <w:rsid w:val="41F0F6DA"/>
    <w:rsid w:val="41FAE460"/>
    <w:rsid w:val="4208EC4B"/>
    <w:rsid w:val="4218ED81"/>
    <w:rsid w:val="422354D7"/>
    <w:rsid w:val="423869C2"/>
    <w:rsid w:val="423F5881"/>
    <w:rsid w:val="424E4890"/>
    <w:rsid w:val="4254175C"/>
    <w:rsid w:val="426B35BF"/>
    <w:rsid w:val="4296832A"/>
    <w:rsid w:val="429A42B2"/>
    <w:rsid w:val="42A85B3E"/>
    <w:rsid w:val="42B41823"/>
    <w:rsid w:val="42BAE92C"/>
    <w:rsid w:val="42E0C027"/>
    <w:rsid w:val="42FC1EF3"/>
    <w:rsid w:val="43016276"/>
    <w:rsid w:val="430AB007"/>
    <w:rsid w:val="430B2645"/>
    <w:rsid w:val="4329D093"/>
    <w:rsid w:val="432B2C10"/>
    <w:rsid w:val="432E3A27"/>
    <w:rsid w:val="43306F07"/>
    <w:rsid w:val="4337B26C"/>
    <w:rsid w:val="4352411B"/>
    <w:rsid w:val="4373EC8D"/>
    <w:rsid w:val="43793B4E"/>
    <w:rsid w:val="4383C871"/>
    <w:rsid w:val="438AB4C7"/>
    <w:rsid w:val="4397DCE9"/>
    <w:rsid w:val="439D3E70"/>
    <w:rsid w:val="43A41255"/>
    <w:rsid w:val="43C7F83D"/>
    <w:rsid w:val="43E13D99"/>
    <w:rsid w:val="442281E3"/>
    <w:rsid w:val="4445A69E"/>
    <w:rsid w:val="44654B56"/>
    <w:rsid w:val="4465BE95"/>
    <w:rsid w:val="44698A1C"/>
    <w:rsid w:val="447F07D1"/>
    <w:rsid w:val="44BCDC62"/>
    <w:rsid w:val="44BD319B"/>
    <w:rsid w:val="44BF6742"/>
    <w:rsid w:val="44C16038"/>
    <w:rsid w:val="44D84424"/>
    <w:rsid w:val="44DF7842"/>
    <w:rsid w:val="44E5FA86"/>
    <w:rsid w:val="44F61817"/>
    <w:rsid w:val="44F780A1"/>
    <w:rsid w:val="44FC3EEB"/>
    <w:rsid w:val="450B9FFD"/>
    <w:rsid w:val="450D3064"/>
    <w:rsid w:val="450E5DDF"/>
    <w:rsid w:val="45107FFC"/>
    <w:rsid w:val="451AF32B"/>
    <w:rsid w:val="45248E4B"/>
    <w:rsid w:val="4542D319"/>
    <w:rsid w:val="4548091A"/>
    <w:rsid w:val="454D9402"/>
    <w:rsid w:val="45509A2C"/>
    <w:rsid w:val="4563477F"/>
    <w:rsid w:val="4566E758"/>
    <w:rsid w:val="457CF0FB"/>
    <w:rsid w:val="4584A159"/>
    <w:rsid w:val="458BC797"/>
    <w:rsid w:val="459CED1E"/>
    <w:rsid w:val="45A6471B"/>
    <w:rsid w:val="45A8BE70"/>
    <w:rsid w:val="45DA79E9"/>
    <w:rsid w:val="45EDD47E"/>
    <w:rsid w:val="46084BE6"/>
    <w:rsid w:val="4608FC43"/>
    <w:rsid w:val="46240FA6"/>
    <w:rsid w:val="46402C75"/>
    <w:rsid w:val="4664704A"/>
    <w:rsid w:val="466D27C3"/>
    <w:rsid w:val="46755EC3"/>
    <w:rsid w:val="467E6FEA"/>
    <w:rsid w:val="4694D726"/>
    <w:rsid w:val="4696823C"/>
    <w:rsid w:val="4699D035"/>
    <w:rsid w:val="46C9FA4E"/>
    <w:rsid w:val="46CCA9C4"/>
    <w:rsid w:val="46E448C4"/>
    <w:rsid w:val="46F306B4"/>
    <w:rsid w:val="46F703AC"/>
    <w:rsid w:val="47072021"/>
    <w:rsid w:val="470FDCB2"/>
    <w:rsid w:val="4739A1BC"/>
    <w:rsid w:val="473F02DC"/>
    <w:rsid w:val="47464DA3"/>
    <w:rsid w:val="476C7187"/>
    <w:rsid w:val="477D25B9"/>
    <w:rsid w:val="477E86E2"/>
    <w:rsid w:val="47833D24"/>
    <w:rsid w:val="4788D7C4"/>
    <w:rsid w:val="47966B96"/>
    <w:rsid w:val="47A4F7D1"/>
    <w:rsid w:val="47B06D77"/>
    <w:rsid w:val="47BADA7D"/>
    <w:rsid w:val="47D514B0"/>
    <w:rsid w:val="47DF64B6"/>
    <w:rsid w:val="47EBC100"/>
    <w:rsid w:val="47F16857"/>
    <w:rsid w:val="480789ED"/>
    <w:rsid w:val="481D837F"/>
    <w:rsid w:val="483EDBDC"/>
    <w:rsid w:val="48439644"/>
    <w:rsid w:val="48461ED0"/>
    <w:rsid w:val="4852CA6B"/>
    <w:rsid w:val="4866E3FA"/>
    <w:rsid w:val="48963763"/>
    <w:rsid w:val="489AF46C"/>
    <w:rsid w:val="489FF6F2"/>
    <w:rsid w:val="48C9C9AC"/>
    <w:rsid w:val="48D5B8AF"/>
    <w:rsid w:val="48D5D1CC"/>
    <w:rsid w:val="48DA8892"/>
    <w:rsid w:val="48DCC16B"/>
    <w:rsid w:val="48E84B26"/>
    <w:rsid w:val="48EA9391"/>
    <w:rsid w:val="4904F206"/>
    <w:rsid w:val="490F0FD0"/>
    <w:rsid w:val="491335ED"/>
    <w:rsid w:val="49141223"/>
    <w:rsid w:val="49149777"/>
    <w:rsid w:val="4922FAA6"/>
    <w:rsid w:val="49251BCB"/>
    <w:rsid w:val="492A44B9"/>
    <w:rsid w:val="492C66B8"/>
    <w:rsid w:val="4931D6A8"/>
    <w:rsid w:val="4937A58E"/>
    <w:rsid w:val="495320D8"/>
    <w:rsid w:val="495A3848"/>
    <w:rsid w:val="49656635"/>
    <w:rsid w:val="4972181D"/>
    <w:rsid w:val="497D3DCF"/>
    <w:rsid w:val="49AF12A4"/>
    <w:rsid w:val="49B387B0"/>
    <w:rsid w:val="49B8EFB0"/>
    <w:rsid w:val="49DEB334"/>
    <w:rsid w:val="49DF102F"/>
    <w:rsid w:val="49FF8E23"/>
    <w:rsid w:val="4A0F9F11"/>
    <w:rsid w:val="4A14B8B3"/>
    <w:rsid w:val="4A19187C"/>
    <w:rsid w:val="4A385045"/>
    <w:rsid w:val="4A7C5470"/>
    <w:rsid w:val="4A951AC2"/>
    <w:rsid w:val="4A97C491"/>
    <w:rsid w:val="4A9AFDE3"/>
    <w:rsid w:val="4AB9B846"/>
    <w:rsid w:val="4AD0B4C8"/>
    <w:rsid w:val="4ADCDE71"/>
    <w:rsid w:val="4ADE561D"/>
    <w:rsid w:val="4AFBD166"/>
    <w:rsid w:val="4B09398A"/>
    <w:rsid w:val="4B119472"/>
    <w:rsid w:val="4B3C0618"/>
    <w:rsid w:val="4B6C7266"/>
    <w:rsid w:val="4B6CB592"/>
    <w:rsid w:val="4B72A0C1"/>
    <w:rsid w:val="4B7421A1"/>
    <w:rsid w:val="4B7D9B6C"/>
    <w:rsid w:val="4B9168EB"/>
    <w:rsid w:val="4B9A2766"/>
    <w:rsid w:val="4B9DD55B"/>
    <w:rsid w:val="4BB7DC6A"/>
    <w:rsid w:val="4BCF81AE"/>
    <w:rsid w:val="4BD88C16"/>
    <w:rsid w:val="4BDB4FC1"/>
    <w:rsid w:val="4BDF747B"/>
    <w:rsid w:val="4BE5CE3B"/>
    <w:rsid w:val="4BE9CC97"/>
    <w:rsid w:val="4BEEB9EA"/>
    <w:rsid w:val="4BF015EF"/>
    <w:rsid w:val="4C29E252"/>
    <w:rsid w:val="4C2C6C11"/>
    <w:rsid w:val="4C36CE44"/>
    <w:rsid w:val="4C3E6822"/>
    <w:rsid w:val="4C4B0628"/>
    <w:rsid w:val="4C4F22A8"/>
    <w:rsid w:val="4C8A52A4"/>
    <w:rsid w:val="4C8B2AFA"/>
    <w:rsid w:val="4CA11E04"/>
    <w:rsid w:val="4CAE7886"/>
    <w:rsid w:val="4CB219C4"/>
    <w:rsid w:val="4CC2343E"/>
    <w:rsid w:val="4CC44B4F"/>
    <w:rsid w:val="4CC6CD15"/>
    <w:rsid w:val="4CD4B94E"/>
    <w:rsid w:val="4CD8BFAA"/>
    <w:rsid w:val="4CE877DC"/>
    <w:rsid w:val="4CED80DE"/>
    <w:rsid w:val="4CF9ED12"/>
    <w:rsid w:val="4D291EE9"/>
    <w:rsid w:val="4D32CA12"/>
    <w:rsid w:val="4D3845D8"/>
    <w:rsid w:val="4D3BCC0E"/>
    <w:rsid w:val="4D4D556C"/>
    <w:rsid w:val="4D55971C"/>
    <w:rsid w:val="4D55A1B5"/>
    <w:rsid w:val="4D696B30"/>
    <w:rsid w:val="4D70741F"/>
    <w:rsid w:val="4D7AB06C"/>
    <w:rsid w:val="4D7CAEFB"/>
    <w:rsid w:val="4D7DE2CF"/>
    <w:rsid w:val="4D84D5DC"/>
    <w:rsid w:val="4D8ED6A6"/>
    <w:rsid w:val="4DABF835"/>
    <w:rsid w:val="4DB90683"/>
    <w:rsid w:val="4DC7DF06"/>
    <w:rsid w:val="4DEF50E1"/>
    <w:rsid w:val="4DF3BDC4"/>
    <w:rsid w:val="4DFBB11C"/>
    <w:rsid w:val="4E147971"/>
    <w:rsid w:val="4E28A758"/>
    <w:rsid w:val="4E44F013"/>
    <w:rsid w:val="4E553E01"/>
    <w:rsid w:val="4E6BEC44"/>
    <w:rsid w:val="4E6CE16A"/>
    <w:rsid w:val="4E88901D"/>
    <w:rsid w:val="4E9DCDF2"/>
    <w:rsid w:val="4EB0FF41"/>
    <w:rsid w:val="4EC0F33B"/>
    <w:rsid w:val="4ECD6F91"/>
    <w:rsid w:val="4ED50C33"/>
    <w:rsid w:val="4EDB9E57"/>
    <w:rsid w:val="4EE98D81"/>
    <w:rsid w:val="4F03B1A2"/>
    <w:rsid w:val="4F19EFEB"/>
    <w:rsid w:val="4F3C4F13"/>
    <w:rsid w:val="4F3F3DF9"/>
    <w:rsid w:val="4F48980E"/>
    <w:rsid w:val="4F5E9521"/>
    <w:rsid w:val="4F66A9B9"/>
    <w:rsid w:val="4F7CADB7"/>
    <w:rsid w:val="4F7F7603"/>
    <w:rsid w:val="4F9C8193"/>
    <w:rsid w:val="4FB6CA1C"/>
    <w:rsid w:val="4FBE18A5"/>
    <w:rsid w:val="4FD09D62"/>
    <w:rsid w:val="4FDA7F74"/>
    <w:rsid w:val="4FDB0C93"/>
    <w:rsid w:val="502B2CEF"/>
    <w:rsid w:val="502D2B05"/>
    <w:rsid w:val="502D9B0B"/>
    <w:rsid w:val="50303F72"/>
    <w:rsid w:val="5039D955"/>
    <w:rsid w:val="50444617"/>
    <w:rsid w:val="5055ADEC"/>
    <w:rsid w:val="50652FD1"/>
    <w:rsid w:val="50668BEB"/>
    <w:rsid w:val="50715FF7"/>
    <w:rsid w:val="5085EA2E"/>
    <w:rsid w:val="5092AF99"/>
    <w:rsid w:val="50BC18E8"/>
    <w:rsid w:val="50C296C6"/>
    <w:rsid w:val="50C83011"/>
    <w:rsid w:val="50E028A1"/>
    <w:rsid w:val="50E2532D"/>
    <w:rsid w:val="50FC3539"/>
    <w:rsid w:val="51038A09"/>
    <w:rsid w:val="511410F1"/>
    <w:rsid w:val="5117F71F"/>
    <w:rsid w:val="51266F1D"/>
    <w:rsid w:val="515CDA3A"/>
    <w:rsid w:val="5160ADEB"/>
    <w:rsid w:val="516582DA"/>
    <w:rsid w:val="5176725C"/>
    <w:rsid w:val="51A86786"/>
    <w:rsid w:val="51AE4F6D"/>
    <w:rsid w:val="51BD6AB1"/>
    <w:rsid w:val="51C62E92"/>
    <w:rsid w:val="51C9C29A"/>
    <w:rsid w:val="51DB5B17"/>
    <w:rsid w:val="521178DD"/>
    <w:rsid w:val="521D8DF9"/>
    <w:rsid w:val="523543F0"/>
    <w:rsid w:val="523FDAAA"/>
    <w:rsid w:val="52424BA6"/>
    <w:rsid w:val="52557E6F"/>
    <w:rsid w:val="525C2A64"/>
    <w:rsid w:val="5263DB60"/>
    <w:rsid w:val="5275FA44"/>
    <w:rsid w:val="527AE235"/>
    <w:rsid w:val="52C01C50"/>
    <w:rsid w:val="52CF06AE"/>
    <w:rsid w:val="52DCA5C7"/>
    <w:rsid w:val="52EE43C9"/>
    <w:rsid w:val="53039DE1"/>
    <w:rsid w:val="53166B55"/>
    <w:rsid w:val="53309D9E"/>
    <w:rsid w:val="53351D12"/>
    <w:rsid w:val="53633BC5"/>
    <w:rsid w:val="536B435E"/>
    <w:rsid w:val="536E64E9"/>
    <w:rsid w:val="53738E9E"/>
    <w:rsid w:val="53785BC1"/>
    <w:rsid w:val="53A6B8DA"/>
    <w:rsid w:val="53B000A9"/>
    <w:rsid w:val="53B0332D"/>
    <w:rsid w:val="53CFD906"/>
    <w:rsid w:val="53DBC31A"/>
    <w:rsid w:val="540132A7"/>
    <w:rsid w:val="54187D2B"/>
    <w:rsid w:val="542713B6"/>
    <w:rsid w:val="542E1554"/>
    <w:rsid w:val="543A1ADC"/>
    <w:rsid w:val="5445E9CF"/>
    <w:rsid w:val="545B6F06"/>
    <w:rsid w:val="5462CBE8"/>
    <w:rsid w:val="547572A8"/>
    <w:rsid w:val="547FFA7C"/>
    <w:rsid w:val="5480B0FE"/>
    <w:rsid w:val="54960924"/>
    <w:rsid w:val="54A5FDD4"/>
    <w:rsid w:val="54B931E4"/>
    <w:rsid w:val="54CAE4F9"/>
    <w:rsid w:val="54D8DAF9"/>
    <w:rsid w:val="54E1EC57"/>
    <w:rsid w:val="54F3E504"/>
    <w:rsid w:val="54F97222"/>
    <w:rsid w:val="551F8E9B"/>
    <w:rsid w:val="55307935"/>
    <w:rsid w:val="55498793"/>
    <w:rsid w:val="555106D1"/>
    <w:rsid w:val="5567F9CB"/>
    <w:rsid w:val="556EAB7C"/>
    <w:rsid w:val="5570A3BA"/>
    <w:rsid w:val="559134A8"/>
    <w:rsid w:val="55A0B373"/>
    <w:rsid w:val="55A8F9B8"/>
    <w:rsid w:val="55BE3DD9"/>
    <w:rsid w:val="55E2244C"/>
    <w:rsid w:val="55F51B0A"/>
    <w:rsid w:val="562FCC86"/>
    <w:rsid w:val="563911D3"/>
    <w:rsid w:val="563E5AC1"/>
    <w:rsid w:val="56488AF6"/>
    <w:rsid w:val="56492CF7"/>
    <w:rsid w:val="56569BFC"/>
    <w:rsid w:val="5686D7B8"/>
    <w:rsid w:val="568F33A9"/>
    <w:rsid w:val="569CDC8F"/>
    <w:rsid w:val="56A16C38"/>
    <w:rsid w:val="56BB7B86"/>
    <w:rsid w:val="56C7B1EE"/>
    <w:rsid w:val="56C82A47"/>
    <w:rsid w:val="56C893AA"/>
    <w:rsid w:val="56E60A63"/>
    <w:rsid w:val="56E8EEF1"/>
    <w:rsid w:val="56F77B7B"/>
    <w:rsid w:val="56FAF6EE"/>
    <w:rsid w:val="57195431"/>
    <w:rsid w:val="5730DF26"/>
    <w:rsid w:val="5736F204"/>
    <w:rsid w:val="573885EB"/>
    <w:rsid w:val="573DA08F"/>
    <w:rsid w:val="573F231F"/>
    <w:rsid w:val="5742B087"/>
    <w:rsid w:val="574E84CC"/>
    <w:rsid w:val="575B405E"/>
    <w:rsid w:val="578AA46C"/>
    <w:rsid w:val="57929107"/>
    <w:rsid w:val="57B7F2B0"/>
    <w:rsid w:val="57BEF256"/>
    <w:rsid w:val="57CA42A0"/>
    <w:rsid w:val="57E64526"/>
    <w:rsid w:val="581438D1"/>
    <w:rsid w:val="58162D2D"/>
    <w:rsid w:val="581EBA51"/>
    <w:rsid w:val="5829EE29"/>
    <w:rsid w:val="58438B42"/>
    <w:rsid w:val="5848F19D"/>
    <w:rsid w:val="584C930E"/>
    <w:rsid w:val="586AB3A2"/>
    <w:rsid w:val="586E0EB7"/>
    <w:rsid w:val="58716A86"/>
    <w:rsid w:val="58827828"/>
    <w:rsid w:val="58A64212"/>
    <w:rsid w:val="58A822EC"/>
    <w:rsid w:val="58BB4A8E"/>
    <w:rsid w:val="58E4D7CF"/>
    <w:rsid w:val="58F60DA8"/>
    <w:rsid w:val="58F7EA7D"/>
    <w:rsid w:val="58FB361E"/>
    <w:rsid w:val="59011D74"/>
    <w:rsid w:val="59255A54"/>
    <w:rsid w:val="59299392"/>
    <w:rsid w:val="5945E329"/>
    <w:rsid w:val="59631BB5"/>
    <w:rsid w:val="597C038F"/>
    <w:rsid w:val="598E86A6"/>
    <w:rsid w:val="59BADC61"/>
    <w:rsid w:val="59CC2D4A"/>
    <w:rsid w:val="59D4D47F"/>
    <w:rsid w:val="59E31988"/>
    <w:rsid w:val="5A08A78A"/>
    <w:rsid w:val="5A2B570C"/>
    <w:rsid w:val="5A3843BC"/>
    <w:rsid w:val="5A3E922D"/>
    <w:rsid w:val="5A4E0B14"/>
    <w:rsid w:val="5A52673F"/>
    <w:rsid w:val="5A5AC6D4"/>
    <w:rsid w:val="5A5F56F3"/>
    <w:rsid w:val="5A683816"/>
    <w:rsid w:val="5A788137"/>
    <w:rsid w:val="5A842EF0"/>
    <w:rsid w:val="5A89EFD5"/>
    <w:rsid w:val="5A91B131"/>
    <w:rsid w:val="5AAA552B"/>
    <w:rsid w:val="5AB8E8D6"/>
    <w:rsid w:val="5ACE853E"/>
    <w:rsid w:val="5ADB518A"/>
    <w:rsid w:val="5ADE097C"/>
    <w:rsid w:val="5AEA9FB6"/>
    <w:rsid w:val="5AF2C1D9"/>
    <w:rsid w:val="5AFB4C98"/>
    <w:rsid w:val="5B00BE2C"/>
    <w:rsid w:val="5B0ECC2B"/>
    <w:rsid w:val="5B2D94EC"/>
    <w:rsid w:val="5B2FF0FF"/>
    <w:rsid w:val="5B3743CD"/>
    <w:rsid w:val="5B3DC483"/>
    <w:rsid w:val="5B540F3F"/>
    <w:rsid w:val="5B7580C3"/>
    <w:rsid w:val="5B785411"/>
    <w:rsid w:val="5B92DEE6"/>
    <w:rsid w:val="5BA337B7"/>
    <w:rsid w:val="5BB9C83B"/>
    <w:rsid w:val="5BC27377"/>
    <w:rsid w:val="5BC4665C"/>
    <w:rsid w:val="5BC4C10D"/>
    <w:rsid w:val="5BC590E7"/>
    <w:rsid w:val="5BEA0770"/>
    <w:rsid w:val="5C23989E"/>
    <w:rsid w:val="5C2C049B"/>
    <w:rsid w:val="5C353F65"/>
    <w:rsid w:val="5C41767F"/>
    <w:rsid w:val="5C452CC1"/>
    <w:rsid w:val="5C4FBBAC"/>
    <w:rsid w:val="5C5F118C"/>
    <w:rsid w:val="5C7080BF"/>
    <w:rsid w:val="5C74F2E3"/>
    <w:rsid w:val="5C983555"/>
    <w:rsid w:val="5C9DC0C7"/>
    <w:rsid w:val="5CA0B170"/>
    <w:rsid w:val="5CAF67F7"/>
    <w:rsid w:val="5CAF78D7"/>
    <w:rsid w:val="5CC9DC32"/>
    <w:rsid w:val="5CDABE18"/>
    <w:rsid w:val="5D0DDCDB"/>
    <w:rsid w:val="5D0E8C80"/>
    <w:rsid w:val="5D11BA49"/>
    <w:rsid w:val="5D1E6DB3"/>
    <w:rsid w:val="5D5B072D"/>
    <w:rsid w:val="5D6D7D6B"/>
    <w:rsid w:val="5D71324B"/>
    <w:rsid w:val="5D97B110"/>
    <w:rsid w:val="5D9B043B"/>
    <w:rsid w:val="5D9B6F77"/>
    <w:rsid w:val="5DA41F3D"/>
    <w:rsid w:val="5DAF7088"/>
    <w:rsid w:val="5DF14FAA"/>
    <w:rsid w:val="5DF67938"/>
    <w:rsid w:val="5E13A565"/>
    <w:rsid w:val="5E189CED"/>
    <w:rsid w:val="5E2CB2A7"/>
    <w:rsid w:val="5E36993C"/>
    <w:rsid w:val="5E3E0E2D"/>
    <w:rsid w:val="5E517617"/>
    <w:rsid w:val="5E575249"/>
    <w:rsid w:val="5E81F249"/>
    <w:rsid w:val="5E8E6A43"/>
    <w:rsid w:val="5E925CFC"/>
    <w:rsid w:val="5EB8DBA2"/>
    <w:rsid w:val="5EC4EA9E"/>
    <w:rsid w:val="5EC82A99"/>
    <w:rsid w:val="5ED4C015"/>
    <w:rsid w:val="5EDA670A"/>
    <w:rsid w:val="5EDDC856"/>
    <w:rsid w:val="5EE5555C"/>
    <w:rsid w:val="5EFE513E"/>
    <w:rsid w:val="5F042EF3"/>
    <w:rsid w:val="5F083EC4"/>
    <w:rsid w:val="5F15F4C7"/>
    <w:rsid w:val="5F16D231"/>
    <w:rsid w:val="5F2AE3B4"/>
    <w:rsid w:val="5F37C5DB"/>
    <w:rsid w:val="5F4A1342"/>
    <w:rsid w:val="5F4A73C5"/>
    <w:rsid w:val="5F4B62F9"/>
    <w:rsid w:val="5F55E960"/>
    <w:rsid w:val="5F62F23B"/>
    <w:rsid w:val="5F6CCFD8"/>
    <w:rsid w:val="5F72E834"/>
    <w:rsid w:val="5F84BB09"/>
    <w:rsid w:val="5F8C488B"/>
    <w:rsid w:val="5F8D200B"/>
    <w:rsid w:val="5F934908"/>
    <w:rsid w:val="5FAC34A9"/>
    <w:rsid w:val="5FBA8F39"/>
    <w:rsid w:val="5FC3A6D9"/>
    <w:rsid w:val="60008684"/>
    <w:rsid w:val="600BA44A"/>
    <w:rsid w:val="601DEDD6"/>
    <w:rsid w:val="60348BF4"/>
    <w:rsid w:val="603980A5"/>
    <w:rsid w:val="60400FB0"/>
    <w:rsid w:val="60547C75"/>
    <w:rsid w:val="606D5B2F"/>
    <w:rsid w:val="607125A6"/>
    <w:rsid w:val="6075521A"/>
    <w:rsid w:val="607BD306"/>
    <w:rsid w:val="6091A2F1"/>
    <w:rsid w:val="6093556C"/>
    <w:rsid w:val="609FA49E"/>
    <w:rsid w:val="609FE184"/>
    <w:rsid w:val="60B4C614"/>
    <w:rsid w:val="60BA483D"/>
    <w:rsid w:val="60BFEBF9"/>
    <w:rsid w:val="60EAF791"/>
    <w:rsid w:val="60EE68A0"/>
    <w:rsid w:val="60F25368"/>
    <w:rsid w:val="60F2C73B"/>
    <w:rsid w:val="60F6EE19"/>
    <w:rsid w:val="610B4DEF"/>
    <w:rsid w:val="610F285A"/>
    <w:rsid w:val="6111C238"/>
    <w:rsid w:val="611FAE90"/>
    <w:rsid w:val="614E67DF"/>
    <w:rsid w:val="6165F051"/>
    <w:rsid w:val="61738C60"/>
    <w:rsid w:val="61759A1B"/>
    <w:rsid w:val="617CF8F8"/>
    <w:rsid w:val="6194CFF4"/>
    <w:rsid w:val="61C1CD56"/>
    <w:rsid w:val="6204FD79"/>
    <w:rsid w:val="623C96D7"/>
    <w:rsid w:val="624FEC63"/>
    <w:rsid w:val="625E520D"/>
    <w:rsid w:val="625F3566"/>
    <w:rsid w:val="628710BF"/>
    <w:rsid w:val="628D8A22"/>
    <w:rsid w:val="62AEEA32"/>
    <w:rsid w:val="62B7BB78"/>
    <w:rsid w:val="62C46FD9"/>
    <w:rsid w:val="62D798A4"/>
    <w:rsid w:val="62E907BE"/>
    <w:rsid w:val="62E950A9"/>
    <w:rsid w:val="62EA2BE1"/>
    <w:rsid w:val="62EF6227"/>
    <w:rsid w:val="62FB261C"/>
    <w:rsid w:val="63086A64"/>
    <w:rsid w:val="6309BFB3"/>
    <w:rsid w:val="632ACE79"/>
    <w:rsid w:val="63382746"/>
    <w:rsid w:val="6345F81A"/>
    <w:rsid w:val="63464F8E"/>
    <w:rsid w:val="634C3263"/>
    <w:rsid w:val="63566A50"/>
    <w:rsid w:val="63585595"/>
    <w:rsid w:val="63601592"/>
    <w:rsid w:val="637612F8"/>
    <w:rsid w:val="637A148E"/>
    <w:rsid w:val="637AD3B2"/>
    <w:rsid w:val="6381EC05"/>
    <w:rsid w:val="6394A6C5"/>
    <w:rsid w:val="63B5ACD0"/>
    <w:rsid w:val="63BEC7F1"/>
    <w:rsid w:val="63CE4E9D"/>
    <w:rsid w:val="63E69C62"/>
    <w:rsid w:val="63E6A42C"/>
    <w:rsid w:val="63ECC3E7"/>
    <w:rsid w:val="64080F48"/>
    <w:rsid w:val="64094E7A"/>
    <w:rsid w:val="6410720D"/>
    <w:rsid w:val="6441C32F"/>
    <w:rsid w:val="644EC94C"/>
    <w:rsid w:val="64652F0F"/>
    <w:rsid w:val="646C948E"/>
    <w:rsid w:val="646D4AFF"/>
    <w:rsid w:val="64776CED"/>
    <w:rsid w:val="647B777C"/>
    <w:rsid w:val="64868C32"/>
    <w:rsid w:val="649BCBF2"/>
    <w:rsid w:val="64A43AC5"/>
    <w:rsid w:val="64C1074F"/>
    <w:rsid w:val="64C49E7A"/>
    <w:rsid w:val="64DB7018"/>
    <w:rsid w:val="64DC1B77"/>
    <w:rsid w:val="64DD9211"/>
    <w:rsid w:val="64E9F58E"/>
    <w:rsid w:val="65207A8A"/>
    <w:rsid w:val="65438505"/>
    <w:rsid w:val="654471D3"/>
    <w:rsid w:val="65700FFB"/>
    <w:rsid w:val="657BD6A1"/>
    <w:rsid w:val="658120B6"/>
    <w:rsid w:val="659FE154"/>
    <w:rsid w:val="65A29684"/>
    <w:rsid w:val="65A62706"/>
    <w:rsid w:val="65AB910C"/>
    <w:rsid w:val="65AF5735"/>
    <w:rsid w:val="65B68DE9"/>
    <w:rsid w:val="65BAA731"/>
    <w:rsid w:val="65C3DBFD"/>
    <w:rsid w:val="65CD956F"/>
    <w:rsid w:val="65DBE462"/>
    <w:rsid w:val="65E2E568"/>
    <w:rsid w:val="65EF5C3A"/>
    <w:rsid w:val="65F33930"/>
    <w:rsid w:val="65F57A3C"/>
    <w:rsid w:val="6615A7F2"/>
    <w:rsid w:val="661C007A"/>
    <w:rsid w:val="66297D14"/>
    <w:rsid w:val="66334FE7"/>
    <w:rsid w:val="663B5ECE"/>
    <w:rsid w:val="6654A216"/>
    <w:rsid w:val="66596FF1"/>
    <w:rsid w:val="66598CDA"/>
    <w:rsid w:val="6663A7F5"/>
    <w:rsid w:val="6674C566"/>
    <w:rsid w:val="66751A2D"/>
    <w:rsid w:val="6677DADF"/>
    <w:rsid w:val="6679B7C6"/>
    <w:rsid w:val="6682EC6E"/>
    <w:rsid w:val="66B8CB92"/>
    <w:rsid w:val="66C5A789"/>
    <w:rsid w:val="66E136E0"/>
    <w:rsid w:val="670ADFD4"/>
    <w:rsid w:val="672FD40F"/>
    <w:rsid w:val="6747D2E8"/>
    <w:rsid w:val="6752A87F"/>
    <w:rsid w:val="675650E0"/>
    <w:rsid w:val="6756555F"/>
    <w:rsid w:val="6764B4DB"/>
    <w:rsid w:val="676580BC"/>
    <w:rsid w:val="67668DF4"/>
    <w:rsid w:val="6768216B"/>
    <w:rsid w:val="677C19A1"/>
    <w:rsid w:val="67963D2F"/>
    <w:rsid w:val="679FF584"/>
    <w:rsid w:val="67A46EC4"/>
    <w:rsid w:val="67AB3636"/>
    <w:rsid w:val="67B5CA46"/>
    <w:rsid w:val="67CB76C2"/>
    <w:rsid w:val="67DF7DF6"/>
    <w:rsid w:val="680A1291"/>
    <w:rsid w:val="6816242F"/>
    <w:rsid w:val="682F41D7"/>
    <w:rsid w:val="684D6292"/>
    <w:rsid w:val="684EE1E9"/>
    <w:rsid w:val="686B5DAE"/>
    <w:rsid w:val="686CC376"/>
    <w:rsid w:val="68705D56"/>
    <w:rsid w:val="689961E7"/>
    <w:rsid w:val="68BAE7A3"/>
    <w:rsid w:val="68BE7477"/>
    <w:rsid w:val="68CD16CE"/>
    <w:rsid w:val="68ED95EA"/>
    <w:rsid w:val="68F4C295"/>
    <w:rsid w:val="6901E551"/>
    <w:rsid w:val="69052B47"/>
    <w:rsid w:val="694039A5"/>
    <w:rsid w:val="694293AD"/>
    <w:rsid w:val="69491A93"/>
    <w:rsid w:val="694D48B4"/>
    <w:rsid w:val="69503FF0"/>
    <w:rsid w:val="695FF93E"/>
    <w:rsid w:val="697853B6"/>
    <w:rsid w:val="697A80FB"/>
    <w:rsid w:val="698A4ED2"/>
    <w:rsid w:val="69B8DEA7"/>
    <w:rsid w:val="69BFFE98"/>
    <w:rsid w:val="69CAD4E8"/>
    <w:rsid w:val="69D2C36B"/>
    <w:rsid w:val="69E2A580"/>
    <w:rsid w:val="69E513A4"/>
    <w:rsid w:val="69EB9A7B"/>
    <w:rsid w:val="6A091B8D"/>
    <w:rsid w:val="6A0D3D13"/>
    <w:rsid w:val="6A31441B"/>
    <w:rsid w:val="6A397524"/>
    <w:rsid w:val="6A461880"/>
    <w:rsid w:val="6A4CD583"/>
    <w:rsid w:val="6A728F05"/>
    <w:rsid w:val="6A851394"/>
    <w:rsid w:val="6A88FD41"/>
    <w:rsid w:val="6AA3ADAB"/>
    <w:rsid w:val="6AB1590D"/>
    <w:rsid w:val="6AB2CBC6"/>
    <w:rsid w:val="6AD5F7F8"/>
    <w:rsid w:val="6ADC1813"/>
    <w:rsid w:val="6AE0D22D"/>
    <w:rsid w:val="6AE2434A"/>
    <w:rsid w:val="6AE6AE71"/>
    <w:rsid w:val="6AEF1300"/>
    <w:rsid w:val="6B50A605"/>
    <w:rsid w:val="6B661037"/>
    <w:rsid w:val="6B6B4917"/>
    <w:rsid w:val="6B6CBD3A"/>
    <w:rsid w:val="6B73C76B"/>
    <w:rsid w:val="6B7F4CDF"/>
    <w:rsid w:val="6B8DC78E"/>
    <w:rsid w:val="6B941E82"/>
    <w:rsid w:val="6B9C7F1E"/>
    <w:rsid w:val="6B9F7890"/>
    <w:rsid w:val="6BA2B8CF"/>
    <w:rsid w:val="6BC0EC2A"/>
    <w:rsid w:val="6BCF34CF"/>
    <w:rsid w:val="6BEF7996"/>
    <w:rsid w:val="6C0ED136"/>
    <w:rsid w:val="6C1448C1"/>
    <w:rsid w:val="6C15B8C1"/>
    <w:rsid w:val="6C1F9C02"/>
    <w:rsid w:val="6C212FE4"/>
    <w:rsid w:val="6C413FDF"/>
    <w:rsid w:val="6C42C0A1"/>
    <w:rsid w:val="6C442E84"/>
    <w:rsid w:val="6C4635FC"/>
    <w:rsid w:val="6C486496"/>
    <w:rsid w:val="6C72EFFF"/>
    <w:rsid w:val="6C94F225"/>
    <w:rsid w:val="6CA712F5"/>
    <w:rsid w:val="6CAFCF8E"/>
    <w:rsid w:val="6CB1C935"/>
    <w:rsid w:val="6CB79E2C"/>
    <w:rsid w:val="6CC655F8"/>
    <w:rsid w:val="6CE92366"/>
    <w:rsid w:val="6CF36B9A"/>
    <w:rsid w:val="6CFA0FF4"/>
    <w:rsid w:val="6D022219"/>
    <w:rsid w:val="6D0D60A6"/>
    <w:rsid w:val="6D12D5A8"/>
    <w:rsid w:val="6D1D3A4E"/>
    <w:rsid w:val="6D23E365"/>
    <w:rsid w:val="6D306FD1"/>
    <w:rsid w:val="6D385888"/>
    <w:rsid w:val="6D3EAEAB"/>
    <w:rsid w:val="6D54488F"/>
    <w:rsid w:val="6D59E348"/>
    <w:rsid w:val="6D5FB4A9"/>
    <w:rsid w:val="6D89E740"/>
    <w:rsid w:val="6D9BDDE7"/>
    <w:rsid w:val="6D9F56D2"/>
    <w:rsid w:val="6DA75E01"/>
    <w:rsid w:val="6DB33F79"/>
    <w:rsid w:val="6DB9C60B"/>
    <w:rsid w:val="6DCDCDEA"/>
    <w:rsid w:val="6DD0E901"/>
    <w:rsid w:val="6DD25EB7"/>
    <w:rsid w:val="6DE5E615"/>
    <w:rsid w:val="6DE7DCF3"/>
    <w:rsid w:val="6DFC8EE2"/>
    <w:rsid w:val="6E19E38A"/>
    <w:rsid w:val="6E1F70C9"/>
    <w:rsid w:val="6E215665"/>
    <w:rsid w:val="6E25D717"/>
    <w:rsid w:val="6E2BBA65"/>
    <w:rsid w:val="6E5473A4"/>
    <w:rsid w:val="6E5904D1"/>
    <w:rsid w:val="6E5E719A"/>
    <w:rsid w:val="6E713772"/>
    <w:rsid w:val="6E8758EA"/>
    <w:rsid w:val="6E8FA9E3"/>
    <w:rsid w:val="6E90CDF4"/>
    <w:rsid w:val="6E93572A"/>
    <w:rsid w:val="6E985288"/>
    <w:rsid w:val="6EA9F269"/>
    <w:rsid w:val="6ECE62E3"/>
    <w:rsid w:val="6ECF7A16"/>
    <w:rsid w:val="6EE193F6"/>
    <w:rsid w:val="6EE880F2"/>
    <w:rsid w:val="6EFABD2F"/>
    <w:rsid w:val="6F1FBA47"/>
    <w:rsid w:val="6F374C78"/>
    <w:rsid w:val="6F41609E"/>
    <w:rsid w:val="6F7E3BF8"/>
    <w:rsid w:val="6F820CC8"/>
    <w:rsid w:val="6F96E940"/>
    <w:rsid w:val="6FA83BB6"/>
    <w:rsid w:val="6FBD0E42"/>
    <w:rsid w:val="6FC2D7BE"/>
    <w:rsid w:val="6FE15CF9"/>
    <w:rsid w:val="6FEA806A"/>
    <w:rsid w:val="7018E240"/>
    <w:rsid w:val="702D9F73"/>
    <w:rsid w:val="703FC517"/>
    <w:rsid w:val="7043140A"/>
    <w:rsid w:val="706E9BD2"/>
    <w:rsid w:val="7085307F"/>
    <w:rsid w:val="709EBFA5"/>
    <w:rsid w:val="70B36B83"/>
    <w:rsid w:val="70CD9F72"/>
    <w:rsid w:val="70CE35C3"/>
    <w:rsid w:val="70D44688"/>
    <w:rsid w:val="70DC2E37"/>
    <w:rsid w:val="71140B98"/>
    <w:rsid w:val="714A6A27"/>
    <w:rsid w:val="7157741F"/>
    <w:rsid w:val="71655654"/>
    <w:rsid w:val="7167F903"/>
    <w:rsid w:val="718BB6AD"/>
    <w:rsid w:val="719AB414"/>
    <w:rsid w:val="719C5CAB"/>
    <w:rsid w:val="71A2D8C0"/>
    <w:rsid w:val="71AC278F"/>
    <w:rsid w:val="71B3575A"/>
    <w:rsid w:val="71B5695D"/>
    <w:rsid w:val="71C2B3B8"/>
    <w:rsid w:val="71E38FAB"/>
    <w:rsid w:val="72003D44"/>
    <w:rsid w:val="72018E21"/>
    <w:rsid w:val="72199210"/>
    <w:rsid w:val="721AF931"/>
    <w:rsid w:val="721B23FB"/>
    <w:rsid w:val="72335A63"/>
    <w:rsid w:val="72377545"/>
    <w:rsid w:val="723DA3D7"/>
    <w:rsid w:val="72A01217"/>
    <w:rsid w:val="72B56FBF"/>
    <w:rsid w:val="72BF2607"/>
    <w:rsid w:val="72D000DC"/>
    <w:rsid w:val="72D0B7C5"/>
    <w:rsid w:val="72D7B602"/>
    <w:rsid w:val="72DAF7D1"/>
    <w:rsid w:val="72DDF4CE"/>
    <w:rsid w:val="72FA3AAC"/>
    <w:rsid w:val="7302DF6A"/>
    <w:rsid w:val="730EB31F"/>
    <w:rsid w:val="73253A30"/>
    <w:rsid w:val="732D51F7"/>
    <w:rsid w:val="73426F62"/>
    <w:rsid w:val="73493B17"/>
    <w:rsid w:val="7350286C"/>
    <w:rsid w:val="735F562E"/>
    <w:rsid w:val="73646B82"/>
    <w:rsid w:val="736FA7C5"/>
    <w:rsid w:val="738DCFCB"/>
    <w:rsid w:val="7393A73F"/>
    <w:rsid w:val="73ADBBE2"/>
    <w:rsid w:val="73B1A023"/>
    <w:rsid w:val="73B52430"/>
    <w:rsid w:val="73C79BCF"/>
    <w:rsid w:val="73C82E20"/>
    <w:rsid w:val="73D2B045"/>
    <w:rsid w:val="73E0E1C5"/>
    <w:rsid w:val="73EF6514"/>
    <w:rsid w:val="73F69572"/>
    <w:rsid w:val="73F81F1A"/>
    <w:rsid w:val="74023DF3"/>
    <w:rsid w:val="741DFBC9"/>
    <w:rsid w:val="741EBCDA"/>
    <w:rsid w:val="741F91AB"/>
    <w:rsid w:val="744DE43C"/>
    <w:rsid w:val="7468E0A2"/>
    <w:rsid w:val="749810B7"/>
    <w:rsid w:val="74A6DFC8"/>
    <w:rsid w:val="74B23EE8"/>
    <w:rsid w:val="74B44485"/>
    <w:rsid w:val="74BB79DC"/>
    <w:rsid w:val="74CBFCD4"/>
    <w:rsid w:val="74D52F55"/>
    <w:rsid w:val="74D53AC0"/>
    <w:rsid w:val="74DBEDF0"/>
    <w:rsid w:val="74E3A182"/>
    <w:rsid w:val="74F52703"/>
    <w:rsid w:val="74F5D461"/>
    <w:rsid w:val="74FB1505"/>
    <w:rsid w:val="74FC262F"/>
    <w:rsid w:val="750686A5"/>
    <w:rsid w:val="750C76AD"/>
    <w:rsid w:val="75160D67"/>
    <w:rsid w:val="7543AF99"/>
    <w:rsid w:val="7550DE55"/>
    <w:rsid w:val="755242AE"/>
    <w:rsid w:val="7560A2C7"/>
    <w:rsid w:val="7565F4AC"/>
    <w:rsid w:val="756D262E"/>
    <w:rsid w:val="7572FE4D"/>
    <w:rsid w:val="75822AEC"/>
    <w:rsid w:val="758B976B"/>
    <w:rsid w:val="759A05E9"/>
    <w:rsid w:val="75BEF7B2"/>
    <w:rsid w:val="75CF5F6A"/>
    <w:rsid w:val="75E0F918"/>
    <w:rsid w:val="75EA2738"/>
    <w:rsid w:val="75EEC97C"/>
    <w:rsid w:val="75F5A7E4"/>
    <w:rsid w:val="75F73357"/>
    <w:rsid w:val="7605EE50"/>
    <w:rsid w:val="7608CB62"/>
    <w:rsid w:val="761DAADC"/>
    <w:rsid w:val="76297C25"/>
    <w:rsid w:val="762B1704"/>
    <w:rsid w:val="763A6EFC"/>
    <w:rsid w:val="763B889E"/>
    <w:rsid w:val="764D2437"/>
    <w:rsid w:val="76616E21"/>
    <w:rsid w:val="76689DD1"/>
    <w:rsid w:val="766DE948"/>
    <w:rsid w:val="76770E28"/>
    <w:rsid w:val="7678C630"/>
    <w:rsid w:val="768C5992"/>
    <w:rsid w:val="768DEC18"/>
    <w:rsid w:val="768E0D3F"/>
    <w:rsid w:val="768FB1B3"/>
    <w:rsid w:val="769E687E"/>
    <w:rsid w:val="76A88793"/>
    <w:rsid w:val="76A8B83B"/>
    <w:rsid w:val="76C63FDB"/>
    <w:rsid w:val="76CB80DF"/>
    <w:rsid w:val="76CBA50C"/>
    <w:rsid w:val="76E037D0"/>
    <w:rsid w:val="76E03B79"/>
    <w:rsid w:val="76F38663"/>
    <w:rsid w:val="76F7E136"/>
    <w:rsid w:val="7700FEFB"/>
    <w:rsid w:val="7704D096"/>
    <w:rsid w:val="771E33F0"/>
    <w:rsid w:val="773075EB"/>
    <w:rsid w:val="77333635"/>
    <w:rsid w:val="77733DF1"/>
    <w:rsid w:val="777A72EA"/>
    <w:rsid w:val="7789D089"/>
    <w:rsid w:val="778C8E6F"/>
    <w:rsid w:val="778E4FB2"/>
    <w:rsid w:val="77ABAC3F"/>
    <w:rsid w:val="77B110CE"/>
    <w:rsid w:val="77D5A140"/>
    <w:rsid w:val="77DD1221"/>
    <w:rsid w:val="77DFA75A"/>
    <w:rsid w:val="77E158DB"/>
    <w:rsid w:val="77E84A7A"/>
    <w:rsid w:val="77E8BF4C"/>
    <w:rsid w:val="77F98592"/>
    <w:rsid w:val="781D3FC7"/>
    <w:rsid w:val="7820365B"/>
    <w:rsid w:val="782568CE"/>
    <w:rsid w:val="7836B515"/>
    <w:rsid w:val="784786F7"/>
    <w:rsid w:val="785768B3"/>
    <w:rsid w:val="787B7C60"/>
    <w:rsid w:val="787BAB8E"/>
    <w:rsid w:val="78817D42"/>
    <w:rsid w:val="789B0A86"/>
    <w:rsid w:val="78A42F76"/>
    <w:rsid w:val="78A5E98E"/>
    <w:rsid w:val="78A9D9B6"/>
    <w:rsid w:val="78B4E3B1"/>
    <w:rsid w:val="78CE2D79"/>
    <w:rsid w:val="78DAFA08"/>
    <w:rsid w:val="78DCBD56"/>
    <w:rsid w:val="78E3321C"/>
    <w:rsid w:val="78E6D396"/>
    <w:rsid w:val="78F0F6D2"/>
    <w:rsid w:val="78F35B05"/>
    <w:rsid w:val="78F8A2A6"/>
    <w:rsid w:val="78FF8A67"/>
    <w:rsid w:val="79175DE5"/>
    <w:rsid w:val="791EF7ED"/>
    <w:rsid w:val="791F69E5"/>
    <w:rsid w:val="7929313B"/>
    <w:rsid w:val="797697F8"/>
    <w:rsid w:val="797723E0"/>
    <w:rsid w:val="79908B8C"/>
    <w:rsid w:val="79A4A9E6"/>
    <w:rsid w:val="79A7EA0A"/>
    <w:rsid w:val="79AF1FD0"/>
    <w:rsid w:val="79BF3203"/>
    <w:rsid w:val="79C0801A"/>
    <w:rsid w:val="79C1DC6A"/>
    <w:rsid w:val="79C22AB3"/>
    <w:rsid w:val="79CBA865"/>
    <w:rsid w:val="79CFADA8"/>
    <w:rsid w:val="79F64073"/>
    <w:rsid w:val="7A06E2EF"/>
    <w:rsid w:val="7A0803D2"/>
    <w:rsid w:val="7A0A9636"/>
    <w:rsid w:val="7A1C3348"/>
    <w:rsid w:val="7A1E013E"/>
    <w:rsid w:val="7A227413"/>
    <w:rsid w:val="7A229E7F"/>
    <w:rsid w:val="7A54C99C"/>
    <w:rsid w:val="7A5DBBCC"/>
    <w:rsid w:val="7A60934D"/>
    <w:rsid w:val="7A622FFF"/>
    <w:rsid w:val="7A69DD00"/>
    <w:rsid w:val="7A827482"/>
    <w:rsid w:val="7A83CF7B"/>
    <w:rsid w:val="7A868A56"/>
    <w:rsid w:val="7A965BA2"/>
    <w:rsid w:val="7A96A152"/>
    <w:rsid w:val="7A9BE35C"/>
    <w:rsid w:val="7AC58FAB"/>
    <w:rsid w:val="7AE3C285"/>
    <w:rsid w:val="7AE6EDF4"/>
    <w:rsid w:val="7AFC1C2C"/>
    <w:rsid w:val="7B14F109"/>
    <w:rsid w:val="7B2D4439"/>
    <w:rsid w:val="7B3C53AD"/>
    <w:rsid w:val="7B3D9521"/>
    <w:rsid w:val="7B70DEEC"/>
    <w:rsid w:val="7B74DD78"/>
    <w:rsid w:val="7B7E3260"/>
    <w:rsid w:val="7BA2D011"/>
    <w:rsid w:val="7BA63A54"/>
    <w:rsid w:val="7BA7B55F"/>
    <w:rsid w:val="7BB97F49"/>
    <w:rsid w:val="7BC88497"/>
    <w:rsid w:val="7BD23EDE"/>
    <w:rsid w:val="7BD875BC"/>
    <w:rsid w:val="7BFCE596"/>
    <w:rsid w:val="7BFDCAD7"/>
    <w:rsid w:val="7C0C897D"/>
    <w:rsid w:val="7C1263F7"/>
    <w:rsid w:val="7C3A5A02"/>
    <w:rsid w:val="7C4C6EF1"/>
    <w:rsid w:val="7C555FE0"/>
    <w:rsid w:val="7C57CDFE"/>
    <w:rsid w:val="7C5997A7"/>
    <w:rsid w:val="7C5D4071"/>
    <w:rsid w:val="7C5DD908"/>
    <w:rsid w:val="7C5F1CAB"/>
    <w:rsid w:val="7C615DF4"/>
    <w:rsid w:val="7C632BAA"/>
    <w:rsid w:val="7C6F2C1A"/>
    <w:rsid w:val="7C80CC93"/>
    <w:rsid w:val="7C87DECE"/>
    <w:rsid w:val="7C8B1C49"/>
    <w:rsid w:val="7CA4F304"/>
    <w:rsid w:val="7CC988A9"/>
    <w:rsid w:val="7CD14835"/>
    <w:rsid w:val="7CD4CFC2"/>
    <w:rsid w:val="7CE3B5E2"/>
    <w:rsid w:val="7CF831FC"/>
    <w:rsid w:val="7D016425"/>
    <w:rsid w:val="7D0C26AD"/>
    <w:rsid w:val="7D1D3EBE"/>
    <w:rsid w:val="7D3BE446"/>
    <w:rsid w:val="7D492418"/>
    <w:rsid w:val="7D53E0ED"/>
    <w:rsid w:val="7D5B5091"/>
    <w:rsid w:val="7D5BFDB9"/>
    <w:rsid w:val="7D64D426"/>
    <w:rsid w:val="7D6D49D8"/>
    <w:rsid w:val="7D80A864"/>
    <w:rsid w:val="7D846FE0"/>
    <w:rsid w:val="7D913674"/>
    <w:rsid w:val="7DA077D7"/>
    <w:rsid w:val="7DA1D426"/>
    <w:rsid w:val="7DA943D3"/>
    <w:rsid w:val="7DAB00E7"/>
    <w:rsid w:val="7DB7EEF5"/>
    <w:rsid w:val="7DC8E6F1"/>
    <w:rsid w:val="7DCC05F1"/>
    <w:rsid w:val="7DE355D7"/>
    <w:rsid w:val="7DEA374C"/>
    <w:rsid w:val="7DF04D13"/>
    <w:rsid w:val="7DF7743D"/>
    <w:rsid w:val="7DFCFB66"/>
    <w:rsid w:val="7E0086EE"/>
    <w:rsid w:val="7E232788"/>
    <w:rsid w:val="7E268C01"/>
    <w:rsid w:val="7E2C32B0"/>
    <w:rsid w:val="7E2D7BE7"/>
    <w:rsid w:val="7E382363"/>
    <w:rsid w:val="7E3976C8"/>
    <w:rsid w:val="7E3ECFCA"/>
    <w:rsid w:val="7E42C8C2"/>
    <w:rsid w:val="7E509E94"/>
    <w:rsid w:val="7E64DA9B"/>
    <w:rsid w:val="7E7A6FD8"/>
    <w:rsid w:val="7E7F7D39"/>
    <w:rsid w:val="7E9AEBF5"/>
    <w:rsid w:val="7EC6B9E7"/>
    <w:rsid w:val="7EC87D10"/>
    <w:rsid w:val="7ED2C01A"/>
    <w:rsid w:val="7EDAA2BA"/>
    <w:rsid w:val="7EF16898"/>
    <w:rsid w:val="7F05BE88"/>
    <w:rsid w:val="7F2F2E26"/>
    <w:rsid w:val="7F39DCE0"/>
    <w:rsid w:val="7F3BDB6B"/>
    <w:rsid w:val="7F6DEE83"/>
    <w:rsid w:val="7F8B5CD0"/>
    <w:rsid w:val="7FC330BD"/>
    <w:rsid w:val="7FD52E1C"/>
    <w:rsid w:val="7FE2A55C"/>
    <w:rsid w:val="7FE8E77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0C3B4064"/>
  <w15:docId w15:val="{BEF8DE34-FA56-4B5B-821F-B73598100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uiPriority="1" w:qFormat="1"/>
    <w:lsdException w:name="heading 3" w:uiPriority="1" w:unhideWhenUsed="1" w:qFormat="1"/>
    <w:lsdException w:name="heading 4" w:uiPriority="1" w:unhideWhenUsed="1" w:qFormat="1"/>
    <w:lsdException w:name="heading 5" w:uiPriority="1" w:unhideWhenUsed="1" w:qFormat="1"/>
    <w:lsdException w:name="heading 6" w:unhideWhenUsed="1" w:qFormat="1"/>
    <w:lsdException w:name="heading 7" w:unhideWhenUsed="1" w:qFormat="1"/>
    <w:lsdException w:name="heading 8" w:unhideWhenUsed="1" w:qFormat="1"/>
    <w:lsdException w:name="heading 9" w:uiPriority="13"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iPriority="39" w:unhideWhenUsed="1"/>
    <w:lsdException w:name="Normal Indent" w:locked="1" w:semiHidden="1" w:unhideWhenUsed="1"/>
    <w:lsdException w:name="footnote text" w:locked="1" w:semiHidden="1" w:uiPriority="15"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15"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7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93570B"/>
    <w:pPr>
      <w:spacing w:after="120"/>
    </w:pPr>
    <w:rPr>
      <w:rFonts w:eastAsia="Calibri"/>
      <w:color w:val="000000"/>
    </w:rPr>
  </w:style>
  <w:style w:type="paragraph" w:styleId="Heading1">
    <w:name w:val="heading 1"/>
    <w:next w:val="BodyText"/>
    <w:link w:val="Heading1Char"/>
    <w:uiPriority w:val="1"/>
    <w:qFormat/>
    <w:rsid w:val="00113FC9"/>
    <w:pPr>
      <w:keepNext/>
      <w:keepLines/>
      <w:pageBreakBefore/>
      <w:numPr>
        <w:numId w:val="14"/>
      </w:numPr>
      <w:tabs>
        <w:tab w:val="left" w:pos="1134"/>
      </w:tabs>
      <w:spacing w:after="960" w:line="480" w:lineRule="exact"/>
      <w:outlineLvl w:val="0"/>
    </w:pPr>
    <w:rPr>
      <w:rFonts w:eastAsiaTheme="majorEastAsia" w:cstheme="majorBidi"/>
      <w:bCs/>
      <w:smallCaps/>
      <w:color w:val="757579" w:themeColor="accent3"/>
      <w:sz w:val="44"/>
      <w:szCs w:val="28"/>
    </w:rPr>
  </w:style>
  <w:style w:type="paragraph" w:styleId="Heading2">
    <w:name w:val="heading 2"/>
    <w:basedOn w:val="Heading1"/>
    <w:next w:val="BodyText"/>
    <w:link w:val="Heading2Char"/>
    <w:uiPriority w:val="1"/>
    <w:qFormat/>
    <w:rsid w:val="002A270A"/>
    <w:pPr>
      <w:pageBreakBefore w:val="0"/>
      <w:numPr>
        <w:ilvl w:val="1"/>
      </w:numPr>
      <w:spacing w:before="360" w:after="240" w:line="240" w:lineRule="auto"/>
      <w:outlineLvl w:val="1"/>
    </w:pPr>
    <w:rPr>
      <w:color w:val="001D34" w:themeColor="accent2"/>
      <w:sz w:val="32"/>
      <w:szCs w:val="26"/>
    </w:rPr>
  </w:style>
  <w:style w:type="paragraph" w:styleId="Heading3">
    <w:name w:val="heading 3"/>
    <w:basedOn w:val="Heading2"/>
    <w:next w:val="BodyText"/>
    <w:link w:val="Heading3Char"/>
    <w:uiPriority w:val="1"/>
    <w:qFormat/>
    <w:rsid w:val="002A270A"/>
    <w:pPr>
      <w:numPr>
        <w:ilvl w:val="2"/>
      </w:numPr>
      <w:outlineLvl w:val="2"/>
    </w:pPr>
    <w:rPr>
      <w:b/>
      <w:color w:val="auto"/>
      <w:sz w:val="26"/>
    </w:rPr>
  </w:style>
  <w:style w:type="paragraph" w:styleId="Heading4">
    <w:name w:val="heading 4"/>
    <w:basedOn w:val="Heading3"/>
    <w:next w:val="BodyText"/>
    <w:link w:val="Heading4Char"/>
    <w:uiPriority w:val="1"/>
    <w:qFormat/>
    <w:rsid w:val="002A270A"/>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2A270A"/>
    <w:pPr>
      <w:outlineLvl w:val="4"/>
    </w:pPr>
    <w:rPr>
      <w:color w:val="auto"/>
      <w:sz w:val="22"/>
    </w:rPr>
  </w:style>
  <w:style w:type="paragraph" w:styleId="Heading6">
    <w:name w:val="heading 6"/>
    <w:basedOn w:val="Normal"/>
    <w:next w:val="Normal"/>
    <w:link w:val="Heading6Char"/>
    <w:uiPriority w:val="99"/>
    <w:semiHidden/>
    <w:qFormat/>
    <w:rsid w:val="002A270A"/>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2A270A"/>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2A270A"/>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4"/>
    <w:locked/>
    <w:rsid w:val="002A270A"/>
    <w:pPr>
      <w:spacing w:after="1080"/>
      <w:ind w:left="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113FC9"/>
    <w:rPr>
      <w:rFonts w:eastAsiaTheme="majorEastAsia" w:cstheme="majorBidi"/>
      <w:bCs/>
      <w:smallCaps/>
      <w:color w:val="757579" w:themeColor="accent3"/>
      <w:sz w:val="44"/>
      <w:szCs w:val="28"/>
    </w:rPr>
  </w:style>
  <w:style w:type="character" w:customStyle="1" w:styleId="Heading2Char">
    <w:name w:val="Heading 2 Char"/>
    <w:basedOn w:val="DefaultParagraphFont"/>
    <w:link w:val="Heading2"/>
    <w:uiPriority w:val="1"/>
    <w:locked/>
    <w:rsid w:val="002A270A"/>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2A270A"/>
    <w:rPr>
      <w:rFonts w:eastAsiaTheme="majorEastAsia" w:cstheme="majorBidi"/>
      <w:b/>
      <w:bCs/>
      <w:sz w:val="26"/>
      <w:szCs w:val="26"/>
    </w:rPr>
  </w:style>
  <w:style w:type="character" w:customStyle="1" w:styleId="Heading4Char">
    <w:name w:val="Heading 4 Char"/>
    <w:basedOn w:val="DefaultParagraphFont"/>
    <w:link w:val="Heading4"/>
    <w:uiPriority w:val="1"/>
    <w:locked/>
    <w:rsid w:val="002A270A"/>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2A270A"/>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2A270A"/>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2A270A"/>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2A270A"/>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4"/>
    <w:locked/>
    <w:rsid w:val="00873F8C"/>
    <w:rPr>
      <w:rFonts w:eastAsiaTheme="majorEastAsia" w:cstheme="majorBidi"/>
      <w:bCs/>
      <w:color w:val="757579" w:themeColor="accent3"/>
      <w:sz w:val="44"/>
      <w:szCs w:val="28"/>
    </w:rPr>
  </w:style>
  <w:style w:type="paragraph" w:styleId="Header">
    <w:name w:val="header"/>
    <w:basedOn w:val="Normal"/>
    <w:link w:val="HeaderChar"/>
    <w:uiPriority w:val="99"/>
    <w:rsid w:val="002A270A"/>
    <w:rPr>
      <w:caps/>
      <w:color w:val="FFFFFF"/>
      <w:spacing w:val="16"/>
    </w:rPr>
  </w:style>
  <w:style w:type="character" w:customStyle="1" w:styleId="HeaderChar">
    <w:name w:val="Header Char"/>
    <w:basedOn w:val="DefaultParagraphFont"/>
    <w:link w:val="Header"/>
    <w:uiPriority w:val="99"/>
    <w:locked/>
    <w:rsid w:val="002A270A"/>
    <w:rPr>
      <w:rFonts w:eastAsia="Calibri"/>
      <w:caps/>
      <w:color w:val="FFFFFF"/>
      <w:spacing w:val="16"/>
    </w:rPr>
  </w:style>
  <w:style w:type="paragraph" w:styleId="Footer">
    <w:name w:val="footer"/>
    <w:basedOn w:val="BodyText"/>
    <w:link w:val="FooterChar"/>
    <w:uiPriority w:val="99"/>
    <w:qFormat/>
    <w:rsid w:val="002A270A"/>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2A270A"/>
    <w:rPr>
      <w:rFonts w:eastAsia="Calibri"/>
      <w:smallCaps/>
      <w:color w:val="757579" w:themeColor="accent3"/>
      <w:sz w:val="16"/>
    </w:rPr>
  </w:style>
  <w:style w:type="paragraph" w:styleId="BalloonText">
    <w:name w:val="Balloon Text"/>
    <w:basedOn w:val="Normal"/>
    <w:link w:val="BalloonTextChar"/>
    <w:uiPriority w:val="99"/>
    <w:semiHidden/>
    <w:locked/>
    <w:rsid w:val="002A270A"/>
    <w:pPr>
      <w:spacing w:after="0"/>
    </w:pPr>
    <w:rPr>
      <w:rFonts w:ascii="Tahoma" w:hAnsi="Tahoma" w:cs="Tahoma"/>
      <w:sz w:val="16"/>
      <w:szCs w:val="16"/>
    </w:rPr>
  </w:style>
  <w:style w:type="paragraph" w:styleId="ListBullet">
    <w:name w:val="List Bullet"/>
    <w:basedOn w:val="BodyText"/>
    <w:uiPriority w:val="2"/>
    <w:qFormat/>
    <w:rsid w:val="002A270A"/>
    <w:pPr>
      <w:numPr>
        <w:numId w:val="26"/>
      </w:numPr>
      <w:spacing w:before="60" w:after="60"/>
    </w:pPr>
  </w:style>
  <w:style w:type="paragraph" w:styleId="ListNumber">
    <w:name w:val="List Number"/>
    <w:basedOn w:val="BodyText"/>
    <w:uiPriority w:val="2"/>
    <w:qFormat/>
    <w:rsid w:val="002A270A"/>
    <w:pPr>
      <w:numPr>
        <w:numId w:val="20"/>
      </w:numPr>
      <w:spacing w:before="60" w:after="60"/>
    </w:pPr>
  </w:style>
  <w:style w:type="paragraph" w:styleId="ListBullet2">
    <w:name w:val="List Bullet 2"/>
    <w:basedOn w:val="ListBullet"/>
    <w:uiPriority w:val="2"/>
    <w:qFormat/>
    <w:rsid w:val="002A270A"/>
    <w:pPr>
      <w:numPr>
        <w:numId w:val="19"/>
      </w:numPr>
    </w:pPr>
  </w:style>
  <w:style w:type="paragraph" w:styleId="TOC1">
    <w:name w:val="toc 1"/>
    <w:basedOn w:val="BodyText"/>
    <w:next w:val="TOC2"/>
    <w:uiPriority w:val="39"/>
    <w:unhideWhenUsed/>
    <w:rsid w:val="00111E38"/>
    <w:pPr>
      <w:tabs>
        <w:tab w:val="left" w:pos="737"/>
        <w:tab w:val="right" w:leader="dot" w:pos="9554"/>
      </w:tabs>
      <w:spacing w:after="60"/>
      <w:ind w:right="567"/>
    </w:pPr>
    <w:rPr>
      <w:b/>
      <w:smallCaps/>
      <w:noProof/>
      <w:color w:val="003560" w:themeColor="accent2" w:themeTint="E6"/>
    </w:rPr>
  </w:style>
  <w:style w:type="paragraph" w:styleId="TOC2">
    <w:name w:val="toc 2"/>
    <w:basedOn w:val="BodyText"/>
    <w:uiPriority w:val="39"/>
    <w:unhideWhenUsed/>
    <w:rsid w:val="00111E38"/>
    <w:pPr>
      <w:tabs>
        <w:tab w:val="left" w:pos="737"/>
        <w:tab w:val="right" w:leader="dot" w:pos="9554"/>
      </w:tabs>
      <w:spacing w:before="20" w:after="20"/>
      <w:ind w:left="737" w:right="567" w:hanging="737"/>
    </w:pPr>
    <w:rPr>
      <w:noProof/>
      <w:color w:val="003560" w:themeColor="accent2" w:themeTint="E6"/>
      <w:sz w:val="20"/>
      <w:szCs w:val="20"/>
    </w:rPr>
  </w:style>
  <w:style w:type="table" w:styleId="TableGrid">
    <w:name w:val="Table Grid"/>
    <w:basedOn w:val="TableNormal"/>
    <w:uiPriority w:val="39"/>
    <w:rsid w:val="002A270A"/>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2A270A"/>
    <w:rPr>
      <w:rFonts w:ascii="Calibri" w:hAnsi="Calibri" w:cs="Times New Roman"/>
      <w:sz w:val="16"/>
    </w:rPr>
  </w:style>
  <w:style w:type="paragraph" w:styleId="TOC3">
    <w:name w:val="toc 3"/>
    <w:basedOn w:val="BodyText"/>
    <w:uiPriority w:val="39"/>
    <w:unhideWhenUsed/>
    <w:rsid w:val="002A270A"/>
    <w:pPr>
      <w:tabs>
        <w:tab w:val="left" w:pos="1531"/>
        <w:tab w:val="right" w:leader="dot" w:pos="9497"/>
      </w:tabs>
      <w:spacing w:before="60"/>
      <w:ind w:left="737" w:right="567"/>
    </w:pPr>
    <w:rPr>
      <w:color w:val="001D34" w:themeColor="accent2"/>
    </w:rPr>
  </w:style>
  <w:style w:type="paragraph" w:customStyle="1" w:styleId="CoverTitle">
    <w:name w:val="CoverTitle"/>
    <w:next w:val="CoverSubtitle"/>
    <w:uiPriority w:val="17"/>
    <w:qFormat/>
    <w:rsid w:val="002A270A"/>
    <w:pPr>
      <w:spacing w:after="170" w:line="216" w:lineRule="auto"/>
    </w:pPr>
    <w:rPr>
      <w:rFonts w:eastAsiaTheme="majorEastAsia" w:cstheme="majorBidi"/>
      <w:color w:val="01528B" w:themeColor="accent1"/>
      <w:spacing w:val="5"/>
      <w:kern w:val="28"/>
      <w:sz w:val="72"/>
      <w:szCs w:val="52"/>
    </w:rPr>
  </w:style>
  <w:style w:type="paragraph" w:customStyle="1" w:styleId="PartTitle">
    <w:name w:val="PartTitle"/>
    <w:next w:val="PartSubtitle"/>
    <w:uiPriority w:val="18"/>
    <w:qFormat/>
    <w:rsid w:val="002A270A"/>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8"/>
    <w:qFormat/>
    <w:rsid w:val="002A270A"/>
    <w:pPr>
      <w:spacing w:before="360" w:after="240" w:line="340" w:lineRule="atLeast"/>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30"/>
    <w:qFormat/>
    <w:rsid w:val="002A270A"/>
  </w:style>
  <w:style w:type="paragraph" w:styleId="ListBullet3">
    <w:name w:val="List Bullet 3"/>
    <w:basedOn w:val="ListBullet2"/>
    <w:uiPriority w:val="2"/>
    <w:rsid w:val="002A270A"/>
  </w:style>
  <w:style w:type="paragraph" w:styleId="FootnoteText">
    <w:name w:val="footnote text"/>
    <w:basedOn w:val="BodyText"/>
    <w:link w:val="FootnoteTextChar"/>
    <w:uiPriority w:val="16"/>
    <w:qFormat/>
    <w:rsid w:val="00CC232D"/>
    <w:pPr>
      <w:spacing w:before="20" w:after="20" w:line="180" w:lineRule="atLeast"/>
    </w:pPr>
    <w:rPr>
      <w:sz w:val="16"/>
      <w:szCs w:val="20"/>
    </w:rPr>
  </w:style>
  <w:style w:type="character" w:customStyle="1" w:styleId="FootnoteTextChar">
    <w:name w:val="Footnote Text Char"/>
    <w:basedOn w:val="DefaultParagraphFont"/>
    <w:link w:val="FootnoteText"/>
    <w:uiPriority w:val="16"/>
    <w:locked/>
    <w:rsid w:val="00CC232D"/>
    <w:rPr>
      <w:rFonts w:eastAsia="Calibri"/>
      <w:color w:val="000000"/>
      <w:sz w:val="16"/>
      <w:szCs w:val="20"/>
    </w:rPr>
  </w:style>
  <w:style w:type="paragraph" w:customStyle="1" w:styleId="FootnoteHeading">
    <w:name w:val="Footnote Heading"/>
    <w:basedOn w:val="FootnoteText"/>
    <w:uiPriority w:val="16"/>
    <w:qFormat/>
    <w:rsid w:val="002A270A"/>
    <w:rPr>
      <w:b/>
    </w:rPr>
  </w:style>
  <w:style w:type="paragraph" w:customStyle="1" w:styleId="FigureTableSource">
    <w:name w:val="Figure/Table Source"/>
    <w:basedOn w:val="BodyText"/>
    <w:next w:val="BodyText"/>
    <w:uiPriority w:val="6"/>
    <w:qFormat/>
    <w:rsid w:val="002A270A"/>
    <w:pPr>
      <w:tabs>
        <w:tab w:val="left" w:pos="539"/>
      </w:tabs>
      <w:spacing w:after="240" w:line="180" w:lineRule="atLeast"/>
    </w:pPr>
    <w:rPr>
      <w:sz w:val="16"/>
      <w:szCs w:val="20"/>
    </w:rPr>
  </w:style>
  <w:style w:type="paragraph" w:customStyle="1" w:styleId="TableText">
    <w:name w:val="TableText"/>
    <w:basedOn w:val="Normal"/>
    <w:uiPriority w:val="5"/>
    <w:qFormat/>
    <w:rsid w:val="002A270A"/>
    <w:pPr>
      <w:spacing w:before="60" w:after="60"/>
    </w:pPr>
    <w:rPr>
      <w:sz w:val="18"/>
    </w:rPr>
  </w:style>
  <w:style w:type="paragraph" w:customStyle="1" w:styleId="TableBullet">
    <w:name w:val="TableBullet"/>
    <w:basedOn w:val="TableText"/>
    <w:next w:val="TableText"/>
    <w:uiPriority w:val="5"/>
    <w:qFormat/>
    <w:rsid w:val="002A270A"/>
    <w:pPr>
      <w:numPr>
        <w:numId w:val="23"/>
      </w:numPr>
    </w:pPr>
  </w:style>
  <w:style w:type="paragraph" w:customStyle="1" w:styleId="RowHeading">
    <w:name w:val="RowHeading"/>
    <w:basedOn w:val="TableText"/>
    <w:next w:val="TableText"/>
    <w:uiPriority w:val="5"/>
    <w:qFormat/>
    <w:rsid w:val="002A270A"/>
    <w:pPr>
      <w:keepNext/>
    </w:pPr>
    <w:rPr>
      <w:b/>
      <w:color w:val="auto"/>
    </w:rPr>
  </w:style>
  <w:style w:type="paragraph" w:customStyle="1" w:styleId="ColumnHeading">
    <w:name w:val="ColumnHeading"/>
    <w:basedOn w:val="TableText"/>
    <w:uiPriority w:val="5"/>
    <w:qFormat/>
    <w:rsid w:val="002A270A"/>
    <w:pPr>
      <w:spacing w:after="0" w:line="180" w:lineRule="atLeast"/>
    </w:pPr>
    <w:rPr>
      <w:b/>
      <w:color w:val="FFFFFF"/>
    </w:rPr>
  </w:style>
  <w:style w:type="paragraph" w:customStyle="1" w:styleId="CoverSubtitle">
    <w:name w:val="CoverSubtitle"/>
    <w:next w:val="BodyText"/>
    <w:uiPriority w:val="17"/>
    <w:qFormat/>
    <w:rsid w:val="002A270A"/>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2A270A"/>
    <w:pPr>
      <w:spacing w:before="360" w:after="60"/>
    </w:pPr>
    <w:rPr>
      <w:rFonts w:eastAsia="Calibri"/>
      <w:b/>
      <w:sz w:val="18"/>
      <w:szCs w:val="20"/>
    </w:rPr>
  </w:style>
  <w:style w:type="paragraph" w:customStyle="1" w:styleId="BackCoverContactDetails">
    <w:name w:val="BackCover ContactDetails"/>
    <w:uiPriority w:val="31"/>
    <w:qFormat/>
    <w:rsid w:val="002A270A"/>
    <w:pPr>
      <w:tabs>
        <w:tab w:val="left" w:pos="199"/>
      </w:tabs>
    </w:pPr>
    <w:rPr>
      <w:rFonts w:eastAsia="Calibri"/>
      <w:sz w:val="18"/>
    </w:rPr>
  </w:style>
  <w:style w:type="character" w:customStyle="1" w:styleId="BackCoverContactBold">
    <w:name w:val="BackCover ContactBold"/>
    <w:basedOn w:val="DefaultParagraphFont"/>
    <w:uiPriority w:val="31"/>
    <w:qFormat/>
    <w:rsid w:val="002A270A"/>
    <w:rPr>
      <w:b/>
    </w:rPr>
  </w:style>
  <w:style w:type="paragraph" w:styleId="TOCHeading">
    <w:name w:val="TOC Heading"/>
    <w:basedOn w:val="Heading1"/>
    <w:next w:val="Normal"/>
    <w:link w:val="TOCHeadingChar"/>
    <w:uiPriority w:val="20"/>
    <w:rsid w:val="002A270A"/>
    <w:pPr>
      <w:pageBreakBefore w:val="0"/>
      <w:numPr>
        <w:numId w:val="0"/>
      </w:numPr>
      <w:spacing w:before="480" w:after="240"/>
      <w:outlineLvl w:val="1"/>
    </w:pPr>
    <w:rPr>
      <w:bCs w:val="0"/>
    </w:rPr>
  </w:style>
  <w:style w:type="character" w:styleId="Hyperlink">
    <w:name w:val="Hyperlink"/>
    <w:basedOn w:val="DefaultParagraphFont"/>
    <w:uiPriority w:val="99"/>
    <w:qFormat/>
    <w:rsid w:val="002A270A"/>
    <w:rPr>
      <w:rFonts w:ascii="Calibri" w:hAnsi="Calibri" w:cs="Times New Roman"/>
      <w:color w:val="005CA6" w:themeColor="accent2" w:themeTint="BF"/>
      <w:u w:val="none"/>
    </w:rPr>
  </w:style>
  <w:style w:type="paragraph" w:styleId="TOC4">
    <w:name w:val="toc 4"/>
    <w:basedOn w:val="Normal"/>
    <w:next w:val="Normal"/>
    <w:autoRedefine/>
    <w:uiPriority w:val="99"/>
    <w:semiHidden/>
    <w:rsid w:val="002A270A"/>
    <w:pPr>
      <w:spacing w:after="100"/>
      <w:ind w:left="660"/>
    </w:pPr>
  </w:style>
  <w:style w:type="paragraph" w:styleId="TOC9">
    <w:name w:val="toc 9"/>
    <w:basedOn w:val="TOC1"/>
    <w:next w:val="Normal"/>
    <w:autoRedefine/>
    <w:uiPriority w:val="39"/>
    <w:rsid w:val="0082342E"/>
    <w:pPr>
      <w:tabs>
        <w:tab w:val="clear" w:pos="737"/>
        <w:tab w:val="left" w:pos="1418"/>
        <w:tab w:val="left" w:pos="3022"/>
      </w:tabs>
      <w:spacing w:before="60"/>
    </w:pPr>
    <w:rPr>
      <w:bCs/>
      <w:color w:val="003D67" w:themeColor="accent1" w:themeShade="BF"/>
      <w14:scene3d>
        <w14:camera w14:prst="orthographicFront"/>
        <w14:lightRig w14:rig="threePt" w14:dir="t">
          <w14:rot w14:lat="0" w14:lon="0" w14:rev="0"/>
        </w14:lightRig>
      </w14:scene3d>
    </w:rPr>
  </w:style>
  <w:style w:type="character" w:customStyle="1" w:styleId="BalloonTextChar">
    <w:name w:val="Balloon Text Char"/>
    <w:basedOn w:val="DefaultParagraphFont"/>
    <w:link w:val="BalloonText"/>
    <w:uiPriority w:val="99"/>
    <w:semiHidden/>
    <w:rsid w:val="002A270A"/>
    <w:rPr>
      <w:rFonts w:ascii="Tahoma" w:eastAsia="Calibri" w:hAnsi="Tahoma" w:cs="Tahoma"/>
      <w:color w:val="000000"/>
      <w:sz w:val="16"/>
      <w:szCs w:val="16"/>
    </w:rPr>
  </w:style>
  <w:style w:type="paragraph" w:styleId="Caption">
    <w:name w:val="caption"/>
    <w:basedOn w:val="BodyText"/>
    <w:next w:val="BodyText"/>
    <w:link w:val="CaptionChar"/>
    <w:uiPriority w:val="3"/>
    <w:qFormat/>
    <w:rsid w:val="002A270A"/>
    <w:pPr>
      <w:keepNext/>
      <w:keepLines/>
      <w:pBdr>
        <w:top w:val="single" w:sz="4" w:space="1" w:color="ABABAE" w:themeColor="accent3" w:themeTint="99"/>
      </w:pBdr>
      <w:spacing w:before="360" w:after="60" w:line="240" w:lineRule="auto"/>
      <w:contextualSpacing/>
    </w:pPr>
    <w:rPr>
      <w:b/>
      <w:bCs/>
      <w:color w:val="757579" w:themeColor="accent3"/>
      <w:sz w:val="20"/>
      <w:szCs w:val="18"/>
    </w:rPr>
  </w:style>
  <w:style w:type="paragraph" w:customStyle="1" w:styleId="Headerurl">
    <w:name w:val="Header url"/>
    <w:basedOn w:val="Header"/>
    <w:uiPriority w:val="99"/>
    <w:semiHidden/>
    <w:rsid w:val="002A270A"/>
    <w:pPr>
      <w:tabs>
        <w:tab w:val="center" w:pos="4153"/>
        <w:tab w:val="right" w:pos="8306"/>
      </w:tabs>
      <w:spacing w:after="0"/>
    </w:pPr>
    <w:rPr>
      <w:b/>
      <w:color w:val="00313C"/>
      <w:szCs w:val="24"/>
    </w:rPr>
  </w:style>
  <w:style w:type="character" w:customStyle="1" w:styleId="PartNumber">
    <w:name w:val="PartNumber"/>
    <w:basedOn w:val="DefaultParagraphFont"/>
    <w:uiPriority w:val="18"/>
    <w:qFormat/>
    <w:rsid w:val="002A270A"/>
    <w:rPr>
      <w:color w:val="001D34" w:themeColor="accent2"/>
    </w:rPr>
  </w:style>
  <w:style w:type="paragraph" w:customStyle="1" w:styleId="Heading1notnumbered">
    <w:name w:val="Heading 1 not numbered"/>
    <w:basedOn w:val="Heading1"/>
    <w:next w:val="BodyText"/>
    <w:uiPriority w:val="1"/>
    <w:rsid w:val="008467AC"/>
    <w:pPr>
      <w:numPr>
        <w:numId w:val="0"/>
      </w:numPr>
    </w:pPr>
    <w:rPr>
      <w:smallCaps w:val="0"/>
    </w:rPr>
  </w:style>
  <w:style w:type="paragraph" w:customStyle="1" w:styleId="Heading3notnumbered">
    <w:name w:val="Heading 3 not numbered"/>
    <w:basedOn w:val="Heading3"/>
    <w:next w:val="BodyText"/>
    <w:uiPriority w:val="1"/>
    <w:qFormat/>
    <w:rsid w:val="002A270A"/>
    <w:pPr>
      <w:numPr>
        <w:ilvl w:val="0"/>
        <w:numId w:val="0"/>
      </w:numPr>
    </w:pPr>
  </w:style>
  <w:style w:type="paragraph" w:customStyle="1" w:styleId="Heading2notnumbered">
    <w:name w:val="Heading 2 not numbered"/>
    <w:basedOn w:val="Heading2"/>
    <w:next w:val="BodyText"/>
    <w:uiPriority w:val="1"/>
    <w:qFormat/>
    <w:rsid w:val="006F414D"/>
    <w:pPr>
      <w:numPr>
        <w:ilvl w:val="0"/>
        <w:numId w:val="0"/>
      </w:numPr>
      <w:pBdr>
        <w:top w:val="single" w:sz="4" w:space="1" w:color="A6A6A6" w:themeColor="background1" w:themeShade="A6"/>
      </w:pBdr>
    </w:pPr>
    <w:rPr>
      <w:smallCaps w:val="0"/>
    </w:rPr>
  </w:style>
  <w:style w:type="paragraph" w:customStyle="1" w:styleId="Heading1noTOC">
    <w:name w:val="Heading 1 no TOC"/>
    <w:basedOn w:val="Heading1notnumbered"/>
    <w:next w:val="BodyText"/>
    <w:link w:val="Heading1noTOCChar"/>
    <w:uiPriority w:val="1"/>
    <w:qFormat/>
    <w:rsid w:val="002A270A"/>
  </w:style>
  <w:style w:type="character" w:customStyle="1" w:styleId="TOCHeadingChar">
    <w:name w:val="TOC Heading Char"/>
    <w:basedOn w:val="DefaultParagraphFont"/>
    <w:link w:val="TOCHeading"/>
    <w:uiPriority w:val="20"/>
    <w:locked/>
    <w:rsid w:val="00873F8C"/>
    <w:rPr>
      <w:rFonts w:eastAsiaTheme="majorEastAsia" w:cstheme="majorBidi"/>
      <w:color w:val="757579" w:themeColor="accent3"/>
      <w:sz w:val="44"/>
      <w:szCs w:val="28"/>
    </w:rPr>
  </w:style>
  <w:style w:type="paragraph" w:styleId="BlockText">
    <w:name w:val="Block Text"/>
    <w:basedOn w:val="Normal"/>
    <w:uiPriority w:val="99"/>
    <w:semiHidden/>
    <w:locked/>
    <w:rsid w:val="002A270A"/>
    <w:pPr>
      <w:ind w:left="1440" w:right="1440"/>
    </w:pPr>
  </w:style>
  <w:style w:type="paragraph" w:styleId="BodyText">
    <w:name w:val="Body Text"/>
    <w:link w:val="BodyTextChar"/>
    <w:qFormat/>
    <w:locked/>
    <w:rsid w:val="002A270A"/>
    <w:pPr>
      <w:spacing w:before="120" w:after="120" w:line="264" w:lineRule="auto"/>
    </w:pPr>
    <w:rPr>
      <w:rFonts w:eastAsia="Calibri"/>
      <w:color w:val="000000"/>
    </w:rPr>
  </w:style>
  <w:style w:type="character" w:customStyle="1" w:styleId="BodyTextChar">
    <w:name w:val="Body Text Char"/>
    <w:basedOn w:val="DefaultParagraphFont"/>
    <w:link w:val="BodyText"/>
    <w:locked/>
    <w:rsid w:val="002A270A"/>
    <w:rPr>
      <w:rFonts w:eastAsia="Calibri"/>
      <w:color w:val="000000"/>
    </w:rPr>
  </w:style>
  <w:style w:type="paragraph" w:styleId="BodyText2">
    <w:name w:val="Body Text 2"/>
    <w:basedOn w:val="Normal"/>
    <w:link w:val="BodyText2Char"/>
    <w:uiPriority w:val="99"/>
    <w:semiHidden/>
    <w:locked/>
    <w:rsid w:val="002A270A"/>
    <w:pPr>
      <w:spacing w:line="480" w:lineRule="auto"/>
    </w:pPr>
  </w:style>
  <w:style w:type="character" w:customStyle="1" w:styleId="BodyText2Char">
    <w:name w:val="Body Text 2 Char"/>
    <w:basedOn w:val="DefaultParagraphFont"/>
    <w:link w:val="BodyText2"/>
    <w:uiPriority w:val="99"/>
    <w:semiHidden/>
    <w:locked/>
    <w:rsid w:val="002A270A"/>
    <w:rPr>
      <w:rFonts w:eastAsia="Calibri"/>
      <w:color w:val="000000"/>
    </w:rPr>
  </w:style>
  <w:style w:type="paragraph" w:styleId="BodyText3">
    <w:name w:val="Body Text 3"/>
    <w:basedOn w:val="Normal"/>
    <w:link w:val="BodyText3Char"/>
    <w:uiPriority w:val="99"/>
    <w:semiHidden/>
    <w:locked/>
    <w:rsid w:val="002A270A"/>
    <w:rPr>
      <w:sz w:val="16"/>
      <w:szCs w:val="16"/>
    </w:rPr>
  </w:style>
  <w:style w:type="character" w:customStyle="1" w:styleId="BodyText3Char">
    <w:name w:val="Body Text 3 Char"/>
    <w:basedOn w:val="DefaultParagraphFont"/>
    <w:link w:val="BodyText3"/>
    <w:uiPriority w:val="99"/>
    <w:semiHidden/>
    <w:locked/>
    <w:rsid w:val="002A270A"/>
    <w:rPr>
      <w:rFonts w:eastAsia="Calibri"/>
      <w:color w:val="000000"/>
      <w:sz w:val="16"/>
      <w:szCs w:val="16"/>
    </w:rPr>
  </w:style>
  <w:style w:type="paragraph" w:styleId="BodyTextFirstIndent">
    <w:name w:val="Body Text First Indent"/>
    <w:basedOn w:val="BodyText"/>
    <w:link w:val="BodyTextFirstIndentChar"/>
    <w:uiPriority w:val="99"/>
    <w:semiHidden/>
    <w:locked/>
    <w:rsid w:val="002A270A"/>
    <w:pPr>
      <w:ind w:firstLine="210"/>
    </w:pPr>
  </w:style>
  <w:style w:type="character" w:customStyle="1" w:styleId="BodyTextFirstIndentChar">
    <w:name w:val="Body Text First Indent Char"/>
    <w:basedOn w:val="BodyTextChar"/>
    <w:link w:val="BodyTextFirstIndent"/>
    <w:uiPriority w:val="99"/>
    <w:semiHidden/>
    <w:locked/>
    <w:rsid w:val="002A270A"/>
    <w:rPr>
      <w:rFonts w:eastAsia="Calibri"/>
      <w:color w:val="000000"/>
    </w:rPr>
  </w:style>
  <w:style w:type="paragraph" w:styleId="BodyTextIndent">
    <w:name w:val="Body Text Indent"/>
    <w:basedOn w:val="Normal"/>
    <w:link w:val="BodyTextIndentChar"/>
    <w:uiPriority w:val="99"/>
    <w:semiHidden/>
    <w:locked/>
    <w:rsid w:val="002A270A"/>
    <w:pPr>
      <w:ind w:left="283"/>
    </w:pPr>
  </w:style>
  <w:style w:type="character" w:customStyle="1" w:styleId="BodyTextIndentChar">
    <w:name w:val="Body Text Indent Char"/>
    <w:basedOn w:val="DefaultParagraphFont"/>
    <w:link w:val="BodyTextIndent"/>
    <w:uiPriority w:val="99"/>
    <w:semiHidden/>
    <w:locked/>
    <w:rsid w:val="002A270A"/>
    <w:rPr>
      <w:rFonts w:eastAsia="Calibri"/>
      <w:color w:val="000000"/>
    </w:rPr>
  </w:style>
  <w:style w:type="paragraph" w:styleId="BodyTextFirstIndent2">
    <w:name w:val="Body Text First Indent 2"/>
    <w:basedOn w:val="BodyTextIndent"/>
    <w:link w:val="BodyTextFirstIndent2Char"/>
    <w:uiPriority w:val="99"/>
    <w:semiHidden/>
    <w:locked/>
    <w:rsid w:val="002A270A"/>
    <w:pPr>
      <w:ind w:firstLine="210"/>
    </w:pPr>
  </w:style>
  <w:style w:type="character" w:customStyle="1" w:styleId="BodyTextFirstIndent2Char">
    <w:name w:val="Body Text First Indent 2 Char"/>
    <w:basedOn w:val="BodyTextIndentChar"/>
    <w:link w:val="BodyTextFirstIndent2"/>
    <w:uiPriority w:val="99"/>
    <w:semiHidden/>
    <w:locked/>
    <w:rsid w:val="002A270A"/>
    <w:rPr>
      <w:rFonts w:eastAsia="Calibri"/>
      <w:color w:val="000000"/>
    </w:rPr>
  </w:style>
  <w:style w:type="paragraph" w:styleId="BodyTextIndent2">
    <w:name w:val="Body Text Indent 2"/>
    <w:basedOn w:val="Normal"/>
    <w:link w:val="BodyTextIndent2Char"/>
    <w:uiPriority w:val="99"/>
    <w:semiHidden/>
    <w:locked/>
    <w:rsid w:val="002A270A"/>
    <w:pPr>
      <w:spacing w:line="480" w:lineRule="auto"/>
      <w:ind w:left="283"/>
    </w:pPr>
  </w:style>
  <w:style w:type="character" w:customStyle="1" w:styleId="BodyTextIndent2Char">
    <w:name w:val="Body Text Indent 2 Char"/>
    <w:basedOn w:val="DefaultParagraphFont"/>
    <w:link w:val="BodyTextIndent2"/>
    <w:uiPriority w:val="99"/>
    <w:semiHidden/>
    <w:locked/>
    <w:rsid w:val="002A270A"/>
    <w:rPr>
      <w:rFonts w:eastAsia="Calibri"/>
      <w:color w:val="000000"/>
    </w:rPr>
  </w:style>
  <w:style w:type="paragraph" w:styleId="BodyTextIndent3">
    <w:name w:val="Body Text Indent 3"/>
    <w:basedOn w:val="Normal"/>
    <w:link w:val="BodyTextIndent3Char"/>
    <w:uiPriority w:val="99"/>
    <w:semiHidden/>
    <w:locked/>
    <w:rsid w:val="002A270A"/>
    <w:pPr>
      <w:ind w:left="283"/>
    </w:pPr>
    <w:rPr>
      <w:sz w:val="16"/>
      <w:szCs w:val="16"/>
    </w:rPr>
  </w:style>
  <w:style w:type="character" w:customStyle="1" w:styleId="BodyTextIndent3Char">
    <w:name w:val="Body Text Indent 3 Char"/>
    <w:basedOn w:val="DefaultParagraphFont"/>
    <w:link w:val="BodyTextIndent3"/>
    <w:uiPriority w:val="99"/>
    <w:semiHidden/>
    <w:locked/>
    <w:rsid w:val="002A270A"/>
    <w:rPr>
      <w:rFonts w:eastAsia="Calibri"/>
      <w:color w:val="000000"/>
      <w:sz w:val="16"/>
      <w:szCs w:val="16"/>
    </w:rPr>
  </w:style>
  <w:style w:type="paragraph" w:styleId="Closing">
    <w:name w:val="Closing"/>
    <w:basedOn w:val="Normal"/>
    <w:link w:val="ClosingChar"/>
    <w:uiPriority w:val="99"/>
    <w:semiHidden/>
    <w:locked/>
    <w:rsid w:val="002A270A"/>
    <w:pPr>
      <w:ind w:left="4252"/>
    </w:pPr>
  </w:style>
  <w:style w:type="character" w:customStyle="1" w:styleId="ClosingChar">
    <w:name w:val="Closing Char"/>
    <w:basedOn w:val="DefaultParagraphFont"/>
    <w:link w:val="Closing"/>
    <w:uiPriority w:val="99"/>
    <w:semiHidden/>
    <w:locked/>
    <w:rsid w:val="002A270A"/>
    <w:rPr>
      <w:rFonts w:eastAsia="Calibri"/>
      <w:color w:val="000000"/>
    </w:rPr>
  </w:style>
  <w:style w:type="paragraph" w:styleId="Date">
    <w:name w:val="Date"/>
    <w:basedOn w:val="Normal"/>
    <w:next w:val="Normal"/>
    <w:link w:val="DateChar"/>
    <w:uiPriority w:val="99"/>
    <w:semiHidden/>
    <w:locked/>
    <w:rsid w:val="002A270A"/>
  </w:style>
  <w:style w:type="character" w:customStyle="1" w:styleId="DateChar">
    <w:name w:val="Date Char"/>
    <w:basedOn w:val="DefaultParagraphFont"/>
    <w:link w:val="Date"/>
    <w:uiPriority w:val="99"/>
    <w:semiHidden/>
    <w:locked/>
    <w:rsid w:val="002A270A"/>
    <w:rPr>
      <w:rFonts w:eastAsia="Calibri"/>
      <w:color w:val="000000"/>
    </w:rPr>
  </w:style>
  <w:style w:type="paragraph" w:styleId="E-mailSignature">
    <w:name w:val="E-mail Signature"/>
    <w:basedOn w:val="Normal"/>
    <w:link w:val="E-mailSignatureChar"/>
    <w:uiPriority w:val="99"/>
    <w:semiHidden/>
    <w:locked/>
    <w:rsid w:val="002A270A"/>
  </w:style>
  <w:style w:type="character" w:customStyle="1" w:styleId="E-mailSignatureChar">
    <w:name w:val="E-mail Signature Char"/>
    <w:basedOn w:val="DefaultParagraphFont"/>
    <w:link w:val="E-mailSignature"/>
    <w:uiPriority w:val="99"/>
    <w:semiHidden/>
    <w:locked/>
    <w:rsid w:val="002A270A"/>
    <w:rPr>
      <w:rFonts w:eastAsia="Calibri"/>
      <w:color w:val="000000"/>
    </w:rPr>
  </w:style>
  <w:style w:type="character" w:styleId="Emphasis">
    <w:name w:val="Emphasis"/>
    <w:basedOn w:val="DefaultParagraphFont"/>
    <w:uiPriority w:val="73"/>
    <w:semiHidden/>
    <w:locked/>
    <w:rsid w:val="002A270A"/>
    <w:rPr>
      <w:rFonts w:cs="Times New Roman"/>
      <w:i/>
      <w:iCs/>
    </w:rPr>
  </w:style>
  <w:style w:type="paragraph" w:styleId="EnvelopeAddress">
    <w:name w:val="envelope address"/>
    <w:basedOn w:val="Normal"/>
    <w:uiPriority w:val="99"/>
    <w:semiHidden/>
    <w:locked/>
    <w:rsid w:val="002A270A"/>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2A270A"/>
    <w:rPr>
      <w:rFonts w:ascii="Arial" w:hAnsi="Arial" w:cs="Arial"/>
      <w:sz w:val="20"/>
      <w:szCs w:val="20"/>
    </w:rPr>
  </w:style>
  <w:style w:type="character" w:styleId="FollowedHyperlink">
    <w:name w:val="FollowedHyperlink"/>
    <w:basedOn w:val="DefaultParagraphFont"/>
    <w:uiPriority w:val="99"/>
    <w:semiHidden/>
    <w:locked/>
    <w:rsid w:val="002A270A"/>
    <w:rPr>
      <w:rFonts w:cs="Times New Roman"/>
      <w:color w:val="auto"/>
      <w:u w:val="none"/>
    </w:rPr>
  </w:style>
  <w:style w:type="character" w:styleId="FootnoteReference">
    <w:name w:val="footnote reference"/>
    <w:basedOn w:val="DefaultParagraphFont"/>
    <w:uiPriority w:val="16"/>
    <w:locked/>
    <w:rsid w:val="002A270A"/>
    <w:rPr>
      <w:rFonts w:cs="Times New Roman"/>
      <w:vertAlign w:val="superscript"/>
    </w:rPr>
  </w:style>
  <w:style w:type="character" w:styleId="HTMLAcronym">
    <w:name w:val="HTML Acronym"/>
    <w:basedOn w:val="DefaultParagraphFont"/>
    <w:uiPriority w:val="99"/>
    <w:semiHidden/>
    <w:locked/>
    <w:rsid w:val="002A270A"/>
    <w:rPr>
      <w:rFonts w:cs="Times New Roman"/>
    </w:rPr>
  </w:style>
  <w:style w:type="paragraph" w:styleId="HTMLAddress">
    <w:name w:val="HTML Address"/>
    <w:basedOn w:val="Normal"/>
    <w:link w:val="HTMLAddressChar"/>
    <w:uiPriority w:val="99"/>
    <w:semiHidden/>
    <w:locked/>
    <w:rsid w:val="002A270A"/>
    <w:rPr>
      <w:i/>
      <w:iCs/>
    </w:rPr>
  </w:style>
  <w:style w:type="character" w:customStyle="1" w:styleId="HTMLAddressChar">
    <w:name w:val="HTML Address Char"/>
    <w:basedOn w:val="DefaultParagraphFont"/>
    <w:link w:val="HTMLAddress"/>
    <w:uiPriority w:val="99"/>
    <w:semiHidden/>
    <w:locked/>
    <w:rsid w:val="002A270A"/>
    <w:rPr>
      <w:rFonts w:eastAsia="Calibri"/>
      <w:i/>
      <w:iCs/>
      <w:color w:val="000000"/>
    </w:rPr>
  </w:style>
  <w:style w:type="character" w:styleId="HTMLCite">
    <w:name w:val="HTML Cite"/>
    <w:basedOn w:val="DefaultParagraphFont"/>
    <w:uiPriority w:val="99"/>
    <w:semiHidden/>
    <w:locked/>
    <w:rsid w:val="002A270A"/>
    <w:rPr>
      <w:rFonts w:cs="Times New Roman"/>
      <w:i/>
      <w:iCs/>
    </w:rPr>
  </w:style>
  <w:style w:type="character" w:styleId="HTMLCode">
    <w:name w:val="HTML Code"/>
    <w:basedOn w:val="DefaultParagraphFont"/>
    <w:uiPriority w:val="99"/>
    <w:semiHidden/>
    <w:locked/>
    <w:rsid w:val="002A270A"/>
    <w:rPr>
      <w:rFonts w:ascii="Courier New" w:hAnsi="Courier New" w:cs="Courier New"/>
      <w:sz w:val="20"/>
      <w:szCs w:val="20"/>
    </w:rPr>
  </w:style>
  <w:style w:type="character" w:styleId="HTMLDefinition">
    <w:name w:val="HTML Definition"/>
    <w:basedOn w:val="DefaultParagraphFont"/>
    <w:uiPriority w:val="99"/>
    <w:semiHidden/>
    <w:locked/>
    <w:rsid w:val="002A270A"/>
    <w:rPr>
      <w:rFonts w:cs="Times New Roman"/>
      <w:i/>
      <w:iCs/>
    </w:rPr>
  </w:style>
  <w:style w:type="character" w:styleId="HTMLKeyboard">
    <w:name w:val="HTML Keyboard"/>
    <w:basedOn w:val="DefaultParagraphFont"/>
    <w:uiPriority w:val="99"/>
    <w:semiHidden/>
    <w:locked/>
    <w:rsid w:val="002A270A"/>
    <w:rPr>
      <w:rFonts w:ascii="Courier New" w:hAnsi="Courier New" w:cs="Courier New"/>
      <w:sz w:val="20"/>
      <w:szCs w:val="20"/>
    </w:rPr>
  </w:style>
  <w:style w:type="paragraph" w:styleId="HTMLPreformatted">
    <w:name w:val="HTML Preformatted"/>
    <w:basedOn w:val="Normal"/>
    <w:link w:val="HTMLPreformattedChar"/>
    <w:uiPriority w:val="99"/>
    <w:semiHidden/>
    <w:locked/>
    <w:rsid w:val="002A270A"/>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A270A"/>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2A270A"/>
    <w:rPr>
      <w:rFonts w:ascii="Courier New" w:hAnsi="Courier New" w:cs="Courier New"/>
    </w:rPr>
  </w:style>
  <w:style w:type="character" w:styleId="HTMLTypewriter">
    <w:name w:val="HTML Typewriter"/>
    <w:basedOn w:val="DefaultParagraphFont"/>
    <w:uiPriority w:val="99"/>
    <w:semiHidden/>
    <w:locked/>
    <w:rsid w:val="002A270A"/>
    <w:rPr>
      <w:rFonts w:ascii="Courier New" w:hAnsi="Courier New" w:cs="Courier New"/>
      <w:sz w:val="20"/>
      <w:szCs w:val="20"/>
    </w:rPr>
  </w:style>
  <w:style w:type="character" w:styleId="HTMLVariable">
    <w:name w:val="HTML Variable"/>
    <w:basedOn w:val="DefaultParagraphFont"/>
    <w:uiPriority w:val="99"/>
    <w:semiHidden/>
    <w:locked/>
    <w:rsid w:val="002A270A"/>
    <w:rPr>
      <w:rFonts w:cs="Times New Roman"/>
      <w:i/>
      <w:iCs/>
    </w:rPr>
  </w:style>
  <w:style w:type="character" w:styleId="LineNumber">
    <w:name w:val="line number"/>
    <w:basedOn w:val="DefaultParagraphFont"/>
    <w:uiPriority w:val="99"/>
    <w:semiHidden/>
    <w:locked/>
    <w:rsid w:val="002A270A"/>
    <w:rPr>
      <w:rFonts w:cs="Times New Roman"/>
    </w:rPr>
  </w:style>
  <w:style w:type="paragraph" w:styleId="List">
    <w:name w:val="List"/>
    <w:basedOn w:val="Normal"/>
    <w:uiPriority w:val="99"/>
    <w:semiHidden/>
    <w:locked/>
    <w:rsid w:val="002A270A"/>
    <w:pPr>
      <w:ind w:left="283" w:hanging="283"/>
    </w:pPr>
  </w:style>
  <w:style w:type="paragraph" w:styleId="List2">
    <w:name w:val="List 2"/>
    <w:basedOn w:val="Normal"/>
    <w:uiPriority w:val="99"/>
    <w:semiHidden/>
    <w:locked/>
    <w:rsid w:val="002A270A"/>
    <w:pPr>
      <w:ind w:left="566" w:hanging="283"/>
    </w:pPr>
  </w:style>
  <w:style w:type="paragraph" w:styleId="List3">
    <w:name w:val="List 3"/>
    <w:basedOn w:val="Normal"/>
    <w:uiPriority w:val="99"/>
    <w:semiHidden/>
    <w:locked/>
    <w:rsid w:val="002A270A"/>
    <w:pPr>
      <w:ind w:left="849" w:hanging="283"/>
    </w:pPr>
  </w:style>
  <w:style w:type="paragraph" w:styleId="List4">
    <w:name w:val="List 4"/>
    <w:basedOn w:val="Normal"/>
    <w:uiPriority w:val="99"/>
    <w:semiHidden/>
    <w:locked/>
    <w:rsid w:val="002A270A"/>
    <w:pPr>
      <w:ind w:left="1132" w:hanging="283"/>
    </w:pPr>
  </w:style>
  <w:style w:type="paragraph" w:styleId="List5">
    <w:name w:val="List 5"/>
    <w:basedOn w:val="Normal"/>
    <w:uiPriority w:val="99"/>
    <w:semiHidden/>
    <w:locked/>
    <w:rsid w:val="002A270A"/>
    <w:pPr>
      <w:ind w:left="1415" w:hanging="283"/>
    </w:pPr>
  </w:style>
  <w:style w:type="paragraph" w:styleId="ListBullet4">
    <w:name w:val="List Bullet 4"/>
    <w:basedOn w:val="Normal"/>
    <w:uiPriority w:val="99"/>
    <w:semiHidden/>
    <w:locked/>
    <w:rsid w:val="002A270A"/>
    <w:pPr>
      <w:numPr>
        <w:numId w:val="18"/>
      </w:numPr>
      <w:tabs>
        <w:tab w:val="num" w:pos="1209"/>
      </w:tabs>
    </w:pPr>
  </w:style>
  <w:style w:type="paragraph" w:styleId="ListBullet5">
    <w:name w:val="List Bullet 5"/>
    <w:basedOn w:val="Normal"/>
    <w:uiPriority w:val="99"/>
    <w:semiHidden/>
    <w:locked/>
    <w:rsid w:val="002A270A"/>
    <w:pPr>
      <w:tabs>
        <w:tab w:val="num" w:pos="926"/>
        <w:tab w:val="num" w:pos="1492"/>
      </w:tabs>
      <w:ind w:left="360" w:hanging="360"/>
    </w:pPr>
  </w:style>
  <w:style w:type="paragraph" w:styleId="ListContinue">
    <w:name w:val="List Continue"/>
    <w:basedOn w:val="Normal"/>
    <w:uiPriority w:val="99"/>
    <w:semiHidden/>
    <w:locked/>
    <w:rsid w:val="002A270A"/>
    <w:pPr>
      <w:ind w:left="283"/>
    </w:pPr>
  </w:style>
  <w:style w:type="paragraph" w:styleId="ListContinue2">
    <w:name w:val="List Continue 2"/>
    <w:basedOn w:val="Normal"/>
    <w:uiPriority w:val="99"/>
    <w:semiHidden/>
    <w:locked/>
    <w:rsid w:val="002A270A"/>
    <w:pPr>
      <w:ind w:left="566"/>
    </w:pPr>
  </w:style>
  <w:style w:type="paragraph" w:styleId="ListContinue3">
    <w:name w:val="List Continue 3"/>
    <w:basedOn w:val="Normal"/>
    <w:uiPriority w:val="99"/>
    <w:semiHidden/>
    <w:locked/>
    <w:rsid w:val="002A270A"/>
    <w:pPr>
      <w:ind w:left="849"/>
    </w:pPr>
  </w:style>
  <w:style w:type="paragraph" w:styleId="ListContinue4">
    <w:name w:val="List Continue 4"/>
    <w:basedOn w:val="Normal"/>
    <w:uiPriority w:val="99"/>
    <w:semiHidden/>
    <w:locked/>
    <w:rsid w:val="002A270A"/>
    <w:pPr>
      <w:ind w:left="1132"/>
    </w:pPr>
  </w:style>
  <w:style w:type="paragraph" w:styleId="ListContinue5">
    <w:name w:val="List Continue 5"/>
    <w:basedOn w:val="Normal"/>
    <w:uiPriority w:val="99"/>
    <w:semiHidden/>
    <w:locked/>
    <w:rsid w:val="002A270A"/>
    <w:pPr>
      <w:ind w:left="1415"/>
    </w:pPr>
  </w:style>
  <w:style w:type="paragraph" w:styleId="ListNumber3">
    <w:name w:val="List Number 3"/>
    <w:basedOn w:val="ListNumber2"/>
    <w:uiPriority w:val="2"/>
    <w:locked/>
    <w:rsid w:val="002A270A"/>
    <w:pPr>
      <w:numPr>
        <w:ilvl w:val="2"/>
      </w:numPr>
    </w:pPr>
  </w:style>
  <w:style w:type="paragraph" w:styleId="ListNumber4">
    <w:name w:val="List Number 4"/>
    <w:basedOn w:val="Normal"/>
    <w:uiPriority w:val="99"/>
    <w:semiHidden/>
    <w:locked/>
    <w:rsid w:val="002A270A"/>
    <w:pPr>
      <w:numPr>
        <w:numId w:val="21"/>
      </w:numPr>
    </w:pPr>
  </w:style>
  <w:style w:type="paragraph" w:styleId="ListNumber5">
    <w:name w:val="List Number 5"/>
    <w:basedOn w:val="Normal"/>
    <w:uiPriority w:val="99"/>
    <w:semiHidden/>
    <w:locked/>
    <w:rsid w:val="002A270A"/>
    <w:pPr>
      <w:numPr>
        <w:numId w:val="22"/>
      </w:numPr>
    </w:pPr>
  </w:style>
  <w:style w:type="paragraph" w:styleId="MessageHeader">
    <w:name w:val="Message Header"/>
    <w:basedOn w:val="Normal"/>
    <w:link w:val="MessageHeaderChar"/>
    <w:uiPriority w:val="99"/>
    <w:semiHidden/>
    <w:locked/>
    <w:rsid w:val="002A270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2A270A"/>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2A270A"/>
    <w:rPr>
      <w:rFonts w:ascii="Times New Roman" w:hAnsi="Times New Roman"/>
      <w:sz w:val="24"/>
      <w:szCs w:val="24"/>
    </w:rPr>
  </w:style>
  <w:style w:type="paragraph" w:styleId="NormalIndent">
    <w:name w:val="Normal Indent"/>
    <w:basedOn w:val="Normal"/>
    <w:uiPriority w:val="99"/>
    <w:semiHidden/>
    <w:locked/>
    <w:rsid w:val="002A270A"/>
    <w:pPr>
      <w:ind w:left="720"/>
    </w:pPr>
  </w:style>
  <w:style w:type="paragraph" w:styleId="NoteHeading">
    <w:name w:val="Note Heading"/>
    <w:basedOn w:val="Normal"/>
    <w:next w:val="Normal"/>
    <w:link w:val="NoteHeadingChar"/>
    <w:uiPriority w:val="99"/>
    <w:semiHidden/>
    <w:locked/>
    <w:rsid w:val="002A270A"/>
  </w:style>
  <w:style w:type="character" w:customStyle="1" w:styleId="NoteHeadingChar">
    <w:name w:val="Note Heading Char"/>
    <w:basedOn w:val="DefaultParagraphFont"/>
    <w:link w:val="NoteHeading"/>
    <w:uiPriority w:val="99"/>
    <w:semiHidden/>
    <w:locked/>
    <w:rsid w:val="002A270A"/>
    <w:rPr>
      <w:rFonts w:eastAsia="Calibri"/>
      <w:color w:val="000000"/>
    </w:rPr>
  </w:style>
  <w:style w:type="paragraph" w:styleId="PlainText">
    <w:name w:val="Plain Text"/>
    <w:basedOn w:val="Normal"/>
    <w:link w:val="PlainTextChar"/>
    <w:uiPriority w:val="99"/>
    <w:semiHidden/>
    <w:locked/>
    <w:rsid w:val="002A270A"/>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2A270A"/>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2A270A"/>
  </w:style>
  <w:style w:type="character" w:customStyle="1" w:styleId="SalutationChar">
    <w:name w:val="Salutation Char"/>
    <w:basedOn w:val="DefaultParagraphFont"/>
    <w:link w:val="Salutation"/>
    <w:uiPriority w:val="99"/>
    <w:semiHidden/>
    <w:locked/>
    <w:rsid w:val="002A270A"/>
    <w:rPr>
      <w:rFonts w:eastAsia="Calibri"/>
      <w:color w:val="000000"/>
    </w:rPr>
  </w:style>
  <w:style w:type="paragraph" w:styleId="Signature">
    <w:name w:val="Signature"/>
    <w:basedOn w:val="Normal"/>
    <w:link w:val="SignatureChar"/>
    <w:uiPriority w:val="99"/>
    <w:semiHidden/>
    <w:locked/>
    <w:rsid w:val="002A270A"/>
    <w:pPr>
      <w:ind w:left="4252"/>
    </w:pPr>
  </w:style>
  <w:style w:type="character" w:customStyle="1" w:styleId="SignatureChar">
    <w:name w:val="Signature Char"/>
    <w:basedOn w:val="DefaultParagraphFont"/>
    <w:link w:val="Signature"/>
    <w:uiPriority w:val="99"/>
    <w:semiHidden/>
    <w:locked/>
    <w:rsid w:val="002A270A"/>
    <w:rPr>
      <w:rFonts w:eastAsia="Calibri"/>
      <w:color w:val="000000"/>
    </w:rPr>
  </w:style>
  <w:style w:type="character" w:styleId="Strong">
    <w:name w:val="Strong"/>
    <w:basedOn w:val="DefaultParagraphFont"/>
    <w:uiPriority w:val="22"/>
    <w:qFormat/>
    <w:locked/>
    <w:rsid w:val="002A270A"/>
    <w:rPr>
      <w:rFonts w:cs="Times New Roman"/>
      <w:b/>
      <w:bCs/>
    </w:rPr>
  </w:style>
  <w:style w:type="table" w:styleId="Table3Deffects1">
    <w:name w:val="Table 3D effects 1"/>
    <w:basedOn w:val="TableNormal"/>
    <w:uiPriority w:val="99"/>
    <w:locked/>
    <w:rsid w:val="002A270A"/>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2A270A"/>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2A270A"/>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2A270A"/>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2A270A"/>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2A270A"/>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2A270A"/>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2A270A"/>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2A270A"/>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2A270A"/>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2A270A"/>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2A270A"/>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2A270A"/>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2A270A"/>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2A270A"/>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2A270A"/>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2A270A"/>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2A270A"/>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2A270A"/>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2A270A"/>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2A270A"/>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2A270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2A270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2A270A"/>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2A270A"/>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2A270A"/>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2A270A"/>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2A270A"/>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2A270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2A270A"/>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2A270A"/>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2A270A"/>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2A270A"/>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2A270A"/>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2A270A"/>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2A270A"/>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2A270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2A270A"/>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2A270A"/>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2A270A"/>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2A270A"/>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2A270A"/>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2A270A"/>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next w:val="VersoPageText"/>
    <w:uiPriority w:val="17"/>
    <w:qFormat/>
    <w:rsid w:val="00547F3F"/>
    <w:pPr>
      <w:spacing w:before="120" w:after="60"/>
    </w:pPr>
    <w:rPr>
      <w:rFonts w:eastAsia="Times New Roman"/>
      <w:bCs/>
      <w:color w:val="01528B" w:themeColor="accent1"/>
      <w:sz w:val="20"/>
      <w:szCs w:val="20"/>
      <w:lang w:eastAsia="en-US"/>
    </w:rPr>
  </w:style>
  <w:style w:type="paragraph" w:customStyle="1" w:styleId="BusinessUnitName">
    <w:name w:val="Business Unit Name"/>
    <w:uiPriority w:val="17"/>
    <w:rsid w:val="002A270A"/>
    <w:rPr>
      <w:b/>
      <w:caps/>
      <w:noProof/>
      <w:color w:val="FFFFFF"/>
      <w:spacing w:val="16"/>
      <w:szCs w:val="24"/>
      <w:lang w:eastAsia="en-US"/>
    </w:rPr>
  </w:style>
  <w:style w:type="character" w:styleId="CommentReference">
    <w:name w:val="annotation reference"/>
    <w:basedOn w:val="DefaultParagraphFont"/>
    <w:uiPriority w:val="99"/>
    <w:semiHidden/>
    <w:locked/>
    <w:rsid w:val="002A270A"/>
    <w:rPr>
      <w:rFonts w:cs="Times New Roman"/>
      <w:sz w:val="16"/>
      <w:szCs w:val="16"/>
    </w:rPr>
  </w:style>
  <w:style w:type="paragraph" w:styleId="CommentText">
    <w:name w:val="annotation text"/>
    <w:basedOn w:val="Normal"/>
    <w:link w:val="CommentTextChar"/>
    <w:uiPriority w:val="99"/>
    <w:locked/>
    <w:rsid w:val="002A270A"/>
    <w:rPr>
      <w:sz w:val="20"/>
      <w:szCs w:val="20"/>
    </w:rPr>
  </w:style>
  <w:style w:type="character" w:customStyle="1" w:styleId="CommentTextChar">
    <w:name w:val="Comment Text Char"/>
    <w:basedOn w:val="DefaultParagraphFont"/>
    <w:link w:val="CommentText"/>
    <w:uiPriority w:val="99"/>
    <w:rsid w:val="002A270A"/>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2A270A"/>
    <w:rPr>
      <w:b/>
      <w:bCs/>
    </w:rPr>
  </w:style>
  <w:style w:type="character" w:customStyle="1" w:styleId="CommentSubjectChar">
    <w:name w:val="Comment Subject Char"/>
    <w:basedOn w:val="CommentTextChar"/>
    <w:link w:val="CommentSubject"/>
    <w:uiPriority w:val="99"/>
    <w:semiHidden/>
    <w:rsid w:val="002A270A"/>
    <w:rPr>
      <w:rFonts w:eastAsia="Calibri"/>
      <w:b/>
      <w:bCs/>
      <w:color w:val="000000"/>
      <w:sz w:val="20"/>
      <w:szCs w:val="20"/>
    </w:rPr>
  </w:style>
  <w:style w:type="paragraph" w:styleId="DocumentMap">
    <w:name w:val="Document Map"/>
    <w:basedOn w:val="Normal"/>
    <w:link w:val="DocumentMapChar"/>
    <w:uiPriority w:val="99"/>
    <w:semiHidden/>
    <w:locked/>
    <w:rsid w:val="002A270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2A270A"/>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2A270A"/>
    <w:rPr>
      <w:rFonts w:cs="Times New Roman"/>
      <w:vertAlign w:val="superscript"/>
    </w:rPr>
  </w:style>
  <w:style w:type="paragraph" w:styleId="EndnoteText">
    <w:name w:val="endnote text"/>
    <w:basedOn w:val="Normal"/>
    <w:link w:val="EndnoteTextChar"/>
    <w:uiPriority w:val="99"/>
    <w:semiHidden/>
    <w:locked/>
    <w:rsid w:val="002A270A"/>
    <w:rPr>
      <w:sz w:val="20"/>
      <w:szCs w:val="20"/>
    </w:rPr>
  </w:style>
  <w:style w:type="character" w:customStyle="1" w:styleId="EndnoteTextChar">
    <w:name w:val="Endnote Text Char"/>
    <w:basedOn w:val="DefaultParagraphFont"/>
    <w:link w:val="EndnoteText"/>
    <w:uiPriority w:val="99"/>
    <w:semiHidden/>
    <w:rsid w:val="002A270A"/>
    <w:rPr>
      <w:rFonts w:eastAsia="Calibri"/>
      <w:color w:val="000000"/>
      <w:sz w:val="20"/>
      <w:szCs w:val="20"/>
    </w:rPr>
  </w:style>
  <w:style w:type="paragraph" w:styleId="Index1">
    <w:name w:val="index 1"/>
    <w:basedOn w:val="Normal"/>
    <w:next w:val="Normal"/>
    <w:autoRedefine/>
    <w:uiPriority w:val="99"/>
    <w:semiHidden/>
    <w:locked/>
    <w:rsid w:val="002A270A"/>
    <w:pPr>
      <w:ind w:left="220" w:hanging="220"/>
    </w:pPr>
  </w:style>
  <w:style w:type="paragraph" w:styleId="Index2">
    <w:name w:val="index 2"/>
    <w:basedOn w:val="Normal"/>
    <w:next w:val="Normal"/>
    <w:autoRedefine/>
    <w:uiPriority w:val="99"/>
    <w:semiHidden/>
    <w:locked/>
    <w:rsid w:val="002A270A"/>
    <w:pPr>
      <w:ind w:left="440" w:hanging="220"/>
    </w:pPr>
  </w:style>
  <w:style w:type="paragraph" w:styleId="Index3">
    <w:name w:val="index 3"/>
    <w:basedOn w:val="Normal"/>
    <w:next w:val="Normal"/>
    <w:autoRedefine/>
    <w:uiPriority w:val="99"/>
    <w:semiHidden/>
    <w:locked/>
    <w:rsid w:val="002A270A"/>
    <w:pPr>
      <w:ind w:left="660" w:hanging="220"/>
    </w:pPr>
  </w:style>
  <w:style w:type="paragraph" w:styleId="Index4">
    <w:name w:val="index 4"/>
    <w:basedOn w:val="Normal"/>
    <w:next w:val="Normal"/>
    <w:autoRedefine/>
    <w:uiPriority w:val="99"/>
    <w:semiHidden/>
    <w:locked/>
    <w:rsid w:val="002A270A"/>
    <w:pPr>
      <w:ind w:left="880" w:hanging="220"/>
    </w:pPr>
  </w:style>
  <w:style w:type="paragraph" w:styleId="Index5">
    <w:name w:val="index 5"/>
    <w:basedOn w:val="Normal"/>
    <w:next w:val="Normal"/>
    <w:autoRedefine/>
    <w:uiPriority w:val="99"/>
    <w:semiHidden/>
    <w:locked/>
    <w:rsid w:val="002A270A"/>
    <w:pPr>
      <w:ind w:left="1100" w:hanging="220"/>
    </w:pPr>
  </w:style>
  <w:style w:type="paragraph" w:styleId="Index6">
    <w:name w:val="index 6"/>
    <w:basedOn w:val="Normal"/>
    <w:next w:val="Normal"/>
    <w:autoRedefine/>
    <w:uiPriority w:val="99"/>
    <w:semiHidden/>
    <w:locked/>
    <w:rsid w:val="002A270A"/>
    <w:pPr>
      <w:ind w:left="1320" w:hanging="220"/>
    </w:pPr>
  </w:style>
  <w:style w:type="paragraph" w:styleId="Index7">
    <w:name w:val="index 7"/>
    <w:basedOn w:val="Normal"/>
    <w:next w:val="Normal"/>
    <w:autoRedefine/>
    <w:uiPriority w:val="99"/>
    <w:semiHidden/>
    <w:locked/>
    <w:rsid w:val="002A270A"/>
    <w:pPr>
      <w:ind w:left="1540" w:hanging="220"/>
    </w:pPr>
  </w:style>
  <w:style w:type="paragraph" w:styleId="Index8">
    <w:name w:val="index 8"/>
    <w:basedOn w:val="Normal"/>
    <w:next w:val="Normal"/>
    <w:autoRedefine/>
    <w:uiPriority w:val="99"/>
    <w:semiHidden/>
    <w:locked/>
    <w:rsid w:val="002A270A"/>
    <w:pPr>
      <w:ind w:left="1760" w:hanging="220"/>
    </w:pPr>
  </w:style>
  <w:style w:type="paragraph" w:styleId="Index9">
    <w:name w:val="index 9"/>
    <w:basedOn w:val="Normal"/>
    <w:next w:val="Normal"/>
    <w:autoRedefine/>
    <w:uiPriority w:val="99"/>
    <w:semiHidden/>
    <w:locked/>
    <w:rsid w:val="002A270A"/>
    <w:pPr>
      <w:ind w:left="1980" w:hanging="220"/>
    </w:pPr>
  </w:style>
  <w:style w:type="paragraph" w:styleId="IndexHeading">
    <w:name w:val="index heading"/>
    <w:basedOn w:val="Normal"/>
    <w:next w:val="Index1"/>
    <w:uiPriority w:val="99"/>
    <w:semiHidden/>
    <w:locked/>
    <w:rsid w:val="002A270A"/>
    <w:rPr>
      <w:rFonts w:ascii="Arial" w:hAnsi="Arial" w:cs="Arial"/>
      <w:b/>
      <w:bCs/>
    </w:rPr>
  </w:style>
  <w:style w:type="paragraph" w:styleId="MacroText">
    <w:name w:val="macro"/>
    <w:link w:val="MacroTextChar"/>
    <w:uiPriority w:val="99"/>
    <w:semiHidden/>
    <w:locked/>
    <w:rsid w:val="002A270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2A270A"/>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2A270A"/>
    <w:pPr>
      <w:ind w:left="220" w:hanging="220"/>
    </w:pPr>
  </w:style>
  <w:style w:type="paragraph" w:styleId="TableofFigures">
    <w:name w:val="table of figures"/>
    <w:basedOn w:val="BodyText"/>
    <w:next w:val="BodyText"/>
    <w:uiPriority w:val="99"/>
    <w:locked/>
    <w:rsid w:val="006D77C6"/>
    <w:pPr>
      <w:tabs>
        <w:tab w:val="right" w:leader="dot" w:pos="9554"/>
      </w:tabs>
      <w:spacing w:before="0"/>
      <w:ind w:left="284" w:right="567" w:hanging="284"/>
    </w:pPr>
    <w:rPr>
      <w:noProof/>
      <w:sz w:val="20"/>
      <w:szCs w:val="20"/>
    </w:rPr>
  </w:style>
  <w:style w:type="paragraph" w:styleId="TOAHeading">
    <w:name w:val="toa heading"/>
    <w:basedOn w:val="Normal"/>
    <w:next w:val="Normal"/>
    <w:uiPriority w:val="99"/>
    <w:semiHidden/>
    <w:locked/>
    <w:rsid w:val="002A270A"/>
    <w:pPr>
      <w:spacing w:before="120"/>
    </w:pPr>
    <w:rPr>
      <w:rFonts w:ascii="Arial" w:hAnsi="Arial" w:cs="Arial"/>
      <w:b/>
      <w:bCs/>
      <w:sz w:val="24"/>
      <w:szCs w:val="24"/>
    </w:rPr>
  </w:style>
  <w:style w:type="paragraph" w:styleId="TOC5">
    <w:name w:val="toc 5"/>
    <w:basedOn w:val="Normal"/>
    <w:next w:val="Normal"/>
    <w:autoRedefine/>
    <w:uiPriority w:val="99"/>
    <w:semiHidden/>
    <w:rsid w:val="002A270A"/>
    <w:pPr>
      <w:ind w:left="880"/>
    </w:pPr>
  </w:style>
  <w:style w:type="paragraph" w:styleId="TOC6">
    <w:name w:val="toc 6"/>
    <w:basedOn w:val="Normal"/>
    <w:next w:val="Normal"/>
    <w:autoRedefine/>
    <w:uiPriority w:val="99"/>
    <w:semiHidden/>
    <w:rsid w:val="002A270A"/>
    <w:pPr>
      <w:ind w:left="1100"/>
    </w:pPr>
  </w:style>
  <w:style w:type="paragraph" w:styleId="TOC7">
    <w:name w:val="toc 7"/>
    <w:basedOn w:val="Normal"/>
    <w:next w:val="Normal"/>
    <w:autoRedefine/>
    <w:uiPriority w:val="99"/>
    <w:semiHidden/>
    <w:rsid w:val="002A270A"/>
    <w:pPr>
      <w:ind w:left="1320"/>
    </w:pPr>
  </w:style>
  <w:style w:type="paragraph" w:styleId="TOC8">
    <w:name w:val="toc 8"/>
    <w:basedOn w:val="Normal"/>
    <w:next w:val="Normal"/>
    <w:autoRedefine/>
    <w:uiPriority w:val="99"/>
    <w:semiHidden/>
    <w:rsid w:val="002A270A"/>
    <w:pPr>
      <w:ind w:left="1540"/>
    </w:pPr>
  </w:style>
  <w:style w:type="numbering" w:customStyle="1" w:styleId="TableBullets">
    <w:name w:val="TableBullets"/>
    <w:uiPriority w:val="99"/>
    <w:rsid w:val="002A270A"/>
    <w:pPr>
      <w:numPr>
        <w:numId w:val="6"/>
      </w:numPr>
    </w:pPr>
  </w:style>
  <w:style w:type="numbering" w:customStyle="1" w:styleId="Sources">
    <w:name w:val="Sources"/>
    <w:rsid w:val="002A270A"/>
    <w:pPr>
      <w:numPr>
        <w:numId w:val="5"/>
      </w:numPr>
    </w:pPr>
  </w:style>
  <w:style w:type="numbering" w:styleId="1ai">
    <w:name w:val="Outline List 1"/>
    <w:basedOn w:val="NoList"/>
    <w:uiPriority w:val="99"/>
    <w:semiHidden/>
    <w:unhideWhenUsed/>
    <w:locked/>
    <w:rsid w:val="002A270A"/>
    <w:pPr>
      <w:numPr>
        <w:numId w:val="9"/>
      </w:numPr>
    </w:pPr>
  </w:style>
  <w:style w:type="numbering" w:styleId="111111">
    <w:name w:val="Outline List 2"/>
    <w:basedOn w:val="NoList"/>
    <w:uiPriority w:val="99"/>
    <w:semiHidden/>
    <w:unhideWhenUsed/>
    <w:locked/>
    <w:rsid w:val="002A270A"/>
    <w:pPr>
      <w:numPr>
        <w:numId w:val="8"/>
      </w:numPr>
    </w:pPr>
  </w:style>
  <w:style w:type="numbering" w:customStyle="1" w:styleId="Bullets">
    <w:name w:val="Bullets"/>
    <w:rsid w:val="002A270A"/>
    <w:pPr>
      <w:numPr>
        <w:numId w:val="4"/>
      </w:numPr>
    </w:pPr>
  </w:style>
  <w:style w:type="numbering" w:customStyle="1" w:styleId="Numbers">
    <w:name w:val="Numbers"/>
    <w:rsid w:val="002A270A"/>
    <w:pPr>
      <w:numPr>
        <w:numId w:val="7"/>
      </w:numPr>
    </w:pPr>
  </w:style>
  <w:style w:type="numbering" w:styleId="ArticleSection">
    <w:name w:val="Outline List 3"/>
    <w:basedOn w:val="NoList"/>
    <w:uiPriority w:val="99"/>
    <w:semiHidden/>
    <w:unhideWhenUsed/>
    <w:locked/>
    <w:rsid w:val="002A270A"/>
    <w:pPr>
      <w:numPr>
        <w:numId w:val="10"/>
      </w:numPr>
    </w:pPr>
  </w:style>
  <w:style w:type="paragraph" w:customStyle="1" w:styleId="AppendixHeading1base">
    <w:name w:val="Appendix Heading 1 base"/>
    <w:uiPriority w:val="20"/>
    <w:semiHidden/>
    <w:qFormat/>
    <w:rsid w:val="002A270A"/>
    <w:pPr>
      <w:keepNext/>
      <w:pageBreakBefore/>
      <w:numPr>
        <w:numId w:val="16"/>
      </w:numPr>
      <w:tabs>
        <w:tab w:val="left" w:pos="2268"/>
      </w:tabs>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5"/>
    <w:qFormat/>
    <w:rsid w:val="002A270A"/>
    <w:pPr>
      <w:numPr>
        <w:numId w:val="16"/>
      </w:numPr>
    </w:pPr>
  </w:style>
  <w:style w:type="paragraph" w:customStyle="1" w:styleId="AppendixHeading3">
    <w:name w:val="Appendix Heading 3"/>
    <w:basedOn w:val="Heading3"/>
    <w:next w:val="BodyText"/>
    <w:uiPriority w:val="15"/>
    <w:qFormat/>
    <w:rsid w:val="002A270A"/>
    <w:pPr>
      <w:numPr>
        <w:numId w:val="16"/>
      </w:numPr>
    </w:pPr>
  </w:style>
  <w:style w:type="paragraph" w:customStyle="1" w:styleId="AppendixHeading4">
    <w:name w:val="Appendix Heading 4"/>
    <w:basedOn w:val="Heading4"/>
    <w:next w:val="BodyText"/>
    <w:uiPriority w:val="15"/>
    <w:qFormat/>
    <w:rsid w:val="002A270A"/>
    <w:pPr>
      <w:outlineLvl w:val="2"/>
    </w:pPr>
  </w:style>
  <w:style w:type="paragraph" w:customStyle="1" w:styleId="Equation">
    <w:name w:val="Equation"/>
    <w:basedOn w:val="BodyText"/>
    <w:next w:val="BodyText"/>
    <w:uiPriority w:val="4"/>
    <w:qFormat/>
    <w:rsid w:val="002A270A"/>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2A270A"/>
    <w:pPr>
      <w:ind w:left="567" w:hanging="567"/>
    </w:pPr>
  </w:style>
  <w:style w:type="paragraph" w:styleId="ListNumber2">
    <w:name w:val="List Number 2"/>
    <w:basedOn w:val="ListNumber"/>
    <w:uiPriority w:val="2"/>
    <w:qFormat/>
    <w:locked/>
    <w:rsid w:val="002A270A"/>
    <w:pPr>
      <w:numPr>
        <w:ilvl w:val="1"/>
      </w:numPr>
    </w:pPr>
  </w:style>
  <w:style w:type="character" w:customStyle="1" w:styleId="Italics">
    <w:name w:val="Italics"/>
    <w:basedOn w:val="DefaultParagraphFont"/>
    <w:uiPriority w:val="29"/>
    <w:qFormat/>
    <w:rsid w:val="002A270A"/>
    <w:rPr>
      <w:i/>
    </w:rPr>
  </w:style>
  <w:style w:type="table" w:customStyle="1" w:styleId="LightShading1">
    <w:name w:val="Light Shading1"/>
    <w:basedOn w:val="TableNormal"/>
    <w:uiPriority w:val="60"/>
    <w:rsid w:val="002A270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qFormat/>
    <w:rsid w:val="002A270A"/>
    <w:rPr>
      <w:sz w:val="20"/>
    </w:rPr>
    <w:tblPr>
      <w:tblStyleRowBandSize w:val="1"/>
      <w:tblInd w:w="113" w:type="dxa"/>
      <w:tblBorders>
        <w:bottom w:val="single" w:sz="4" w:space="0" w:color="auto"/>
      </w:tblBorders>
      <w:tblCellMar>
        <w:left w:w="85"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BackCoverWebAddress">
    <w:name w:val="BackCoverWebAddress"/>
    <w:basedOn w:val="BodyText"/>
    <w:next w:val="BodyText"/>
    <w:uiPriority w:val="31"/>
    <w:qFormat/>
    <w:rsid w:val="00D80647"/>
    <w:pPr>
      <w:jc w:val="center"/>
    </w:pPr>
    <w:rPr>
      <w:b/>
      <w:bCs/>
      <w:color w:val="005CA6" w:themeColor="accent2" w:themeTint="BF"/>
      <w:sz w:val="52"/>
      <w:szCs w:val="52"/>
    </w:rPr>
  </w:style>
  <w:style w:type="character" w:customStyle="1" w:styleId="Bold">
    <w:name w:val="Bold"/>
    <w:basedOn w:val="DefaultParagraphFont"/>
    <w:uiPriority w:val="3"/>
    <w:qFormat/>
    <w:rsid w:val="002A270A"/>
    <w:rPr>
      <w:b/>
    </w:rPr>
  </w:style>
  <w:style w:type="paragraph" w:customStyle="1" w:styleId="TableTextRight">
    <w:name w:val="TableText Right"/>
    <w:basedOn w:val="TableText"/>
    <w:uiPriority w:val="5"/>
    <w:qFormat/>
    <w:rsid w:val="000774EB"/>
    <w:pPr>
      <w:ind w:right="113"/>
      <w:jc w:val="right"/>
    </w:pPr>
  </w:style>
  <w:style w:type="character" w:styleId="IntenseEmphasis">
    <w:name w:val="Intense Emphasis"/>
    <w:basedOn w:val="DefaultParagraphFont"/>
    <w:uiPriority w:val="21"/>
    <w:qFormat/>
    <w:rsid w:val="002A270A"/>
    <w:rPr>
      <w:b/>
      <w:bCs/>
      <w:i/>
      <w:iCs/>
      <w:color w:val="001D34" w:themeColor="accent2"/>
    </w:rPr>
  </w:style>
  <w:style w:type="character" w:styleId="SubtleEmphasis">
    <w:name w:val="Subtle Emphasis"/>
    <w:basedOn w:val="DefaultParagraphFont"/>
    <w:uiPriority w:val="29"/>
    <w:qFormat/>
    <w:rsid w:val="002A270A"/>
    <w:rPr>
      <w:i/>
      <w:iCs/>
      <w:color w:val="595959" w:themeColor="text1" w:themeTint="A6"/>
    </w:rPr>
  </w:style>
  <w:style w:type="paragraph" w:styleId="IntenseQuote">
    <w:name w:val="Intense Quote"/>
    <w:basedOn w:val="Normal"/>
    <w:next w:val="Normal"/>
    <w:link w:val="IntenseQuoteChar"/>
    <w:uiPriority w:val="30"/>
    <w:semiHidden/>
    <w:qFormat/>
    <w:rsid w:val="002A270A"/>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semiHidden/>
    <w:rsid w:val="002A270A"/>
    <w:rPr>
      <w:rFonts w:eastAsia="Calibri"/>
      <w:b/>
      <w:bCs/>
      <w:i/>
      <w:iCs/>
      <w:color w:val="001D34" w:themeColor="accent2"/>
    </w:rPr>
  </w:style>
  <w:style w:type="paragraph" w:customStyle="1" w:styleId="Boxedheading">
    <w:name w:val="Boxed heading"/>
    <w:next w:val="Boxedtext"/>
    <w:uiPriority w:val="8"/>
    <w:qFormat/>
    <w:rsid w:val="000063A3"/>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1" w:themeFillShade="F2"/>
      <w:spacing w:before="360" w:after="240"/>
      <w:ind w:left="227" w:right="227"/>
    </w:pPr>
    <w:rPr>
      <w:rFonts w:eastAsia="Calibri"/>
      <w:b/>
      <w:color w:val="000000"/>
      <w:sz w:val="28"/>
      <w:szCs w:val="28"/>
    </w:rPr>
  </w:style>
  <w:style w:type="paragraph" w:customStyle="1" w:styleId="Boxedtext">
    <w:name w:val="Boxed text"/>
    <w:uiPriority w:val="8"/>
    <w:qFormat/>
    <w:rsid w:val="002A270A"/>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1" w:themeFillShade="F2"/>
      <w:spacing w:before="180" w:after="180" w:line="264" w:lineRule="auto"/>
      <w:ind w:left="227" w:right="227"/>
    </w:pPr>
    <w:rPr>
      <w:rFonts w:eastAsia="Calibri"/>
      <w:color w:val="000000"/>
      <w:szCs w:val="24"/>
    </w:rPr>
  </w:style>
  <w:style w:type="paragraph" w:customStyle="1" w:styleId="Boxedlistbullet">
    <w:name w:val="Boxed list bullet"/>
    <w:basedOn w:val="Boxedtext"/>
    <w:uiPriority w:val="8"/>
    <w:qFormat/>
    <w:rsid w:val="002A270A"/>
    <w:pPr>
      <w:numPr>
        <w:numId w:val="15"/>
      </w:numPr>
      <w:spacing w:before="0" w:after="0"/>
    </w:pPr>
  </w:style>
  <w:style w:type="paragraph" w:customStyle="1" w:styleId="Boxedheadingblue">
    <w:name w:val="Boxed heading blue"/>
    <w:basedOn w:val="Boxedheading"/>
    <w:next w:val="Boxedtextblue"/>
    <w:uiPriority w:val="10"/>
    <w:qFormat/>
    <w:rsid w:val="002A270A"/>
    <w:pPr>
      <w:shd w:val="clear" w:color="auto" w:fill="D0EAFF" w:themeFill="accent2" w:themeFillTint="1A"/>
    </w:pPr>
  </w:style>
  <w:style w:type="paragraph" w:customStyle="1" w:styleId="Boxedtextblue">
    <w:name w:val="Boxed text blue"/>
    <w:basedOn w:val="Boxedtext"/>
    <w:uiPriority w:val="10"/>
    <w:qFormat/>
    <w:rsid w:val="00B94EA9"/>
    <w:pPr>
      <w:shd w:val="clear" w:color="auto" w:fill="D0EAFF" w:themeFill="accent2" w:themeFillTint="1A"/>
    </w:pPr>
    <w:rPr>
      <w:szCs w:val="22"/>
    </w:rPr>
  </w:style>
  <w:style w:type="paragraph" w:customStyle="1" w:styleId="Boxedlistbulletblue">
    <w:name w:val="Boxed list bullet blue"/>
    <w:basedOn w:val="Boxedlistbullet"/>
    <w:uiPriority w:val="10"/>
    <w:qFormat/>
    <w:rsid w:val="002A270A"/>
    <w:pPr>
      <w:shd w:val="clear" w:color="auto" w:fill="D0EAFF" w:themeFill="accent2" w:themeFillTint="1A"/>
    </w:pPr>
  </w:style>
  <w:style w:type="paragraph" w:customStyle="1" w:styleId="Boxedheadingteal">
    <w:name w:val="Boxed heading teal"/>
    <w:basedOn w:val="Boxedheading"/>
    <w:uiPriority w:val="9"/>
    <w:qFormat/>
    <w:rsid w:val="00D55511"/>
    <w:pPr>
      <w:shd w:val="clear" w:color="auto" w:fill="00A9CE"/>
    </w:pPr>
    <w:rPr>
      <w:color w:val="FFFFFF" w:themeColor="background1"/>
    </w:rPr>
  </w:style>
  <w:style w:type="paragraph" w:customStyle="1" w:styleId="VersoPageText">
    <w:name w:val="Verso Page Text"/>
    <w:basedOn w:val="BodyText"/>
    <w:uiPriority w:val="17"/>
    <w:rsid w:val="002A270A"/>
    <w:pPr>
      <w:spacing w:before="0" w:after="60" w:line="240" w:lineRule="auto"/>
    </w:pPr>
    <w:rPr>
      <w:rFonts w:asciiTheme="minorHAnsi" w:eastAsia="Times" w:hAnsiTheme="minorHAnsi" w:cs="Arial"/>
      <w:color w:val="auto"/>
      <w:sz w:val="18"/>
      <w:szCs w:val="20"/>
    </w:rPr>
  </w:style>
  <w:style w:type="character" w:styleId="UnresolvedMention">
    <w:name w:val="Unresolved Mention"/>
    <w:basedOn w:val="DefaultParagraphFont"/>
    <w:uiPriority w:val="99"/>
    <w:unhideWhenUsed/>
    <w:rsid w:val="002A270A"/>
    <w:rPr>
      <w:color w:val="605E5C"/>
      <w:shd w:val="clear" w:color="auto" w:fill="E1DFDD"/>
    </w:rPr>
  </w:style>
  <w:style w:type="table" w:styleId="ListTable3-Accent2">
    <w:name w:val="List Table 3 Accent 2"/>
    <w:basedOn w:val="TableNormal"/>
    <w:uiPriority w:val="48"/>
    <w:rsid w:val="002A270A"/>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paragraph" w:styleId="Revision">
    <w:name w:val="Revision"/>
    <w:hidden/>
    <w:uiPriority w:val="99"/>
    <w:semiHidden/>
    <w:rsid w:val="00FB6E28"/>
    <w:rPr>
      <w:rFonts w:eastAsia="Calibri"/>
      <w:color w:val="000000"/>
    </w:rPr>
  </w:style>
  <w:style w:type="paragraph" w:customStyle="1" w:styleId="EndNoteBibliographyTitle">
    <w:name w:val="EndNote Bibliography Title"/>
    <w:basedOn w:val="Normal"/>
    <w:link w:val="EndNoteBibliographyTitleChar"/>
    <w:semiHidden/>
    <w:rsid w:val="002A270A"/>
    <w:pPr>
      <w:spacing w:after="0"/>
      <w:jc w:val="center"/>
    </w:pPr>
    <w:rPr>
      <w:rFonts w:cs="Calibri"/>
      <w:noProof/>
      <w:sz w:val="24"/>
    </w:rPr>
  </w:style>
  <w:style w:type="character" w:customStyle="1" w:styleId="EndNoteBibliographyTitleChar">
    <w:name w:val="EndNote Bibliography Title Char"/>
    <w:basedOn w:val="BodyTextChar"/>
    <w:link w:val="EndNoteBibliographyTitle"/>
    <w:semiHidden/>
    <w:rsid w:val="002A270A"/>
    <w:rPr>
      <w:rFonts w:eastAsia="Calibri" w:cs="Calibri"/>
      <w:noProof/>
      <w:color w:val="000000"/>
      <w:sz w:val="24"/>
    </w:rPr>
  </w:style>
  <w:style w:type="paragraph" w:customStyle="1" w:styleId="EndNoteBibliography">
    <w:name w:val="EndNote Bibliography"/>
    <w:basedOn w:val="Normal"/>
    <w:link w:val="EndNoteBibliographyChar"/>
    <w:semiHidden/>
    <w:rsid w:val="002A270A"/>
    <w:rPr>
      <w:rFonts w:cs="Calibri"/>
      <w:noProof/>
      <w:sz w:val="24"/>
    </w:rPr>
  </w:style>
  <w:style w:type="character" w:customStyle="1" w:styleId="EndNoteBibliographyChar">
    <w:name w:val="EndNote Bibliography Char"/>
    <w:basedOn w:val="BodyTextChar"/>
    <w:link w:val="EndNoteBibliography"/>
    <w:semiHidden/>
    <w:rsid w:val="00833DA0"/>
    <w:rPr>
      <w:rFonts w:eastAsia="Calibri" w:cs="Calibri"/>
      <w:noProof/>
      <w:color w:val="000000"/>
      <w:sz w:val="24"/>
    </w:rPr>
  </w:style>
  <w:style w:type="table" w:customStyle="1" w:styleId="TableGrid10">
    <w:name w:val="Table Grid1"/>
    <w:basedOn w:val="TableNormal"/>
    <w:next w:val="TableGrid"/>
    <w:uiPriority w:val="39"/>
    <w:rsid w:val="002A270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2A270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39"/>
    <w:rsid w:val="002A270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39"/>
    <w:rsid w:val="002A270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
    <w:name w:val="List Table 3"/>
    <w:basedOn w:val="TableNormal"/>
    <w:uiPriority w:val="48"/>
    <w:rsid w:val="002A270A"/>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eGrid50">
    <w:name w:val="Table Grid5"/>
    <w:basedOn w:val="TableNormal"/>
    <w:next w:val="TableGrid"/>
    <w:uiPriority w:val="39"/>
    <w:rsid w:val="002A270A"/>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SIRO2">
    <w:name w:val="Table_CSIRO2"/>
    <w:basedOn w:val="TableNormal"/>
    <w:uiPriority w:val="99"/>
    <w:rsid w:val="002A270A"/>
    <w:tblPr>
      <w:tblStyleRowBandSize w:val="1"/>
      <w:tblBorders>
        <w:bottom w:val="single" w:sz="4" w:space="0" w:color="auto"/>
      </w:tblBorders>
      <w:tblCellMar>
        <w:left w:w="57" w:type="dxa"/>
        <w:right w:w="57" w:type="dxa"/>
      </w:tblCellMar>
    </w:tblPr>
    <w:tblStylePr w:type="firstRow">
      <w:tblPr/>
      <w:tcPr>
        <w:shd w:val="clear" w:color="auto" w:fill="01528B"/>
      </w:tcPr>
    </w:tblStylePr>
    <w:tblStylePr w:type="lastRow">
      <w:tblPr/>
      <w:tcPr>
        <w:tcBorders>
          <w:top w:val="single" w:sz="4" w:space="0" w:color="auto"/>
          <w:bottom w:val="single" w:sz="4" w:space="0" w:color="auto"/>
        </w:tcBorders>
      </w:tcPr>
    </w:tblStylePr>
    <w:tblStylePr w:type="band1Horz">
      <w:tblPr/>
      <w:tcPr>
        <w:shd w:val="clear" w:color="auto" w:fill="EDEDED"/>
      </w:tcPr>
    </w:tblStylePr>
  </w:style>
  <w:style w:type="paragraph" w:customStyle="1" w:styleId="AppendixH1">
    <w:name w:val="Appendix H1"/>
    <w:basedOn w:val="Heading9"/>
    <w:link w:val="AppendixH1Char"/>
    <w:semiHidden/>
    <w:qFormat/>
    <w:rsid w:val="00BE24A6"/>
  </w:style>
  <w:style w:type="character" w:customStyle="1" w:styleId="AppendixH1Char">
    <w:name w:val="Appendix H1 Char"/>
    <w:basedOn w:val="Heading9Char"/>
    <w:link w:val="AppendixH1"/>
    <w:semiHidden/>
    <w:rsid w:val="00877990"/>
    <w:rPr>
      <w:rFonts w:eastAsiaTheme="majorEastAsia" w:cstheme="majorBidi"/>
      <w:bCs/>
      <w:color w:val="757579" w:themeColor="accent3"/>
      <w:sz w:val="44"/>
      <w:szCs w:val="28"/>
    </w:rPr>
  </w:style>
  <w:style w:type="table" w:customStyle="1" w:styleId="ListTable3-Accent11">
    <w:name w:val="List Table 3 - Accent 11"/>
    <w:basedOn w:val="TableNormal"/>
    <w:uiPriority w:val="48"/>
    <w:rsid w:val="002A270A"/>
    <w:pPr>
      <w:pBdr>
        <w:top w:val="none" w:sz="4" w:space="0" w:color="000000"/>
        <w:left w:val="none" w:sz="4" w:space="0" w:color="000000"/>
        <w:bottom w:val="none" w:sz="4" w:space="0" w:color="000000"/>
        <w:right w:val="none" w:sz="4" w:space="0" w:color="000000"/>
        <w:between w:val="none" w:sz="4" w:space="0" w:color="000000"/>
      </w:pBdr>
    </w:pPr>
    <w:rPr>
      <w:rFonts w:eastAsia="Calibri"/>
    </w:rPr>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single" w:sz="4" w:space="0" w:color="01528B"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one" w:sz="4" w:space="0" w:color="000000"/>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1528B" w:themeColor="accent1"/>
          <w:left w:val="none" w:sz="4" w:space="0" w:color="000000"/>
        </w:tcBorders>
      </w:tcPr>
    </w:tblStylePr>
    <w:tblStylePr w:type="swCell">
      <w:tblPr/>
      <w:tcPr>
        <w:tcBorders>
          <w:top w:val="single" w:sz="4" w:space="0" w:color="01528B" w:themeColor="accent1"/>
          <w:right w:val="none" w:sz="4" w:space="0" w:color="000000"/>
        </w:tcBorders>
      </w:tcPr>
    </w:tblStylePr>
  </w:style>
  <w:style w:type="table" w:styleId="ListTable3-Accent1">
    <w:name w:val="List Table 3 Accent 1"/>
    <w:basedOn w:val="TableNormal"/>
    <w:uiPriority w:val="48"/>
    <w:rsid w:val="002A270A"/>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double" w:sz="4" w:space="0" w:color="01528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528B" w:themeColor="accent1"/>
          <w:left w:val="nil"/>
        </w:tcBorders>
      </w:tcPr>
    </w:tblStylePr>
    <w:tblStylePr w:type="swCell">
      <w:tblPr/>
      <w:tcPr>
        <w:tcBorders>
          <w:top w:val="double" w:sz="4" w:space="0" w:color="01528B" w:themeColor="accent1"/>
          <w:right w:val="nil"/>
        </w:tcBorders>
      </w:tcPr>
    </w:tblStylePr>
  </w:style>
  <w:style w:type="table" w:styleId="TableGridLight">
    <w:name w:val="Grid Table Light"/>
    <w:basedOn w:val="TableNormal"/>
    <w:uiPriority w:val="40"/>
    <w:rsid w:val="002A270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2A270A"/>
    <w:rPr>
      <w:color w:val="808080"/>
    </w:rPr>
  </w:style>
  <w:style w:type="table" w:customStyle="1" w:styleId="ListTable3-Accent21">
    <w:name w:val="List Table 3 - Accent 21"/>
    <w:basedOn w:val="TableNormal"/>
    <w:uiPriority w:val="48"/>
    <w:rsid w:val="00DD5118"/>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paragraph" w:customStyle="1" w:styleId="Figure">
    <w:name w:val="Figure"/>
    <w:basedOn w:val="BodyText"/>
    <w:next w:val="Normal"/>
    <w:uiPriority w:val="3"/>
    <w:qFormat/>
    <w:rsid w:val="002A270A"/>
    <w:pPr>
      <w:spacing w:before="60" w:after="360" w:line="240" w:lineRule="auto"/>
    </w:pPr>
  </w:style>
  <w:style w:type="paragraph" w:styleId="Quote">
    <w:name w:val="Quote"/>
    <w:basedOn w:val="Normal"/>
    <w:next w:val="Normal"/>
    <w:link w:val="QuoteChar"/>
    <w:uiPriority w:val="29"/>
    <w:qFormat/>
    <w:rsid w:val="002A270A"/>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2A270A"/>
    <w:rPr>
      <w:rFonts w:eastAsia="Calibri"/>
      <w:i/>
      <w:iCs/>
      <w:color w:val="404040" w:themeColor="text1" w:themeTint="BF"/>
    </w:rPr>
  </w:style>
  <w:style w:type="paragraph" w:customStyle="1" w:styleId="FigureCaption">
    <w:name w:val="FigureCaption"/>
    <w:basedOn w:val="Normal"/>
    <w:uiPriority w:val="16"/>
    <w:qFormat/>
    <w:rsid w:val="00DD5118"/>
    <w:pPr>
      <w:spacing w:after="160"/>
    </w:pPr>
    <w:rPr>
      <w:b/>
      <w:kern w:val="28"/>
      <w:sz w:val="20"/>
      <w:szCs w:val="20"/>
    </w:rPr>
  </w:style>
  <w:style w:type="paragraph" w:customStyle="1" w:styleId="TableHeading">
    <w:name w:val="TableHeading"/>
    <w:basedOn w:val="Normal"/>
    <w:uiPriority w:val="14"/>
    <w:qFormat/>
    <w:rsid w:val="00DD5118"/>
    <w:pPr>
      <w:spacing w:after="160"/>
      <w:jc w:val="both"/>
    </w:pPr>
    <w:rPr>
      <w:rFonts w:cs="Arial"/>
      <w:b/>
      <w:kern w:val="28"/>
      <w:sz w:val="20"/>
    </w:rPr>
  </w:style>
  <w:style w:type="table" w:styleId="GridTable1Light-Accent1">
    <w:name w:val="Grid Table 1 Light Accent 1"/>
    <w:basedOn w:val="TableNormal"/>
    <w:uiPriority w:val="46"/>
    <w:rsid w:val="002A270A"/>
    <w:rPr>
      <w:rFonts w:asciiTheme="minorHAnsi" w:hAnsiTheme="minorHAnsi" w:cstheme="minorBidi"/>
      <w:lang w:eastAsia="en-US"/>
    </w:rPr>
    <w:tblPr>
      <w:tblStyleRowBandSize w:val="1"/>
      <w:tblStyleColBandSize w:val="1"/>
      <w:tblBorders>
        <w:top w:val="single" w:sz="4" w:space="0" w:color="6CC1FE" w:themeColor="accent1" w:themeTint="66"/>
        <w:left w:val="single" w:sz="4" w:space="0" w:color="6CC1FE" w:themeColor="accent1" w:themeTint="66"/>
        <w:bottom w:val="single" w:sz="4" w:space="0" w:color="6CC1FE" w:themeColor="accent1" w:themeTint="66"/>
        <w:right w:val="single" w:sz="4" w:space="0" w:color="6CC1FE" w:themeColor="accent1" w:themeTint="66"/>
        <w:insideH w:val="single" w:sz="4" w:space="0" w:color="6CC1FE" w:themeColor="accent1" w:themeTint="66"/>
        <w:insideV w:val="single" w:sz="4" w:space="0" w:color="6CC1FE" w:themeColor="accent1" w:themeTint="66"/>
      </w:tblBorders>
    </w:tblPr>
    <w:tblStylePr w:type="firstRow">
      <w:rPr>
        <w:b/>
        <w:bCs/>
      </w:rPr>
      <w:tblPr/>
      <w:tcPr>
        <w:tcBorders>
          <w:bottom w:val="single" w:sz="12" w:space="0" w:color="22A2FD" w:themeColor="accent1" w:themeTint="99"/>
        </w:tcBorders>
      </w:tcPr>
    </w:tblStylePr>
    <w:tblStylePr w:type="lastRow">
      <w:rPr>
        <w:b/>
        <w:bCs/>
      </w:rPr>
      <w:tblPr/>
      <w:tcPr>
        <w:tcBorders>
          <w:top w:val="double" w:sz="2" w:space="0" w:color="22A2F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833504"/>
    <w:tblPr>
      <w:tblStyleRowBandSize w:val="1"/>
      <w:tblStyleColBandSize w:val="1"/>
      <w:tblBorders>
        <w:top w:val="single" w:sz="4" w:space="0" w:color="47ADFF" w:themeColor="accent2" w:themeTint="66"/>
        <w:left w:val="single" w:sz="4" w:space="0" w:color="47ADFF" w:themeColor="accent2" w:themeTint="66"/>
        <w:bottom w:val="single" w:sz="4" w:space="0" w:color="47ADFF" w:themeColor="accent2" w:themeTint="66"/>
        <w:right w:val="single" w:sz="4" w:space="0" w:color="47ADFF" w:themeColor="accent2" w:themeTint="66"/>
        <w:insideH w:val="single" w:sz="4" w:space="0" w:color="47ADFF" w:themeColor="accent2" w:themeTint="66"/>
        <w:insideV w:val="single" w:sz="4" w:space="0" w:color="47ADFF" w:themeColor="accent2" w:themeTint="66"/>
      </w:tblBorders>
    </w:tblPr>
    <w:tblStylePr w:type="firstRow">
      <w:rPr>
        <w:b/>
        <w:bCs/>
      </w:rPr>
      <w:tblPr/>
      <w:tcPr>
        <w:tcBorders>
          <w:bottom w:val="single" w:sz="12" w:space="0" w:color="0082EB" w:themeColor="accent2" w:themeTint="99"/>
        </w:tcBorders>
      </w:tcPr>
    </w:tblStylePr>
    <w:tblStylePr w:type="lastRow">
      <w:rPr>
        <w:b/>
        <w:bCs/>
      </w:rPr>
      <w:tblPr/>
      <w:tcPr>
        <w:tcBorders>
          <w:top w:val="double" w:sz="2" w:space="0" w:color="0082EB" w:themeColor="accent2" w:themeTint="99"/>
        </w:tcBorders>
      </w:tcPr>
    </w:tblStylePr>
    <w:tblStylePr w:type="firstCol">
      <w:rPr>
        <w:b/>
        <w:bCs/>
      </w:rPr>
    </w:tblStylePr>
    <w:tblStylePr w:type="lastCol">
      <w:rPr>
        <w:b/>
        <w:bCs/>
      </w:rPr>
    </w:tblStylePr>
  </w:style>
  <w:style w:type="table" w:styleId="GridTable4">
    <w:name w:val="Grid Table 4"/>
    <w:basedOn w:val="TableNormal"/>
    <w:uiPriority w:val="49"/>
    <w:rsid w:val="0083350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BodyText10">
    <w:name w:val="Body Text 10"/>
    <w:basedOn w:val="BodyText"/>
    <w:rsid w:val="00857638"/>
    <w:pPr>
      <w:spacing w:before="60" w:after="60"/>
    </w:pPr>
    <w:rPr>
      <w:color w:val="auto"/>
      <w:sz w:val="20"/>
      <w:szCs w:val="20"/>
    </w:rPr>
  </w:style>
  <w:style w:type="table" w:styleId="ListTable2-Accent3">
    <w:name w:val="List Table 2 Accent 3"/>
    <w:basedOn w:val="TableNormal"/>
    <w:uiPriority w:val="47"/>
    <w:rsid w:val="002A270A"/>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paragraph" w:customStyle="1" w:styleId="ListBullet10">
    <w:name w:val="List Bullet 10"/>
    <w:basedOn w:val="ListBullet"/>
    <w:next w:val="BodyText"/>
    <w:uiPriority w:val="13"/>
    <w:qFormat/>
    <w:rsid w:val="002A270A"/>
    <w:pPr>
      <w:numPr>
        <w:numId w:val="17"/>
      </w:numPr>
    </w:pPr>
    <w:rPr>
      <w:color w:val="auto"/>
      <w:sz w:val="20"/>
      <w:szCs w:val="20"/>
    </w:rPr>
  </w:style>
  <w:style w:type="paragraph" w:styleId="Title">
    <w:name w:val="Title"/>
    <w:basedOn w:val="Normal"/>
    <w:next w:val="Normal"/>
    <w:link w:val="TitleChar"/>
    <w:uiPriority w:val="99"/>
    <w:rsid w:val="003F0D8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rsid w:val="003F0D8C"/>
    <w:rPr>
      <w:rFonts w:asciiTheme="majorHAnsi" w:eastAsiaTheme="majorEastAsia" w:hAnsiTheme="majorHAnsi" w:cstheme="majorBidi"/>
      <w:spacing w:val="-10"/>
      <w:kern w:val="28"/>
      <w:sz w:val="56"/>
      <w:szCs w:val="56"/>
    </w:rPr>
  </w:style>
  <w:style w:type="paragraph" w:customStyle="1" w:styleId="Boxedheadingorange">
    <w:name w:val="Boxed heading orange"/>
    <w:basedOn w:val="Boxedheadingteal"/>
    <w:next w:val="BodyText"/>
    <w:uiPriority w:val="12"/>
    <w:qFormat/>
    <w:rsid w:val="0027204E"/>
    <w:pPr>
      <w:shd w:val="clear" w:color="auto" w:fill="FAE4D3"/>
    </w:pPr>
    <w:rPr>
      <w:color w:val="auto"/>
    </w:rPr>
  </w:style>
  <w:style w:type="paragraph" w:customStyle="1" w:styleId="Boxedlistbulletorange">
    <w:name w:val="Boxed list bullet orange"/>
    <w:basedOn w:val="Boxedlistbullet"/>
    <w:uiPriority w:val="12"/>
    <w:qFormat/>
    <w:rsid w:val="002A270A"/>
    <w:pPr>
      <w:shd w:val="clear" w:color="auto" w:fill="FAE4D3"/>
      <w:spacing w:line="240" w:lineRule="auto"/>
    </w:pPr>
  </w:style>
  <w:style w:type="paragraph" w:customStyle="1" w:styleId="Boxedtextorange">
    <w:name w:val="Boxed text orange"/>
    <w:basedOn w:val="Boxedtextgreen"/>
    <w:uiPriority w:val="12"/>
    <w:qFormat/>
    <w:rsid w:val="002A270A"/>
    <w:pPr>
      <w:shd w:val="clear" w:color="auto" w:fill="FAE4D3"/>
    </w:pPr>
  </w:style>
  <w:style w:type="numbering" w:customStyle="1" w:styleId="BulletList">
    <w:name w:val="Bullet List"/>
    <w:uiPriority w:val="99"/>
    <w:rsid w:val="002A270A"/>
    <w:pPr>
      <w:numPr>
        <w:numId w:val="12"/>
      </w:numPr>
    </w:pPr>
  </w:style>
  <w:style w:type="table" w:customStyle="1" w:styleId="TableFlow-MER">
    <w:name w:val="Table_Flow-MER"/>
    <w:basedOn w:val="TableNormal"/>
    <w:qFormat/>
    <w:rsid w:val="002A270A"/>
    <w:tblPr>
      <w:tblStyleRowBandSize w:val="1"/>
      <w:tblInd w:w="113" w:type="dxa"/>
      <w:tblBorders>
        <w:top w:val="single" w:sz="4" w:space="0" w:color="auto"/>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top w:val="nil"/>
          <w:left w:val="nil"/>
          <w:bottom w:val="nil"/>
          <w:right w:val="nil"/>
          <w:insideH w:val="nil"/>
          <w:insideV w:val="nil"/>
          <w:tl2br w:val="nil"/>
          <w:tr2bl w:val="nil"/>
        </w:tcBorders>
        <w:shd w:val="clear" w:color="auto" w:fill="EDEDED"/>
      </w:tcPr>
    </w:tblStylePr>
    <w:tblStylePr w:type="band2Horz">
      <w:tblPr/>
      <w:tcPr>
        <w:tcBorders>
          <w:top w:val="nil"/>
          <w:left w:val="single" w:sz="4" w:space="0" w:color="FFFFFF" w:themeColor="background1"/>
          <w:bottom w:val="nil"/>
          <w:right w:val="nil"/>
          <w:insideH w:val="nil"/>
          <w:insideV w:val="nil"/>
          <w:tl2br w:val="nil"/>
          <w:tr2bl w:val="nil"/>
        </w:tcBorders>
      </w:tcPr>
    </w:tblStylePr>
  </w:style>
  <w:style w:type="paragraph" w:customStyle="1" w:styleId="CaptionWithNote">
    <w:name w:val="CaptionWithNote"/>
    <w:basedOn w:val="Caption"/>
    <w:next w:val="CaptionNote"/>
    <w:uiPriority w:val="3"/>
    <w:qFormat/>
    <w:rsid w:val="002A270A"/>
    <w:pPr>
      <w:spacing w:after="0"/>
    </w:pPr>
  </w:style>
  <w:style w:type="paragraph" w:customStyle="1" w:styleId="Boxedtextgreen">
    <w:name w:val="Boxed text green"/>
    <w:basedOn w:val="Boxedtext"/>
    <w:uiPriority w:val="11"/>
    <w:qFormat/>
    <w:rsid w:val="002A270A"/>
    <w:pPr>
      <w:shd w:val="clear" w:color="auto" w:fill="E0FEDE"/>
    </w:pPr>
  </w:style>
  <w:style w:type="paragraph" w:customStyle="1" w:styleId="CaptionNote">
    <w:name w:val="CaptionNote"/>
    <w:basedOn w:val="Caption"/>
    <w:next w:val="BodyText"/>
    <w:uiPriority w:val="3"/>
    <w:qFormat/>
    <w:rsid w:val="002A270A"/>
    <w:pPr>
      <w:pBdr>
        <w:top w:val="none" w:sz="0" w:space="0" w:color="auto"/>
      </w:pBdr>
      <w:spacing w:before="0"/>
    </w:pPr>
    <w:rPr>
      <w:b w:val="0"/>
      <w:bCs w:val="0"/>
      <w:sz w:val="18"/>
      <w:szCs w:val="20"/>
    </w:rPr>
  </w:style>
  <w:style w:type="paragraph" w:customStyle="1" w:styleId="BodyTextExtraSpaceBefore">
    <w:name w:val="Body Text Extra Space Before"/>
    <w:basedOn w:val="BodyText"/>
    <w:next w:val="BodyText"/>
    <w:link w:val="BodyTextExtraSpaceBeforeChar"/>
    <w:qFormat/>
    <w:rsid w:val="002A270A"/>
    <w:pPr>
      <w:spacing w:before="360"/>
    </w:pPr>
  </w:style>
  <w:style w:type="paragraph" w:customStyle="1" w:styleId="Boxedlistbulletgreen">
    <w:name w:val="Boxed list bullet green"/>
    <w:basedOn w:val="Boxedlistbullet"/>
    <w:uiPriority w:val="11"/>
    <w:qFormat/>
    <w:rsid w:val="002A270A"/>
    <w:pPr>
      <w:shd w:val="clear" w:color="auto" w:fill="E0FEDE"/>
      <w:spacing w:line="240" w:lineRule="auto"/>
    </w:pPr>
  </w:style>
  <w:style w:type="paragraph" w:customStyle="1" w:styleId="BoxedTextCaption">
    <w:name w:val="Boxed Text Caption"/>
    <w:basedOn w:val="Boxedtext"/>
    <w:next w:val="Boxedtext10"/>
    <w:uiPriority w:val="13"/>
    <w:qFormat/>
    <w:rsid w:val="00AF0CE4"/>
    <w:pPr>
      <w:widowControl w:val="0"/>
      <w:spacing w:after="0" w:line="240" w:lineRule="auto"/>
    </w:pPr>
    <w:rPr>
      <w:b/>
      <w:bCs/>
      <w:color w:val="757579" w:themeColor="accent3"/>
      <w:sz w:val="20"/>
      <w:szCs w:val="20"/>
    </w:rPr>
  </w:style>
  <w:style w:type="paragraph" w:customStyle="1" w:styleId="Boxedtext10">
    <w:name w:val="Boxed text 10"/>
    <w:basedOn w:val="Boxedtext"/>
    <w:uiPriority w:val="13"/>
    <w:qFormat/>
    <w:rsid w:val="00C4439C"/>
    <w:rPr>
      <w:sz w:val="20"/>
      <w:szCs w:val="22"/>
    </w:rPr>
  </w:style>
  <w:style w:type="table" w:customStyle="1" w:styleId="TableFlow-Mer0">
    <w:name w:val="Table_Flow-Mer"/>
    <w:basedOn w:val="TableNormal"/>
    <w:qFormat/>
    <w:rsid w:val="002A270A"/>
    <w:rPr>
      <w:sz w:val="20"/>
    </w:rPr>
    <w:tblPr>
      <w:tblStyleRowBandSize w:val="1"/>
      <w:tblInd w:w="113" w:type="dxa"/>
      <w:tblBorders>
        <w:bottom w:val="single" w:sz="4" w:space="0" w:color="auto"/>
      </w:tblBorders>
      <w:tblCellMar>
        <w:left w:w="85" w:type="dxa"/>
        <w:right w:w="85" w:type="dxa"/>
      </w:tblCellMar>
    </w:tblPr>
    <w:tcPr>
      <w:shd w:val="clear" w:color="auto" w:fill="auto"/>
    </w:tcPr>
    <w:tblStylePr w:type="firstRow">
      <w:pPr>
        <w:spacing w:before="0" w:after="0" w:line="240" w:lineRule="auto"/>
      </w:pPr>
      <w:rPr>
        <w:b w:val="0"/>
        <w:bCs/>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TableTextRight0">
    <w:name w:val="TableTextRight"/>
    <w:basedOn w:val="TableText"/>
    <w:uiPriority w:val="5"/>
    <w:qFormat/>
    <w:rsid w:val="002A270A"/>
    <w:pPr>
      <w:ind w:right="113"/>
      <w:jc w:val="right"/>
    </w:pPr>
  </w:style>
  <w:style w:type="paragraph" w:customStyle="1" w:styleId="ChapterSignposting">
    <w:name w:val="Chapter Signposting"/>
    <w:basedOn w:val="BodyText"/>
    <w:uiPriority w:val="2"/>
    <w:qFormat/>
    <w:rsid w:val="001239A8"/>
    <w:pPr>
      <w:spacing w:before="0" w:after="240"/>
    </w:pPr>
    <w:rPr>
      <w:i/>
      <w:color w:val="808080" w:themeColor="background1" w:themeShade="80"/>
      <w:sz w:val="20"/>
    </w:rPr>
  </w:style>
  <w:style w:type="paragraph" w:styleId="ListParagraph">
    <w:name w:val="List Paragraph"/>
    <w:basedOn w:val="Normal"/>
    <w:uiPriority w:val="34"/>
    <w:qFormat/>
    <w:rsid w:val="002A270A"/>
    <w:pPr>
      <w:spacing w:before="180" w:line="264" w:lineRule="auto"/>
      <w:ind w:left="720"/>
      <w:contextualSpacing/>
    </w:pPr>
    <w:rPr>
      <w:sz w:val="24"/>
      <w:szCs w:val="24"/>
    </w:rPr>
  </w:style>
  <w:style w:type="paragraph" w:customStyle="1" w:styleId="AppendixHeading3notnumbered">
    <w:name w:val="Appendix Heading 3 not numbered"/>
    <w:basedOn w:val="AppendixHeading3"/>
    <w:next w:val="BodyText"/>
    <w:uiPriority w:val="15"/>
    <w:qFormat/>
    <w:rsid w:val="002A270A"/>
    <w:pPr>
      <w:numPr>
        <w:ilvl w:val="0"/>
        <w:numId w:val="0"/>
      </w:numPr>
    </w:pPr>
  </w:style>
  <w:style w:type="paragraph" w:styleId="Bibliography">
    <w:name w:val="Bibliography"/>
    <w:basedOn w:val="Normal"/>
    <w:next w:val="Normal"/>
    <w:uiPriority w:val="99"/>
    <w:semiHidden/>
    <w:rsid w:val="002A270A"/>
    <w:pPr>
      <w:spacing w:after="240"/>
      <w:ind w:left="720" w:hanging="720"/>
    </w:pPr>
  </w:style>
  <w:style w:type="character" w:customStyle="1" w:styleId="BodyTextExtraSpaceBeforeChar">
    <w:name w:val="Body Text Extra Space Before Char"/>
    <w:basedOn w:val="BodyTextChar"/>
    <w:link w:val="BodyTextExtraSpaceBefore"/>
    <w:rsid w:val="002A270A"/>
    <w:rPr>
      <w:rFonts w:eastAsia="Calibri"/>
      <w:color w:val="000000"/>
    </w:rPr>
  </w:style>
  <w:style w:type="paragraph" w:customStyle="1" w:styleId="Boxedheadinggreen">
    <w:name w:val="Boxed heading green"/>
    <w:basedOn w:val="Boxedheading"/>
    <w:next w:val="Boxedtextgreen"/>
    <w:uiPriority w:val="11"/>
    <w:qFormat/>
    <w:rsid w:val="002A270A"/>
    <w:pPr>
      <w:shd w:val="clear" w:color="auto" w:fill="E0FEDE"/>
    </w:pPr>
  </w:style>
  <w:style w:type="character" w:customStyle="1" w:styleId="CaptionChar">
    <w:name w:val="Caption Char"/>
    <w:basedOn w:val="DefaultParagraphFont"/>
    <w:link w:val="Caption"/>
    <w:uiPriority w:val="3"/>
    <w:rsid w:val="002A270A"/>
    <w:rPr>
      <w:rFonts w:eastAsia="Calibri"/>
      <w:b/>
      <w:bCs/>
      <w:color w:val="757579" w:themeColor="accent3"/>
      <w:sz w:val="20"/>
      <w:szCs w:val="18"/>
    </w:rPr>
  </w:style>
  <w:style w:type="paragraph" w:customStyle="1" w:styleId="DocumentInstructions">
    <w:name w:val="Document Instructions"/>
    <w:basedOn w:val="BodyText"/>
    <w:next w:val="BodyText"/>
    <w:uiPriority w:val="17"/>
    <w:qFormat/>
    <w:rsid w:val="002A270A"/>
    <w:pPr>
      <w:keepNext/>
      <w:outlineLvl w:val="0"/>
    </w:pPr>
    <w:rPr>
      <w:b/>
      <w:bCs/>
    </w:rPr>
  </w:style>
  <w:style w:type="paragraph" w:customStyle="1" w:styleId="DocumentInstructions2">
    <w:name w:val="Document Instructions 2"/>
    <w:basedOn w:val="DocumentInstructions"/>
    <w:next w:val="BodyText"/>
    <w:uiPriority w:val="17"/>
    <w:qFormat/>
    <w:rsid w:val="002A270A"/>
  </w:style>
  <w:style w:type="table" w:customStyle="1" w:styleId="Flow-MERwithlines">
    <w:name w:val="Flow-MER with lines"/>
    <w:basedOn w:val="TableNormal"/>
    <w:uiPriority w:val="99"/>
    <w:rsid w:val="002A270A"/>
    <w:tblPr>
      <w:tblBorders>
        <w:insideV w:val="single" w:sz="8" w:space="0" w:color="D9D9D9" w:themeColor="background2" w:themeShade="D9"/>
      </w:tblBorders>
    </w:tblPr>
  </w:style>
  <w:style w:type="table" w:styleId="GridTable1Light">
    <w:name w:val="Grid Table 1 Light"/>
    <w:basedOn w:val="TableNormal"/>
    <w:uiPriority w:val="46"/>
    <w:rsid w:val="002A270A"/>
    <w:rPr>
      <w:rFonts w:asciiTheme="minorHAnsi"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2A270A"/>
    <w:rPr>
      <w:rFonts w:asciiTheme="minorHAnsi" w:hAnsiTheme="minorHAnsi" w:cstheme="minorBidi"/>
      <w:lang w:eastAsia="en-US"/>
    </w:rPr>
    <w:tblPr>
      <w:tblStyleRowBandSize w:val="1"/>
      <w:tblStyleColBandSize w:val="1"/>
      <w:tblBorders>
        <w:top w:val="single" w:sz="4" w:space="0" w:color="22A2FD" w:themeColor="accent1" w:themeTint="99"/>
        <w:left w:val="single" w:sz="4" w:space="0" w:color="22A2FD" w:themeColor="accent1" w:themeTint="99"/>
        <w:bottom w:val="single" w:sz="4" w:space="0" w:color="22A2FD" w:themeColor="accent1" w:themeTint="99"/>
        <w:right w:val="single" w:sz="4" w:space="0" w:color="22A2FD" w:themeColor="accent1" w:themeTint="99"/>
        <w:insideH w:val="single" w:sz="4" w:space="0" w:color="22A2FD" w:themeColor="accent1" w:themeTint="99"/>
        <w:insideV w:val="single" w:sz="4" w:space="0" w:color="22A2FD" w:themeColor="accent1" w:themeTint="99"/>
      </w:tblBorders>
    </w:tblPr>
    <w:tblStylePr w:type="firstRow">
      <w:rPr>
        <w:b/>
        <w:bCs/>
        <w:color w:val="FFFFFF" w:themeColor="background1"/>
      </w:rPr>
      <w:tblPr/>
      <w:tcPr>
        <w:tcBorders>
          <w:top w:val="single" w:sz="4" w:space="0" w:color="01528B" w:themeColor="accent1"/>
          <w:left w:val="single" w:sz="4" w:space="0" w:color="01528B" w:themeColor="accent1"/>
          <w:bottom w:val="single" w:sz="4" w:space="0" w:color="01528B" w:themeColor="accent1"/>
          <w:right w:val="single" w:sz="4" w:space="0" w:color="01528B" w:themeColor="accent1"/>
          <w:insideH w:val="nil"/>
          <w:insideV w:val="nil"/>
        </w:tcBorders>
        <w:shd w:val="clear" w:color="auto" w:fill="01528B" w:themeFill="accent1"/>
      </w:tcPr>
    </w:tblStylePr>
    <w:tblStylePr w:type="lastRow">
      <w:rPr>
        <w:b/>
        <w:bCs/>
      </w:rPr>
      <w:tblPr/>
      <w:tcPr>
        <w:tcBorders>
          <w:top w:val="double" w:sz="4" w:space="0" w:color="01528B" w:themeColor="accent1"/>
        </w:tcBorders>
      </w:tcPr>
    </w:tblStylePr>
    <w:tblStylePr w:type="firstCol">
      <w:rPr>
        <w:b/>
        <w:bCs/>
      </w:rPr>
    </w:tblStylePr>
    <w:tblStylePr w:type="lastCol">
      <w:rPr>
        <w:b/>
        <w:bCs/>
      </w:rPr>
    </w:tblStylePr>
    <w:tblStylePr w:type="band1Vert">
      <w:tblPr/>
      <w:tcPr>
        <w:shd w:val="clear" w:color="auto" w:fill="B5E0FE" w:themeFill="accent1" w:themeFillTint="33"/>
      </w:tcPr>
    </w:tblStylePr>
    <w:tblStylePr w:type="band1Horz">
      <w:tblPr/>
      <w:tcPr>
        <w:shd w:val="clear" w:color="auto" w:fill="B5E0FE" w:themeFill="accent1" w:themeFillTint="33"/>
      </w:tcPr>
    </w:tblStylePr>
  </w:style>
  <w:style w:type="table" w:styleId="GridTable4-Accent3">
    <w:name w:val="Grid Table 4 Accent 3"/>
    <w:basedOn w:val="TableNormal"/>
    <w:uiPriority w:val="49"/>
    <w:rsid w:val="002A270A"/>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insideV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insideV w:val="nil"/>
        </w:tcBorders>
        <w:shd w:val="clear" w:color="auto" w:fill="757579" w:themeFill="accent3"/>
      </w:tcPr>
    </w:tblStylePr>
    <w:tblStylePr w:type="lastRow">
      <w:rPr>
        <w:b/>
        <w:bCs/>
      </w:rPr>
      <w:tblPr/>
      <w:tcPr>
        <w:tcBorders>
          <w:top w:val="double" w:sz="4" w:space="0" w:color="757579" w:themeColor="accent3"/>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character" w:customStyle="1" w:styleId="Heading1noTOCChar">
    <w:name w:val="Heading 1 no TOC Char"/>
    <w:basedOn w:val="DefaultParagraphFont"/>
    <w:link w:val="Heading1noTOC"/>
    <w:uiPriority w:val="1"/>
    <w:rsid w:val="002A270A"/>
    <w:rPr>
      <w:rFonts w:eastAsiaTheme="majorEastAsia" w:cstheme="majorBidi"/>
      <w:bCs/>
      <w:color w:val="757579" w:themeColor="accent3"/>
      <w:sz w:val="44"/>
      <w:szCs w:val="28"/>
    </w:rPr>
  </w:style>
  <w:style w:type="table" w:styleId="ListTable3-Accent3">
    <w:name w:val="List Table 3 Accent 3"/>
    <w:basedOn w:val="TableNormal"/>
    <w:uiPriority w:val="48"/>
    <w:rsid w:val="002A270A"/>
    <w:tblPr>
      <w:tblStyleRowBandSize w:val="1"/>
      <w:tblStyleColBandSize w:val="1"/>
      <w:tblBorders>
        <w:top w:val="single" w:sz="4" w:space="0" w:color="757579" w:themeColor="accent3"/>
        <w:left w:val="single" w:sz="4" w:space="0" w:color="757579" w:themeColor="accent3"/>
        <w:bottom w:val="single" w:sz="4" w:space="0" w:color="757579" w:themeColor="accent3"/>
        <w:right w:val="single" w:sz="4" w:space="0" w:color="757579" w:themeColor="accent3"/>
      </w:tblBorders>
    </w:tblPr>
    <w:tblStylePr w:type="firstRow">
      <w:rPr>
        <w:b/>
        <w:bCs/>
        <w:color w:val="FFFFFF" w:themeColor="background1"/>
      </w:rPr>
      <w:tblPr/>
      <w:tcPr>
        <w:shd w:val="clear" w:color="auto" w:fill="757579" w:themeFill="accent3"/>
      </w:tcPr>
    </w:tblStylePr>
    <w:tblStylePr w:type="lastRow">
      <w:rPr>
        <w:b/>
        <w:bCs/>
      </w:rPr>
      <w:tblPr/>
      <w:tcPr>
        <w:tcBorders>
          <w:top w:val="double" w:sz="4" w:space="0" w:color="75757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7579" w:themeColor="accent3"/>
          <w:right w:val="single" w:sz="4" w:space="0" w:color="757579" w:themeColor="accent3"/>
        </w:tcBorders>
      </w:tcPr>
    </w:tblStylePr>
    <w:tblStylePr w:type="band1Horz">
      <w:tblPr/>
      <w:tcPr>
        <w:tcBorders>
          <w:top w:val="single" w:sz="4" w:space="0" w:color="757579" w:themeColor="accent3"/>
          <w:bottom w:val="single" w:sz="4" w:space="0" w:color="75757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7579" w:themeColor="accent3"/>
          <w:left w:val="nil"/>
        </w:tcBorders>
      </w:tcPr>
    </w:tblStylePr>
    <w:tblStylePr w:type="swCell">
      <w:tblPr/>
      <w:tcPr>
        <w:tcBorders>
          <w:top w:val="double" w:sz="4" w:space="0" w:color="757579" w:themeColor="accent3"/>
          <w:right w:val="nil"/>
        </w:tcBorders>
      </w:tcPr>
    </w:tblStylePr>
  </w:style>
  <w:style w:type="table" w:styleId="ListTable4">
    <w:name w:val="List Table 4"/>
    <w:basedOn w:val="TableNormal"/>
    <w:uiPriority w:val="49"/>
    <w:rsid w:val="002A270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2A270A"/>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tcBorders>
        <w:shd w:val="clear" w:color="auto" w:fill="757579" w:themeFill="accent3"/>
      </w:tcPr>
    </w:tblStylePr>
    <w:tblStylePr w:type="lastRow">
      <w:rPr>
        <w:b/>
        <w:bCs/>
      </w:rPr>
      <w:tblPr/>
      <w:tcPr>
        <w:tcBorders>
          <w:top w:val="double" w:sz="4" w:space="0" w:color="ABABAE" w:themeColor="accent3" w:themeTint="99"/>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styleId="ListTable4-Accent5">
    <w:name w:val="List Table 4 Accent 5"/>
    <w:basedOn w:val="TableNormal"/>
    <w:uiPriority w:val="49"/>
    <w:rsid w:val="002A270A"/>
    <w:rPr>
      <w:rFonts w:asciiTheme="minorHAnsi" w:hAnsiTheme="minorHAnsi" w:cstheme="minorBidi"/>
      <w:lang w:eastAsia="en-US"/>
    </w:rPr>
    <w:tblPr>
      <w:tblStyleRowBandSize w:val="1"/>
      <w:tblStyleColBandSize w:val="1"/>
      <w:tblBorders>
        <w:top w:val="single" w:sz="4" w:space="0" w:color="76F1EE" w:themeColor="accent5" w:themeTint="99"/>
        <w:left w:val="single" w:sz="4" w:space="0" w:color="76F1EE" w:themeColor="accent5" w:themeTint="99"/>
        <w:bottom w:val="single" w:sz="4" w:space="0" w:color="76F1EE" w:themeColor="accent5" w:themeTint="99"/>
        <w:right w:val="single" w:sz="4" w:space="0" w:color="76F1EE" w:themeColor="accent5" w:themeTint="99"/>
        <w:insideH w:val="single" w:sz="4" w:space="0" w:color="76F1EE" w:themeColor="accent5" w:themeTint="99"/>
      </w:tblBorders>
    </w:tblPr>
    <w:tblStylePr w:type="firstRow">
      <w:rPr>
        <w:b/>
        <w:bCs/>
        <w:color w:val="FFFFFF" w:themeColor="background1"/>
      </w:rPr>
      <w:tblPr/>
      <w:tcPr>
        <w:tcBorders>
          <w:top w:val="single" w:sz="4" w:space="0" w:color="1CE9E4" w:themeColor="accent5"/>
          <w:left w:val="single" w:sz="4" w:space="0" w:color="1CE9E4" w:themeColor="accent5"/>
          <w:bottom w:val="single" w:sz="4" w:space="0" w:color="1CE9E4" w:themeColor="accent5"/>
          <w:right w:val="single" w:sz="4" w:space="0" w:color="1CE9E4" w:themeColor="accent5"/>
          <w:insideH w:val="nil"/>
        </w:tcBorders>
        <w:shd w:val="clear" w:color="auto" w:fill="1CE9E4" w:themeFill="accent5"/>
      </w:tcPr>
    </w:tblStylePr>
    <w:tblStylePr w:type="lastRow">
      <w:rPr>
        <w:b/>
        <w:bCs/>
      </w:rPr>
      <w:tblPr/>
      <w:tcPr>
        <w:tcBorders>
          <w:top w:val="double" w:sz="4" w:space="0" w:color="76F1EE" w:themeColor="accent5" w:themeTint="99"/>
        </w:tcBorders>
      </w:tcPr>
    </w:tblStylePr>
    <w:tblStylePr w:type="firstCol">
      <w:rPr>
        <w:b/>
        <w:bCs/>
      </w:rPr>
    </w:tblStylePr>
    <w:tblStylePr w:type="lastCol">
      <w:rPr>
        <w:b/>
        <w:bCs/>
      </w:rPr>
    </w:tblStylePr>
    <w:tblStylePr w:type="band1Vert">
      <w:tblPr/>
      <w:tcPr>
        <w:shd w:val="clear" w:color="auto" w:fill="D1FAF9" w:themeFill="accent5" w:themeFillTint="33"/>
      </w:tcPr>
    </w:tblStylePr>
    <w:tblStylePr w:type="band1Horz">
      <w:tblPr/>
      <w:tcPr>
        <w:shd w:val="clear" w:color="auto" w:fill="D1FAF9" w:themeFill="accent5" w:themeFillTint="33"/>
      </w:tcPr>
    </w:tblStylePr>
  </w:style>
  <w:style w:type="paragraph" w:styleId="NoSpacing">
    <w:name w:val="No Spacing"/>
    <w:uiPriority w:val="29"/>
    <w:qFormat/>
    <w:rsid w:val="002A270A"/>
    <w:rPr>
      <w:rFonts w:asciiTheme="minorHAnsi" w:hAnsiTheme="minorHAnsi" w:cstheme="minorBidi"/>
      <w:szCs w:val="24"/>
      <w:lang w:eastAsia="en-US"/>
    </w:rPr>
  </w:style>
  <w:style w:type="paragraph" w:customStyle="1" w:styleId="Picture">
    <w:name w:val="Picture"/>
    <w:basedOn w:val="NormalWeb"/>
    <w:uiPriority w:val="99"/>
    <w:semiHidden/>
    <w:qFormat/>
    <w:rsid w:val="002A270A"/>
    <w:pPr>
      <w:spacing w:before="180" w:after="180"/>
      <w:ind w:left="1418"/>
    </w:pPr>
    <w:rPr>
      <w:rFonts w:asciiTheme="minorHAnsi" w:eastAsia="Times New Roman" w:hAnsiTheme="minorHAnsi"/>
      <w:noProof/>
      <w:color w:val="auto"/>
      <w:sz w:val="22"/>
      <w:szCs w:val="22"/>
    </w:rPr>
  </w:style>
  <w:style w:type="table" w:styleId="PlainTable1">
    <w:name w:val="Plain Table 1"/>
    <w:basedOn w:val="TableNormal"/>
    <w:uiPriority w:val="41"/>
    <w:rsid w:val="002A270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VersoPagebulletlist9">
    <w:name w:val="Verso Page bullet list 9"/>
    <w:basedOn w:val="ListBullet"/>
    <w:uiPriority w:val="17"/>
    <w:qFormat/>
    <w:rsid w:val="002A270A"/>
    <w:pPr>
      <w:spacing w:line="240" w:lineRule="auto"/>
    </w:pPr>
    <w:rPr>
      <w:sz w:val="18"/>
    </w:rPr>
  </w:style>
  <w:style w:type="character" w:styleId="Mention">
    <w:name w:val="Mention"/>
    <w:basedOn w:val="DefaultParagraphFont"/>
    <w:uiPriority w:val="99"/>
    <w:unhideWhenUsed/>
    <w:rsid w:val="00B731BB"/>
    <w:rPr>
      <w:color w:val="2B579A"/>
      <w:shd w:val="clear" w:color="auto" w:fill="E1DFDD"/>
    </w:rPr>
  </w:style>
  <w:style w:type="paragraph" w:customStyle="1" w:styleId="Boxedmessagesmallcaps">
    <w:name w:val="Boxed message small caps"/>
    <w:basedOn w:val="Boxedheadingblue"/>
    <w:uiPriority w:val="7"/>
    <w:qFormat/>
    <w:rsid w:val="003948C7"/>
    <w:rPr>
      <w:smallCaps/>
    </w:rPr>
  </w:style>
  <w:style w:type="paragraph" w:customStyle="1" w:styleId="Heading3notnumberedBOXEDBLUE">
    <w:name w:val="Heading 3 not numbered BOXED BLUE"/>
    <w:basedOn w:val="Boxedmessagesmallcaps"/>
    <w:next w:val="BodyText"/>
    <w:uiPriority w:val="1"/>
    <w:qFormat/>
    <w:rsid w:val="00772682"/>
  </w:style>
  <w:style w:type="paragraph" w:styleId="Subtitle">
    <w:name w:val="Subtitle"/>
    <w:basedOn w:val="Normal"/>
    <w:next w:val="Normal"/>
    <w:link w:val="SubtitleChar"/>
    <w:uiPriority w:val="99"/>
    <w:rsid w:val="005C1196"/>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99"/>
    <w:rsid w:val="005C1196"/>
    <w:rPr>
      <w:rFonts w:asciiTheme="minorHAnsi" w:eastAsiaTheme="minorEastAsia" w:hAnsiTheme="minorHAnsi" w:cstheme="minorBidi"/>
      <w:color w:val="5A5A5A" w:themeColor="text1" w:themeTint="A5"/>
      <w:spacing w:val="15"/>
    </w:rPr>
  </w:style>
  <w:style w:type="paragraph" w:customStyle="1" w:styleId="DocumentTitle">
    <w:name w:val="Document Title"/>
    <w:basedOn w:val="Normal"/>
    <w:uiPriority w:val="19"/>
    <w:rsid w:val="003D47E0"/>
    <w:pPr>
      <w:spacing w:before="60" w:after="60" w:line="240" w:lineRule="atLeast"/>
    </w:pPr>
    <w:rPr>
      <w:rFonts w:asciiTheme="minorHAnsi" w:eastAsiaTheme="minorEastAsia" w:hAnsiTheme="minorHAnsi" w:cstheme="minorBidi"/>
      <w:color w:val="auto"/>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22135">
      <w:bodyDiv w:val="1"/>
      <w:marLeft w:val="0"/>
      <w:marRight w:val="0"/>
      <w:marTop w:val="0"/>
      <w:marBottom w:val="0"/>
      <w:divBdr>
        <w:top w:val="none" w:sz="0" w:space="0" w:color="auto"/>
        <w:left w:val="none" w:sz="0" w:space="0" w:color="auto"/>
        <w:bottom w:val="none" w:sz="0" w:space="0" w:color="auto"/>
        <w:right w:val="none" w:sz="0" w:space="0" w:color="auto"/>
      </w:divBdr>
    </w:div>
    <w:div w:id="46340792">
      <w:bodyDiv w:val="1"/>
      <w:marLeft w:val="0"/>
      <w:marRight w:val="0"/>
      <w:marTop w:val="0"/>
      <w:marBottom w:val="0"/>
      <w:divBdr>
        <w:top w:val="none" w:sz="0" w:space="0" w:color="auto"/>
        <w:left w:val="none" w:sz="0" w:space="0" w:color="auto"/>
        <w:bottom w:val="none" w:sz="0" w:space="0" w:color="auto"/>
        <w:right w:val="none" w:sz="0" w:space="0" w:color="auto"/>
      </w:divBdr>
    </w:div>
    <w:div w:id="78525037">
      <w:bodyDiv w:val="1"/>
      <w:marLeft w:val="0"/>
      <w:marRight w:val="0"/>
      <w:marTop w:val="0"/>
      <w:marBottom w:val="0"/>
      <w:divBdr>
        <w:top w:val="none" w:sz="0" w:space="0" w:color="auto"/>
        <w:left w:val="none" w:sz="0" w:space="0" w:color="auto"/>
        <w:bottom w:val="none" w:sz="0" w:space="0" w:color="auto"/>
        <w:right w:val="none" w:sz="0" w:space="0" w:color="auto"/>
      </w:divBdr>
    </w:div>
    <w:div w:id="82842148">
      <w:bodyDiv w:val="1"/>
      <w:marLeft w:val="0"/>
      <w:marRight w:val="0"/>
      <w:marTop w:val="0"/>
      <w:marBottom w:val="0"/>
      <w:divBdr>
        <w:top w:val="none" w:sz="0" w:space="0" w:color="auto"/>
        <w:left w:val="none" w:sz="0" w:space="0" w:color="auto"/>
        <w:bottom w:val="none" w:sz="0" w:space="0" w:color="auto"/>
        <w:right w:val="none" w:sz="0" w:space="0" w:color="auto"/>
      </w:divBdr>
      <w:divsChild>
        <w:div w:id="1575235958">
          <w:marLeft w:val="0"/>
          <w:marRight w:val="0"/>
          <w:marTop w:val="0"/>
          <w:marBottom w:val="0"/>
          <w:divBdr>
            <w:top w:val="none" w:sz="0" w:space="0" w:color="auto"/>
            <w:left w:val="none" w:sz="0" w:space="0" w:color="auto"/>
            <w:bottom w:val="none" w:sz="0" w:space="0" w:color="auto"/>
            <w:right w:val="none" w:sz="0" w:space="0" w:color="auto"/>
          </w:divBdr>
          <w:divsChild>
            <w:div w:id="169411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03863">
      <w:bodyDiv w:val="1"/>
      <w:marLeft w:val="0"/>
      <w:marRight w:val="0"/>
      <w:marTop w:val="0"/>
      <w:marBottom w:val="0"/>
      <w:divBdr>
        <w:top w:val="none" w:sz="0" w:space="0" w:color="auto"/>
        <w:left w:val="none" w:sz="0" w:space="0" w:color="auto"/>
        <w:bottom w:val="none" w:sz="0" w:space="0" w:color="auto"/>
        <w:right w:val="none" w:sz="0" w:space="0" w:color="auto"/>
      </w:divBdr>
    </w:div>
    <w:div w:id="101459358">
      <w:bodyDiv w:val="1"/>
      <w:marLeft w:val="0"/>
      <w:marRight w:val="0"/>
      <w:marTop w:val="0"/>
      <w:marBottom w:val="0"/>
      <w:divBdr>
        <w:top w:val="none" w:sz="0" w:space="0" w:color="auto"/>
        <w:left w:val="none" w:sz="0" w:space="0" w:color="auto"/>
        <w:bottom w:val="none" w:sz="0" w:space="0" w:color="auto"/>
        <w:right w:val="none" w:sz="0" w:space="0" w:color="auto"/>
      </w:divBdr>
    </w:div>
    <w:div w:id="123742647">
      <w:bodyDiv w:val="1"/>
      <w:marLeft w:val="0"/>
      <w:marRight w:val="0"/>
      <w:marTop w:val="0"/>
      <w:marBottom w:val="0"/>
      <w:divBdr>
        <w:top w:val="none" w:sz="0" w:space="0" w:color="auto"/>
        <w:left w:val="none" w:sz="0" w:space="0" w:color="auto"/>
        <w:bottom w:val="none" w:sz="0" w:space="0" w:color="auto"/>
        <w:right w:val="none" w:sz="0" w:space="0" w:color="auto"/>
      </w:divBdr>
    </w:div>
    <w:div w:id="127363717">
      <w:bodyDiv w:val="1"/>
      <w:marLeft w:val="0"/>
      <w:marRight w:val="0"/>
      <w:marTop w:val="0"/>
      <w:marBottom w:val="0"/>
      <w:divBdr>
        <w:top w:val="none" w:sz="0" w:space="0" w:color="auto"/>
        <w:left w:val="none" w:sz="0" w:space="0" w:color="auto"/>
        <w:bottom w:val="none" w:sz="0" w:space="0" w:color="auto"/>
        <w:right w:val="none" w:sz="0" w:space="0" w:color="auto"/>
      </w:divBdr>
    </w:div>
    <w:div w:id="144973547">
      <w:bodyDiv w:val="1"/>
      <w:marLeft w:val="0"/>
      <w:marRight w:val="0"/>
      <w:marTop w:val="0"/>
      <w:marBottom w:val="0"/>
      <w:divBdr>
        <w:top w:val="none" w:sz="0" w:space="0" w:color="auto"/>
        <w:left w:val="none" w:sz="0" w:space="0" w:color="auto"/>
        <w:bottom w:val="none" w:sz="0" w:space="0" w:color="auto"/>
        <w:right w:val="none" w:sz="0" w:space="0" w:color="auto"/>
      </w:divBdr>
    </w:div>
    <w:div w:id="183835078">
      <w:bodyDiv w:val="1"/>
      <w:marLeft w:val="0"/>
      <w:marRight w:val="0"/>
      <w:marTop w:val="0"/>
      <w:marBottom w:val="0"/>
      <w:divBdr>
        <w:top w:val="none" w:sz="0" w:space="0" w:color="auto"/>
        <w:left w:val="none" w:sz="0" w:space="0" w:color="auto"/>
        <w:bottom w:val="none" w:sz="0" w:space="0" w:color="auto"/>
        <w:right w:val="none" w:sz="0" w:space="0" w:color="auto"/>
      </w:divBdr>
    </w:div>
    <w:div w:id="195428413">
      <w:bodyDiv w:val="1"/>
      <w:marLeft w:val="0"/>
      <w:marRight w:val="0"/>
      <w:marTop w:val="0"/>
      <w:marBottom w:val="0"/>
      <w:divBdr>
        <w:top w:val="none" w:sz="0" w:space="0" w:color="auto"/>
        <w:left w:val="none" w:sz="0" w:space="0" w:color="auto"/>
        <w:bottom w:val="none" w:sz="0" w:space="0" w:color="auto"/>
        <w:right w:val="none" w:sz="0" w:space="0" w:color="auto"/>
      </w:divBdr>
    </w:div>
    <w:div w:id="209343646">
      <w:bodyDiv w:val="1"/>
      <w:marLeft w:val="0"/>
      <w:marRight w:val="0"/>
      <w:marTop w:val="0"/>
      <w:marBottom w:val="0"/>
      <w:divBdr>
        <w:top w:val="none" w:sz="0" w:space="0" w:color="auto"/>
        <w:left w:val="none" w:sz="0" w:space="0" w:color="auto"/>
        <w:bottom w:val="none" w:sz="0" w:space="0" w:color="auto"/>
        <w:right w:val="none" w:sz="0" w:space="0" w:color="auto"/>
      </w:divBdr>
    </w:div>
    <w:div w:id="215355887">
      <w:bodyDiv w:val="1"/>
      <w:marLeft w:val="0"/>
      <w:marRight w:val="0"/>
      <w:marTop w:val="0"/>
      <w:marBottom w:val="0"/>
      <w:divBdr>
        <w:top w:val="none" w:sz="0" w:space="0" w:color="auto"/>
        <w:left w:val="none" w:sz="0" w:space="0" w:color="auto"/>
        <w:bottom w:val="none" w:sz="0" w:space="0" w:color="auto"/>
        <w:right w:val="none" w:sz="0" w:space="0" w:color="auto"/>
      </w:divBdr>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22182887">
      <w:bodyDiv w:val="1"/>
      <w:marLeft w:val="0"/>
      <w:marRight w:val="0"/>
      <w:marTop w:val="0"/>
      <w:marBottom w:val="0"/>
      <w:divBdr>
        <w:top w:val="none" w:sz="0" w:space="0" w:color="auto"/>
        <w:left w:val="none" w:sz="0" w:space="0" w:color="auto"/>
        <w:bottom w:val="none" w:sz="0" w:space="0" w:color="auto"/>
        <w:right w:val="none" w:sz="0" w:space="0" w:color="auto"/>
      </w:divBdr>
    </w:div>
    <w:div w:id="226764808">
      <w:bodyDiv w:val="1"/>
      <w:marLeft w:val="0"/>
      <w:marRight w:val="0"/>
      <w:marTop w:val="0"/>
      <w:marBottom w:val="0"/>
      <w:divBdr>
        <w:top w:val="none" w:sz="0" w:space="0" w:color="auto"/>
        <w:left w:val="none" w:sz="0" w:space="0" w:color="auto"/>
        <w:bottom w:val="none" w:sz="0" w:space="0" w:color="auto"/>
        <w:right w:val="none" w:sz="0" w:space="0" w:color="auto"/>
      </w:divBdr>
    </w:div>
    <w:div w:id="248008766">
      <w:bodyDiv w:val="1"/>
      <w:marLeft w:val="0"/>
      <w:marRight w:val="0"/>
      <w:marTop w:val="0"/>
      <w:marBottom w:val="0"/>
      <w:divBdr>
        <w:top w:val="none" w:sz="0" w:space="0" w:color="auto"/>
        <w:left w:val="none" w:sz="0" w:space="0" w:color="auto"/>
        <w:bottom w:val="none" w:sz="0" w:space="0" w:color="auto"/>
        <w:right w:val="none" w:sz="0" w:space="0" w:color="auto"/>
      </w:divBdr>
    </w:div>
    <w:div w:id="256669655">
      <w:bodyDiv w:val="1"/>
      <w:marLeft w:val="0"/>
      <w:marRight w:val="0"/>
      <w:marTop w:val="0"/>
      <w:marBottom w:val="0"/>
      <w:divBdr>
        <w:top w:val="none" w:sz="0" w:space="0" w:color="auto"/>
        <w:left w:val="none" w:sz="0" w:space="0" w:color="auto"/>
        <w:bottom w:val="none" w:sz="0" w:space="0" w:color="auto"/>
        <w:right w:val="none" w:sz="0" w:space="0" w:color="auto"/>
      </w:divBdr>
      <w:divsChild>
        <w:div w:id="640424265">
          <w:marLeft w:val="0"/>
          <w:marRight w:val="0"/>
          <w:marTop w:val="0"/>
          <w:marBottom w:val="0"/>
          <w:divBdr>
            <w:top w:val="none" w:sz="0" w:space="0" w:color="auto"/>
            <w:left w:val="none" w:sz="0" w:space="0" w:color="auto"/>
            <w:bottom w:val="none" w:sz="0" w:space="0" w:color="auto"/>
            <w:right w:val="none" w:sz="0" w:space="0" w:color="auto"/>
          </w:divBdr>
        </w:div>
      </w:divsChild>
    </w:div>
    <w:div w:id="279991840">
      <w:bodyDiv w:val="1"/>
      <w:marLeft w:val="0"/>
      <w:marRight w:val="0"/>
      <w:marTop w:val="0"/>
      <w:marBottom w:val="0"/>
      <w:divBdr>
        <w:top w:val="none" w:sz="0" w:space="0" w:color="auto"/>
        <w:left w:val="none" w:sz="0" w:space="0" w:color="auto"/>
        <w:bottom w:val="none" w:sz="0" w:space="0" w:color="auto"/>
        <w:right w:val="none" w:sz="0" w:space="0" w:color="auto"/>
      </w:divBdr>
    </w:div>
    <w:div w:id="284310114">
      <w:bodyDiv w:val="1"/>
      <w:marLeft w:val="0"/>
      <w:marRight w:val="0"/>
      <w:marTop w:val="0"/>
      <w:marBottom w:val="0"/>
      <w:divBdr>
        <w:top w:val="none" w:sz="0" w:space="0" w:color="auto"/>
        <w:left w:val="none" w:sz="0" w:space="0" w:color="auto"/>
        <w:bottom w:val="none" w:sz="0" w:space="0" w:color="auto"/>
        <w:right w:val="none" w:sz="0" w:space="0" w:color="auto"/>
      </w:divBdr>
    </w:div>
    <w:div w:id="287900426">
      <w:bodyDiv w:val="1"/>
      <w:marLeft w:val="0"/>
      <w:marRight w:val="0"/>
      <w:marTop w:val="0"/>
      <w:marBottom w:val="0"/>
      <w:divBdr>
        <w:top w:val="none" w:sz="0" w:space="0" w:color="auto"/>
        <w:left w:val="none" w:sz="0" w:space="0" w:color="auto"/>
        <w:bottom w:val="none" w:sz="0" w:space="0" w:color="auto"/>
        <w:right w:val="none" w:sz="0" w:space="0" w:color="auto"/>
      </w:divBdr>
    </w:div>
    <w:div w:id="313218091">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351342559">
      <w:bodyDiv w:val="1"/>
      <w:marLeft w:val="0"/>
      <w:marRight w:val="0"/>
      <w:marTop w:val="0"/>
      <w:marBottom w:val="0"/>
      <w:divBdr>
        <w:top w:val="none" w:sz="0" w:space="0" w:color="auto"/>
        <w:left w:val="none" w:sz="0" w:space="0" w:color="auto"/>
        <w:bottom w:val="none" w:sz="0" w:space="0" w:color="auto"/>
        <w:right w:val="none" w:sz="0" w:space="0" w:color="auto"/>
      </w:divBdr>
    </w:div>
    <w:div w:id="360398138">
      <w:bodyDiv w:val="1"/>
      <w:marLeft w:val="0"/>
      <w:marRight w:val="0"/>
      <w:marTop w:val="0"/>
      <w:marBottom w:val="0"/>
      <w:divBdr>
        <w:top w:val="none" w:sz="0" w:space="0" w:color="auto"/>
        <w:left w:val="none" w:sz="0" w:space="0" w:color="auto"/>
        <w:bottom w:val="none" w:sz="0" w:space="0" w:color="auto"/>
        <w:right w:val="none" w:sz="0" w:space="0" w:color="auto"/>
      </w:divBdr>
    </w:div>
    <w:div w:id="396250301">
      <w:bodyDiv w:val="1"/>
      <w:marLeft w:val="0"/>
      <w:marRight w:val="0"/>
      <w:marTop w:val="0"/>
      <w:marBottom w:val="0"/>
      <w:divBdr>
        <w:top w:val="none" w:sz="0" w:space="0" w:color="auto"/>
        <w:left w:val="none" w:sz="0" w:space="0" w:color="auto"/>
        <w:bottom w:val="none" w:sz="0" w:space="0" w:color="auto"/>
        <w:right w:val="none" w:sz="0" w:space="0" w:color="auto"/>
      </w:divBdr>
    </w:div>
    <w:div w:id="396897063">
      <w:bodyDiv w:val="1"/>
      <w:marLeft w:val="0"/>
      <w:marRight w:val="0"/>
      <w:marTop w:val="0"/>
      <w:marBottom w:val="0"/>
      <w:divBdr>
        <w:top w:val="none" w:sz="0" w:space="0" w:color="auto"/>
        <w:left w:val="none" w:sz="0" w:space="0" w:color="auto"/>
        <w:bottom w:val="none" w:sz="0" w:space="0" w:color="auto"/>
        <w:right w:val="none" w:sz="0" w:space="0" w:color="auto"/>
      </w:divBdr>
    </w:div>
    <w:div w:id="438183263">
      <w:bodyDiv w:val="1"/>
      <w:marLeft w:val="0"/>
      <w:marRight w:val="0"/>
      <w:marTop w:val="0"/>
      <w:marBottom w:val="0"/>
      <w:divBdr>
        <w:top w:val="none" w:sz="0" w:space="0" w:color="auto"/>
        <w:left w:val="none" w:sz="0" w:space="0" w:color="auto"/>
        <w:bottom w:val="none" w:sz="0" w:space="0" w:color="auto"/>
        <w:right w:val="none" w:sz="0" w:space="0" w:color="auto"/>
      </w:divBdr>
    </w:div>
    <w:div w:id="445739339">
      <w:bodyDiv w:val="1"/>
      <w:marLeft w:val="0"/>
      <w:marRight w:val="0"/>
      <w:marTop w:val="0"/>
      <w:marBottom w:val="0"/>
      <w:divBdr>
        <w:top w:val="none" w:sz="0" w:space="0" w:color="auto"/>
        <w:left w:val="none" w:sz="0" w:space="0" w:color="auto"/>
        <w:bottom w:val="none" w:sz="0" w:space="0" w:color="auto"/>
        <w:right w:val="none" w:sz="0" w:space="0" w:color="auto"/>
      </w:divBdr>
    </w:div>
    <w:div w:id="448009223">
      <w:bodyDiv w:val="1"/>
      <w:marLeft w:val="0"/>
      <w:marRight w:val="0"/>
      <w:marTop w:val="0"/>
      <w:marBottom w:val="0"/>
      <w:divBdr>
        <w:top w:val="none" w:sz="0" w:space="0" w:color="auto"/>
        <w:left w:val="none" w:sz="0" w:space="0" w:color="auto"/>
        <w:bottom w:val="none" w:sz="0" w:space="0" w:color="auto"/>
        <w:right w:val="none" w:sz="0" w:space="0" w:color="auto"/>
      </w:divBdr>
      <w:divsChild>
        <w:div w:id="93868759">
          <w:marLeft w:val="0"/>
          <w:marRight w:val="0"/>
          <w:marTop w:val="0"/>
          <w:marBottom w:val="0"/>
          <w:divBdr>
            <w:top w:val="none" w:sz="0" w:space="0" w:color="auto"/>
            <w:left w:val="none" w:sz="0" w:space="0" w:color="auto"/>
            <w:bottom w:val="none" w:sz="0" w:space="0" w:color="auto"/>
            <w:right w:val="none" w:sz="0" w:space="0" w:color="auto"/>
          </w:divBdr>
          <w:divsChild>
            <w:div w:id="188555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337553">
      <w:bodyDiv w:val="1"/>
      <w:marLeft w:val="0"/>
      <w:marRight w:val="0"/>
      <w:marTop w:val="0"/>
      <w:marBottom w:val="0"/>
      <w:divBdr>
        <w:top w:val="none" w:sz="0" w:space="0" w:color="auto"/>
        <w:left w:val="none" w:sz="0" w:space="0" w:color="auto"/>
        <w:bottom w:val="none" w:sz="0" w:space="0" w:color="auto"/>
        <w:right w:val="none" w:sz="0" w:space="0" w:color="auto"/>
      </w:divBdr>
    </w:div>
    <w:div w:id="471598421">
      <w:bodyDiv w:val="1"/>
      <w:marLeft w:val="0"/>
      <w:marRight w:val="0"/>
      <w:marTop w:val="0"/>
      <w:marBottom w:val="0"/>
      <w:divBdr>
        <w:top w:val="none" w:sz="0" w:space="0" w:color="auto"/>
        <w:left w:val="none" w:sz="0" w:space="0" w:color="auto"/>
        <w:bottom w:val="none" w:sz="0" w:space="0" w:color="auto"/>
        <w:right w:val="none" w:sz="0" w:space="0" w:color="auto"/>
      </w:divBdr>
    </w:div>
    <w:div w:id="488250686">
      <w:bodyDiv w:val="1"/>
      <w:marLeft w:val="0"/>
      <w:marRight w:val="0"/>
      <w:marTop w:val="0"/>
      <w:marBottom w:val="0"/>
      <w:divBdr>
        <w:top w:val="none" w:sz="0" w:space="0" w:color="auto"/>
        <w:left w:val="none" w:sz="0" w:space="0" w:color="auto"/>
        <w:bottom w:val="none" w:sz="0" w:space="0" w:color="auto"/>
        <w:right w:val="none" w:sz="0" w:space="0" w:color="auto"/>
      </w:divBdr>
    </w:div>
    <w:div w:id="516117964">
      <w:bodyDiv w:val="1"/>
      <w:marLeft w:val="0"/>
      <w:marRight w:val="0"/>
      <w:marTop w:val="0"/>
      <w:marBottom w:val="0"/>
      <w:divBdr>
        <w:top w:val="none" w:sz="0" w:space="0" w:color="auto"/>
        <w:left w:val="none" w:sz="0" w:space="0" w:color="auto"/>
        <w:bottom w:val="none" w:sz="0" w:space="0" w:color="auto"/>
        <w:right w:val="none" w:sz="0" w:space="0" w:color="auto"/>
      </w:divBdr>
    </w:div>
    <w:div w:id="523592141">
      <w:bodyDiv w:val="1"/>
      <w:marLeft w:val="0"/>
      <w:marRight w:val="0"/>
      <w:marTop w:val="0"/>
      <w:marBottom w:val="0"/>
      <w:divBdr>
        <w:top w:val="none" w:sz="0" w:space="0" w:color="auto"/>
        <w:left w:val="none" w:sz="0" w:space="0" w:color="auto"/>
        <w:bottom w:val="none" w:sz="0" w:space="0" w:color="auto"/>
        <w:right w:val="none" w:sz="0" w:space="0" w:color="auto"/>
      </w:divBdr>
    </w:div>
    <w:div w:id="532420256">
      <w:bodyDiv w:val="1"/>
      <w:marLeft w:val="0"/>
      <w:marRight w:val="0"/>
      <w:marTop w:val="0"/>
      <w:marBottom w:val="0"/>
      <w:divBdr>
        <w:top w:val="none" w:sz="0" w:space="0" w:color="auto"/>
        <w:left w:val="none" w:sz="0" w:space="0" w:color="auto"/>
        <w:bottom w:val="none" w:sz="0" w:space="0" w:color="auto"/>
        <w:right w:val="none" w:sz="0" w:space="0" w:color="auto"/>
      </w:divBdr>
    </w:div>
    <w:div w:id="574440158">
      <w:bodyDiv w:val="1"/>
      <w:marLeft w:val="0"/>
      <w:marRight w:val="0"/>
      <w:marTop w:val="0"/>
      <w:marBottom w:val="0"/>
      <w:divBdr>
        <w:top w:val="none" w:sz="0" w:space="0" w:color="auto"/>
        <w:left w:val="none" w:sz="0" w:space="0" w:color="auto"/>
        <w:bottom w:val="none" w:sz="0" w:space="0" w:color="auto"/>
        <w:right w:val="none" w:sz="0" w:space="0" w:color="auto"/>
      </w:divBdr>
    </w:div>
    <w:div w:id="593592255">
      <w:bodyDiv w:val="1"/>
      <w:marLeft w:val="0"/>
      <w:marRight w:val="0"/>
      <w:marTop w:val="0"/>
      <w:marBottom w:val="0"/>
      <w:divBdr>
        <w:top w:val="none" w:sz="0" w:space="0" w:color="auto"/>
        <w:left w:val="none" w:sz="0" w:space="0" w:color="auto"/>
        <w:bottom w:val="none" w:sz="0" w:space="0" w:color="auto"/>
        <w:right w:val="none" w:sz="0" w:space="0" w:color="auto"/>
      </w:divBdr>
      <w:divsChild>
        <w:div w:id="533227584">
          <w:marLeft w:val="0"/>
          <w:marRight w:val="0"/>
          <w:marTop w:val="0"/>
          <w:marBottom w:val="0"/>
          <w:divBdr>
            <w:top w:val="none" w:sz="0" w:space="0" w:color="auto"/>
            <w:left w:val="none" w:sz="0" w:space="0" w:color="auto"/>
            <w:bottom w:val="none" w:sz="0" w:space="0" w:color="auto"/>
            <w:right w:val="none" w:sz="0" w:space="0" w:color="auto"/>
          </w:divBdr>
          <w:divsChild>
            <w:div w:id="899899236">
              <w:marLeft w:val="0"/>
              <w:marRight w:val="0"/>
              <w:marTop w:val="0"/>
              <w:marBottom w:val="0"/>
              <w:divBdr>
                <w:top w:val="none" w:sz="0" w:space="0" w:color="auto"/>
                <w:left w:val="none" w:sz="0" w:space="0" w:color="auto"/>
                <w:bottom w:val="none" w:sz="0" w:space="0" w:color="auto"/>
                <w:right w:val="none" w:sz="0" w:space="0" w:color="auto"/>
              </w:divBdr>
            </w:div>
            <w:div w:id="1338534441">
              <w:marLeft w:val="0"/>
              <w:marRight w:val="0"/>
              <w:marTop w:val="0"/>
              <w:marBottom w:val="0"/>
              <w:divBdr>
                <w:top w:val="none" w:sz="0" w:space="0" w:color="auto"/>
                <w:left w:val="none" w:sz="0" w:space="0" w:color="auto"/>
                <w:bottom w:val="none" w:sz="0" w:space="0" w:color="auto"/>
                <w:right w:val="none" w:sz="0" w:space="0" w:color="auto"/>
              </w:divBdr>
            </w:div>
          </w:divsChild>
        </w:div>
        <w:div w:id="1108425059">
          <w:marLeft w:val="0"/>
          <w:marRight w:val="0"/>
          <w:marTop w:val="0"/>
          <w:marBottom w:val="0"/>
          <w:divBdr>
            <w:top w:val="none" w:sz="0" w:space="0" w:color="auto"/>
            <w:left w:val="none" w:sz="0" w:space="0" w:color="auto"/>
            <w:bottom w:val="none" w:sz="0" w:space="0" w:color="auto"/>
            <w:right w:val="none" w:sz="0" w:space="0" w:color="auto"/>
          </w:divBdr>
          <w:divsChild>
            <w:div w:id="159089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524167">
      <w:bodyDiv w:val="1"/>
      <w:marLeft w:val="0"/>
      <w:marRight w:val="0"/>
      <w:marTop w:val="0"/>
      <w:marBottom w:val="0"/>
      <w:divBdr>
        <w:top w:val="none" w:sz="0" w:space="0" w:color="auto"/>
        <w:left w:val="none" w:sz="0" w:space="0" w:color="auto"/>
        <w:bottom w:val="none" w:sz="0" w:space="0" w:color="auto"/>
        <w:right w:val="none" w:sz="0" w:space="0" w:color="auto"/>
      </w:divBdr>
    </w:div>
    <w:div w:id="703408411">
      <w:bodyDiv w:val="1"/>
      <w:marLeft w:val="0"/>
      <w:marRight w:val="0"/>
      <w:marTop w:val="0"/>
      <w:marBottom w:val="0"/>
      <w:divBdr>
        <w:top w:val="none" w:sz="0" w:space="0" w:color="auto"/>
        <w:left w:val="none" w:sz="0" w:space="0" w:color="auto"/>
        <w:bottom w:val="none" w:sz="0" w:space="0" w:color="auto"/>
        <w:right w:val="none" w:sz="0" w:space="0" w:color="auto"/>
      </w:divBdr>
    </w:div>
    <w:div w:id="757334644">
      <w:bodyDiv w:val="1"/>
      <w:marLeft w:val="0"/>
      <w:marRight w:val="0"/>
      <w:marTop w:val="0"/>
      <w:marBottom w:val="0"/>
      <w:divBdr>
        <w:top w:val="none" w:sz="0" w:space="0" w:color="auto"/>
        <w:left w:val="none" w:sz="0" w:space="0" w:color="auto"/>
        <w:bottom w:val="none" w:sz="0" w:space="0" w:color="auto"/>
        <w:right w:val="none" w:sz="0" w:space="0" w:color="auto"/>
      </w:divBdr>
    </w:div>
    <w:div w:id="766314263">
      <w:bodyDiv w:val="1"/>
      <w:marLeft w:val="0"/>
      <w:marRight w:val="0"/>
      <w:marTop w:val="0"/>
      <w:marBottom w:val="0"/>
      <w:divBdr>
        <w:top w:val="none" w:sz="0" w:space="0" w:color="auto"/>
        <w:left w:val="none" w:sz="0" w:space="0" w:color="auto"/>
        <w:bottom w:val="none" w:sz="0" w:space="0" w:color="auto"/>
        <w:right w:val="none" w:sz="0" w:space="0" w:color="auto"/>
      </w:divBdr>
    </w:div>
    <w:div w:id="766583452">
      <w:bodyDiv w:val="1"/>
      <w:marLeft w:val="0"/>
      <w:marRight w:val="0"/>
      <w:marTop w:val="0"/>
      <w:marBottom w:val="0"/>
      <w:divBdr>
        <w:top w:val="none" w:sz="0" w:space="0" w:color="auto"/>
        <w:left w:val="none" w:sz="0" w:space="0" w:color="auto"/>
        <w:bottom w:val="none" w:sz="0" w:space="0" w:color="auto"/>
        <w:right w:val="none" w:sz="0" w:space="0" w:color="auto"/>
      </w:divBdr>
    </w:div>
    <w:div w:id="767895604">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05512600">
      <w:bodyDiv w:val="1"/>
      <w:marLeft w:val="0"/>
      <w:marRight w:val="0"/>
      <w:marTop w:val="0"/>
      <w:marBottom w:val="0"/>
      <w:divBdr>
        <w:top w:val="none" w:sz="0" w:space="0" w:color="auto"/>
        <w:left w:val="none" w:sz="0" w:space="0" w:color="auto"/>
        <w:bottom w:val="none" w:sz="0" w:space="0" w:color="auto"/>
        <w:right w:val="none" w:sz="0" w:space="0" w:color="auto"/>
      </w:divBdr>
      <w:divsChild>
        <w:div w:id="623272231">
          <w:marLeft w:val="0"/>
          <w:marRight w:val="0"/>
          <w:marTop w:val="0"/>
          <w:marBottom w:val="0"/>
          <w:divBdr>
            <w:top w:val="none" w:sz="0" w:space="0" w:color="auto"/>
            <w:left w:val="none" w:sz="0" w:space="0" w:color="auto"/>
            <w:bottom w:val="none" w:sz="0" w:space="0" w:color="auto"/>
            <w:right w:val="none" w:sz="0" w:space="0" w:color="auto"/>
          </w:divBdr>
          <w:divsChild>
            <w:div w:id="8410840">
              <w:marLeft w:val="0"/>
              <w:marRight w:val="0"/>
              <w:marTop w:val="0"/>
              <w:marBottom w:val="0"/>
              <w:divBdr>
                <w:top w:val="none" w:sz="0" w:space="0" w:color="auto"/>
                <w:left w:val="none" w:sz="0" w:space="0" w:color="auto"/>
                <w:bottom w:val="none" w:sz="0" w:space="0" w:color="auto"/>
                <w:right w:val="none" w:sz="0" w:space="0" w:color="auto"/>
              </w:divBdr>
              <w:divsChild>
                <w:div w:id="2044016263">
                  <w:marLeft w:val="0"/>
                  <w:marRight w:val="0"/>
                  <w:marTop w:val="0"/>
                  <w:marBottom w:val="0"/>
                  <w:divBdr>
                    <w:top w:val="none" w:sz="0" w:space="0" w:color="auto"/>
                    <w:left w:val="none" w:sz="0" w:space="0" w:color="auto"/>
                    <w:bottom w:val="none" w:sz="0" w:space="0" w:color="auto"/>
                    <w:right w:val="none" w:sz="0" w:space="0" w:color="auto"/>
                  </w:divBdr>
                </w:div>
              </w:divsChild>
            </w:div>
            <w:div w:id="60638891">
              <w:marLeft w:val="0"/>
              <w:marRight w:val="0"/>
              <w:marTop w:val="0"/>
              <w:marBottom w:val="0"/>
              <w:divBdr>
                <w:top w:val="none" w:sz="0" w:space="0" w:color="auto"/>
                <w:left w:val="none" w:sz="0" w:space="0" w:color="auto"/>
                <w:bottom w:val="none" w:sz="0" w:space="0" w:color="auto"/>
                <w:right w:val="none" w:sz="0" w:space="0" w:color="auto"/>
              </w:divBdr>
              <w:divsChild>
                <w:div w:id="229122047">
                  <w:marLeft w:val="0"/>
                  <w:marRight w:val="0"/>
                  <w:marTop w:val="0"/>
                  <w:marBottom w:val="0"/>
                  <w:divBdr>
                    <w:top w:val="none" w:sz="0" w:space="0" w:color="auto"/>
                    <w:left w:val="none" w:sz="0" w:space="0" w:color="auto"/>
                    <w:bottom w:val="none" w:sz="0" w:space="0" w:color="auto"/>
                    <w:right w:val="none" w:sz="0" w:space="0" w:color="auto"/>
                  </w:divBdr>
                </w:div>
              </w:divsChild>
            </w:div>
            <w:div w:id="113408520">
              <w:marLeft w:val="0"/>
              <w:marRight w:val="0"/>
              <w:marTop w:val="0"/>
              <w:marBottom w:val="0"/>
              <w:divBdr>
                <w:top w:val="none" w:sz="0" w:space="0" w:color="auto"/>
                <w:left w:val="none" w:sz="0" w:space="0" w:color="auto"/>
                <w:bottom w:val="none" w:sz="0" w:space="0" w:color="auto"/>
                <w:right w:val="none" w:sz="0" w:space="0" w:color="auto"/>
              </w:divBdr>
              <w:divsChild>
                <w:div w:id="1842499853">
                  <w:marLeft w:val="0"/>
                  <w:marRight w:val="0"/>
                  <w:marTop w:val="0"/>
                  <w:marBottom w:val="0"/>
                  <w:divBdr>
                    <w:top w:val="none" w:sz="0" w:space="0" w:color="auto"/>
                    <w:left w:val="none" w:sz="0" w:space="0" w:color="auto"/>
                    <w:bottom w:val="none" w:sz="0" w:space="0" w:color="auto"/>
                    <w:right w:val="none" w:sz="0" w:space="0" w:color="auto"/>
                  </w:divBdr>
                </w:div>
              </w:divsChild>
            </w:div>
            <w:div w:id="137386440">
              <w:marLeft w:val="0"/>
              <w:marRight w:val="0"/>
              <w:marTop w:val="0"/>
              <w:marBottom w:val="0"/>
              <w:divBdr>
                <w:top w:val="none" w:sz="0" w:space="0" w:color="auto"/>
                <w:left w:val="none" w:sz="0" w:space="0" w:color="auto"/>
                <w:bottom w:val="none" w:sz="0" w:space="0" w:color="auto"/>
                <w:right w:val="none" w:sz="0" w:space="0" w:color="auto"/>
              </w:divBdr>
              <w:divsChild>
                <w:div w:id="497310757">
                  <w:marLeft w:val="0"/>
                  <w:marRight w:val="0"/>
                  <w:marTop w:val="0"/>
                  <w:marBottom w:val="0"/>
                  <w:divBdr>
                    <w:top w:val="none" w:sz="0" w:space="0" w:color="auto"/>
                    <w:left w:val="none" w:sz="0" w:space="0" w:color="auto"/>
                    <w:bottom w:val="none" w:sz="0" w:space="0" w:color="auto"/>
                    <w:right w:val="none" w:sz="0" w:space="0" w:color="auto"/>
                  </w:divBdr>
                </w:div>
              </w:divsChild>
            </w:div>
            <w:div w:id="158471070">
              <w:marLeft w:val="0"/>
              <w:marRight w:val="0"/>
              <w:marTop w:val="0"/>
              <w:marBottom w:val="0"/>
              <w:divBdr>
                <w:top w:val="none" w:sz="0" w:space="0" w:color="auto"/>
                <w:left w:val="none" w:sz="0" w:space="0" w:color="auto"/>
                <w:bottom w:val="none" w:sz="0" w:space="0" w:color="auto"/>
                <w:right w:val="none" w:sz="0" w:space="0" w:color="auto"/>
              </w:divBdr>
              <w:divsChild>
                <w:div w:id="1095058547">
                  <w:marLeft w:val="0"/>
                  <w:marRight w:val="0"/>
                  <w:marTop w:val="0"/>
                  <w:marBottom w:val="0"/>
                  <w:divBdr>
                    <w:top w:val="none" w:sz="0" w:space="0" w:color="auto"/>
                    <w:left w:val="none" w:sz="0" w:space="0" w:color="auto"/>
                    <w:bottom w:val="none" w:sz="0" w:space="0" w:color="auto"/>
                    <w:right w:val="none" w:sz="0" w:space="0" w:color="auto"/>
                  </w:divBdr>
                </w:div>
              </w:divsChild>
            </w:div>
            <w:div w:id="196430686">
              <w:marLeft w:val="0"/>
              <w:marRight w:val="0"/>
              <w:marTop w:val="0"/>
              <w:marBottom w:val="0"/>
              <w:divBdr>
                <w:top w:val="none" w:sz="0" w:space="0" w:color="auto"/>
                <w:left w:val="none" w:sz="0" w:space="0" w:color="auto"/>
                <w:bottom w:val="none" w:sz="0" w:space="0" w:color="auto"/>
                <w:right w:val="none" w:sz="0" w:space="0" w:color="auto"/>
              </w:divBdr>
              <w:divsChild>
                <w:div w:id="775445337">
                  <w:marLeft w:val="0"/>
                  <w:marRight w:val="0"/>
                  <w:marTop w:val="0"/>
                  <w:marBottom w:val="0"/>
                  <w:divBdr>
                    <w:top w:val="none" w:sz="0" w:space="0" w:color="auto"/>
                    <w:left w:val="none" w:sz="0" w:space="0" w:color="auto"/>
                    <w:bottom w:val="none" w:sz="0" w:space="0" w:color="auto"/>
                    <w:right w:val="none" w:sz="0" w:space="0" w:color="auto"/>
                  </w:divBdr>
                </w:div>
              </w:divsChild>
            </w:div>
            <w:div w:id="198471128">
              <w:marLeft w:val="0"/>
              <w:marRight w:val="0"/>
              <w:marTop w:val="0"/>
              <w:marBottom w:val="0"/>
              <w:divBdr>
                <w:top w:val="none" w:sz="0" w:space="0" w:color="auto"/>
                <w:left w:val="none" w:sz="0" w:space="0" w:color="auto"/>
                <w:bottom w:val="none" w:sz="0" w:space="0" w:color="auto"/>
                <w:right w:val="none" w:sz="0" w:space="0" w:color="auto"/>
              </w:divBdr>
              <w:divsChild>
                <w:div w:id="752822425">
                  <w:marLeft w:val="0"/>
                  <w:marRight w:val="0"/>
                  <w:marTop w:val="0"/>
                  <w:marBottom w:val="0"/>
                  <w:divBdr>
                    <w:top w:val="none" w:sz="0" w:space="0" w:color="auto"/>
                    <w:left w:val="none" w:sz="0" w:space="0" w:color="auto"/>
                    <w:bottom w:val="none" w:sz="0" w:space="0" w:color="auto"/>
                    <w:right w:val="none" w:sz="0" w:space="0" w:color="auto"/>
                  </w:divBdr>
                </w:div>
              </w:divsChild>
            </w:div>
            <w:div w:id="256058491">
              <w:marLeft w:val="0"/>
              <w:marRight w:val="0"/>
              <w:marTop w:val="0"/>
              <w:marBottom w:val="0"/>
              <w:divBdr>
                <w:top w:val="none" w:sz="0" w:space="0" w:color="auto"/>
                <w:left w:val="none" w:sz="0" w:space="0" w:color="auto"/>
                <w:bottom w:val="none" w:sz="0" w:space="0" w:color="auto"/>
                <w:right w:val="none" w:sz="0" w:space="0" w:color="auto"/>
              </w:divBdr>
              <w:divsChild>
                <w:div w:id="1235362602">
                  <w:marLeft w:val="0"/>
                  <w:marRight w:val="0"/>
                  <w:marTop w:val="0"/>
                  <w:marBottom w:val="0"/>
                  <w:divBdr>
                    <w:top w:val="none" w:sz="0" w:space="0" w:color="auto"/>
                    <w:left w:val="none" w:sz="0" w:space="0" w:color="auto"/>
                    <w:bottom w:val="none" w:sz="0" w:space="0" w:color="auto"/>
                    <w:right w:val="none" w:sz="0" w:space="0" w:color="auto"/>
                  </w:divBdr>
                </w:div>
              </w:divsChild>
            </w:div>
            <w:div w:id="256601105">
              <w:marLeft w:val="0"/>
              <w:marRight w:val="0"/>
              <w:marTop w:val="0"/>
              <w:marBottom w:val="0"/>
              <w:divBdr>
                <w:top w:val="none" w:sz="0" w:space="0" w:color="auto"/>
                <w:left w:val="none" w:sz="0" w:space="0" w:color="auto"/>
                <w:bottom w:val="none" w:sz="0" w:space="0" w:color="auto"/>
                <w:right w:val="none" w:sz="0" w:space="0" w:color="auto"/>
              </w:divBdr>
              <w:divsChild>
                <w:div w:id="532882525">
                  <w:marLeft w:val="0"/>
                  <w:marRight w:val="0"/>
                  <w:marTop w:val="0"/>
                  <w:marBottom w:val="0"/>
                  <w:divBdr>
                    <w:top w:val="none" w:sz="0" w:space="0" w:color="auto"/>
                    <w:left w:val="none" w:sz="0" w:space="0" w:color="auto"/>
                    <w:bottom w:val="none" w:sz="0" w:space="0" w:color="auto"/>
                    <w:right w:val="none" w:sz="0" w:space="0" w:color="auto"/>
                  </w:divBdr>
                </w:div>
              </w:divsChild>
            </w:div>
            <w:div w:id="332995919">
              <w:marLeft w:val="0"/>
              <w:marRight w:val="0"/>
              <w:marTop w:val="0"/>
              <w:marBottom w:val="0"/>
              <w:divBdr>
                <w:top w:val="none" w:sz="0" w:space="0" w:color="auto"/>
                <w:left w:val="none" w:sz="0" w:space="0" w:color="auto"/>
                <w:bottom w:val="none" w:sz="0" w:space="0" w:color="auto"/>
                <w:right w:val="none" w:sz="0" w:space="0" w:color="auto"/>
              </w:divBdr>
              <w:divsChild>
                <w:div w:id="1110736842">
                  <w:marLeft w:val="0"/>
                  <w:marRight w:val="0"/>
                  <w:marTop w:val="0"/>
                  <w:marBottom w:val="0"/>
                  <w:divBdr>
                    <w:top w:val="none" w:sz="0" w:space="0" w:color="auto"/>
                    <w:left w:val="none" w:sz="0" w:space="0" w:color="auto"/>
                    <w:bottom w:val="none" w:sz="0" w:space="0" w:color="auto"/>
                    <w:right w:val="none" w:sz="0" w:space="0" w:color="auto"/>
                  </w:divBdr>
                </w:div>
              </w:divsChild>
            </w:div>
            <w:div w:id="350693029">
              <w:marLeft w:val="0"/>
              <w:marRight w:val="0"/>
              <w:marTop w:val="0"/>
              <w:marBottom w:val="0"/>
              <w:divBdr>
                <w:top w:val="none" w:sz="0" w:space="0" w:color="auto"/>
                <w:left w:val="none" w:sz="0" w:space="0" w:color="auto"/>
                <w:bottom w:val="none" w:sz="0" w:space="0" w:color="auto"/>
                <w:right w:val="none" w:sz="0" w:space="0" w:color="auto"/>
              </w:divBdr>
              <w:divsChild>
                <w:div w:id="1228497103">
                  <w:marLeft w:val="0"/>
                  <w:marRight w:val="0"/>
                  <w:marTop w:val="0"/>
                  <w:marBottom w:val="0"/>
                  <w:divBdr>
                    <w:top w:val="none" w:sz="0" w:space="0" w:color="auto"/>
                    <w:left w:val="none" w:sz="0" w:space="0" w:color="auto"/>
                    <w:bottom w:val="none" w:sz="0" w:space="0" w:color="auto"/>
                    <w:right w:val="none" w:sz="0" w:space="0" w:color="auto"/>
                  </w:divBdr>
                </w:div>
              </w:divsChild>
            </w:div>
            <w:div w:id="417017875">
              <w:marLeft w:val="0"/>
              <w:marRight w:val="0"/>
              <w:marTop w:val="0"/>
              <w:marBottom w:val="0"/>
              <w:divBdr>
                <w:top w:val="none" w:sz="0" w:space="0" w:color="auto"/>
                <w:left w:val="none" w:sz="0" w:space="0" w:color="auto"/>
                <w:bottom w:val="none" w:sz="0" w:space="0" w:color="auto"/>
                <w:right w:val="none" w:sz="0" w:space="0" w:color="auto"/>
              </w:divBdr>
              <w:divsChild>
                <w:div w:id="1525168880">
                  <w:marLeft w:val="0"/>
                  <w:marRight w:val="0"/>
                  <w:marTop w:val="0"/>
                  <w:marBottom w:val="0"/>
                  <w:divBdr>
                    <w:top w:val="none" w:sz="0" w:space="0" w:color="auto"/>
                    <w:left w:val="none" w:sz="0" w:space="0" w:color="auto"/>
                    <w:bottom w:val="none" w:sz="0" w:space="0" w:color="auto"/>
                    <w:right w:val="none" w:sz="0" w:space="0" w:color="auto"/>
                  </w:divBdr>
                </w:div>
              </w:divsChild>
            </w:div>
            <w:div w:id="506095313">
              <w:marLeft w:val="0"/>
              <w:marRight w:val="0"/>
              <w:marTop w:val="0"/>
              <w:marBottom w:val="0"/>
              <w:divBdr>
                <w:top w:val="none" w:sz="0" w:space="0" w:color="auto"/>
                <w:left w:val="none" w:sz="0" w:space="0" w:color="auto"/>
                <w:bottom w:val="none" w:sz="0" w:space="0" w:color="auto"/>
                <w:right w:val="none" w:sz="0" w:space="0" w:color="auto"/>
              </w:divBdr>
              <w:divsChild>
                <w:div w:id="1691297095">
                  <w:marLeft w:val="0"/>
                  <w:marRight w:val="0"/>
                  <w:marTop w:val="0"/>
                  <w:marBottom w:val="0"/>
                  <w:divBdr>
                    <w:top w:val="none" w:sz="0" w:space="0" w:color="auto"/>
                    <w:left w:val="none" w:sz="0" w:space="0" w:color="auto"/>
                    <w:bottom w:val="none" w:sz="0" w:space="0" w:color="auto"/>
                    <w:right w:val="none" w:sz="0" w:space="0" w:color="auto"/>
                  </w:divBdr>
                </w:div>
              </w:divsChild>
            </w:div>
            <w:div w:id="600996676">
              <w:marLeft w:val="0"/>
              <w:marRight w:val="0"/>
              <w:marTop w:val="0"/>
              <w:marBottom w:val="0"/>
              <w:divBdr>
                <w:top w:val="none" w:sz="0" w:space="0" w:color="auto"/>
                <w:left w:val="none" w:sz="0" w:space="0" w:color="auto"/>
                <w:bottom w:val="none" w:sz="0" w:space="0" w:color="auto"/>
                <w:right w:val="none" w:sz="0" w:space="0" w:color="auto"/>
              </w:divBdr>
              <w:divsChild>
                <w:div w:id="1094670446">
                  <w:marLeft w:val="0"/>
                  <w:marRight w:val="0"/>
                  <w:marTop w:val="0"/>
                  <w:marBottom w:val="0"/>
                  <w:divBdr>
                    <w:top w:val="none" w:sz="0" w:space="0" w:color="auto"/>
                    <w:left w:val="none" w:sz="0" w:space="0" w:color="auto"/>
                    <w:bottom w:val="none" w:sz="0" w:space="0" w:color="auto"/>
                    <w:right w:val="none" w:sz="0" w:space="0" w:color="auto"/>
                  </w:divBdr>
                </w:div>
              </w:divsChild>
            </w:div>
            <w:div w:id="601885518">
              <w:marLeft w:val="0"/>
              <w:marRight w:val="0"/>
              <w:marTop w:val="0"/>
              <w:marBottom w:val="0"/>
              <w:divBdr>
                <w:top w:val="none" w:sz="0" w:space="0" w:color="auto"/>
                <w:left w:val="none" w:sz="0" w:space="0" w:color="auto"/>
                <w:bottom w:val="none" w:sz="0" w:space="0" w:color="auto"/>
                <w:right w:val="none" w:sz="0" w:space="0" w:color="auto"/>
              </w:divBdr>
              <w:divsChild>
                <w:div w:id="1663971309">
                  <w:marLeft w:val="0"/>
                  <w:marRight w:val="0"/>
                  <w:marTop w:val="0"/>
                  <w:marBottom w:val="0"/>
                  <w:divBdr>
                    <w:top w:val="none" w:sz="0" w:space="0" w:color="auto"/>
                    <w:left w:val="none" w:sz="0" w:space="0" w:color="auto"/>
                    <w:bottom w:val="none" w:sz="0" w:space="0" w:color="auto"/>
                    <w:right w:val="none" w:sz="0" w:space="0" w:color="auto"/>
                  </w:divBdr>
                </w:div>
              </w:divsChild>
            </w:div>
            <w:div w:id="643387757">
              <w:marLeft w:val="0"/>
              <w:marRight w:val="0"/>
              <w:marTop w:val="0"/>
              <w:marBottom w:val="0"/>
              <w:divBdr>
                <w:top w:val="none" w:sz="0" w:space="0" w:color="auto"/>
                <w:left w:val="none" w:sz="0" w:space="0" w:color="auto"/>
                <w:bottom w:val="none" w:sz="0" w:space="0" w:color="auto"/>
                <w:right w:val="none" w:sz="0" w:space="0" w:color="auto"/>
              </w:divBdr>
              <w:divsChild>
                <w:div w:id="44762053">
                  <w:marLeft w:val="0"/>
                  <w:marRight w:val="0"/>
                  <w:marTop w:val="0"/>
                  <w:marBottom w:val="0"/>
                  <w:divBdr>
                    <w:top w:val="none" w:sz="0" w:space="0" w:color="auto"/>
                    <w:left w:val="none" w:sz="0" w:space="0" w:color="auto"/>
                    <w:bottom w:val="none" w:sz="0" w:space="0" w:color="auto"/>
                    <w:right w:val="none" w:sz="0" w:space="0" w:color="auto"/>
                  </w:divBdr>
                </w:div>
              </w:divsChild>
            </w:div>
            <w:div w:id="685445155">
              <w:marLeft w:val="0"/>
              <w:marRight w:val="0"/>
              <w:marTop w:val="0"/>
              <w:marBottom w:val="0"/>
              <w:divBdr>
                <w:top w:val="none" w:sz="0" w:space="0" w:color="auto"/>
                <w:left w:val="none" w:sz="0" w:space="0" w:color="auto"/>
                <w:bottom w:val="none" w:sz="0" w:space="0" w:color="auto"/>
                <w:right w:val="none" w:sz="0" w:space="0" w:color="auto"/>
              </w:divBdr>
              <w:divsChild>
                <w:div w:id="708839425">
                  <w:marLeft w:val="0"/>
                  <w:marRight w:val="0"/>
                  <w:marTop w:val="0"/>
                  <w:marBottom w:val="0"/>
                  <w:divBdr>
                    <w:top w:val="none" w:sz="0" w:space="0" w:color="auto"/>
                    <w:left w:val="none" w:sz="0" w:space="0" w:color="auto"/>
                    <w:bottom w:val="none" w:sz="0" w:space="0" w:color="auto"/>
                    <w:right w:val="none" w:sz="0" w:space="0" w:color="auto"/>
                  </w:divBdr>
                </w:div>
              </w:divsChild>
            </w:div>
            <w:div w:id="689183768">
              <w:marLeft w:val="0"/>
              <w:marRight w:val="0"/>
              <w:marTop w:val="0"/>
              <w:marBottom w:val="0"/>
              <w:divBdr>
                <w:top w:val="none" w:sz="0" w:space="0" w:color="auto"/>
                <w:left w:val="none" w:sz="0" w:space="0" w:color="auto"/>
                <w:bottom w:val="none" w:sz="0" w:space="0" w:color="auto"/>
                <w:right w:val="none" w:sz="0" w:space="0" w:color="auto"/>
              </w:divBdr>
              <w:divsChild>
                <w:div w:id="1193151286">
                  <w:marLeft w:val="0"/>
                  <w:marRight w:val="0"/>
                  <w:marTop w:val="0"/>
                  <w:marBottom w:val="0"/>
                  <w:divBdr>
                    <w:top w:val="none" w:sz="0" w:space="0" w:color="auto"/>
                    <w:left w:val="none" w:sz="0" w:space="0" w:color="auto"/>
                    <w:bottom w:val="none" w:sz="0" w:space="0" w:color="auto"/>
                    <w:right w:val="none" w:sz="0" w:space="0" w:color="auto"/>
                  </w:divBdr>
                </w:div>
              </w:divsChild>
            </w:div>
            <w:div w:id="769930942">
              <w:marLeft w:val="0"/>
              <w:marRight w:val="0"/>
              <w:marTop w:val="0"/>
              <w:marBottom w:val="0"/>
              <w:divBdr>
                <w:top w:val="none" w:sz="0" w:space="0" w:color="auto"/>
                <w:left w:val="none" w:sz="0" w:space="0" w:color="auto"/>
                <w:bottom w:val="none" w:sz="0" w:space="0" w:color="auto"/>
                <w:right w:val="none" w:sz="0" w:space="0" w:color="auto"/>
              </w:divBdr>
              <w:divsChild>
                <w:div w:id="89007748">
                  <w:marLeft w:val="0"/>
                  <w:marRight w:val="0"/>
                  <w:marTop w:val="0"/>
                  <w:marBottom w:val="0"/>
                  <w:divBdr>
                    <w:top w:val="none" w:sz="0" w:space="0" w:color="auto"/>
                    <w:left w:val="none" w:sz="0" w:space="0" w:color="auto"/>
                    <w:bottom w:val="none" w:sz="0" w:space="0" w:color="auto"/>
                    <w:right w:val="none" w:sz="0" w:space="0" w:color="auto"/>
                  </w:divBdr>
                </w:div>
              </w:divsChild>
            </w:div>
            <w:div w:id="794444894">
              <w:marLeft w:val="0"/>
              <w:marRight w:val="0"/>
              <w:marTop w:val="0"/>
              <w:marBottom w:val="0"/>
              <w:divBdr>
                <w:top w:val="none" w:sz="0" w:space="0" w:color="auto"/>
                <w:left w:val="none" w:sz="0" w:space="0" w:color="auto"/>
                <w:bottom w:val="none" w:sz="0" w:space="0" w:color="auto"/>
                <w:right w:val="none" w:sz="0" w:space="0" w:color="auto"/>
              </w:divBdr>
              <w:divsChild>
                <w:div w:id="690765729">
                  <w:marLeft w:val="0"/>
                  <w:marRight w:val="0"/>
                  <w:marTop w:val="0"/>
                  <w:marBottom w:val="0"/>
                  <w:divBdr>
                    <w:top w:val="none" w:sz="0" w:space="0" w:color="auto"/>
                    <w:left w:val="none" w:sz="0" w:space="0" w:color="auto"/>
                    <w:bottom w:val="none" w:sz="0" w:space="0" w:color="auto"/>
                    <w:right w:val="none" w:sz="0" w:space="0" w:color="auto"/>
                  </w:divBdr>
                </w:div>
              </w:divsChild>
            </w:div>
            <w:div w:id="829516661">
              <w:marLeft w:val="0"/>
              <w:marRight w:val="0"/>
              <w:marTop w:val="0"/>
              <w:marBottom w:val="0"/>
              <w:divBdr>
                <w:top w:val="none" w:sz="0" w:space="0" w:color="auto"/>
                <w:left w:val="none" w:sz="0" w:space="0" w:color="auto"/>
                <w:bottom w:val="none" w:sz="0" w:space="0" w:color="auto"/>
                <w:right w:val="none" w:sz="0" w:space="0" w:color="auto"/>
              </w:divBdr>
              <w:divsChild>
                <w:div w:id="447433928">
                  <w:marLeft w:val="0"/>
                  <w:marRight w:val="0"/>
                  <w:marTop w:val="0"/>
                  <w:marBottom w:val="0"/>
                  <w:divBdr>
                    <w:top w:val="none" w:sz="0" w:space="0" w:color="auto"/>
                    <w:left w:val="none" w:sz="0" w:space="0" w:color="auto"/>
                    <w:bottom w:val="none" w:sz="0" w:space="0" w:color="auto"/>
                    <w:right w:val="none" w:sz="0" w:space="0" w:color="auto"/>
                  </w:divBdr>
                </w:div>
              </w:divsChild>
            </w:div>
            <w:div w:id="896477791">
              <w:marLeft w:val="0"/>
              <w:marRight w:val="0"/>
              <w:marTop w:val="0"/>
              <w:marBottom w:val="0"/>
              <w:divBdr>
                <w:top w:val="none" w:sz="0" w:space="0" w:color="auto"/>
                <w:left w:val="none" w:sz="0" w:space="0" w:color="auto"/>
                <w:bottom w:val="none" w:sz="0" w:space="0" w:color="auto"/>
                <w:right w:val="none" w:sz="0" w:space="0" w:color="auto"/>
              </w:divBdr>
              <w:divsChild>
                <w:div w:id="2044670944">
                  <w:marLeft w:val="0"/>
                  <w:marRight w:val="0"/>
                  <w:marTop w:val="0"/>
                  <w:marBottom w:val="0"/>
                  <w:divBdr>
                    <w:top w:val="none" w:sz="0" w:space="0" w:color="auto"/>
                    <w:left w:val="none" w:sz="0" w:space="0" w:color="auto"/>
                    <w:bottom w:val="none" w:sz="0" w:space="0" w:color="auto"/>
                    <w:right w:val="none" w:sz="0" w:space="0" w:color="auto"/>
                  </w:divBdr>
                </w:div>
              </w:divsChild>
            </w:div>
            <w:div w:id="937059208">
              <w:marLeft w:val="0"/>
              <w:marRight w:val="0"/>
              <w:marTop w:val="0"/>
              <w:marBottom w:val="0"/>
              <w:divBdr>
                <w:top w:val="none" w:sz="0" w:space="0" w:color="auto"/>
                <w:left w:val="none" w:sz="0" w:space="0" w:color="auto"/>
                <w:bottom w:val="none" w:sz="0" w:space="0" w:color="auto"/>
                <w:right w:val="none" w:sz="0" w:space="0" w:color="auto"/>
              </w:divBdr>
              <w:divsChild>
                <w:div w:id="601454692">
                  <w:marLeft w:val="0"/>
                  <w:marRight w:val="0"/>
                  <w:marTop w:val="0"/>
                  <w:marBottom w:val="0"/>
                  <w:divBdr>
                    <w:top w:val="none" w:sz="0" w:space="0" w:color="auto"/>
                    <w:left w:val="none" w:sz="0" w:space="0" w:color="auto"/>
                    <w:bottom w:val="none" w:sz="0" w:space="0" w:color="auto"/>
                    <w:right w:val="none" w:sz="0" w:space="0" w:color="auto"/>
                  </w:divBdr>
                </w:div>
              </w:divsChild>
            </w:div>
            <w:div w:id="940837285">
              <w:marLeft w:val="0"/>
              <w:marRight w:val="0"/>
              <w:marTop w:val="0"/>
              <w:marBottom w:val="0"/>
              <w:divBdr>
                <w:top w:val="none" w:sz="0" w:space="0" w:color="auto"/>
                <w:left w:val="none" w:sz="0" w:space="0" w:color="auto"/>
                <w:bottom w:val="none" w:sz="0" w:space="0" w:color="auto"/>
                <w:right w:val="none" w:sz="0" w:space="0" w:color="auto"/>
              </w:divBdr>
              <w:divsChild>
                <w:div w:id="1004673828">
                  <w:marLeft w:val="0"/>
                  <w:marRight w:val="0"/>
                  <w:marTop w:val="0"/>
                  <w:marBottom w:val="0"/>
                  <w:divBdr>
                    <w:top w:val="none" w:sz="0" w:space="0" w:color="auto"/>
                    <w:left w:val="none" w:sz="0" w:space="0" w:color="auto"/>
                    <w:bottom w:val="none" w:sz="0" w:space="0" w:color="auto"/>
                    <w:right w:val="none" w:sz="0" w:space="0" w:color="auto"/>
                  </w:divBdr>
                </w:div>
              </w:divsChild>
            </w:div>
            <w:div w:id="996300805">
              <w:marLeft w:val="0"/>
              <w:marRight w:val="0"/>
              <w:marTop w:val="0"/>
              <w:marBottom w:val="0"/>
              <w:divBdr>
                <w:top w:val="none" w:sz="0" w:space="0" w:color="auto"/>
                <w:left w:val="none" w:sz="0" w:space="0" w:color="auto"/>
                <w:bottom w:val="none" w:sz="0" w:space="0" w:color="auto"/>
                <w:right w:val="none" w:sz="0" w:space="0" w:color="auto"/>
              </w:divBdr>
              <w:divsChild>
                <w:div w:id="95444673">
                  <w:marLeft w:val="0"/>
                  <w:marRight w:val="0"/>
                  <w:marTop w:val="0"/>
                  <w:marBottom w:val="0"/>
                  <w:divBdr>
                    <w:top w:val="none" w:sz="0" w:space="0" w:color="auto"/>
                    <w:left w:val="none" w:sz="0" w:space="0" w:color="auto"/>
                    <w:bottom w:val="none" w:sz="0" w:space="0" w:color="auto"/>
                    <w:right w:val="none" w:sz="0" w:space="0" w:color="auto"/>
                  </w:divBdr>
                </w:div>
              </w:divsChild>
            </w:div>
            <w:div w:id="1080908001">
              <w:marLeft w:val="0"/>
              <w:marRight w:val="0"/>
              <w:marTop w:val="0"/>
              <w:marBottom w:val="0"/>
              <w:divBdr>
                <w:top w:val="none" w:sz="0" w:space="0" w:color="auto"/>
                <w:left w:val="none" w:sz="0" w:space="0" w:color="auto"/>
                <w:bottom w:val="none" w:sz="0" w:space="0" w:color="auto"/>
                <w:right w:val="none" w:sz="0" w:space="0" w:color="auto"/>
              </w:divBdr>
              <w:divsChild>
                <w:div w:id="869882418">
                  <w:marLeft w:val="0"/>
                  <w:marRight w:val="0"/>
                  <w:marTop w:val="0"/>
                  <w:marBottom w:val="0"/>
                  <w:divBdr>
                    <w:top w:val="none" w:sz="0" w:space="0" w:color="auto"/>
                    <w:left w:val="none" w:sz="0" w:space="0" w:color="auto"/>
                    <w:bottom w:val="none" w:sz="0" w:space="0" w:color="auto"/>
                    <w:right w:val="none" w:sz="0" w:space="0" w:color="auto"/>
                  </w:divBdr>
                </w:div>
              </w:divsChild>
            </w:div>
            <w:div w:id="1117021832">
              <w:marLeft w:val="0"/>
              <w:marRight w:val="0"/>
              <w:marTop w:val="0"/>
              <w:marBottom w:val="0"/>
              <w:divBdr>
                <w:top w:val="none" w:sz="0" w:space="0" w:color="auto"/>
                <w:left w:val="none" w:sz="0" w:space="0" w:color="auto"/>
                <w:bottom w:val="none" w:sz="0" w:space="0" w:color="auto"/>
                <w:right w:val="none" w:sz="0" w:space="0" w:color="auto"/>
              </w:divBdr>
              <w:divsChild>
                <w:div w:id="554319318">
                  <w:marLeft w:val="0"/>
                  <w:marRight w:val="0"/>
                  <w:marTop w:val="0"/>
                  <w:marBottom w:val="0"/>
                  <w:divBdr>
                    <w:top w:val="none" w:sz="0" w:space="0" w:color="auto"/>
                    <w:left w:val="none" w:sz="0" w:space="0" w:color="auto"/>
                    <w:bottom w:val="none" w:sz="0" w:space="0" w:color="auto"/>
                    <w:right w:val="none" w:sz="0" w:space="0" w:color="auto"/>
                  </w:divBdr>
                </w:div>
              </w:divsChild>
            </w:div>
            <w:div w:id="1206797786">
              <w:marLeft w:val="0"/>
              <w:marRight w:val="0"/>
              <w:marTop w:val="0"/>
              <w:marBottom w:val="0"/>
              <w:divBdr>
                <w:top w:val="none" w:sz="0" w:space="0" w:color="auto"/>
                <w:left w:val="none" w:sz="0" w:space="0" w:color="auto"/>
                <w:bottom w:val="none" w:sz="0" w:space="0" w:color="auto"/>
                <w:right w:val="none" w:sz="0" w:space="0" w:color="auto"/>
              </w:divBdr>
              <w:divsChild>
                <w:div w:id="1908299257">
                  <w:marLeft w:val="0"/>
                  <w:marRight w:val="0"/>
                  <w:marTop w:val="0"/>
                  <w:marBottom w:val="0"/>
                  <w:divBdr>
                    <w:top w:val="none" w:sz="0" w:space="0" w:color="auto"/>
                    <w:left w:val="none" w:sz="0" w:space="0" w:color="auto"/>
                    <w:bottom w:val="none" w:sz="0" w:space="0" w:color="auto"/>
                    <w:right w:val="none" w:sz="0" w:space="0" w:color="auto"/>
                  </w:divBdr>
                </w:div>
              </w:divsChild>
            </w:div>
            <w:div w:id="1240674769">
              <w:marLeft w:val="0"/>
              <w:marRight w:val="0"/>
              <w:marTop w:val="0"/>
              <w:marBottom w:val="0"/>
              <w:divBdr>
                <w:top w:val="none" w:sz="0" w:space="0" w:color="auto"/>
                <w:left w:val="none" w:sz="0" w:space="0" w:color="auto"/>
                <w:bottom w:val="none" w:sz="0" w:space="0" w:color="auto"/>
                <w:right w:val="none" w:sz="0" w:space="0" w:color="auto"/>
              </w:divBdr>
              <w:divsChild>
                <w:div w:id="512690565">
                  <w:marLeft w:val="0"/>
                  <w:marRight w:val="0"/>
                  <w:marTop w:val="0"/>
                  <w:marBottom w:val="0"/>
                  <w:divBdr>
                    <w:top w:val="none" w:sz="0" w:space="0" w:color="auto"/>
                    <w:left w:val="none" w:sz="0" w:space="0" w:color="auto"/>
                    <w:bottom w:val="none" w:sz="0" w:space="0" w:color="auto"/>
                    <w:right w:val="none" w:sz="0" w:space="0" w:color="auto"/>
                  </w:divBdr>
                </w:div>
              </w:divsChild>
            </w:div>
            <w:div w:id="1266108014">
              <w:marLeft w:val="0"/>
              <w:marRight w:val="0"/>
              <w:marTop w:val="0"/>
              <w:marBottom w:val="0"/>
              <w:divBdr>
                <w:top w:val="none" w:sz="0" w:space="0" w:color="auto"/>
                <w:left w:val="none" w:sz="0" w:space="0" w:color="auto"/>
                <w:bottom w:val="none" w:sz="0" w:space="0" w:color="auto"/>
                <w:right w:val="none" w:sz="0" w:space="0" w:color="auto"/>
              </w:divBdr>
              <w:divsChild>
                <w:div w:id="123160710">
                  <w:marLeft w:val="0"/>
                  <w:marRight w:val="0"/>
                  <w:marTop w:val="0"/>
                  <w:marBottom w:val="0"/>
                  <w:divBdr>
                    <w:top w:val="none" w:sz="0" w:space="0" w:color="auto"/>
                    <w:left w:val="none" w:sz="0" w:space="0" w:color="auto"/>
                    <w:bottom w:val="none" w:sz="0" w:space="0" w:color="auto"/>
                    <w:right w:val="none" w:sz="0" w:space="0" w:color="auto"/>
                  </w:divBdr>
                </w:div>
              </w:divsChild>
            </w:div>
            <w:div w:id="1316766562">
              <w:marLeft w:val="0"/>
              <w:marRight w:val="0"/>
              <w:marTop w:val="0"/>
              <w:marBottom w:val="0"/>
              <w:divBdr>
                <w:top w:val="none" w:sz="0" w:space="0" w:color="auto"/>
                <w:left w:val="none" w:sz="0" w:space="0" w:color="auto"/>
                <w:bottom w:val="none" w:sz="0" w:space="0" w:color="auto"/>
                <w:right w:val="none" w:sz="0" w:space="0" w:color="auto"/>
              </w:divBdr>
              <w:divsChild>
                <w:div w:id="1243249274">
                  <w:marLeft w:val="0"/>
                  <w:marRight w:val="0"/>
                  <w:marTop w:val="0"/>
                  <w:marBottom w:val="0"/>
                  <w:divBdr>
                    <w:top w:val="none" w:sz="0" w:space="0" w:color="auto"/>
                    <w:left w:val="none" w:sz="0" w:space="0" w:color="auto"/>
                    <w:bottom w:val="none" w:sz="0" w:space="0" w:color="auto"/>
                    <w:right w:val="none" w:sz="0" w:space="0" w:color="auto"/>
                  </w:divBdr>
                </w:div>
              </w:divsChild>
            </w:div>
            <w:div w:id="1319580590">
              <w:marLeft w:val="0"/>
              <w:marRight w:val="0"/>
              <w:marTop w:val="0"/>
              <w:marBottom w:val="0"/>
              <w:divBdr>
                <w:top w:val="none" w:sz="0" w:space="0" w:color="auto"/>
                <w:left w:val="none" w:sz="0" w:space="0" w:color="auto"/>
                <w:bottom w:val="none" w:sz="0" w:space="0" w:color="auto"/>
                <w:right w:val="none" w:sz="0" w:space="0" w:color="auto"/>
              </w:divBdr>
              <w:divsChild>
                <w:div w:id="51346212">
                  <w:marLeft w:val="0"/>
                  <w:marRight w:val="0"/>
                  <w:marTop w:val="0"/>
                  <w:marBottom w:val="0"/>
                  <w:divBdr>
                    <w:top w:val="none" w:sz="0" w:space="0" w:color="auto"/>
                    <w:left w:val="none" w:sz="0" w:space="0" w:color="auto"/>
                    <w:bottom w:val="none" w:sz="0" w:space="0" w:color="auto"/>
                    <w:right w:val="none" w:sz="0" w:space="0" w:color="auto"/>
                  </w:divBdr>
                </w:div>
              </w:divsChild>
            </w:div>
            <w:div w:id="1354113741">
              <w:marLeft w:val="0"/>
              <w:marRight w:val="0"/>
              <w:marTop w:val="0"/>
              <w:marBottom w:val="0"/>
              <w:divBdr>
                <w:top w:val="none" w:sz="0" w:space="0" w:color="auto"/>
                <w:left w:val="none" w:sz="0" w:space="0" w:color="auto"/>
                <w:bottom w:val="none" w:sz="0" w:space="0" w:color="auto"/>
                <w:right w:val="none" w:sz="0" w:space="0" w:color="auto"/>
              </w:divBdr>
              <w:divsChild>
                <w:div w:id="853611180">
                  <w:marLeft w:val="0"/>
                  <w:marRight w:val="0"/>
                  <w:marTop w:val="0"/>
                  <w:marBottom w:val="0"/>
                  <w:divBdr>
                    <w:top w:val="none" w:sz="0" w:space="0" w:color="auto"/>
                    <w:left w:val="none" w:sz="0" w:space="0" w:color="auto"/>
                    <w:bottom w:val="none" w:sz="0" w:space="0" w:color="auto"/>
                    <w:right w:val="none" w:sz="0" w:space="0" w:color="auto"/>
                  </w:divBdr>
                </w:div>
              </w:divsChild>
            </w:div>
            <w:div w:id="1380403051">
              <w:marLeft w:val="0"/>
              <w:marRight w:val="0"/>
              <w:marTop w:val="0"/>
              <w:marBottom w:val="0"/>
              <w:divBdr>
                <w:top w:val="none" w:sz="0" w:space="0" w:color="auto"/>
                <w:left w:val="none" w:sz="0" w:space="0" w:color="auto"/>
                <w:bottom w:val="none" w:sz="0" w:space="0" w:color="auto"/>
                <w:right w:val="none" w:sz="0" w:space="0" w:color="auto"/>
              </w:divBdr>
              <w:divsChild>
                <w:div w:id="12271039">
                  <w:marLeft w:val="0"/>
                  <w:marRight w:val="0"/>
                  <w:marTop w:val="0"/>
                  <w:marBottom w:val="0"/>
                  <w:divBdr>
                    <w:top w:val="none" w:sz="0" w:space="0" w:color="auto"/>
                    <w:left w:val="none" w:sz="0" w:space="0" w:color="auto"/>
                    <w:bottom w:val="none" w:sz="0" w:space="0" w:color="auto"/>
                    <w:right w:val="none" w:sz="0" w:space="0" w:color="auto"/>
                  </w:divBdr>
                </w:div>
              </w:divsChild>
            </w:div>
            <w:div w:id="1391033856">
              <w:marLeft w:val="0"/>
              <w:marRight w:val="0"/>
              <w:marTop w:val="0"/>
              <w:marBottom w:val="0"/>
              <w:divBdr>
                <w:top w:val="none" w:sz="0" w:space="0" w:color="auto"/>
                <w:left w:val="none" w:sz="0" w:space="0" w:color="auto"/>
                <w:bottom w:val="none" w:sz="0" w:space="0" w:color="auto"/>
                <w:right w:val="none" w:sz="0" w:space="0" w:color="auto"/>
              </w:divBdr>
              <w:divsChild>
                <w:div w:id="981809645">
                  <w:marLeft w:val="0"/>
                  <w:marRight w:val="0"/>
                  <w:marTop w:val="0"/>
                  <w:marBottom w:val="0"/>
                  <w:divBdr>
                    <w:top w:val="none" w:sz="0" w:space="0" w:color="auto"/>
                    <w:left w:val="none" w:sz="0" w:space="0" w:color="auto"/>
                    <w:bottom w:val="none" w:sz="0" w:space="0" w:color="auto"/>
                    <w:right w:val="none" w:sz="0" w:space="0" w:color="auto"/>
                  </w:divBdr>
                </w:div>
              </w:divsChild>
            </w:div>
            <w:div w:id="1396129191">
              <w:marLeft w:val="0"/>
              <w:marRight w:val="0"/>
              <w:marTop w:val="0"/>
              <w:marBottom w:val="0"/>
              <w:divBdr>
                <w:top w:val="none" w:sz="0" w:space="0" w:color="auto"/>
                <w:left w:val="none" w:sz="0" w:space="0" w:color="auto"/>
                <w:bottom w:val="none" w:sz="0" w:space="0" w:color="auto"/>
                <w:right w:val="none" w:sz="0" w:space="0" w:color="auto"/>
              </w:divBdr>
              <w:divsChild>
                <w:div w:id="1281306072">
                  <w:marLeft w:val="0"/>
                  <w:marRight w:val="0"/>
                  <w:marTop w:val="0"/>
                  <w:marBottom w:val="0"/>
                  <w:divBdr>
                    <w:top w:val="none" w:sz="0" w:space="0" w:color="auto"/>
                    <w:left w:val="none" w:sz="0" w:space="0" w:color="auto"/>
                    <w:bottom w:val="none" w:sz="0" w:space="0" w:color="auto"/>
                    <w:right w:val="none" w:sz="0" w:space="0" w:color="auto"/>
                  </w:divBdr>
                </w:div>
              </w:divsChild>
            </w:div>
            <w:div w:id="1408920850">
              <w:marLeft w:val="0"/>
              <w:marRight w:val="0"/>
              <w:marTop w:val="0"/>
              <w:marBottom w:val="0"/>
              <w:divBdr>
                <w:top w:val="none" w:sz="0" w:space="0" w:color="auto"/>
                <w:left w:val="none" w:sz="0" w:space="0" w:color="auto"/>
                <w:bottom w:val="none" w:sz="0" w:space="0" w:color="auto"/>
                <w:right w:val="none" w:sz="0" w:space="0" w:color="auto"/>
              </w:divBdr>
              <w:divsChild>
                <w:div w:id="603536484">
                  <w:marLeft w:val="0"/>
                  <w:marRight w:val="0"/>
                  <w:marTop w:val="0"/>
                  <w:marBottom w:val="0"/>
                  <w:divBdr>
                    <w:top w:val="none" w:sz="0" w:space="0" w:color="auto"/>
                    <w:left w:val="none" w:sz="0" w:space="0" w:color="auto"/>
                    <w:bottom w:val="none" w:sz="0" w:space="0" w:color="auto"/>
                    <w:right w:val="none" w:sz="0" w:space="0" w:color="auto"/>
                  </w:divBdr>
                </w:div>
              </w:divsChild>
            </w:div>
            <w:div w:id="1447197769">
              <w:marLeft w:val="0"/>
              <w:marRight w:val="0"/>
              <w:marTop w:val="0"/>
              <w:marBottom w:val="0"/>
              <w:divBdr>
                <w:top w:val="none" w:sz="0" w:space="0" w:color="auto"/>
                <w:left w:val="none" w:sz="0" w:space="0" w:color="auto"/>
                <w:bottom w:val="none" w:sz="0" w:space="0" w:color="auto"/>
                <w:right w:val="none" w:sz="0" w:space="0" w:color="auto"/>
              </w:divBdr>
              <w:divsChild>
                <w:div w:id="694312902">
                  <w:marLeft w:val="0"/>
                  <w:marRight w:val="0"/>
                  <w:marTop w:val="0"/>
                  <w:marBottom w:val="0"/>
                  <w:divBdr>
                    <w:top w:val="none" w:sz="0" w:space="0" w:color="auto"/>
                    <w:left w:val="none" w:sz="0" w:space="0" w:color="auto"/>
                    <w:bottom w:val="none" w:sz="0" w:space="0" w:color="auto"/>
                    <w:right w:val="none" w:sz="0" w:space="0" w:color="auto"/>
                  </w:divBdr>
                </w:div>
              </w:divsChild>
            </w:div>
            <w:div w:id="1456437899">
              <w:marLeft w:val="0"/>
              <w:marRight w:val="0"/>
              <w:marTop w:val="0"/>
              <w:marBottom w:val="0"/>
              <w:divBdr>
                <w:top w:val="none" w:sz="0" w:space="0" w:color="auto"/>
                <w:left w:val="none" w:sz="0" w:space="0" w:color="auto"/>
                <w:bottom w:val="none" w:sz="0" w:space="0" w:color="auto"/>
                <w:right w:val="none" w:sz="0" w:space="0" w:color="auto"/>
              </w:divBdr>
              <w:divsChild>
                <w:div w:id="208883590">
                  <w:marLeft w:val="0"/>
                  <w:marRight w:val="0"/>
                  <w:marTop w:val="0"/>
                  <w:marBottom w:val="0"/>
                  <w:divBdr>
                    <w:top w:val="none" w:sz="0" w:space="0" w:color="auto"/>
                    <w:left w:val="none" w:sz="0" w:space="0" w:color="auto"/>
                    <w:bottom w:val="none" w:sz="0" w:space="0" w:color="auto"/>
                    <w:right w:val="none" w:sz="0" w:space="0" w:color="auto"/>
                  </w:divBdr>
                </w:div>
              </w:divsChild>
            </w:div>
            <w:div w:id="1459715407">
              <w:marLeft w:val="0"/>
              <w:marRight w:val="0"/>
              <w:marTop w:val="0"/>
              <w:marBottom w:val="0"/>
              <w:divBdr>
                <w:top w:val="none" w:sz="0" w:space="0" w:color="auto"/>
                <w:left w:val="none" w:sz="0" w:space="0" w:color="auto"/>
                <w:bottom w:val="none" w:sz="0" w:space="0" w:color="auto"/>
                <w:right w:val="none" w:sz="0" w:space="0" w:color="auto"/>
              </w:divBdr>
              <w:divsChild>
                <w:div w:id="2105295699">
                  <w:marLeft w:val="0"/>
                  <w:marRight w:val="0"/>
                  <w:marTop w:val="0"/>
                  <w:marBottom w:val="0"/>
                  <w:divBdr>
                    <w:top w:val="none" w:sz="0" w:space="0" w:color="auto"/>
                    <w:left w:val="none" w:sz="0" w:space="0" w:color="auto"/>
                    <w:bottom w:val="none" w:sz="0" w:space="0" w:color="auto"/>
                    <w:right w:val="none" w:sz="0" w:space="0" w:color="auto"/>
                  </w:divBdr>
                </w:div>
              </w:divsChild>
            </w:div>
            <w:div w:id="1650791641">
              <w:marLeft w:val="0"/>
              <w:marRight w:val="0"/>
              <w:marTop w:val="0"/>
              <w:marBottom w:val="0"/>
              <w:divBdr>
                <w:top w:val="none" w:sz="0" w:space="0" w:color="auto"/>
                <w:left w:val="none" w:sz="0" w:space="0" w:color="auto"/>
                <w:bottom w:val="none" w:sz="0" w:space="0" w:color="auto"/>
                <w:right w:val="none" w:sz="0" w:space="0" w:color="auto"/>
              </w:divBdr>
              <w:divsChild>
                <w:div w:id="207117">
                  <w:marLeft w:val="0"/>
                  <w:marRight w:val="0"/>
                  <w:marTop w:val="0"/>
                  <w:marBottom w:val="0"/>
                  <w:divBdr>
                    <w:top w:val="none" w:sz="0" w:space="0" w:color="auto"/>
                    <w:left w:val="none" w:sz="0" w:space="0" w:color="auto"/>
                    <w:bottom w:val="none" w:sz="0" w:space="0" w:color="auto"/>
                    <w:right w:val="none" w:sz="0" w:space="0" w:color="auto"/>
                  </w:divBdr>
                </w:div>
              </w:divsChild>
            </w:div>
            <w:div w:id="1725328944">
              <w:marLeft w:val="0"/>
              <w:marRight w:val="0"/>
              <w:marTop w:val="0"/>
              <w:marBottom w:val="0"/>
              <w:divBdr>
                <w:top w:val="none" w:sz="0" w:space="0" w:color="auto"/>
                <w:left w:val="none" w:sz="0" w:space="0" w:color="auto"/>
                <w:bottom w:val="none" w:sz="0" w:space="0" w:color="auto"/>
                <w:right w:val="none" w:sz="0" w:space="0" w:color="auto"/>
              </w:divBdr>
              <w:divsChild>
                <w:div w:id="1466314087">
                  <w:marLeft w:val="0"/>
                  <w:marRight w:val="0"/>
                  <w:marTop w:val="0"/>
                  <w:marBottom w:val="0"/>
                  <w:divBdr>
                    <w:top w:val="none" w:sz="0" w:space="0" w:color="auto"/>
                    <w:left w:val="none" w:sz="0" w:space="0" w:color="auto"/>
                    <w:bottom w:val="none" w:sz="0" w:space="0" w:color="auto"/>
                    <w:right w:val="none" w:sz="0" w:space="0" w:color="auto"/>
                  </w:divBdr>
                </w:div>
              </w:divsChild>
            </w:div>
            <w:div w:id="1734503289">
              <w:marLeft w:val="0"/>
              <w:marRight w:val="0"/>
              <w:marTop w:val="0"/>
              <w:marBottom w:val="0"/>
              <w:divBdr>
                <w:top w:val="none" w:sz="0" w:space="0" w:color="auto"/>
                <w:left w:val="none" w:sz="0" w:space="0" w:color="auto"/>
                <w:bottom w:val="none" w:sz="0" w:space="0" w:color="auto"/>
                <w:right w:val="none" w:sz="0" w:space="0" w:color="auto"/>
              </w:divBdr>
              <w:divsChild>
                <w:div w:id="1340082002">
                  <w:marLeft w:val="0"/>
                  <w:marRight w:val="0"/>
                  <w:marTop w:val="0"/>
                  <w:marBottom w:val="0"/>
                  <w:divBdr>
                    <w:top w:val="none" w:sz="0" w:space="0" w:color="auto"/>
                    <w:left w:val="none" w:sz="0" w:space="0" w:color="auto"/>
                    <w:bottom w:val="none" w:sz="0" w:space="0" w:color="auto"/>
                    <w:right w:val="none" w:sz="0" w:space="0" w:color="auto"/>
                  </w:divBdr>
                </w:div>
              </w:divsChild>
            </w:div>
            <w:div w:id="1753041677">
              <w:marLeft w:val="0"/>
              <w:marRight w:val="0"/>
              <w:marTop w:val="0"/>
              <w:marBottom w:val="0"/>
              <w:divBdr>
                <w:top w:val="none" w:sz="0" w:space="0" w:color="auto"/>
                <w:left w:val="none" w:sz="0" w:space="0" w:color="auto"/>
                <w:bottom w:val="none" w:sz="0" w:space="0" w:color="auto"/>
                <w:right w:val="none" w:sz="0" w:space="0" w:color="auto"/>
              </w:divBdr>
              <w:divsChild>
                <w:div w:id="394276386">
                  <w:marLeft w:val="0"/>
                  <w:marRight w:val="0"/>
                  <w:marTop w:val="0"/>
                  <w:marBottom w:val="0"/>
                  <w:divBdr>
                    <w:top w:val="none" w:sz="0" w:space="0" w:color="auto"/>
                    <w:left w:val="none" w:sz="0" w:space="0" w:color="auto"/>
                    <w:bottom w:val="none" w:sz="0" w:space="0" w:color="auto"/>
                    <w:right w:val="none" w:sz="0" w:space="0" w:color="auto"/>
                  </w:divBdr>
                </w:div>
              </w:divsChild>
            </w:div>
            <w:div w:id="1779988367">
              <w:marLeft w:val="0"/>
              <w:marRight w:val="0"/>
              <w:marTop w:val="0"/>
              <w:marBottom w:val="0"/>
              <w:divBdr>
                <w:top w:val="none" w:sz="0" w:space="0" w:color="auto"/>
                <w:left w:val="none" w:sz="0" w:space="0" w:color="auto"/>
                <w:bottom w:val="none" w:sz="0" w:space="0" w:color="auto"/>
                <w:right w:val="none" w:sz="0" w:space="0" w:color="auto"/>
              </w:divBdr>
              <w:divsChild>
                <w:div w:id="785078898">
                  <w:marLeft w:val="0"/>
                  <w:marRight w:val="0"/>
                  <w:marTop w:val="0"/>
                  <w:marBottom w:val="0"/>
                  <w:divBdr>
                    <w:top w:val="none" w:sz="0" w:space="0" w:color="auto"/>
                    <w:left w:val="none" w:sz="0" w:space="0" w:color="auto"/>
                    <w:bottom w:val="none" w:sz="0" w:space="0" w:color="auto"/>
                    <w:right w:val="none" w:sz="0" w:space="0" w:color="auto"/>
                  </w:divBdr>
                </w:div>
              </w:divsChild>
            </w:div>
            <w:div w:id="1795250522">
              <w:marLeft w:val="0"/>
              <w:marRight w:val="0"/>
              <w:marTop w:val="0"/>
              <w:marBottom w:val="0"/>
              <w:divBdr>
                <w:top w:val="none" w:sz="0" w:space="0" w:color="auto"/>
                <w:left w:val="none" w:sz="0" w:space="0" w:color="auto"/>
                <w:bottom w:val="none" w:sz="0" w:space="0" w:color="auto"/>
                <w:right w:val="none" w:sz="0" w:space="0" w:color="auto"/>
              </w:divBdr>
              <w:divsChild>
                <w:div w:id="881289830">
                  <w:marLeft w:val="0"/>
                  <w:marRight w:val="0"/>
                  <w:marTop w:val="0"/>
                  <w:marBottom w:val="0"/>
                  <w:divBdr>
                    <w:top w:val="none" w:sz="0" w:space="0" w:color="auto"/>
                    <w:left w:val="none" w:sz="0" w:space="0" w:color="auto"/>
                    <w:bottom w:val="none" w:sz="0" w:space="0" w:color="auto"/>
                    <w:right w:val="none" w:sz="0" w:space="0" w:color="auto"/>
                  </w:divBdr>
                </w:div>
              </w:divsChild>
            </w:div>
            <w:div w:id="1798447127">
              <w:marLeft w:val="0"/>
              <w:marRight w:val="0"/>
              <w:marTop w:val="0"/>
              <w:marBottom w:val="0"/>
              <w:divBdr>
                <w:top w:val="none" w:sz="0" w:space="0" w:color="auto"/>
                <w:left w:val="none" w:sz="0" w:space="0" w:color="auto"/>
                <w:bottom w:val="none" w:sz="0" w:space="0" w:color="auto"/>
                <w:right w:val="none" w:sz="0" w:space="0" w:color="auto"/>
              </w:divBdr>
              <w:divsChild>
                <w:div w:id="1634288481">
                  <w:marLeft w:val="0"/>
                  <w:marRight w:val="0"/>
                  <w:marTop w:val="0"/>
                  <w:marBottom w:val="0"/>
                  <w:divBdr>
                    <w:top w:val="none" w:sz="0" w:space="0" w:color="auto"/>
                    <w:left w:val="none" w:sz="0" w:space="0" w:color="auto"/>
                    <w:bottom w:val="none" w:sz="0" w:space="0" w:color="auto"/>
                    <w:right w:val="none" w:sz="0" w:space="0" w:color="auto"/>
                  </w:divBdr>
                </w:div>
              </w:divsChild>
            </w:div>
            <w:div w:id="1804076994">
              <w:marLeft w:val="0"/>
              <w:marRight w:val="0"/>
              <w:marTop w:val="0"/>
              <w:marBottom w:val="0"/>
              <w:divBdr>
                <w:top w:val="none" w:sz="0" w:space="0" w:color="auto"/>
                <w:left w:val="none" w:sz="0" w:space="0" w:color="auto"/>
                <w:bottom w:val="none" w:sz="0" w:space="0" w:color="auto"/>
                <w:right w:val="none" w:sz="0" w:space="0" w:color="auto"/>
              </w:divBdr>
              <w:divsChild>
                <w:div w:id="1390955952">
                  <w:marLeft w:val="0"/>
                  <w:marRight w:val="0"/>
                  <w:marTop w:val="0"/>
                  <w:marBottom w:val="0"/>
                  <w:divBdr>
                    <w:top w:val="none" w:sz="0" w:space="0" w:color="auto"/>
                    <w:left w:val="none" w:sz="0" w:space="0" w:color="auto"/>
                    <w:bottom w:val="none" w:sz="0" w:space="0" w:color="auto"/>
                    <w:right w:val="none" w:sz="0" w:space="0" w:color="auto"/>
                  </w:divBdr>
                </w:div>
              </w:divsChild>
            </w:div>
            <w:div w:id="1905485744">
              <w:marLeft w:val="0"/>
              <w:marRight w:val="0"/>
              <w:marTop w:val="0"/>
              <w:marBottom w:val="0"/>
              <w:divBdr>
                <w:top w:val="none" w:sz="0" w:space="0" w:color="auto"/>
                <w:left w:val="none" w:sz="0" w:space="0" w:color="auto"/>
                <w:bottom w:val="none" w:sz="0" w:space="0" w:color="auto"/>
                <w:right w:val="none" w:sz="0" w:space="0" w:color="auto"/>
              </w:divBdr>
              <w:divsChild>
                <w:div w:id="371537530">
                  <w:marLeft w:val="0"/>
                  <w:marRight w:val="0"/>
                  <w:marTop w:val="0"/>
                  <w:marBottom w:val="0"/>
                  <w:divBdr>
                    <w:top w:val="none" w:sz="0" w:space="0" w:color="auto"/>
                    <w:left w:val="none" w:sz="0" w:space="0" w:color="auto"/>
                    <w:bottom w:val="none" w:sz="0" w:space="0" w:color="auto"/>
                    <w:right w:val="none" w:sz="0" w:space="0" w:color="auto"/>
                  </w:divBdr>
                </w:div>
              </w:divsChild>
            </w:div>
            <w:div w:id="1933472674">
              <w:marLeft w:val="0"/>
              <w:marRight w:val="0"/>
              <w:marTop w:val="0"/>
              <w:marBottom w:val="0"/>
              <w:divBdr>
                <w:top w:val="none" w:sz="0" w:space="0" w:color="auto"/>
                <w:left w:val="none" w:sz="0" w:space="0" w:color="auto"/>
                <w:bottom w:val="none" w:sz="0" w:space="0" w:color="auto"/>
                <w:right w:val="none" w:sz="0" w:space="0" w:color="auto"/>
              </w:divBdr>
              <w:divsChild>
                <w:div w:id="1713964008">
                  <w:marLeft w:val="0"/>
                  <w:marRight w:val="0"/>
                  <w:marTop w:val="0"/>
                  <w:marBottom w:val="0"/>
                  <w:divBdr>
                    <w:top w:val="none" w:sz="0" w:space="0" w:color="auto"/>
                    <w:left w:val="none" w:sz="0" w:space="0" w:color="auto"/>
                    <w:bottom w:val="none" w:sz="0" w:space="0" w:color="auto"/>
                    <w:right w:val="none" w:sz="0" w:space="0" w:color="auto"/>
                  </w:divBdr>
                </w:div>
              </w:divsChild>
            </w:div>
            <w:div w:id="1948077052">
              <w:marLeft w:val="0"/>
              <w:marRight w:val="0"/>
              <w:marTop w:val="0"/>
              <w:marBottom w:val="0"/>
              <w:divBdr>
                <w:top w:val="none" w:sz="0" w:space="0" w:color="auto"/>
                <w:left w:val="none" w:sz="0" w:space="0" w:color="auto"/>
                <w:bottom w:val="none" w:sz="0" w:space="0" w:color="auto"/>
                <w:right w:val="none" w:sz="0" w:space="0" w:color="auto"/>
              </w:divBdr>
              <w:divsChild>
                <w:div w:id="1818103789">
                  <w:marLeft w:val="0"/>
                  <w:marRight w:val="0"/>
                  <w:marTop w:val="0"/>
                  <w:marBottom w:val="0"/>
                  <w:divBdr>
                    <w:top w:val="none" w:sz="0" w:space="0" w:color="auto"/>
                    <w:left w:val="none" w:sz="0" w:space="0" w:color="auto"/>
                    <w:bottom w:val="none" w:sz="0" w:space="0" w:color="auto"/>
                    <w:right w:val="none" w:sz="0" w:space="0" w:color="auto"/>
                  </w:divBdr>
                </w:div>
              </w:divsChild>
            </w:div>
            <w:div w:id="1955820569">
              <w:marLeft w:val="0"/>
              <w:marRight w:val="0"/>
              <w:marTop w:val="0"/>
              <w:marBottom w:val="0"/>
              <w:divBdr>
                <w:top w:val="none" w:sz="0" w:space="0" w:color="auto"/>
                <w:left w:val="none" w:sz="0" w:space="0" w:color="auto"/>
                <w:bottom w:val="none" w:sz="0" w:space="0" w:color="auto"/>
                <w:right w:val="none" w:sz="0" w:space="0" w:color="auto"/>
              </w:divBdr>
              <w:divsChild>
                <w:div w:id="341125379">
                  <w:marLeft w:val="0"/>
                  <w:marRight w:val="0"/>
                  <w:marTop w:val="0"/>
                  <w:marBottom w:val="0"/>
                  <w:divBdr>
                    <w:top w:val="none" w:sz="0" w:space="0" w:color="auto"/>
                    <w:left w:val="none" w:sz="0" w:space="0" w:color="auto"/>
                    <w:bottom w:val="none" w:sz="0" w:space="0" w:color="auto"/>
                    <w:right w:val="none" w:sz="0" w:space="0" w:color="auto"/>
                  </w:divBdr>
                </w:div>
              </w:divsChild>
            </w:div>
            <w:div w:id="1958291913">
              <w:marLeft w:val="0"/>
              <w:marRight w:val="0"/>
              <w:marTop w:val="0"/>
              <w:marBottom w:val="0"/>
              <w:divBdr>
                <w:top w:val="none" w:sz="0" w:space="0" w:color="auto"/>
                <w:left w:val="none" w:sz="0" w:space="0" w:color="auto"/>
                <w:bottom w:val="none" w:sz="0" w:space="0" w:color="auto"/>
                <w:right w:val="none" w:sz="0" w:space="0" w:color="auto"/>
              </w:divBdr>
              <w:divsChild>
                <w:div w:id="1638876044">
                  <w:marLeft w:val="0"/>
                  <w:marRight w:val="0"/>
                  <w:marTop w:val="0"/>
                  <w:marBottom w:val="0"/>
                  <w:divBdr>
                    <w:top w:val="none" w:sz="0" w:space="0" w:color="auto"/>
                    <w:left w:val="none" w:sz="0" w:space="0" w:color="auto"/>
                    <w:bottom w:val="none" w:sz="0" w:space="0" w:color="auto"/>
                    <w:right w:val="none" w:sz="0" w:space="0" w:color="auto"/>
                  </w:divBdr>
                </w:div>
              </w:divsChild>
            </w:div>
            <w:div w:id="1992831300">
              <w:marLeft w:val="0"/>
              <w:marRight w:val="0"/>
              <w:marTop w:val="0"/>
              <w:marBottom w:val="0"/>
              <w:divBdr>
                <w:top w:val="none" w:sz="0" w:space="0" w:color="auto"/>
                <w:left w:val="none" w:sz="0" w:space="0" w:color="auto"/>
                <w:bottom w:val="none" w:sz="0" w:space="0" w:color="auto"/>
                <w:right w:val="none" w:sz="0" w:space="0" w:color="auto"/>
              </w:divBdr>
              <w:divsChild>
                <w:div w:id="582760445">
                  <w:marLeft w:val="0"/>
                  <w:marRight w:val="0"/>
                  <w:marTop w:val="0"/>
                  <w:marBottom w:val="0"/>
                  <w:divBdr>
                    <w:top w:val="none" w:sz="0" w:space="0" w:color="auto"/>
                    <w:left w:val="none" w:sz="0" w:space="0" w:color="auto"/>
                    <w:bottom w:val="none" w:sz="0" w:space="0" w:color="auto"/>
                    <w:right w:val="none" w:sz="0" w:space="0" w:color="auto"/>
                  </w:divBdr>
                </w:div>
              </w:divsChild>
            </w:div>
            <w:div w:id="2000229002">
              <w:marLeft w:val="0"/>
              <w:marRight w:val="0"/>
              <w:marTop w:val="0"/>
              <w:marBottom w:val="0"/>
              <w:divBdr>
                <w:top w:val="none" w:sz="0" w:space="0" w:color="auto"/>
                <w:left w:val="none" w:sz="0" w:space="0" w:color="auto"/>
                <w:bottom w:val="none" w:sz="0" w:space="0" w:color="auto"/>
                <w:right w:val="none" w:sz="0" w:space="0" w:color="auto"/>
              </w:divBdr>
              <w:divsChild>
                <w:div w:id="964192930">
                  <w:marLeft w:val="0"/>
                  <w:marRight w:val="0"/>
                  <w:marTop w:val="0"/>
                  <w:marBottom w:val="0"/>
                  <w:divBdr>
                    <w:top w:val="none" w:sz="0" w:space="0" w:color="auto"/>
                    <w:left w:val="none" w:sz="0" w:space="0" w:color="auto"/>
                    <w:bottom w:val="none" w:sz="0" w:space="0" w:color="auto"/>
                    <w:right w:val="none" w:sz="0" w:space="0" w:color="auto"/>
                  </w:divBdr>
                </w:div>
              </w:divsChild>
            </w:div>
            <w:div w:id="2024353860">
              <w:marLeft w:val="0"/>
              <w:marRight w:val="0"/>
              <w:marTop w:val="0"/>
              <w:marBottom w:val="0"/>
              <w:divBdr>
                <w:top w:val="none" w:sz="0" w:space="0" w:color="auto"/>
                <w:left w:val="none" w:sz="0" w:space="0" w:color="auto"/>
                <w:bottom w:val="none" w:sz="0" w:space="0" w:color="auto"/>
                <w:right w:val="none" w:sz="0" w:space="0" w:color="auto"/>
              </w:divBdr>
              <w:divsChild>
                <w:div w:id="1138376094">
                  <w:marLeft w:val="0"/>
                  <w:marRight w:val="0"/>
                  <w:marTop w:val="0"/>
                  <w:marBottom w:val="0"/>
                  <w:divBdr>
                    <w:top w:val="none" w:sz="0" w:space="0" w:color="auto"/>
                    <w:left w:val="none" w:sz="0" w:space="0" w:color="auto"/>
                    <w:bottom w:val="none" w:sz="0" w:space="0" w:color="auto"/>
                    <w:right w:val="none" w:sz="0" w:space="0" w:color="auto"/>
                  </w:divBdr>
                </w:div>
              </w:divsChild>
            </w:div>
            <w:div w:id="2087025932">
              <w:marLeft w:val="0"/>
              <w:marRight w:val="0"/>
              <w:marTop w:val="0"/>
              <w:marBottom w:val="0"/>
              <w:divBdr>
                <w:top w:val="none" w:sz="0" w:space="0" w:color="auto"/>
                <w:left w:val="none" w:sz="0" w:space="0" w:color="auto"/>
                <w:bottom w:val="none" w:sz="0" w:space="0" w:color="auto"/>
                <w:right w:val="none" w:sz="0" w:space="0" w:color="auto"/>
              </w:divBdr>
              <w:divsChild>
                <w:div w:id="1420709980">
                  <w:marLeft w:val="0"/>
                  <w:marRight w:val="0"/>
                  <w:marTop w:val="0"/>
                  <w:marBottom w:val="0"/>
                  <w:divBdr>
                    <w:top w:val="none" w:sz="0" w:space="0" w:color="auto"/>
                    <w:left w:val="none" w:sz="0" w:space="0" w:color="auto"/>
                    <w:bottom w:val="none" w:sz="0" w:space="0" w:color="auto"/>
                    <w:right w:val="none" w:sz="0" w:space="0" w:color="auto"/>
                  </w:divBdr>
                </w:div>
              </w:divsChild>
            </w:div>
            <w:div w:id="2090157361">
              <w:marLeft w:val="0"/>
              <w:marRight w:val="0"/>
              <w:marTop w:val="0"/>
              <w:marBottom w:val="0"/>
              <w:divBdr>
                <w:top w:val="none" w:sz="0" w:space="0" w:color="auto"/>
                <w:left w:val="none" w:sz="0" w:space="0" w:color="auto"/>
                <w:bottom w:val="none" w:sz="0" w:space="0" w:color="auto"/>
                <w:right w:val="none" w:sz="0" w:space="0" w:color="auto"/>
              </w:divBdr>
              <w:divsChild>
                <w:div w:id="619654864">
                  <w:marLeft w:val="0"/>
                  <w:marRight w:val="0"/>
                  <w:marTop w:val="0"/>
                  <w:marBottom w:val="0"/>
                  <w:divBdr>
                    <w:top w:val="none" w:sz="0" w:space="0" w:color="auto"/>
                    <w:left w:val="none" w:sz="0" w:space="0" w:color="auto"/>
                    <w:bottom w:val="none" w:sz="0" w:space="0" w:color="auto"/>
                    <w:right w:val="none" w:sz="0" w:space="0" w:color="auto"/>
                  </w:divBdr>
                </w:div>
              </w:divsChild>
            </w:div>
            <w:div w:id="2135785306">
              <w:marLeft w:val="0"/>
              <w:marRight w:val="0"/>
              <w:marTop w:val="0"/>
              <w:marBottom w:val="0"/>
              <w:divBdr>
                <w:top w:val="none" w:sz="0" w:space="0" w:color="auto"/>
                <w:left w:val="none" w:sz="0" w:space="0" w:color="auto"/>
                <w:bottom w:val="none" w:sz="0" w:space="0" w:color="auto"/>
                <w:right w:val="none" w:sz="0" w:space="0" w:color="auto"/>
              </w:divBdr>
              <w:divsChild>
                <w:div w:id="46867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521268">
      <w:bodyDiv w:val="1"/>
      <w:marLeft w:val="0"/>
      <w:marRight w:val="0"/>
      <w:marTop w:val="0"/>
      <w:marBottom w:val="0"/>
      <w:divBdr>
        <w:top w:val="none" w:sz="0" w:space="0" w:color="auto"/>
        <w:left w:val="none" w:sz="0" w:space="0" w:color="auto"/>
        <w:bottom w:val="none" w:sz="0" w:space="0" w:color="auto"/>
        <w:right w:val="none" w:sz="0" w:space="0" w:color="auto"/>
      </w:divBdr>
      <w:divsChild>
        <w:div w:id="1887714663">
          <w:marLeft w:val="0"/>
          <w:marRight w:val="0"/>
          <w:marTop w:val="0"/>
          <w:marBottom w:val="0"/>
          <w:divBdr>
            <w:top w:val="none" w:sz="0" w:space="0" w:color="auto"/>
            <w:left w:val="none" w:sz="0" w:space="0" w:color="auto"/>
            <w:bottom w:val="none" w:sz="0" w:space="0" w:color="auto"/>
            <w:right w:val="none" w:sz="0" w:space="0" w:color="auto"/>
          </w:divBdr>
        </w:div>
      </w:divsChild>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45099945">
      <w:bodyDiv w:val="1"/>
      <w:marLeft w:val="0"/>
      <w:marRight w:val="0"/>
      <w:marTop w:val="0"/>
      <w:marBottom w:val="0"/>
      <w:divBdr>
        <w:top w:val="none" w:sz="0" w:space="0" w:color="auto"/>
        <w:left w:val="none" w:sz="0" w:space="0" w:color="auto"/>
        <w:bottom w:val="none" w:sz="0" w:space="0" w:color="auto"/>
        <w:right w:val="none" w:sz="0" w:space="0" w:color="auto"/>
      </w:divBdr>
    </w:div>
    <w:div w:id="862209160">
      <w:bodyDiv w:val="1"/>
      <w:marLeft w:val="0"/>
      <w:marRight w:val="0"/>
      <w:marTop w:val="0"/>
      <w:marBottom w:val="0"/>
      <w:divBdr>
        <w:top w:val="none" w:sz="0" w:space="0" w:color="auto"/>
        <w:left w:val="none" w:sz="0" w:space="0" w:color="auto"/>
        <w:bottom w:val="none" w:sz="0" w:space="0" w:color="auto"/>
        <w:right w:val="none" w:sz="0" w:space="0" w:color="auto"/>
      </w:divBdr>
    </w:div>
    <w:div w:id="955328087">
      <w:bodyDiv w:val="1"/>
      <w:marLeft w:val="0"/>
      <w:marRight w:val="0"/>
      <w:marTop w:val="0"/>
      <w:marBottom w:val="0"/>
      <w:divBdr>
        <w:top w:val="none" w:sz="0" w:space="0" w:color="auto"/>
        <w:left w:val="none" w:sz="0" w:space="0" w:color="auto"/>
        <w:bottom w:val="none" w:sz="0" w:space="0" w:color="auto"/>
        <w:right w:val="none" w:sz="0" w:space="0" w:color="auto"/>
      </w:divBdr>
    </w:div>
    <w:div w:id="960107342">
      <w:bodyDiv w:val="1"/>
      <w:marLeft w:val="0"/>
      <w:marRight w:val="0"/>
      <w:marTop w:val="0"/>
      <w:marBottom w:val="0"/>
      <w:divBdr>
        <w:top w:val="none" w:sz="0" w:space="0" w:color="auto"/>
        <w:left w:val="none" w:sz="0" w:space="0" w:color="auto"/>
        <w:bottom w:val="none" w:sz="0" w:space="0" w:color="auto"/>
        <w:right w:val="none" w:sz="0" w:space="0" w:color="auto"/>
      </w:divBdr>
    </w:div>
    <w:div w:id="961500277">
      <w:bodyDiv w:val="1"/>
      <w:marLeft w:val="0"/>
      <w:marRight w:val="0"/>
      <w:marTop w:val="0"/>
      <w:marBottom w:val="0"/>
      <w:divBdr>
        <w:top w:val="none" w:sz="0" w:space="0" w:color="auto"/>
        <w:left w:val="none" w:sz="0" w:space="0" w:color="auto"/>
        <w:bottom w:val="none" w:sz="0" w:space="0" w:color="auto"/>
        <w:right w:val="none" w:sz="0" w:space="0" w:color="auto"/>
      </w:divBdr>
    </w:div>
    <w:div w:id="962803693">
      <w:bodyDiv w:val="1"/>
      <w:marLeft w:val="0"/>
      <w:marRight w:val="0"/>
      <w:marTop w:val="0"/>
      <w:marBottom w:val="0"/>
      <w:divBdr>
        <w:top w:val="none" w:sz="0" w:space="0" w:color="auto"/>
        <w:left w:val="none" w:sz="0" w:space="0" w:color="auto"/>
        <w:bottom w:val="none" w:sz="0" w:space="0" w:color="auto"/>
        <w:right w:val="none" w:sz="0" w:space="0" w:color="auto"/>
      </w:divBdr>
    </w:div>
    <w:div w:id="974066490">
      <w:bodyDiv w:val="1"/>
      <w:marLeft w:val="0"/>
      <w:marRight w:val="0"/>
      <w:marTop w:val="0"/>
      <w:marBottom w:val="0"/>
      <w:divBdr>
        <w:top w:val="none" w:sz="0" w:space="0" w:color="auto"/>
        <w:left w:val="none" w:sz="0" w:space="0" w:color="auto"/>
        <w:bottom w:val="none" w:sz="0" w:space="0" w:color="auto"/>
        <w:right w:val="none" w:sz="0" w:space="0" w:color="auto"/>
      </w:divBdr>
    </w:div>
    <w:div w:id="977999299">
      <w:bodyDiv w:val="1"/>
      <w:marLeft w:val="0"/>
      <w:marRight w:val="0"/>
      <w:marTop w:val="0"/>
      <w:marBottom w:val="0"/>
      <w:divBdr>
        <w:top w:val="none" w:sz="0" w:space="0" w:color="auto"/>
        <w:left w:val="none" w:sz="0" w:space="0" w:color="auto"/>
        <w:bottom w:val="none" w:sz="0" w:space="0" w:color="auto"/>
        <w:right w:val="none" w:sz="0" w:space="0" w:color="auto"/>
      </w:divBdr>
    </w:div>
    <w:div w:id="978338573">
      <w:bodyDiv w:val="1"/>
      <w:marLeft w:val="0"/>
      <w:marRight w:val="0"/>
      <w:marTop w:val="0"/>
      <w:marBottom w:val="0"/>
      <w:divBdr>
        <w:top w:val="none" w:sz="0" w:space="0" w:color="auto"/>
        <w:left w:val="none" w:sz="0" w:space="0" w:color="auto"/>
        <w:bottom w:val="none" w:sz="0" w:space="0" w:color="auto"/>
        <w:right w:val="none" w:sz="0" w:space="0" w:color="auto"/>
      </w:divBdr>
    </w:div>
    <w:div w:id="1018115617">
      <w:bodyDiv w:val="1"/>
      <w:marLeft w:val="0"/>
      <w:marRight w:val="0"/>
      <w:marTop w:val="0"/>
      <w:marBottom w:val="0"/>
      <w:divBdr>
        <w:top w:val="none" w:sz="0" w:space="0" w:color="auto"/>
        <w:left w:val="none" w:sz="0" w:space="0" w:color="auto"/>
        <w:bottom w:val="none" w:sz="0" w:space="0" w:color="auto"/>
        <w:right w:val="none" w:sz="0" w:space="0" w:color="auto"/>
      </w:divBdr>
      <w:divsChild>
        <w:div w:id="607129592">
          <w:marLeft w:val="0"/>
          <w:marRight w:val="0"/>
          <w:marTop w:val="0"/>
          <w:marBottom w:val="0"/>
          <w:divBdr>
            <w:top w:val="none" w:sz="0" w:space="0" w:color="auto"/>
            <w:left w:val="none" w:sz="0" w:space="0" w:color="auto"/>
            <w:bottom w:val="none" w:sz="0" w:space="0" w:color="auto"/>
            <w:right w:val="none" w:sz="0" w:space="0" w:color="auto"/>
          </w:divBdr>
        </w:div>
        <w:div w:id="1811173261">
          <w:marLeft w:val="0"/>
          <w:marRight w:val="0"/>
          <w:marTop w:val="0"/>
          <w:marBottom w:val="0"/>
          <w:divBdr>
            <w:top w:val="none" w:sz="0" w:space="0" w:color="auto"/>
            <w:left w:val="none" w:sz="0" w:space="0" w:color="auto"/>
            <w:bottom w:val="none" w:sz="0" w:space="0" w:color="auto"/>
            <w:right w:val="none" w:sz="0" w:space="0" w:color="auto"/>
          </w:divBdr>
        </w:div>
        <w:div w:id="1986929377">
          <w:marLeft w:val="0"/>
          <w:marRight w:val="0"/>
          <w:marTop w:val="0"/>
          <w:marBottom w:val="0"/>
          <w:divBdr>
            <w:top w:val="none" w:sz="0" w:space="0" w:color="auto"/>
            <w:left w:val="none" w:sz="0" w:space="0" w:color="auto"/>
            <w:bottom w:val="none" w:sz="0" w:space="0" w:color="auto"/>
            <w:right w:val="none" w:sz="0" w:space="0" w:color="auto"/>
          </w:divBdr>
        </w:div>
      </w:divsChild>
    </w:div>
    <w:div w:id="1049767502">
      <w:bodyDiv w:val="1"/>
      <w:marLeft w:val="0"/>
      <w:marRight w:val="0"/>
      <w:marTop w:val="0"/>
      <w:marBottom w:val="0"/>
      <w:divBdr>
        <w:top w:val="none" w:sz="0" w:space="0" w:color="auto"/>
        <w:left w:val="none" w:sz="0" w:space="0" w:color="auto"/>
        <w:bottom w:val="none" w:sz="0" w:space="0" w:color="auto"/>
        <w:right w:val="none" w:sz="0" w:space="0" w:color="auto"/>
      </w:divBdr>
    </w:div>
    <w:div w:id="1065102612">
      <w:bodyDiv w:val="1"/>
      <w:marLeft w:val="0"/>
      <w:marRight w:val="0"/>
      <w:marTop w:val="0"/>
      <w:marBottom w:val="0"/>
      <w:divBdr>
        <w:top w:val="none" w:sz="0" w:space="0" w:color="auto"/>
        <w:left w:val="none" w:sz="0" w:space="0" w:color="auto"/>
        <w:bottom w:val="none" w:sz="0" w:space="0" w:color="auto"/>
        <w:right w:val="none" w:sz="0" w:space="0" w:color="auto"/>
      </w:divBdr>
    </w:div>
    <w:div w:id="1082945470">
      <w:bodyDiv w:val="1"/>
      <w:marLeft w:val="0"/>
      <w:marRight w:val="0"/>
      <w:marTop w:val="0"/>
      <w:marBottom w:val="0"/>
      <w:divBdr>
        <w:top w:val="none" w:sz="0" w:space="0" w:color="auto"/>
        <w:left w:val="none" w:sz="0" w:space="0" w:color="auto"/>
        <w:bottom w:val="none" w:sz="0" w:space="0" w:color="auto"/>
        <w:right w:val="none" w:sz="0" w:space="0" w:color="auto"/>
      </w:divBdr>
      <w:divsChild>
        <w:div w:id="55663187">
          <w:marLeft w:val="0"/>
          <w:marRight w:val="0"/>
          <w:marTop w:val="0"/>
          <w:marBottom w:val="0"/>
          <w:divBdr>
            <w:top w:val="none" w:sz="0" w:space="0" w:color="auto"/>
            <w:left w:val="none" w:sz="0" w:space="0" w:color="auto"/>
            <w:bottom w:val="none" w:sz="0" w:space="0" w:color="auto"/>
            <w:right w:val="none" w:sz="0" w:space="0" w:color="auto"/>
          </w:divBdr>
        </w:div>
        <w:div w:id="633020730">
          <w:marLeft w:val="0"/>
          <w:marRight w:val="0"/>
          <w:marTop w:val="0"/>
          <w:marBottom w:val="0"/>
          <w:divBdr>
            <w:top w:val="none" w:sz="0" w:space="0" w:color="auto"/>
            <w:left w:val="none" w:sz="0" w:space="0" w:color="auto"/>
            <w:bottom w:val="none" w:sz="0" w:space="0" w:color="auto"/>
            <w:right w:val="none" w:sz="0" w:space="0" w:color="auto"/>
          </w:divBdr>
        </w:div>
        <w:div w:id="1026295886">
          <w:marLeft w:val="0"/>
          <w:marRight w:val="0"/>
          <w:marTop w:val="0"/>
          <w:marBottom w:val="0"/>
          <w:divBdr>
            <w:top w:val="none" w:sz="0" w:space="0" w:color="auto"/>
            <w:left w:val="none" w:sz="0" w:space="0" w:color="auto"/>
            <w:bottom w:val="none" w:sz="0" w:space="0" w:color="auto"/>
            <w:right w:val="none" w:sz="0" w:space="0" w:color="auto"/>
          </w:divBdr>
        </w:div>
        <w:div w:id="1231042649">
          <w:marLeft w:val="0"/>
          <w:marRight w:val="0"/>
          <w:marTop w:val="0"/>
          <w:marBottom w:val="0"/>
          <w:divBdr>
            <w:top w:val="none" w:sz="0" w:space="0" w:color="auto"/>
            <w:left w:val="none" w:sz="0" w:space="0" w:color="auto"/>
            <w:bottom w:val="none" w:sz="0" w:space="0" w:color="auto"/>
            <w:right w:val="none" w:sz="0" w:space="0" w:color="auto"/>
          </w:divBdr>
        </w:div>
      </w:divsChild>
    </w:div>
    <w:div w:id="1083836343">
      <w:bodyDiv w:val="1"/>
      <w:marLeft w:val="0"/>
      <w:marRight w:val="0"/>
      <w:marTop w:val="0"/>
      <w:marBottom w:val="0"/>
      <w:divBdr>
        <w:top w:val="none" w:sz="0" w:space="0" w:color="auto"/>
        <w:left w:val="none" w:sz="0" w:space="0" w:color="auto"/>
        <w:bottom w:val="none" w:sz="0" w:space="0" w:color="auto"/>
        <w:right w:val="none" w:sz="0" w:space="0" w:color="auto"/>
      </w:divBdr>
    </w:div>
    <w:div w:id="1090084239">
      <w:bodyDiv w:val="1"/>
      <w:marLeft w:val="0"/>
      <w:marRight w:val="0"/>
      <w:marTop w:val="0"/>
      <w:marBottom w:val="0"/>
      <w:divBdr>
        <w:top w:val="none" w:sz="0" w:space="0" w:color="auto"/>
        <w:left w:val="none" w:sz="0" w:space="0" w:color="auto"/>
        <w:bottom w:val="none" w:sz="0" w:space="0" w:color="auto"/>
        <w:right w:val="none" w:sz="0" w:space="0" w:color="auto"/>
      </w:divBdr>
    </w:div>
    <w:div w:id="1102145150">
      <w:bodyDiv w:val="1"/>
      <w:marLeft w:val="0"/>
      <w:marRight w:val="0"/>
      <w:marTop w:val="0"/>
      <w:marBottom w:val="0"/>
      <w:divBdr>
        <w:top w:val="none" w:sz="0" w:space="0" w:color="auto"/>
        <w:left w:val="none" w:sz="0" w:space="0" w:color="auto"/>
        <w:bottom w:val="none" w:sz="0" w:space="0" w:color="auto"/>
        <w:right w:val="none" w:sz="0" w:space="0" w:color="auto"/>
      </w:divBdr>
    </w:div>
    <w:div w:id="1129668007">
      <w:bodyDiv w:val="1"/>
      <w:marLeft w:val="0"/>
      <w:marRight w:val="0"/>
      <w:marTop w:val="0"/>
      <w:marBottom w:val="0"/>
      <w:divBdr>
        <w:top w:val="none" w:sz="0" w:space="0" w:color="auto"/>
        <w:left w:val="none" w:sz="0" w:space="0" w:color="auto"/>
        <w:bottom w:val="none" w:sz="0" w:space="0" w:color="auto"/>
        <w:right w:val="none" w:sz="0" w:space="0" w:color="auto"/>
      </w:divBdr>
    </w:div>
    <w:div w:id="1129739008">
      <w:bodyDiv w:val="1"/>
      <w:marLeft w:val="0"/>
      <w:marRight w:val="0"/>
      <w:marTop w:val="0"/>
      <w:marBottom w:val="0"/>
      <w:divBdr>
        <w:top w:val="none" w:sz="0" w:space="0" w:color="auto"/>
        <w:left w:val="none" w:sz="0" w:space="0" w:color="auto"/>
        <w:bottom w:val="none" w:sz="0" w:space="0" w:color="auto"/>
        <w:right w:val="none" w:sz="0" w:space="0" w:color="auto"/>
      </w:divBdr>
      <w:divsChild>
        <w:div w:id="455803976">
          <w:marLeft w:val="0"/>
          <w:marRight w:val="0"/>
          <w:marTop w:val="0"/>
          <w:marBottom w:val="0"/>
          <w:divBdr>
            <w:top w:val="none" w:sz="0" w:space="0" w:color="auto"/>
            <w:left w:val="none" w:sz="0" w:space="0" w:color="auto"/>
            <w:bottom w:val="none" w:sz="0" w:space="0" w:color="auto"/>
            <w:right w:val="none" w:sz="0" w:space="0" w:color="auto"/>
          </w:divBdr>
          <w:divsChild>
            <w:div w:id="243539593">
              <w:marLeft w:val="0"/>
              <w:marRight w:val="0"/>
              <w:marTop w:val="0"/>
              <w:marBottom w:val="0"/>
              <w:divBdr>
                <w:top w:val="none" w:sz="0" w:space="0" w:color="auto"/>
                <w:left w:val="none" w:sz="0" w:space="0" w:color="auto"/>
                <w:bottom w:val="none" w:sz="0" w:space="0" w:color="auto"/>
                <w:right w:val="none" w:sz="0" w:space="0" w:color="auto"/>
              </w:divBdr>
            </w:div>
            <w:div w:id="297151892">
              <w:marLeft w:val="0"/>
              <w:marRight w:val="0"/>
              <w:marTop w:val="0"/>
              <w:marBottom w:val="0"/>
              <w:divBdr>
                <w:top w:val="none" w:sz="0" w:space="0" w:color="auto"/>
                <w:left w:val="none" w:sz="0" w:space="0" w:color="auto"/>
                <w:bottom w:val="none" w:sz="0" w:space="0" w:color="auto"/>
                <w:right w:val="none" w:sz="0" w:space="0" w:color="auto"/>
              </w:divBdr>
            </w:div>
            <w:div w:id="564947475">
              <w:marLeft w:val="0"/>
              <w:marRight w:val="0"/>
              <w:marTop w:val="0"/>
              <w:marBottom w:val="0"/>
              <w:divBdr>
                <w:top w:val="none" w:sz="0" w:space="0" w:color="auto"/>
                <w:left w:val="none" w:sz="0" w:space="0" w:color="auto"/>
                <w:bottom w:val="none" w:sz="0" w:space="0" w:color="auto"/>
                <w:right w:val="none" w:sz="0" w:space="0" w:color="auto"/>
              </w:divBdr>
            </w:div>
            <w:div w:id="763769660">
              <w:marLeft w:val="0"/>
              <w:marRight w:val="0"/>
              <w:marTop w:val="0"/>
              <w:marBottom w:val="0"/>
              <w:divBdr>
                <w:top w:val="none" w:sz="0" w:space="0" w:color="auto"/>
                <w:left w:val="none" w:sz="0" w:space="0" w:color="auto"/>
                <w:bottom w:val="none" w:sz="0" w:space="0" w:color="auto"/>
                <w:right w:val="none" w:sz="0" w:space="0" w:color="auto"/>
              </w:divBdr>
            </w:div>
            <w:div w:id="1948735879">
              <w:marLeft w:val="0"/>
              <w:marRight w:val="0"/>
              <w:marTop w:val="0"/>
              <w:marBottom w:val="0"/>
              <w:divBdr>
                <w:top w:val="none" w:sz="0" w:space="0" w:color="auto"/>
                <w:left w:val="none" w:sz="0" w:space="0" w:color="auto"/>
                <w:bottom w:val="none" w:sz="0" w:space="0" w:color="auto"/>
                <w:right w:val="none" w:sz="0" w:space="0" w:color="auto"/>
              </w:divBdr>
            </w:div>
            <w:div w:id="1991790972">
              <w:marLeft w:val="0"/>
              <w:marRight w:val="0"/>
              <w:marTop w:val="0"/>
              <w:marBottom w:val="0"/>
              <w:divBdr>
                <w:top w:val="none" w:sz="0" w:space="0" w:color="auto"/>
                <w:left w:val="none" w:sz="0" w:space="0" w:color="auto"/>
                <w:bottom w:val="none" w:sz="0" w:space="0" w:color="auto"/>
                <w:right w:val="none" w:sz="0" w:space="0" w:color="auto"/>
              </w:divBdr>
            </w:div>
          </w:divsChild>
        </w:div>
        <w:div w:id="1051613190">
          <w:marLeft w:val="0"/>
          <w:marRight w:val="0"/>
          <w:marTop w:val="0"/>
          <w:marBottom w:val="0"/>
          <w:divBdr>
            <w:top w:val="none" w:sz="0" w:space="0" w:color="auto"/>
            <w:left w:val="none" w:sz="0" w:space="0" w:color="auto"/>
            <w:bottom w:val="none" w:sz="0" w:space="0" w:color="auto"/>
            <w:right w:val="none" w:sz="0" w:space="0" w:color="auto"/>
          </w:divBdr>
          <w:divsChild>
            <w:div w:id="197015911">
              <w:marLeft w:val="0"/>
              <w:marRight w:val="0"/>
              <w:marTop w:val="0"/>
              <w:marBottom w:val="0"/>
              <w:divBdr>
                <w:top w:val="none" w:sz="0" w:space="0" w:color="auto"/>
                <w:left w:val="none" w:sz="0" w:space="0" w:color="auto"/>
                <w:bottom w:val="none" w:sz="0" w:space="0" w:color="auto"/>
                <w:right w:val="none" w:sz="0" w:space="0" w:color="auto"/>
              </w:divBdr>
            </w:div>
          </w:divsChild>
        </w:div>
        <w:div w:id="1378435316">
          <w:marLeft w:val="0"/>
          <w:marRight w:val="0"/>
          <w:marTop w:val="0"/>
          <w:marBottom w:val="0"/>
          <w:divBdr>
            <w:top w:val="none" w:sz="0" w:space="0" w:color="auto"/>
            <w:left w:val="none" w:sz="0" w:space="0" w:color="auto"/>
            <w:bottom w:val="none" w:sz="0" w:space="0" w:color="auto"/>
            <w:right w:val="none" w:sz="0" w:space="0" w:color="auto"/>
          </w:divBdr>
          <w:divsChild>
            <w:div w:id="127237802">
              <w:marLeft w:val="0"/>
              <w:marRight w:val="0"/>
              <w:marTop w:val="0"/>
              <w:marBottom w:val="0"/>
              <w:divBdr>
                <w:top w:val="none" w:sz="0" w:space="0" w:color="auto"/>
                <w:left w:val="none" w:sz="0" w:space="0" w:color="auto"/>
                <w:bottom w:val="none" w:sz="0" w:space="0" w:color="auto"/>
                <w:right w:val="none" w:sz="0" w:space="0" w:color="auto"/>
              </w:divBdr>
            </w:div>
            <w:div w:id="394427032">
              <w:marLeft w:val="0"/>
              <w:marRight w:val="0"/>
              <w:marTop w:val="0"/>
              <w:marBottom w:val="0"/>
              <w:divBdr>
                <w:top w:val="none" w:sz="0" w:space="0" w:color="auto"/>
                <w:left w:val="none" w:sz="0" w:space="0" w:color="auto"/>
                <w:bottom w:val="none" w:sz="0" w:space="0" w:color="auto"/>
                <w:right w:val="none" w:sz="0" w:space="0" w:color="auto"/>
              </w:divBdr>
            </w:div>
            <w:div w:id="431970347">
              <w:marLeft w:val="0"/>
              <w:marRight w:val="0"/>
              <w:marTop w:val="0"/>
              <w:marBottom w:val="0"/>
              <w:divBdr>
                <w:top w:val="none" w:sz="0" w:space="0" w:color="auto"/>
                <w:left w:val="none" w:sz="0" w:space="0" w:color="auto"/>
                <w:bottom w:val="none" w:sz="0" w:space="0" w:color="auto"/>
                <w:right w:val="none" w:sz="0" w:space="0" w:color="auto"/>
              </w:divBdr>
            </w:div>
            <w:div w:id="497162654">
              <w:marLeft w:val="0"/>
              <w:marRight w:val="0"/>
              <w:marTop w:val="0"/>
              <w:marBottom w:val="0"/>
              <w:divBdr>
                <w:top w:val="none" w:sz="0" w:space="0" w:color="auto"/>
                <w:left w:val="none" w:sz="0" w:space="0" w:color="auto"/>
                <w:bottom w:val="none" w:sz="0" w:space="0" w:color="auto"/>
                <w:right w:val="none" w:sz="0" w:space="0" w:color="auto"/>
              </w:divBdr>
            </w:div>
            <w:div w:id="565798730">
              <w:marLeft w:val="0"/>
              <w:marRight w:val="0"/>
              <w:marTop w:val="0"/>
              <w:marBottom w:val="0"/>
              <w:divBdr>
                <w:top w:val="none" w:sz="0" w:space="0" w:color="auto"/>
                <w:left w:val="none" w:sz="0" w:space="0" w:color="auto"/>
                <w:bottom w:val="none" w:sz="0" w:space="0" w:color="auto"/>
                <w:right w:val="none" w:sz="0" w:space="0" w:color="auto"/>
              </w:divBdr>
            </w:div>
            <w:div w:id="744300253">
              <w:marLeft w:val="0"/>
              <w:marRight w:val="0"/>
              <w:marTop w:val="0"/>
              <w:marBottom w:val="0"/>
              <w:divBdr>
                <w:top w:val="none" w:sz="0" w:space="0" w:color="auto"/>
                <w:left w:val="none" w:sz="0" w:space="0" w:color="auto"/>
                <w:bottom w:val="none" w:sz="0" w:space="0" w:color="auto"/>
                <w:right w:val="none" w:sz="0" w:space="0" w:color="auto"/>
              </w:divBdr>
            </w:div>
            <w:div w:id="808792146">
              <w:marLeft w:val="0"/>
              <w:marRight w:val="0"/>
              <w:marTop w:val="0"/>
              <w:marBottom w:val="0"/>
              <w:divBdr>
                <w:top w:val="none" w:sz="0" w:space="0" w:color="auto"/>
                <w:left w:val="none" w:sz="0" w:space="0" w:color="auto"/>
                <w:bottom w:val="none" w:sz="0" w:space="0" w:color="auto"/>
                <w:right w:val="none" w:sz="0" w:space="0" w:color="auto"/>
              </w:divBdr>
            </w:div>
            <w:div w:id="875582131">
              <w:marLeft w:val="0"/>
              <w:marRight w:val="0"/>
              <w:marTop w:val="0"/>
              <w:marBottom w:val="0"/>
              <w:divBdr>
                <w:top w:val="none" w:sz="0" w:space="0" w:color="auto"/>
                <w:left w:val="none" w:sz="0" w:space="0" w:color="auto"/>
                <w:bottom w:val="none" w:sz="0" w:space="0" w:color="auto"/>
                <w:right w:val="none" w:sz="0" w:space="0" w:color="auto"/>
              </w:divBdr>
            </w:div>
            <w:div w:id="890966079">
              <w:marLeft w:val="0"/>
              <w:marRight w:val="0"/>
              <w:marTop w:val="0"/>
              <w:marBottom w:val="0"/>
              <w:divBdr>
                <w:top w:val="none" w:sz="0" w:space="0" w:color="auto"/>
                <w:left w:val="none" w:sz="0" w:space="0" w:color="auto"/>
                <w:bottom w:val="none" w:sz="0" w:space="0" w:color="auto"/>
                <w:right w:val="none" w:sz="0" w:space="0" w:color="auto"/>
              </w:divBdr>
            </w:div>
            <w:div w:id="933779862">
              <w:marLeft w:val="0"/>
              <w:marRight w:val="0"/>
              <w:marTop w:val="0"/>
              <w:marBottom w:val="0"/>
              <w:divBdr>
                <w:top w:val="none" w:sz="0" w:space="0" w:color="auto"/>
                <w:left w:val="none" w:sz="0" w:space="0" w:color="auto"/>
                <w:bottom w:val="none" w:sz="0" w:space="0" w:color="auto"/>
                <w:right w:val="none" w:sz="0" w:space="0" w:color="auto"/>
              </w:divBdr>
            </w:div>
            <w:div w:id="971907990">
              <w:marLeft w:val="0"/>
              <w:marRight w:val="0"/>
              <w:marTop w:val="0"/>
              <w:marBottom w:val="0"/>
              <w:divBdr>
                <w:top w:val="none" w:sz="0" w:space="0" w:color="auto"/>
                <w:left w:val="none" w:sz="0" w:space="0" w:color="auto"/>
                <w:bottom w:val="none" w:sz="0" w:space="0" w:color="auto"/>
                <w:right w:val="none" w:sz="0" w:space="0" w:color="auto"/>
              </w:divBdr>
            </w:div>
            <w:div w:id="998996227">
              <w:marLeft w:val="0"/>
              <w:marRight w:val="0"/>
              <w:marTop w:val="0"/>
              <w:marBottom w:val="0"/>
              <w:divBdr>
                <w:top w:val="none" w:sz="0" w:space="0" w:color="auto"/>
                <w:left w:val="none" w:sz="0" w:space="0" w:color="auto"/>
                <w:bottom w:val="none" w:sz="0" w:space="0" w:color="auto"/>
                <w:right w:val="none" w:sz="0" w:space="0" w:color="auto"/>
              </w:divBdr>
            </w:div>
            <w:div w:id="1127552442">
              <w:marLeft w:val="0"/>
              <w:marRight w:val="0"/>
              <w:marTop w:val="0"/>
              <w:marBottom w:val="0"/>
              <w:divBdr>
                <w:top w:val="none" w:sz="0" w:space="0" w:color="auto"/>
                <w:left w:val="none" w:sz="0" w:space="0" w:color="auto"/>
                <w:bottom w:val="none" w:sz="0" w:space="0" w:color="auto"/>
                <w:right w:val="none" w:sz="0" w:space="0" w:color="auto"/>
              </w:divBdr>
            </w:div>
            <w:div w:id="1202866416">
              <w:marLeft w:val="0"/>
              <w:marRight w:val="0"/>
              <w:marTop w:val="0"/>
              <w:marBottom w:val="0"/>
              <w:divBdr>
                <w:top w:val="none" w:sz="0" w:space="0" w:color="auto"/>
                <w:left w:val="none" w:sz="0" w:space="0" w:color="auto"/>
                <w:bottom w:val="none" w:sz="0" w:space="0" w:color="auto"/>
                <w:right w:val="none" w:sz="0" w:space="0" w:color="auto"/>
              </w:divBdr>
            </w:div>
            <w:div w:id="1290866253">
              <w:marLeft w:val="0"/>
              <w:marRight w:val="0"/>
              <w:marTop w:val="0"/>
              <w:marBottom w:val="0"/>
              <w:divBdr>
                <w:top w:val="none" w:sz="0" w:space="0" w:color="auto"/>
                <w:left w:val="none" w:sz="0" w:space="0" w:color="auto"/>
                <w:bottom w:val="none" w:sz="0" w:space="0" w:color="auto"/>
                <w:right w:val="none" w:sz="0" w:space="0" w:color="auto"/>
              </w:divBdr>
            </w:div>
            <w:div w:id="1294558034">
              <w:marLeft w:val="0"/>
              <w:marRight w:val="0"/>
              <w:marTop w:val="0"/>
              <w:marBottom w:val="0"/>
              <w:divBdr>
                <w:top w:val="none" w:sz="0" w:space="0" w:color="auto"/>
                <w:left w:val="none" w:sz="0" w:space="0" w:color="auto"/>
                <w:bottom w:val="none" w:sz="0" w:space="0" w:color="auto"/>
                <w:right w:val="none" w:sz="0" w:space="0" w:color="auto"/>
              </w:divBdr>
            </w:div>
            <w:div w:id="1614901077">
              <w:marLeft w:val="0"/>
              <w:marRight w:val="0"/>
              <w:marTop w:val="0"/>
              <w:marBottom w:val="0"/>
              <w:divBdr>
                <w:top w:val="none" w:sz="0" w:space="0" w:color="auto"/>
                <w:left w:val="none" w:sz="0" w:space="0" w:color="auto"/>
                <w:bottom w:val="none" w:sz="0" w:space="0" w:color="auto"/>
                <w:right w:val="none" w:sz="0" w:space="0" w:color="auto"/>
              </w:divBdr>
            </w:div>
            <w:div w:id="1629699628">
              <w:marLeft w:val="0"/>
              <w:marRight w:val="0"/>
              <w:marTop w:val="0"/>
              <w:marBottom w:val="0"/>
              <w:divBdr>
                <w:top w:val="none" w:sz="0" w:space="0" w:color="auto"/>
                <w:left w:val="none" w:sz="0" w:space="0" w:color="auto"/>
                <w:bottom w:val="none" w:sz="0" w:space="0" w:color="auto"/>
                <w:right w:val="none" w:sz="0" w:space="0" w:color="auto"/>
              </w:divBdr>
            </w:div>
            <w:div w:id="1731271036">
              <w:marLeft w:val="0"/>
              <w:marRight w:val="0"/>
              <w:marTop w:val="0"/>
              <w:marBottom w:val="0"/>
              <w:divBdr>
                <w:top w:val="none" w:sz="0" w:space="0" w:color="auto"/>
                <w:left w:val="none" w:sz="0" w:space="0" w:color="auto"/>
                <w:bottom w:val="none" w:sz="0" w:space="0" w:color="auto"/>
                <w:right w:val="none" w:sz="0" w:space="0" w:color="auto"/>
              </w:divBdr>
            </w:div>
            <w:div w:id="207149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092089">
      <w:bodyDiv w:val="1"/>
      <w:marLeft w:val="0"/>
      <w:marRight w:val="0"/>
      <w:marTop w:val="0"/>
      <w:marBottom w:val="0"/>
      <w:divBdr>
        <w:top w:val="none" w:sz="0" w:space="0" w:color="auto"/>
        <w:left w:val="none" w:sz="0" w:space="0" w:color="auto"/>
        <w:bottom w:val="none" w:sz="0" w:space="0" w:color="auto"/>
        <w:right w:val="none" w:sz="0" w:space="0" w:color="auto"/>
      </w:divBdr>
    </w:div>
    <w:div w:id="1147474867">
      <w:bodyDiv w:val="1"/>
      <w:marLeft w:val="0"/>
      <w:marRight w:val="0"/>
      <w:marTop w:val="0"/>
      <w:marBottom w:val="0"/>
      <w:divBdr>
        <w:top w:val="none" w:sz="0" w:space="0" w:color="auto"/>
        <w:left w:val="none" w:sz="0" w:space="0" w:color="auto"/>
        <w:bottom w:val="none" w:sz="0" w:space="0" w:color="auto"/>
        <w:right w:val="none" w:sz="0" w:space="0" w:color="auto"/>
      </w:divBdr>
    </w:div>
    <w:div w:id="1213538416">
      <w:bodyDiv w:val="1"/>
      <w:marLeft w:val="0"/>
      <w:marRight w:val="0"/>
      <w:marTop w:val="0"/>
      <w:marBottom w:val="0"/>
      <w:divBdr>
        <w:top w:val="none" w:sz="0" w:space="0" w:color="auto"/>
        <w:left w:val="none" w:sz="0" w:space="0" w:color="auto"/>
        <w:bottom w:val="none" w:sz="0" w:space="0" w:color="auto"/>
        <w:right w:val="none" w:sz="0" w:space="0" w:color="auto"/>
      </w:divBdr>
    </w:div>
    <w:div w:id="1224222245">
      <w:bodyDiv w:val="1"/>
      <w:marLeft w:val="0"/>
      <w:marRight w:val="0"/>
      <w:marTop w:val="0"/>
      <w:marBottom w:val="0"/>
      <w:divBdr>
        <w:top w:val="none" w:sz="0" w:space="0" w:color="auto"/>
        <w:left w:val="none" w:sz="0" w:space="0" w:color="auto"/>
        <w:bottom w:val="none" w:sz="0" w:space="0" w:color="auto"/>
        <w:right w:val="none" w:sz="0" w:space="0" w:color="auto"/>
      </w:divBdr>
    </w:div>
    <w:div w:id="1242911614">
      <w:bodyDiv w:val="1"/>
      <w:marLeft w:val="0"/>
      <w:marRight w:val="0"/>
      <w:marTop w:val="0"/>
      <w:marBottom w:val="0"/>
      <w:divBdr>
        <w:top w:val="none" w:sz="0" w:space="0" w:color="auto"/>
        <w:left w:val="none" w:sz="0" w:space="0" w:color="auto"/>
        <w:bottom w:val="none" w:sz="0" w:space="0" w:color="auto"/>
        <w:right w:val="none" w:sz="0" w:space="0" w:color="auto"/>
      </w:divBdr>
    </w:div>
    <w:div w:id="1252543503">
      <w:bodyDiv w:val="1"/>
      <w:marLeft w:val="0"/>
      <w:marRight w:val="0"/>
      <w:marTop w:val="0"/>
      <w:marBottom w:val="0"/>
      <w:divBdr>
        <w:top w:val="none" w:sz="0" w:space="0" w:color="auto"/>
        <w:left w:val="none" w:sz="0" w:space="0" w:color="auto"/>
        <w:bottom w:val="none" w:sz="0" w:space="0" w:color="auto"/>
        <w:right w:val="none" w:sz="0" w:space="0" w:color="auto"/>
      </w:divBdr>
    </w:div>
    <w:div w:id="1278097555">
      <w:bodyDiv w:val="1"/>
      <w:marLeft w:val="0"/>
      <w:marRight w:val="0"/>
      <w:marTop w:val="0"/>
      <w:marBottom w:val="0"/>
      <w:divBdr>
        <w:top w:val="none" w:sz="0" w:space="0" w:color="auto"/>
        <w:left w:val="none" w:sz="0" w:space="0" w:color="auto"/>
        <w:bottom w:val="none" w:sz="0" w:space="0" w:color="auto"/>
        <w:right w:val="none" w:sz="0" w:space="0" w:color="auto"/>
      </w:divBdr>
    </w:div>
    <w:div w:id="1283878896">
      <w:bodyDiv w:val="1"/>
      <w:marLeft w:val="0"/>
      <w:marRight w:val="0"/>
      <w:marTop w:val="0"/>
      <w:marBottom w:val="0"/>
      <w:divBdr>
        <w:top w:val="none" w:sz="0" w:space="0" w:color="auto"/>
        <w:left w:val="none" w:sz="0" w:space="0" w:color="auto"/>
        <w:bottom w:val="none" w:sz="0" w:space="0" w:color="auto"/>
        <w:right w:val="none" w:sz="0" w:space="0" w:color="auto"/>
      </w:divBdr>
      <w:divsChild>
        <w:div w:id="1956868226">
          <w:marLeft w:val="0"/>
          <w:marRight w:val="0"/>
          <w:marTop w:val="0"/>
          <w:marBottom w:val="0"/>
          <w:divBdr>
            <w:top w:val="none" w:sz="0" w:space="0" w:color="auto"/>
            <w:left w:val="none" w:sz="0" w:space="0" w:color="auto"/>
            <w:bottom w:val="none" w:sz="0" w:space="0" w:color="auto"/>
            <w:right w:val="none" w:sz="0" w:space="0" w:color="auto"/>
          </w:divBdr>
          <w:divsChild>
            <w:div w:id="878708719">
              <w:marLeft w:val="0"/>
              <w:marRight w:val="0"/>
              <w:marTop w:val="0"/>
              <w:marBottom w:val="0"/>
              <w:divBdr>
                <w:top w:val="none" w:sz="0" w:space="0" w:color="auto"/>
                <w:left w:val="none" w:sz="0" w:space="0" w:color="auto"/>
                <w:bottom w:val="none" w:sz="0" w:space="0" w:color="auto"/>
                <w:right w:val="none" w:sz="0" w:space="0" w:color="auto"/>
              </w:divBdr>
              <w:divsChild>
                <w:div w:id="1448963788">
                  <w:marLeft w:val="0"/>
                  <w:marRight w:val="0"/>
                  <w:marTop w:val="0"/>
                  <w:marBottom w:val="0"/>
                  <w:divBdr>
                    <w:top w:val="none" w:sz="0" w:space="0" w:color="auto"/>
                    <w:left w:val="none" w:sz="0" w:space="0" w:color="auto"/>
                    <w:bottom w:val="none" w:sz="0" w:space="0" w:color="auto"/>
                    <w:right w:val="none" w:sz="0" w:space="0" w:color="auto"/>
                  </w:divBdr>
                  <w:divsChild>
                    <w:div w:id="129671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095780">
      <w:bodyDiv w:val="1"/>
      <w:marLeft w:val="0"/>
      <w:marRight w:val="0"/>
      <w:marTop w:val="0"/>
      <w:marBottom w:val="0"/>
      <w:divBdr>
        <w:top w:val="none" w:sz="0" w:space="0" w:color="auto"/>
        <w:left w:val="none" w:sz="0" w:space="0" w:color="auto"/>
        <w:bottom w:val="none" w:sz="0" w:space="0" w:color="auto"/>
        <w:right w:val="none" w:sz="0" w:space="0" w:color="auto"/>
      </w:divBdr>
      <w:divsChild>
        <w:div w:id="1443377611">
          <w:marLeft w:val="0"/>
          <w:marRight w:val="0"/>
          <w:marTop w:val="0"/>
          <w:marBottom w:val="0"/>
          <w:divBdr>
            <w:top w:val="none" w:sz="0" w:space="0" w:color="auto"/>
            <w:left w:val="none" w:sz="0" w:space="0" w:color="auto"/>
            <w:bottom w:val="none" w:sz="0" w:space="0" w:color="auto"/>
            <w:right w:val="none" w:sz="0" w:space="0" w:color="auto"/>
          </w:divBdr>
        </w:div>
        <w:div w:id="1757243438">
          <w:marLeft w:val="0"/>
          <w:marRight w:val="0"/>
          <w:marTop w:val="0"/>
          <w:marBottom w:val="0"/>
          <w:divBdr>
            <w:top w:val="none" w:sz="0" w:space="0" w:color="auto"/>
            <w:left w:val="none" w:sz="0" w:space="0" w:color="auto"/>
            <w:bottom w:val="none" w:sz="0" w:space="0" w:color="auto"/>
            <w:right w:val="none" w:sz="0" w:space="0" w:color="auto"/>
          </w:divBdr>
        </w:div>
      </w:divsChild>
    </w:div>
    <w:div w:id="1318651891">
      <w:bodyDiv w:val="1"/>
      <w:marLeft w:val="0"/>
      <w:marRight w:val="0"/>
      <w:marTop w:val="0"/>
      <w:marBottom w:val="0"/>
      <w:divBdr>
        <w:top w:val="none" w:sz="0" w:space="0" w:color="auto"/>
        <w:left w:val="none" w:sz="0" w:space="0" w:color="auto"/>
        <w:bottom w:val="none" w:sz="0" w:space="0" w:color="auto"/>
        <w:right w:val="none" w:sz="0" w:space="0" w:color="auto"/>
      </w:divBdr>
    </w:div>
    <w:div w:id="1322545364">
      <w:bodyDiv w:val="1"/>
      <w:marLeft w:val="0"/>
      <w:marRight w:val="0"/>
      <w:marTop w:val="0"/>
      <w:marBottom w:val="0"/>
      <w:divBdr>
        <w:top w:val="none" w:sz="0" w:space="0" w:color="auto"/>
        <w:left w:val="none" w:sz="0" w:space="0" w:color="auto"/>
        <w:bottom w:val="none" w:sz="0" w:space="0" w:color="auto"/>
        <w:right w:val="none" w:sz="0" w:space="0" w:color="auto"/>
      </w:divBdr>
    </w:div>
    <w:div w:id="1337150422">
      <w:bodyDiv w:val="1"/>
      <w:marLeft w:val="0"/>
      <w:marRight w:val="0"/>
      <w:marTop w:val="0"/>
      <w:marBottom w:val="0"/>
      <w:divBdr>
        <w:top w:val="none" w:sz="0" w:space="0" w:color="auto"/>
        <w:left w:val="none" w:sz="0" w:space="0" w:color="auto"/>
        <w:bottom w:val="none" w:sz="0" w:space="0" w:color="auto"/>
        <w:right w:val="none" w:sz="0" w:space="0" w:color="auto"/>
      </w:divBdr>
    </w:div>
    <w:div w:id="1346709584">
      <w:bodyDiv w:val="1"/>
      <w:marLeft w:val="0"/>
      <w:marRight w:val="0"/>
      <w:marTop w:val="0"/>
      <w:marBottom w:val="0"/>
      <w:divBdr>
        <w:top w:val="none" w:sz="0" w:space="0" w:color="auto"/>
        <w:left w:val="none" w:sz="0" w:space="0" w:color="auto"/>
        <w:bottom w:val="none" w:sz="0" w:space="0" w:color="auto"/>
        <w:right w:val="none" w:sz="0" w:space="0" w:color="auto"/>
      </w:divBdr>
    </w:div>
    <w:div w:id="1358892353">
      <w:bodyDiv w:val="1"/>
      <w:marLeft w:val="0"/>
      <w:marRight w:val="0"/>
      <w:marTop w:val="0"/>
      <w:marBottom w:val="0"/>
      <w:divBdr>
        <w:top w:val="none" w:sz="0" w:space="0" w:color="auto"/>
        <w:left w:val="none" w:sz="0" w:space="0" w:color="auto"/>
        <w:bottom w:val="none" w:sz="0" w:space="0" w:color="auto"/>
        <w:right w:val="none" w:sz="0" w:space="0" w:color="auto"/>
      </w:divBdr>
    </w:div>
    <w:div w:id="1361783772">
      <w:bodyDiv w:val="1"/>
      <w:marLeft w:val="0"/>
      <w:marRight w:val="0"/>
      <w:marTop w:val="0"/>
      <w:marBottom w:val="0"/>
      <w:divBdr>
        <w:top w:val="none" w:sz="0" w:space="0" w:color="auto"/>
        <w:left w:val="none" w:sz="0" w:space="0" w:color="auto"/>
        <w:bottom w:val="none" w:sz="0" w:space="0" w:color="auto"/>
        <w:right w:val="none" w:sz="0" w:space="0" w:color="auto"/>
      </w:divBdr>
    </w:div>
    <w:div w:id="1372655432">
      <w:bodyDiv w:val="1"/>
      <w:marLeft w:val="0"/>
      <w:marRight w:val="0"/>
      <w:marTop w:val="0"/>
      <w:marBottom w:val="0"/>
      <w:divBdr>
        <w:top w:val="none" w:sz="0" w:space="0" w:color="auto"/>
        <w:left w:val="none" w:sz="0" w:space="0" w:color="auto"/>
        <w:bottom w:val="none" w:sz="0" w:space="0" w:color="auto"/>
        <w:right w:val="none" w:sz="0" w:space="0" w:color="auto"/>
      </w:divBdr>
    </w:div>
    <w:div w:id="1384020612">
      <w:bodyDiv w:val="1"/>
      <w:marLeft w:val="0"/>
      <w:marRight w:val="0"/>
      <w:marTop w:val="0"/>
      <w:marBottom w:val="0"/>
      <w:divBdr>
        <w:top w:val="none" w:sz="0" w:space="0" w:color="auto"/>
        <w:left w:val="none" w:sz="0" w:space="0" w:color="auto"/>
        <w:bottom w:val="none" w:sz="0" w:space="0" w:color="auto"/>
        <w:right w:val="none" w:sz="0" w:space="0" w:color="auto"/>
      </w:divBdr>
    </w:div>
    <w:div w:id="1388067427">
      <w:bodyDiv w:val="1"/>
      <w:marLeft w:val="0"/>
      <w:marRight w:val="0"/>
      <w:marTop w:val="0"/>
      <w:marBottom w:val="0"/>
      <w:divBdr>
        <w:top w:val="none" w:sz="0" w:space="0" w:color="auto"/>
        <w:left w:val="none" w:sz="0" w:space="0" w:color="auto"/>
        <w:bottom w:val="none" w:sz="0" w:space="0" w:color="auto"/>
        <w:right w:val="none" w:sz="0" w:space="0" w:color="auto"/>
      </w:divBdr>
    </w:div>
    <w:div w:id="1395350822">
      <w:bodyDiv w:val="1"/>
      <w:marLeft w:val="0"/>
      <w:marRight w:val="0"/>
      <w:marTop w:val="0"/>
      <w:marBottom w:val="0"/>
      <w:divBdr>
        <w:top w:val="none" w:sz="0" w:space="0" w:color="auto"/>
        <w:left w:val="none" w:sz="0" w:space="0" w:color="auto"/>
        <w:bottom w:val="none" w:sz="0" w:space="0" w:color="auto"/>
        <w:right w:val="none" w:sz="0" w:space="0" w:color="auto"/>
      </w:divBdr>
    </w:div>
    <w:div w:id="1420055609">
      <w:bodyDiv w:val="1"/>
      <w:marLeft w:val="0"/>
      <w:marRight w:val="0"/>
      <w:marTop w:val="0"/>
      <w:marBottom w:val="0"/>
      <w:divBdr>
        <w:top w:val="none" w:sz="0" w:space="0" w:color="auto"/>
        <w:left w:val="none" w:sz="0" w:space="0" w:color="auto"/>
        <w:bottom w:val="none" w:sz="0" w:space="0" w:color="auto"/>
        <w:right w:val="none" w:sz="0" w:space="0" w:color="auto"/>
      </w:divBdr>
    </w:div>
    <w:div w:id="1438601450">
      <w:bodyDiv w:val="1"/>
      <w:marLeft w:val="0"/>
      <w:marRight w:val="0"/>
      <w:marTop w:val="0"/>
      <w:marBottom w:val="0"/>
      <w:divBdr>
        <w:top w:val="none" w:sz="0" w:space="0" w:color="auto"/>
        <w:left w:val="none" w:sz="0" w:space="0" w:color="auto"/>
        <w:bottom w:val="none" w:sz="0" w:space="0" w:color="auto"/>
        <w:right w:val="none" w:sz="0" w:space="0" w:color="auto"/>
      </w:divBdr>
    </w:div>
    <w:div w:id="1440569583">
      <w:bodyDiv w:val="1"/>
      <w:marLeft w:val="0"/>
      <w:marRight w:val="0"/>
      <w:marTop w:val="0"/>
      <w:marBottom w:val="0"/>
      <w:divBdr>
        <w:top w:val="none" w:sz="0" w:space="0" w:color="auto"/>
        <w:left w:val="none" w:sz="0" w:space="0" w:color="auto"/>
        <w:bottom w:val="none" w:sz="0" w:space="0" w:color="auto"/>
        <w:right w:val="none" w:sz="0" w:space="0" w:color="auto"/>
      </w:divBdr>
    </w:div>
    <w:div w:id="1476026500">
      <w:bodyDiv w:val="1"/>
      <w:marLeft w:val="0"/>
      <w:marRight w:val="0"/>
      <w:marTop w:val="0"/>
      <w:marBottom w:val="0"/>
      <w:divBdr>
        <w:top w:val="none" w:sz="0" w:space="0" w:color="auto"/>
        <w:left w:val="none" w:sz="0" w:space="0" w:color="auto"/>
        <w:bottom w:val="none" w:sz="0" w:space="0" w:color="auto"/>
        <w:right w:val="none" w:sz="0" w:space="0" w:color="auto"/>
      </w:divBdr>
    </w:div>
    <w:div w:id="1480150839">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7237732">
      <w:bodyDiv w:val="1"/>
      <w:marLeft w:val="0"/>
      <w:marRight w:val="0"/>
      <w:marTop w:val="0"/>
      <w:marBottom w:val="0"/>
      <w:divBdr>
        <w:top w:val="none" w:sz="0" w:space="0" w:color="auto"/>
        <w:left w:val="none" w:sz="0" w:space="0" w:color="auto"/>
        <w:bottom w:val="none" w:sz="0" w:space="0" w:color="auto"/>
        <w:right w:val="none" w:sz="0" w:space="0" w:color="auto"/>
      </w:divBdr>
    </w:div>
    <w:div w:id="1515802721">
      <w:bodyDiv w:val="1"/>
      <w:marLeft w:val="0"/>
      <w:marRight w:val="0"/>
      <w:marTop w:val="0"/>
      <w:marBottom w:val="0"/>
      <w:divBdr>
        <w:top w:val="none" w:sz="0" w:space="0" w:color="auto"/>
        <w:left w:val="none" w:sz="0" w:space="0" w:color="auto"/>
        <w:bottom w:val="none" w:sz="0" w:space="0" w:color="auto"/>
        <w:right w:val="none" w:sz="0" w:space="0" w:color="auto"/>
      </w:divBdr>
    </w:div>
    <w:div w:id="1530023338">
      <w:bodyDiv w:val="1"/>
      <w:marLeft w:val="0"/>
      <w:marRight w:val="0"/>
      <w:marTop w:val="0"/>
      <w:marBottom w:val="0"/>
      <w:divBdr>
        <w:top w:val="none" w:sz="0" w:space="0" w:color="auto"/>
        <w:left w:val="none" w:sz="0" w:space="0" w:color="auto"/>
        <w:bottom w:val="none" w:sz="0" w:space="0" w:color="auto"/>
        <w:right w:val="none" w:sz="0" w:space="0" w:color="auto"/>
      </w:divBdr>
    </w:div>
    <w:div w:id="1535923783">
      <w:bodyDiv w:val="1"/>
      <w:marLeft w:val="0"/>
      <w:marRight w:val="0"/>
      <w:marTop w:val="0"/>
      <w:marBottom w:val="0"/>
      <w:divBdr>
        <w:top w:val="none" w:sz="0" w:space="0" w:color="auto"/>
        <w:left w:val="none" w:sz="0" w:space="0" w:color="auto"/>
        <w:bottom w:val="none" w:sz="0" w:space="0" w:color="auto"/>
        <w:right w:val="none" w:sz="0" w:space="0" w:color="auto"/>
      </w:divBdr>
    </w:div>
    <w:div w:id="1538852114">
      <w:bodyDiv w:val="1"/>
      <w:marLeft w:val="0"/>
      <w:marRight w:val="0"/>
      <w:marTop w:val="0"/>
      <w:marBottom w:val="0"/>
      <w:divBdr>
        <w:top w:val="none" w:sz="0" w:space="0" w:color="auto"/>
        <w:left w:val="none" w:sz="0" w:space="0" w:color="auto"/>
        <w:bottom w:val="none" w:sz="0" w:space="0" w:color="auto"/>
        <w:right w:val="none" w:sz="0" w:space="0" w:color="auto"/>
      </w:divBdr>
    </w:div>
    <w:div w:id="1546064669">
      <w:bodyDiv w:val="1"/>
      <w:marLeft w:val="0"/>
      <w:marRight w:val="0"/>
      <w:marTop w:val="0"/>
      <w:marBottom w:val="0"/>
      <w:divBdr>
        <w:top w:val="none" w:sz="0" w:space="0" w:color="auto"/>
        <w:left w:val="none" w:sz="0" w:space="0" w:color="auto"/>
        <w:bottom w:val="none" w:sz="0" w:space="0" w:color="auto"/>
        <w:right w:val="none" w:sz="0" w:space="0" w:color="auto"/>
      </w:divBdr>
    </w:div>
    <w:div w:id="1614239365">
      <w:bodyDiv w:val="1"/>
      <w:marLeft w:val="0"/>
      <w:marRight w:val="0"/>
      <w:marTop w:val="0"/>
      <w:marBottom w:val="0"/>
      <w:divBdr>
        <w:top w:val="none" w:sz="0" w:space="0" w:color="auto"/>
        <w:left w:val="none" w:sz="0" w:space="0" w:color="auto"/>
        <w:bottom w:val="none" w:sz="0" w:space="0" w:color="auto"/>
        <w:right w:val="none" w:sz="0" w:space="0" w:color="auto"/>
      </w:divBdr>
    </w:div>
    <w:div w:id="1627812511">
      <w:bodyDiv w:val="1"/>
      <w:marLeft w:val="0"/>
      <w:marRight w:val="0"/>
      <w:marTop w:val="0"/>
      <w:marBottom w:val="0"/>
      <w:divBdr>
        <w:top w:val="none" w:sz="0" w:space="0" w:color="auto"/>
        <w:left w:val="none" w:sz="0" w:space="0" w:color="auto"/>
        <w:bottom w:val="none" w:sz="0" w:space="0" w:color="auto"/>
        <w:right w:val="none" w:sz="0" w:space="0" w:color="auto"/>
      </w:divBdr>
    </w:div>
    <w:div w:id="1640308630">
      <w:bodyDiv w:val="1"/>
      <w:marLeft w:val="0"/>
      <w:marRight w:val="0"/>
      <w:marTop w:val="0"/>
      <w:marBottom w:val="0"/>
      <w:divBdr>
        <w:top w:val="none" w:sz="0" w:space="0" w:color="auto"/>
        <w:left w:val="none" w:sz="0" w:space="0" w:color="auto"/>
        <w:bottom w:val="none" w:sz="0" w:space="0" w:color="auto"/>
        <w:right w:val="none" w:sz="0" w:space="0" w:color="auto"/>
      </w:divBdr>
    </w:div>
    <w:div w:id="1677994452">
      <w:bodyDiv w:val="1"/>
      <w:marLeft w:val="0"/>
      <w:marRight w:val="0"/>
      <w:marTop w:val="0"/>
      <w:marBottom w:val="0"/>
      <w:divBdr>
        <w:top w:val="none" w:sz="0" w:space="0" w:color="auto"/>
        <w:left w:val="none" w:sz="0" w:space="0" w:color="auto"/>
        <w:bottom w:val="none" w:sz="0" w:space="0" w:color="auto"/>
        <w:right w:val="none" w:sz="0" w:space="0" w:color="auto"/>
      </w:divBdr>
    </w:div>
    <w:div w:id="1701281704">
      <w:bodyDiv w:val="1"/>
      <w:marLeft w:val="0"/>
      <w:marRight w:val="0"/>
      <w:marTop w:val="0"/>
      <w:marBottom w:val="0"/>
      <w:divBdr>
        <w:top w:val="none" w:sz="0" w:space="0" w:color="auto"/>
        <w:left w:val="none" w:sz="0" w:space="0" w:color="auto"/>
        <w:bottom w:val="none" w:sz="0" w:space="0" w:color="auto"/>
        <w:right w:val="none" w:sz="0" w:space="0" w:color="auto"/>
      </w:divBdr>
    </w:div>
    <w:div w:id="1740322987">
      <w:bodyDiv w:val="1"/>
      <w:marLeft w:val="0"/>
      <w:marRight w:val="0"/>
      <w:marTop w:val="0"/>
      <w:marBottom w:val="0"/>
      <w:divBdr>
        <w:top w:val="none" w:sz="0" w:space="0" w:color="auto"/>
        <w:left w:val="none" w:sz="0" w:space="0" w:color="auto"/>
        <w:bottom w:val="none" w:sz="0" w:space="0" w:color="auto"/>
        <w:right w:val="none" w:sz="0" w:space="0" w:color="auto"/>
      </w:divBdr>
    </w:div>
    <w:div w:id="1765228897">
      <w:bodyDiv w:val="1"/>
      <w:marLeft w:val="0"/>
      <w:marRight w:val="0"/>
      <w:marTop w:val="0"/>
      <w:marBottom w:val="0"/>
      <w:divBdr>
        <w:top w:val="none" w:sz="0" w:space="0" w:color="auto"/>
        <w:left w:val="none" w:sz="0" w:space="0" w:color="auto"/>
        <w:bottom w:val="none" w:sz="0" w:space="0" w:color="auto"/>
        <w:right w:val="none" w:sz="0" w:space="0" w:color="auto"/>
      </w:divBdr>
    </w:div>
    <w:div w:id="1766463182">
      <w:bodyDiv w:val="1"/>
      <w:marLeft w:val="0"/>
      <w:marRight w:val="0"/>
      <w:marTop w:val="0"/>
      <w:marBottom w:val="0"/>
      <w:divBdr>
        <w:top w:val="none" w:sz="0" w:space="0" w:color="auto"/>
        <w:left w:val="none" w:sz="0" w:space="0" w:color="auto"/>
        <w:bottom w:val="none" w:sz="0" w:space="0" w:color="auto"/>
        <w:right w:val="none" w:sz="0" w:space="0" w:color="auto"/>
      </w:divBdr>
    </w:div>
    <w:div w:id="1783573294">
      <w:bodyDiv w:val="1"/>
      <w:marLeft w:val="0"/>
      <w:marRight w:val="0"/>
      <w:marTop w:val="0"/>
      <w:marBottom w:val="0"/>
      <w:divBdr>
        <w:top w:val="none" w:sz="0" w:space="0" w:color="auto"/>
        <w:left w:val="none" w:sz="0" w:space="0" w:color="auto"/>
        <w:bottom w:val="none" w:sz="0" w:space="0" w:color="auto"/>
        <w:right w:val="none" w:sz="0" w:space="0" w:color="auto"/>
      </w:divBdr>
    </w:div>
    <w:div w:id="1787701953">
      <w:bodyDiv w:val="1"/>
      <w:marLeft w:val="0"/>
      <w:marRight w:val="0"/>
      <w:marTop w:val="0"/>
      <w:marBottom w:val="0"/>
      <w:divBdr>
        <w:top w:val="none" w:sz="0" w:space="0" w:color="auto"/>
        <w:left w:val="none" w:sz="0" w:space="0" w:color="auto"/>
        <w:bottom w:val="none" w:sz="0" w:space="0" w:color="auto"/>
        <w:right w:val="none" w:sz="0" w:space="0" w:color="auto"/>
      </w:divBdr>
    </w:div>
    <w:div w:id="1789856362">
      <w:bodyDiv w:val="1"/>
      <w:marLeft w:val="0"/>
      <w:marRight w:val="0"/>
      <w:marTop w:val="0"/>
      <w:marBottom w:val="0"/>
      <w:divBdr>
        <w:top w:val="none" w:sz="0" w:space="0" w:color="auto"/>
        <w:left w:val="none" w:sz="0" w:space="0" w:color="auto"/>
        <w:bottom w:val="none" w:sz="0" w:space="0" w:color="auto"/>
        <w:right w:val="none" w:sz="0" w:space="0" w:color="auto"/>
      </w:divBdr>
    </w:div>
    <w:div w:id="1798178268">
      <w:bodyDiv w:val="1"/>
      <w:marLeft w:val="0"/>
      <w:marRight w:val="0"/>
      <w:marTop w:val="0"/>
      <w:marBottom w:val="0"/>
      <w:divBdr>
        <w:top w:val="none" w:sz="0" w:space="0" w:color="auto"/>
        <w:left w:val="none" w:sz="0" w:space="0" w:color="auto"/>
        <w:bottom w:val="none" w:sz="0" w:space="0" w:color="auto"/>
        <w:right w:val="none" w:sz="0" w:space="0" w:color="auto"/>
      </w:divBdr>
    </w:div>
    <w:div w:id="1810971805">
      <w:bodyDiv w:val="1"/>
      <w:marLeft w:val="0"/>
      <w:marRight w:val="0"/>
      <w:marTop w:val="0"/>
      <w:marBottom w:val="0"/>
      <w:divBdr>
        <w:top w:val="none" w:sz="0" w:space="0" w:color="auto"/>
        <w:left w:val="none" w:sz="0" w:space="0" w:color="auto"/>
        <w:bottom w:val="none" w:sz="0" w:space="0" w:color="auto"/>
        <w:right w:val="none" w:sz="0" w:space="0" w:color="auto"/>
      </w:divBdr>
    </w:div>
    <w:div w:id="1812020395">
      <w:bodyDiv w:val="1"/>
      <w:marLeft w:val="0"/>
      <w:marRight w:val="0"/>
      <w:marTop w:val="0"/>
      <w:marBottom w:val="0"/>
      <w:divBdr>
        <w:top w:val="none" w:sz="0" w:space="0" w:color="auto"/>
        <w:left w:val="none" w:sz="0" w:space="0" w:color="auto"/>
        <w:bottom w:val="none" w:sz="0" w:space="0" w:color="auto"/>
        <w:right w:val="none" w:sz="0" w:space="0" w:color="auto"/>
      </w:divBdr>
    </w:div>
    <w:div w:id="1832872802">
      <w:bodyDiv w:val="1"/>
      <w:marLeft w:val="0"/>
      <w:marRight w:val="0"/>
      <w:marTop w:val="0"/>
      <w:marBottom w:val="0"/>
      <w:divBdr>
        <w:top w:val="none" w:sz="0" w:space="0" w:color="auto"/>
        <w:left w:val="none" w:sz="0" w:space="0" w:color="auto"/>
        <w:bottom w:val="none" w:sz="0" w:space="0" w:color="auto"/>
        <w:right w:val="none" w:sz="0" w:space="0" w:color="auto"/>
      </w:divBdr>
    </w:div>
    <w:div w:id="1846360064">
      <w:bodyDiv w:val="1"/>
      <w:marLeft w:val="0"/>
      <w:marRight w:val="0"/>
      <w:marTop w:val="0"/>
      <w:marBottom w:val="0"/>
      <w:divBdr>
        <w:top w:val="none" w:sz="0" w:space="0" w:color="auto"/>
        <w:left w:val="none" w:sz="0" w:space="0" w:color="auto"/>
        <w:bottom w:val="none" w:sz="0" w:space="0" w:color="auto"/>
        <w:right w:val="none" w:sz="0" w:space="0" w:color="auto"/>
      </w:divBdr>
    </w:div>
    <w:div w:id="1847745918">
      <w:bodyDiv w:val="1"/>
      <w:marLeft w:val="0"/>
      <w:marRight w:val="0"/>
      <w:marTop w:val="0"/>
      <w:marBottom w:val="0"/>
      <w:divBdr>
        <w:top w:val="none" w:sz="0" w:space="0" w:color="auto"/>
        <w:left w:val="none" w:sz="0" w:space="0" w:color="auto"/>
        <w:bottom w:val="none" w:sz="0" w:space="0" w:color="auto"/>
        <w:right w:val="none" w:sz="0" w:space="0" w:color="auto"/>
      </w:divBdr>
    </w:div>
    <w:div w:id="1872066659">
      <w:bodyDiv w:val="1"/>
      <w:marLeft w:val="0"/>
      <w:marRight w:val="0"/>
      <w:marTop w:val="0"/>
      <w:marBottom w:val="0"/>
      <w:divBdr>
        <w:top w:val="none" w:sz="0" w:space="0" w:color="auto"/>
        <w:left w:val="none" w:sz="0" w:space="0" w:color="auto"/>
        <w:bottom w:val="none" w:sz="0" w:space="0" w:color="auto"/>
        <w:right w:val="none" w:sz="0" w:space="0" w:color="auto"/>
      </w:divBdr>
    </w:div>
    <w:div w:id="1873224582">
      <w:bodyDiv w:val="1"/>
      <w:marLeft w:val="0"/>
      <w:marRight w:val="0"/>
      <w:marTop w:val="0"/>
      <w:marBottom w:val="0"/>
      <w:divBdr>
        <w:top w:val="none" w:sz="0" w:space="0" w:color="auto"/>
        <w:left w:val="none" w:sz="0" w:space="0" w:color="auto"/>
        <w:bottom w:val="none" w:sz="0" w:space="0" w:color="auto"/>
        <w:right w:val="none" w:sz="0" w:space="0" w:color="auto"/>
      </w:divBdr>
    </w:div>
    <w:div w:id="1922525925">
      <w:bodyDiv w:val="1"/>
      <w:marLeft w:val="0"/>
      <w:marRight w:val="0"/>
      <w:marTop w:val="0"/>
      <w:marBottom w:val="0"/>
      <w:divBdr>
        <w:top w:val="none" w:sz="0" w:space="0" w:color="auto"/>
        <w:left w:val="none" w:sz="0" w:space="0" w:color="auto"/>
        <w:bottom w:val="none" w:sz="0" w:space="0" w:color="auto"/>
        <w:right w:val="none" w:sz="0" w:space="0" w:color="auto"/>
      </w:divBdr>
    </w:div>
    <w:div w:id="1939368115">
      <w:bodyDiv w:val="1"/>
      <w:marLeft w:val="0"/>
      <w:marRight w:val="0"/>
      <w:marTop w:val="0"/>
      <w:marBottom w:val="0"/>
      <w:divBdr>
        <w:top w:val="none" w:sz="0" w:space="0" w:color="auto"/>
        <w:left w:val="none" w:sz="0" w:space="0" w:color="auto"/>
        <w:bottom w:val="none" w:sz="0" w:space="0" w:color="auto"/>
        <w:right w:val="none" w:sz="0" w:space="0" w:color="auto"/>
      </w:divBdr>
    </w:div>
    <w:div w:id="2009936933">
      <w:bodyDiv w:val="1"/>
      <w:marLeft w:val="0"/>
      <w:marRight w:val="0"/>
      <w:marTop w:val="0"/>
      <w:marBottom w:val="0"/>
      <w:divBdr>
        <w:top w:val="none" w:sz="0" w:space="0" w:color="auto"/>
        <w:left w:val="none" w:sz="0" w:space="0" w:color="auto"/>
        <w:bottom w:val="none" w:sz="0" w:space="0" w:color="auto"/>
        <w:right w:val="none" w:sz="0" w:space="0" w:color="auto"/>
      </w:divBdr>
    </w:div>
    <w:div w:id="2013489863">
      <w:bodyDiv w:val="1"/>
      <w:marLeft w:val="0"/>
      <w:marRight w:val="0"/>
      <w:marTop w:val="0"/>
      <w:marBottom w:val="0"/>
      <w:divBdr>
        <w:top w:val="none" w:sz="0" w:space="0" w:color="auto"/>
        <w:left w:val="none" w:sz="0" w:space="0" w:color="auto"/>
        <w:bottom w:val="none" w:sz="0" w:space="0" w:color="auto"/>
        <w:right w:val="none" w:sz="0" w:space="0" w:color="auto"/>
      </w:divBdr>
    </w:div>
    <w:div w:id="2031639929">
      <w:bodyDiv w:val="1"/>
      <w:marLeft w:val="0"/>
      <w:marRight w:val="0"/>
      <w:marTop w:val="0"/>
      <w:marBottom w:val="0"/>
      <w:divBdr>
        <w:top w:val="none" w:sz="0" w:space="0" w:color="auto"/>
        <w:left w:val="none" w:sz="0" w:space="0" w:color="auto"/>
        <w:bottom w:val="none" w:sz="0" w:space="0" w:color="auto"/>
        <w:right w:val="none" w:sz="0" w:space="0" w:color="auto"/>
      </w:divBdr>
    </w:div>
    <w:div w:id="2044935450">
      <w:bodyDiv w:val="1"/>
      <w:marLeft w:val="0"/>
      <w:marRight w:val="0"/>
      <w:marTop w:val="0"/>
      <w:marBottom w:val="0"/>
      <w:divBdr>
        <w:top w:val="none" w:sz="0" w:space="0" w:color="auto"/>
        <w:left w:val="none" w:sz="0" w:space="0" w:color="auto"/>
        <w:bottom w:val="none" w:sz="0" w:space="0" w:color="auto"/>
        <w:right w:val="none" w:sz="0" w:space="0" w:color="auto"/>
      </w:divBdr>
    </w:div>
    <w:div w:id="2049641495">
      <w:bodyDiv w:val="1"/>
      <w:marLeft w:val="0"/>
      <w:marRight w:val="0"/>
      <w:marTop w:val="0"/>
      <w:marBottom w:val="0"/>
      <w:divBdr>
        <w:top w:val="none" w:sz="0" w:space="0" w:color="auto"/>
        <w:left w:val="none" w:sz="0" w:space="0" w:color="auto"/>
        <w:bottom w:val="none" w:sz="0" w:space="0" w:color="auto"/>
        <w:right w:val="none" w:sz="0" w:space="0" w:color="auto"/>
      </w:divBdr>
    </w:div>
    <w:div w:id="2058048440">
      <w:bodyDiv w:val="1"/>
      <w:marLeft w:val="0"/>
      <w:marRight w:val="0"/>
      <w:marTop w:val="0"/>
      <w:marBottom w:val="0"/>
      <w:divBdr>
        <w:top w:val="none" w:sz="0" w:space="0" w:color="auto"/>
        <w:left w:val="none" w:sz="0" w:space="0" w:color="auto"/>
        <w:bottom w:val="none" w:sz="0" w:space="0" w:color="auto"/>
        <w:right w:val="none" w:sz="0" w:space="0" w:color="auto"/>
      </w:divBdr>
    </w:div>
    <w:div w:id="2079672136">
      <w:bodyDiv w:val="1"/>
      <w:marLeft w:val="0"/>
      <w:marRight w:val="0"/>
      <w:marTop w:val="0"/>
      <w:marBottom w:val="0"/>
      <w:divBdr>
        <w:top w:val="none" w:sz="0" w:space="0" w:color="auto"/>
        <w:left w:val="none" w:sz="0" w:space="0" w:color="auto"/>
        <w:bottom w:val="none" w:sz="0" w:space="0" w:color="auto"/>
        <w:right w:val="none" w:sz="0" w:space="0" w:color="auto"/>
      </w:divBdr>
    </w:div>
    <w:div w:id="2100561786">
      <w:bodyDiv w:val="1"/>
      <w:marLeft w:val="0"/>
      <w:marRight w:val="0"/>
      <w:marTop w:val="0"/>
      <w:marBottom w:val="0"/>
      <w:divBdr>
        <w:top w:val="none" w:sz="0" w:space="0" w:color="auto"/>
        <w:left w:val="none" w:sz="0" w:space="0" w:color="auto"/>
        <w:bottom w:val="none" w:sz="0" w:space="0" w:color="auto"/>
        <w:right w:val="none" w:sz="0" w:space="0" w:color="auto"/>
      </w:divBdr>
    </w:div>
    <w:div w:id="2109808123">
      <w:bodyDiv w:val="1"/>
      <w:marLeft w:val="0"/>
      <w:marRight w:val="0"/>
      <w:marTop w:val="0"/>
      <w:marBottom w:val="0"/>
      <w:divBdr>
        <w:top w:val="none" w:sz="0" w:space="0" w:color="auto"/>
        <w:left w:val="none" w:sz="0" w:space="0" w:color="auto"/>
        <w:bottom w:val="none" w:sz="0" w:space="0" w:color="auto"/>
        <w:right w:val="none" w:sz="0" w:space="0" w:color="auto"/>
      </w:divBdr>
    </w:div>
    <w:div w:id="2113551541">
      <w:bodyDiv w:val="1"/>
      <w:marLeft w:val="0"/>
      <w:marRight w:val="0"/>
      <w:marTop w:val="0"/>
      <w:marBottom w:val="0"/>
      <w:divBdr>
        <w:top w:val="none" w:sz="0" w:space="0" w:color="auto"/>
        <w:left w:val="none" w:sz="0" w:space="0" w:color="auto"/>
        <w:bottom w:val="none" w:sz="0" w:space="0" w:color="auto"/>
        <w:right w:val="none" w:sz="0" w:space="0" w:color="auto"/>
      </w:divBdr>
    </w:div>
    <w:div w:id="2134666935">
      <w:bodyDiv w:val="1"/>
      <w:marLeft w:val="0"/>
      <w:marRight w:val="0"/>
      <w:marTop w:val="0"/>
      <w:marBottom w:val="0"/>
      <w:divBdr>
        <w:top w:val="none" w:sz="0" w:space="0" w:color="auto"/>
        <w:left w:val="none" w:sz="0" w:space="0" w:color="auto"/>
        <w:bottom w:val="none" w:sz="0" w:space="0" w:color="auto"/>
        <w:right w:val="none" w:sz="0" w:space="0" w:color="auto"/>
      </w:divBdr>
    </w:div>
    <w:div w:id="2138720563">
      <w:bodyDiv w:val="1"/>
      <w:marLeft w:val="0"/>
      <w:marRight w:val="0"/>
      <w:marTop w:val="0"/>
      <w:marBottom w:val="0"/>
      <w:divBdr>
        <w:top w:val="none" w:sz="0" w:space="0" w:color="auto"/>
        <w:left w:val="none" w:sz="0" w:space="0" w:color="auto"/>
        <w:bottom w:val="none" w:sz="0" w:space="0" w:color="auto"/>
        <w:right w:val="none" w:sz="0" w:space="0" w:color="auto"/>
      </w:divBdr>
    </w:div>
    <w:div w:id="2145197261">
      <w:bodyDiv w:val="1"/>
      <w:marLeft w:val="0"/>
      <w:marRight w:val="0"/>
      <w:marTop w:val="0"/>
      <w:marBottom w:val="0"/>
      <w:divBdr>
        <w:top w:val="none" w:sz="0" w:space="0" w:color="auto"/>
        <w:left w:val="none" w:sz="0" w:space="0" w:color="auto"/>
        <w:bottom w:val="none" w:sz="0" w:space="0" w:color="auto"/>
        <w:right w:val="none" w:sz="0" w:space="0" w:color="auto"/>
      </w:divBdr>
    </w:div>
    <w:div w:id="214600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eader" Target="header1.xml"/><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hyperlink" Target="https://www.dcceew.gov.au/cewh/manage-water/science-monitoring/science-programs/flow-mer-basin-scale-project-publications" TargetMode="External"/><Relationship Id="rId68" Type="http://schemas.openxmlformats.org/officeDocument/2006/relationships/hyperlink" Target="https://www.dcceew.gov.au/cewh/manage-water/science-monitoring/science-programs/flow-mer-basin-scale-project-publications" TargetMode="External"/><Relationship Id="rId84" Type="http://schemas.openxmlformats.org/officeDocument/2006/relationships/footer" Target="footer8.xml"/><Relationship Id="rId89" Type="http://schemas.openxmlformats.org/officeDocument/2006/relationships/footer" Target="footer9.xml"/><Relationship Id="rId16" Type="http://schemas.openxmlformats.org/officeDocument/2006/relationships/image" Target="media/image3.png"/><Relationship Id="rId11" Type="http://schemas.openxmlformats.org/officeDocument/2006/relationships/footnotes" Target="footnotes.xml"/><Relationship Id="rId32" Type="http://schemas.openxmlformats.org/officeDocument/2006/relationships/header" Target="header7.xml"/><Relationship Id="rId37" Type="http://schemas.openxmlformats.org/officeDocument/2006/relationships/hyperlink" Target="https://www.environment.gov.au/water/cewo/publications/environmental-water-outcomes-framework" TargetMode="External"/><Relationship Id="rId53" Type="http://schemas.openxmlformats.org/officeDocument/2006/relationships/image" Target="media/image17.png"/><Relationship Id="rId58" Type="http://schemas.openxmlformats.org/officeDocument/2006/relationships/header" Target="header11.xml"/><Relationship Id="rId74" Type="http://schemas.openxmlformats.org/officeDocument/2006/relationships/hyperlink" Target="https://www.dcceew.gov.au/cewh/manage-water/science-monitoring/science-programs/flow-mer-basin-scale-project-publications" TargetMode="External"/><Relationship Id="rId79" Type="http://schemas.openxmlformats.org/officeDocument/2006/relationships/image" Target="media/image25.png"/><Relationship Id="rId5" Type="http://schemas.openxmlformats.org/officeDocument/2006/relationships/customXml" Target="../customXml/item5.xml"/><Relationship Id="rId90" Type="http://schemas.openxmlformats.org/officeDocument/2006/relationships/header" Target="header18.xml"/><Relationship Id="rId22" Type="http://schemas.openxmlformats.org/officeDocument/2006/relationships/header" Target="header2.xml"/><Relationship Id="rId27" Type="http://schemas.openxmlformats.org/officeDocument/2006/relationships/image" Target="media/image4.png"/><Relationship Id="rId43" Type="http://schemas.openxmlformats.org/officeDocument/2006/relationships/image" Target="media/image8.png"/><Relationship Id="rId48" Type="http://schemas.openxmlformats.org/officeDocument/2006/relationships/image" Target="media/image13.png"/><Relationship Id="rId64" Type="http://schemas.openxmlformats.org/officeDocument/2006/relationships/hyperlink" Target="https://www.dcceew.gov.au/cewh/manage-water/science-monitoring/science-programs/flow-mer-basin-scale-project-publications" TargetMode="External"/><Relationship Id="rId69" Type="http://schemas.openxmlformats.org/officeDocument/2006/relationships/image" Target="media/image21.png"/><Relationship Id="rId8" Type="http://schemas.openxmlformats.org/officeDocument/2006/relationships/styles" Target="styles.xml"/><Relationship Id="rId51" Type="http://schemas.openxmlformats.org/officeDocument/2006/relationships/image" Target="media/image15.png"/><Relationship Id="rId72" Type="http://schemas.openxmlformats.org/officeDocument/2006/relationships/image" Target="media/image23.png"/><Relationship Id="rId80" Type="http://schemas.openxmlformats.org/officeDocument/2006/relationships/hyperlink" Target="https://www.dcceew.gov.au/water/cewo/publications/cew-monitoring-evaluation-reporting-and-improvement-framework" TargetMode="External"/><Relationship Id="rId85" Type="http://schemas.openxmlformats.org/officeDocument/2006/relationships/header" Target="header15.xm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creativecommons.org/licenses/by/4.0/" TargetMode="External"/><Relationship Id="rId25" Type="http://schemas.openxmlformats.org/officeDocument/2006/relationships/header" Target="header3.xml"/><Relationship Id="rId33" Type="http://schemas.openxmlformats.org/officeDocument/2006/relationships/header" Target="header8.xml"/><Relationship Id="rId38" Type="http://schemas.openxmlformats.org/officeDocument/2006/relationships/hyperlink" Target="https://www.mdba.gov.au/publications/mdba-reports/basin-wide-environmental-watering-strategy" TargetMode="External"/><Relationship Id="rId46" Type="http://schemas.openxmlformats.org/officeDocument/2006/relationships/image" Target="media/image11.png"/><Relationship Id="rId59" Type="http://schemas.openxmlformats.org/officeDocument/2006/relationships/footer" Target="footer6.xml"/><Relationship Id="rId67" Type="http://schemas.openxmlformats.org/officeDocument/2006/relationships/image" Target="media/image20.png"/><Relationship Id="rId20" Type="http://schemas.openxmlformats.org/officeDocument/2006/relationships/hyperlink" Target="mailto:ewater@dcceew.gov.au" TargetMode="External"/><Relationship Id="rId41" Type="http://schemas.openxmlformats.org/officeDocument/2006/relationships/image" Target="media/image6.png"/><Relationship Id="rId54" Type="http://schemas.openxmlformats.org/officeDocument/2006/relationships/image" Target="media/image18.PNG"/><Relationship Id="rId62" Type="http://schemas.openxmlformats.org/officeDocument/2006/relationships/hyperlink" Target="https://www.dcceew.gov.au/cewh/manage-water/science-monitoring/science-programs/flow-mer-basin-scale-project-publications" TargetMode="External"/><Relationship Id="rId70" Type="http://schemas.openxmlformats.org/officeDocument/2006/relationships/hyperlink" Target="https://www.dcceew.gov.au/cewh/manage-water/science-monitoring/science-programs/flow-mer-basin-scale-project-publications" TargetMode="External"/><Relationship Id="rId75" Type="http://schemas.openxmlformats.org/officeDocument/2006/relationships/hyperlink" Target="https://www.dcceew.gov.au/cewh/manage-water/science-monitoring/science-programs/flow-mer-basin-scale-project-publications" TargetMode="External"/><Relationship Id="rId83" Type="http://schemas.openxmlformats.org/officeDocument/2006/relationships/header" Target="header14.xml"/><Relationship Id="rId88" Type="http://schemas.openxmlformats.org/officeDocument/2006/relationships/header" Target="header17.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www.dcceew.gov.au/cewh/manage-water/science-monitoring/science-programs" TargetMode="External"/><Relationship Id="rId23" Type="http://schemas.openxmlformats.org/officeDocument/2006/relationships/footer" Target="footer1.xml"/><Relationship Id="rId28" Type="http://schemas.openxmlformats.org/officeDocument/2006/relationships/header" Target="header4.xml"/><Relationship Id="rId36" Type="http://schemas.openxmlformats.org/officeDocument/2006/relationships/hyperlink" Target="https://www.dcceew.gov.au/water/cewo/publications/cew-monitoring-evaluation-reporting-and-improvement-framework" TargetMode="External"/><Relationship Id="rId49" Type="http://schemas.openxmlformats.org/officeDocument/2006/relationships/image" Target="media/image14.PNG"/><Relationship Id="rId57" Type="http://schemas.openxmlformats.org/officeDocument/2006/relationships/header" Target="header10.xml"/><Relationship Id="rId10" Type="http://schemas.openxmlformats.org/officeDocument/2006/relationships/webSettings" Target="webSettings.xml"/><Relationship Id="rId31" Type="http://schemas.openxmlformats.org/officeDocument/2006/relationships/footer" Target="footer4.xml"/><Relationship Id="rId44" Type="http://schemas.openxmlformats.org/officeDocument/2006/relationships/image" Target="media/image9.png"/><Relationship Id="rId52" Type="http://schemas.openxmlformats.org/officeDocument/2006/relationships/image" Target="media/image16.png"/><Relationship Id="rId60" Type="http://schemas.openxmlformats.org/officeDocument/2006/relationships/footer" Target="footer7.xml"/><Relationship Id="rId65" Type="http://schemas.openxmlformats.org/officeDocument/2006/relationships/hyperlink" Target="https://www.dcceew.gov.au/cewh/manage-water/science-monitoring/science-programs/flow-mer-basin-scale-project-publications" TargetMode="External"/><Relationship Id="rId73" Type="http://schemas.openxmlformats.org/officeDocument/2006/relationships/hyperlink" Target="https://www.dcceew.gov.au/cewh/manage-water/science-monitoring/science-programs/flow-mer-basin-scale-project-publications" TargetMode="External"/><Relationship Id="rId78" Type="http://schemas.openxmlformats.org/officeDocument/2006/relationships/image" Target="media/image24.png"/><Relationship Id="rId81" Type="http://schemas.openxmlformats.org/officeDocument/2006/relationships/hyperlink" Target="https://www.environment.gov.au/water/cewo/publications/environmental-water-outcomes-framework" TargetMode="External"/><Relationship Id="rId86" Type="http://schemas.openxmlformats.org/officeDocument/2006/relationships/image" Target="media/image26.PNG"/><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yperlink" Target="https://creativecommons.org/licenses/by/4.0/" TargetMode="External"/><Relationship Id="rId39" Type="http://schemas.openxmlformats.org/officeDocument/2006/relationships/hyperlink" Target="https://www.dcceew.gov.au/cewh/manage-water/science-monitoring/science-programs/flow-mer-basin-scale-project-publications" TargetMode="External"/><Relationship Id="rId34" Type="http://schemas.openxmlformats.org/officeDocument/2006/relationships/footer" Target="footer5.xml"/><Relationship Id="rId50" Type="http://schemas.openxmlformats.org/officeDocument/2006/relationships/hyperlink" Target="https://www.dcceew.gov.au/cewh/manage-water/science-monitoring/science-programs/flow-mer-basin-scale-project-publications" TargetMode="External"/><Relationship Id="rId55" Type="http://schemas.openxmlformats.org/officeDocument/2006/relationships/hyperlink" Target="https://www.dcceew.gov.au/cewh/manage-water/science-monitoring/science-programs/flow-mer-basin-scale-project-publications" TargetMode="External"/><Relationship Id="rId76" Type="http://schemas.openxmlformats.org/officeDocument/2006/relationships/hyperlink" Target="https://www.dcceew.gov.au/cewh/manage-water/science-monitoring/science-programs/flow-mer-basin-scale-project-publications" TargetMode="External"/><Relationship Id="rId7" Type="http://schemas.openxmlformats.org/officeDocument/2006/relationships/numbering" Target="numbering.xml"/><Relationship Id="rId71" Type="http://schemas.openxmlformats.org/officeDocument/2006/relationships/image" Target="media/image22.png"/><Relationship Id="rId92" Type="http://schemas.openxmlformats.org/officeDocument/2006/relationships/glossaryDocument" Target="glossary/document.xm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footer" Target="footer2.xml"/><Relationship Id="rId40" Type="http://schemas.openxmlformats.org/officeDocument/2006/relationships/image" Target="media/image5.png"/><Relationship Id="rId45" Type="http://schemas.openxmlformats.org/officeDocument/2006/relationships/image" Target="media/image10.emf"/><Relationship Id="rId66" Type="http://schemas.openxmlformats.org/officeDocument/2006/relationships/hyperlink" Target="https://www.dcceew.gov.au/cewh/manage-water/science-monitoring/science-programs/flow-mer-basin-scale-project-publications" TargetMode="External"/><Relationship Id="rId87" Type="http://schemas.openxmlformats.org/officeDocument/2006/relationships/header" Target="header16.xml"/><Relationship Id="rId61" Type="http://schemas.openxmlformats.org/officeDocument/2006/relationships/header" Target="header12.xml"/><Relationship Id="rId82" Type="http://schemas.openxmlformats.org/officeDocument/2006/relationships/header" Target="header13.xml"/><Relationship Id="rId19" Type="http://schemas.openxmlformats.org/officeDocument/2006/relationships/hyperlink" Target="http://www.ninarupena.studio/" TargetMode="External"/><Relationship Id="rId14" Type="http://schemas.openxmlformats.org/officeDocument/2006/relationships/image" Target="media/image2.png"/><Relationship Id="rId30" Type="http://schemas.openxmlformats.org/officeDocument/2006/relationships/header" Target="header6.xml"/><Relationship Id="rId35" Type="http://schemas.openxmlformats.org/officeDocument/2006/relationships/header" Target="header9.xml"/><Relationship Id="rId56" Type="http://schemas.openxmlformats.org/officeDocument/2006/relationships/image" Target="media/image19.png"/><Relationship Id="rId77" Type="http://schemas.openxmlformats.org/officeDocument/2006/relationships/hyperlink" Target="https://www.dcceew.gov.au/cewh/manage-water/science-monitoring/science-programs/flow-mer-basin-scale-project-publication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mdba.gov.au/sites/default/files/publications/waterbirds.pdf" TargetMode="External"/><Relationship Id="rId2" Type="http://schemas.openxmlformats.org/officeDocument/2006/relationships/hyperlink" Target="https://www.environment.gov.au/water/wetlands/ramsar" TargetMode="External"/><Relationship Id="rId1" Type="http://schemas.openxmlformats.org/officeDocument/2006/relationships/hyperlink" Target="https://www.dcceew.gov.au/cewh/manage-water/science-monitoring/science-programs/flow-mer-basin-scale-project-publications" TargetMode="External"/><Relationship Id="rId4" Type="http://schemas.openxmlformats.org/officeDocument/2006/relationships/hyperlink" Target="https://www.chiefscientist.nsw.gov.au/__data/assets/pdf_file/0009/606915/Menindee_Report_Dec-2023.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DC8892E27CF3C44B69D38359D0819DF"/>
        <w:category>
          <w:name w:val="General"/>
          <w:gallery w:val="placeholder"/>
        </w:category>
        <w:types>
          <w:type w:val="bbPlcHdr"/>
        </w:types>
        <w:behaviors>
          <w:behavior w:val="content"/>
        </w:behaviors>
        <w:guid w:val="{BFE1C32C-CD7C-2B49-A225-587E65A62A0C}"/>
      </w:docPartPr>
      <w:docPartBody>
        <w:p w:rsidR="00BE02BA" w:rsidRDefault="00E7386A">
          <w:pPr>
            <w:pStyle w:val="2DC8892E27CF3C44B69D38359D0819DF"/>
          </w:pPr>
          <w:r w:rsidRPr="00FF2530">
            <w:rPr>
              <w:rStyle w:val="PlaceholderText"/>
            </w:rPr>
            <w:t>[Title]</w:t>
          </w:r>
        </w:p>
      </w:docPartBody>
    </w:docPart>
    <w:docPart>
      <w:docPartPr>
        <w:name w:val="535FAC6218CBF34EAAAE2DB568EBFE49"/>
        <w:category>
          <w:name w:val="General"/>
          <w:gallery w:val="placeholder"/>
        </w:category>
        <w:types>
          <w:type w:val="bbPlcHdr"/>
        </w:types>
        <w:behaviors>
          <w:behavior w:val="content"/>
        </w:behaviors>
        <w:guid w:val="{3C564814-F8D7-EF45-9DE8-ED5CE4C1D627}"/>
      </w:docPartPr>
      <w:docPartBody>
        <w:p w:rsidR="00BE02BA" w:rsidRDefault="00D27F9A">
          <w:pPr>
            <w:pStyle w:val="535FAC6218CBF34EAAAE2DB568EBFE49"/>
          </w:pPr>
          <w:r w:rsidRPr="00284ED9">
            <w:rPr>
              <w:rStyle w:val="PlaceholderText"/>
            </w:rPr>
            <w:t>[Title]</w:t>
          </w:r>
        </w:p>
      </w:docPartBody>
    </w:docPart>
    <w:docPart>
      <w:docPartPr>
        <w:name w:val="C0B3A0F73C5C4BD68799F6FFC66E2271"/>
        <w:category>
          <w:name w:val="General"/>
          <w:gallery w:val="placeholder"/>
        </w:category>
        <w:types>
          <w:type w:val="bbPlcHdr"/>
        </w:types>
        <w:behaviors>
          <w:behavior w:val="content"/>
        </w:behaviors>
        <w:guid w:val="{67DDEDCC-D288-4808-A208-60DD8F971B1B}"/>
      </w:docPartPr>
      <w:docPartBody>
        <w:p w:rsidR="00A0537F" w:rsidRDefault="0027370E">
          <w:r w:rsidRPr="00422309">
            <w:rPr>
              <w:rStyle w:val="PlaceholderText"/>
            </w:rPr>
            <w:t>[Title]</w:t>
          </w:r>
        </w:p>
      </w:docPartBody>
    </w:docPart>
    <w:docPart>
      <w:docPartPr>
        <w:name w:val="B1A52CE0F80D48F4925D23A635ED12EF"/>
        <w:category>
          <w:name w:val="General"/>
          <w:gallery w:val="placeholder"/>
        </w:category>
        <w:types>
          <w:type w:val="bbPlcHdr"/>
        </w:types>
        <w:behaviors>
          <w:behavior w:val="content"/>
        </w:behaviors>
        <w:guid w:val="{B64C0377-8E61-4BC2-B307-06414DB9E3C4}"/>
      </w:docPartPr>
      <w:docPartBody>
        <w:p w:rsidR="002416DE" w:rsidRDefault="00B85BB9" w:rsidP="00B85BB9">
          <w:pPr>
            <w:pStyle w:val="B1A52CE0F80D48F4925D23A635ED12EF"/>
          </w:pPr>
          <w:r w:rsidRPr="00422309">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0C2B"/>
    <w:rsid w:val="000043DC"/>
    <w:rsid w:val="00040AF6"/>
    <w:rsid w:val="00044D84"/>
    <w:rsid w:val="000456A3"/>
    <w:rsid w:val="0006273C"/>
    <w:rsid w:val="0008023E"/>
    <w:rsid w:val="000858A2"/>
    <w:rsid w:val="00086B63"/>
    <w:rsid w:val="00091AEA"/>
    <w:rsid w:val="0009623F"/>
    <w:rsid w:val="000A4F7A"/>
    <w:rsid w:val="000C1E78"/>
    <w:rsid w:val="000C77C8"/>
    <w:rsid w:val="000E0933"/>
    <w:rsid w:val="000E58CA"/>
    <w:rsid w:val="000E6CAC"/>
    <w:rsid w:val="000E79A0"/>
    <w:rsid w:val="00102C0A"/>
    <w:rsid w:val="001039AA"/>
    <w:rsid w:val="00107052"/>
    <w:rsid w:val="00121EBF"/>
    <w:rsid w:val="00126ACA"/>
    <w:rsid w:val="00130B69"/>
    <w:rsid w:val="00146B3D"/>
    <w:rsid w:val="001571A8"/>
    <w:rsid w:val="001649E6"/>
    <w:rsid w:val="00165CF8"/>
    <w:rsid w:val="00172622"/>
    <w:rsid w:val="00174D0E"/>
    <w:rsid w:val="00180542"/>
    <w:rsid w:val="001874D8"/>
    <w:rsid w:val="00196100"/>
    <w:rsid w:val="001A2B10"/>
    <w:rsid w:val="001C0454"/>
    <w:rsid w:val="001C1AFF"/>
    <w:rsid w:val="001C4A71"/>
    <w:rsid w:val="001D6877"/>
    <w:rsid w:val="001D6EB3"/>
    <w:rsid w:val="001E781F"/>
    <w:rsid w:val="001F0074"/>
    <w:rsid w:val="00210BFE"/>
    <w:rsid w:val="0023665E"/>
    <w:rsid w:val="002416DE"/>
    <w:rsid w:val="00242AFF"/>
    <w:rsid w:val="002540C1"/>
    <w:rsid w:val="0025525D"/>
    <w:rsid w:val="00264271"/>
    <w:rsid w:val="00271CAC"/>
    <w:rsid w:val="0027370E"/>
    <w:rsid w:val="00273AFB"/>
    <w:rsid w:val="00286180"/>
    <w:rsid w:val="00286A32"/>
    <w:rsid w:val="002877DC"/>
    <w:rsid w:val="00287CF0"/>
    <w:rsid w:val="002A49DC"/>
    <w:rsid w:val="002B6496"/>
    <w:rsid w:val="002D2D35"/>
    <w:rsid w:val="002D5A6D"/>
    <w:rsid w:val="003011C2"/>
    <w:rsid w:val="00315400"/>
    <w:rsid w:val="0033129A"/>
    <w:rsid w:val="00341306"/>
    <w:rsid w:val="0034307D"/>
    <w:rsid w:val="00350860"/>
    <w:rsid w:val="00350DF4"/>
    <w:rsid w:val="00363E99"/>
    <w:rsid w:val="00370514"/>
    <w:rsid w:val="00371703"/>
    <w:rsid w:val="00385203"/>
    <w:rsid w:val="00387B0D"/>
    <w:rsid w:val="00395192"/>
    <w:rsid w:val="003A5E2D"/>
    <w:rsid w:val="003B2709"/>
    <w:rsid w:val="003B782A"/>
    <w:rsid w:val="003C1BB3"/>
    <w:rsid w:val="003C4D32"/>
    <w:rsid w:val="003C6D16"/>
    <w:rsid w:val="003D48D1"/>
    <w:rsid w:val="003E62A8"/>
    <w:rsid w:val="003F0B45"/>
    <w:rsid w:val="003F2B09"/>
    <w:rsid w:val="003F790C"/>
    <w:rsid w:val="00401F76"/>
    <w:rsid w:val="00405095"/>
    <w:rsid w:val="00410AF8"/>
    <w:rsid w:val="0041102B"/>
    <w:rsid w:val="0041733B"/>
    <w:rsid w:val="004403CD"/>
    <w:rsid w:val="00442C6D"/>
    <w:rsid w:val="004439A2"/>
    <w:rsid w:val="00447B32"/>
    <w:rsid w:val="004671DF"/>
    <w:rsid w:val="00467445"/>
    <w:rsid w:val="0048321C"/>
    <w:rsid w:val="004920D5"/>
    <w:rsid w:val="00494E42"/>
    <w:rsid w:val="004A3BF1"/>
    <w:rsid w:val="004A618E"/>
    <w:rsid w:val="004C40C2"/>
    <w:rsid w:val="004D2B97"/>
    <w:rsid w:val="004D527E"/>
    <w:rsid w:val="004E1B4F"/>
    <w:rsid w:val="00537483"/>
    <w:rsid w:val="00540267"/>
    <w:rsid w:val="00543042"/>
    <w:rsid w:val="00543098"/>
    <w:rsid w:val="00560593"/>
    <w:rsid w:val="00560F97"/>
    <w:rsid w:val="00573A9B"/>
    <w:rsid w:val="00576855"/>
    <w:rsid w:val="005A7FAC"/>
    <w:rsid w:val="005E1B05"/>
    <w:rsid w:val="00601DFB"/>
    <w:rsid w:val="00637120"/>
    <w:rsid w:val="0064010D"/>
    <w:rsid w:val="00645478"/>
    <w:rsid w:val="006518F0"/>
    <w:rsid w:val="006545F2"/>
    <w:rsid w:val="00666319"/>
    <w:rsid w:val="006839B2"/>
    <w:rsid w:val="0069762D"/>
    <w:rsid w:val="006A0AD5"/>
    <w:rsid w:val="006A7D70"/>
    <w:rsid w:val="006D101E"/>
    <w:rsid w:val="006D502C"/>
    <w:rsid w:val="006E2133"/>
    <w:rsid w:val="006E77C6"/>
    <w:rsid w:val="00701284"/>
    <w:rsid w:val="00703530"/>
    <w:rsid w:val="00710594"/>
    <w:rsid w:val="007411FD"/>
    <w:rsid w:val="007426ED"/>
    <w:rsid w:val="007445DF"/>
    <w:rsid w:val="00745E2C"/>
    <w:rsid w:val="00770399"/>
    <w:rsid w:val="007820CE"/>
    <w:rsid w:val="00783EC1"/>
    <w:rsid w:val="007877BA"/>
    <w:rsid w:val="007900F4"/>
    <w:rsid w:val="00796F3B"/>
    <w:rsid w:val="007E4DE0"/>
    <w:rsid w:val="00807969"/>
    <w:rsid w:val="00812AC6"/>
    <w:rsid w:val="00816265"/>
    <w:rsid w:val="00822357"/>
    <w:rsid w:val="00827A4E"/>
    <w:rsid w:val="0084189E"/>
    <w:rsid w:val="00843290"/>
    <w:rsid w:val="008448DA"/>
    <w:rsid w:val="00851917"/>
    <w:rsid w:val="008602D5"/>
    <w:rsid w:val="00883791"/>
    <w:rsid w:val="008842D7"/>
    <w:rsid w:val="008917BE"/>
    <w:rsid w:val="00895F9F"/>
    <w:rsid w:val="008A7AF4"/>
    <w:rsid w:val="008B4E9D"/>
    <w:rsid w:val="008E581A"/>
    <w:rsid w:val="008E6837"/>
    <w:rsid w:val="008F72CD"/>
    <w:rsid w:val="009019A8"/>
    <w:rsid w:val="00904635"/>
    <w:rsid w:val="00911F9E"/>
    <w:rsid w:val="0092314C"/>
    <w:rsid w:val="009361A5"/>
    <w:rsid w:val="00940E9A"/>
    <w:rsid w:val="00954016"/>
    <w:rsid w:val="009606D4"/>
    <w:rsid w:val="0097204B"/>
    <w:rsid w:val="0097470A"/>
    <w:rsid w:val="009755FA"/>
    <w:rsid w:val="009C4241"/>
    <w:rsid w:val="009C48E8"/>
    <w:rsid w:val="009C4F01"/>
    <w:rsid w:val="00A0537F"/>
    <w:rsid w:val="00A11331"/>
    <w:rsid w:val="00A258E2"/>
    <w:rsid w:val="00A25F36"/>
    <w:rsid w:val="00A26561"/>
    <w:rsid w:val="00A40B6A"/>
    <w:rsid w:val="00A51097"/>
    <w:rsid w:val="00AA6532"/>
    <w:rsid w:val="00AB28BA"/>
    <w:rsid w:val="00AB2A5C"/>
    <w:rsid w:val="00AB60EF"/>
    <w:rsid w:val="00AC18A4"/>
    <w:rsid w:val="00AD1582"/>
    <w:rsid w:val="00AD4A28"/>
    <w:rsid w:val="00B32E89"/>
    <w:rsid w:val="00B34CB5"/>
    <w:rsid w:val="00B35280"/>
    <w:rsid w:val="00B4106C"/>
    <w:rsid w:val="00B45271"/>
    <w:rsid w:val="00B5084E"/>
    <w:rsid w:val="00B55F49"/>
    <w:rsid w:val="00B75987"/>
    <w:rsid w:val="00B828F6"/>
    <w:rsid w:val="00B85BB9"/>
    <w:rsid w:val="00B93829"/>
    <w:rsid w:val="00BB38E7"/>
    <w:rsid w:val="00BC4B5C"/>
    <w:rsid w:val="00BD3E5A"/>
    <w:rsid w:val="00BE02BA"/>
    <w:rsid w:val="00BE21DF"/>
    <w:rsid w:val="00BF1B1D"/>
    <w:rsid w:val="00BF2F80"/>
    <w:rsid w:val="00BF639B"/>
    <w:rsid w:val="00C24423"/>
    <w:rsid w:val="00C33D18"/>
    <w:rsid w:val="00C4197A"/>
    <w:rsid w:val="00C46365"/>
    <w:rsid w:val="00C47F20"/>
    <w:rsid w:val="00C53C83"/>
    <w:rsid w:val="00C54EF2"/>
    <w:rsid w:val="00C65626"/>
    <w:rsid w:val="00C70FAB"/>
    <w:rsid w:val="00C76E51"/>
    <w:rsid w:val="00C778A3"/>
    <w:rsid w:val="00C82C0F"/>
    <w:rsid w:val="00C90D3C"/>
    <w:rsid w:val="00CB25B3"/>
    <w:rsid w:val="00CB4FC4"/>
    <w:rsid w:val="00CD1612"/>
    <w:rsid w:val="00CD3AE7"/>
    <w:rsid w:val="00CE3168"/>
    <w:rsid w:val="00D066A8"/>
    <w:rsid w:val="00D2715A"/>
    <w:rsid w:val="00D27F9A"/>
    <w:rsid w:val="00D321BE"/>
    <w:rsid w:val="00D339E7"/>
    <w:rsid w:val="00D373FD"/>
    <w:rsid w:val="00D405CF"/>
    <w:rsid w:val="00D623E4"/>
    <w:rsid w:val="00D65324"/>
    <w:rsid w:val="00D677B8"/>
    <w:rsid w:val="00D71BD4"/>
    <w:rsid w:val="00D87BED"/>
    <w:rsid w:val="00D92D07"/>
    <w:rsid w:val="00D9651F"/>
    <w:rsid w:val="00DA7DD8"/>
    <w:rsid w:val="00DC192E"/>
    <w:rsid w:val="00DD0DC6"/>
    <w:rsid w:val="00DE0C2B"/>
    <w:rsid w:val="00DE22A5"/>
    <w:rsid w:val="00DE6973"/>
    <w:rsid w:val="00DF1E50"/>
    <w:rsid w:val="00DF5AF4"/>
    <w:rsid w:val="00E13B16"/>
    <w:rsid w:val="00E17E7D"/>
    <w:rsid w:val="00E207D5"/>
    <w:rsid w:val="00E2342B"/>
    <w:rsid w:val="00E52CCD"/>
    <w:rsid w:val="00E55D6D"/>
    <w:rsid w:val="00E57698"/>
    <w:rsid w:val="00E70981"/>
    <w:rsid w:val="00E7288D"/>
    <w:rsid w:val="00E7386A"/>
    <w:rsid w:val="00E7763D"/>
    <w:rsid w:val="00E87D64"/>
    <w:rsid w:val="00E90C7B"/>
    <w:rsid w:val="00E91F29"/>
    <w:rsid w:val="00E96421"/>
    <w:rsid w:val="00EA241C"/>
    <w:rsid w:val="00EA6C42"/>
    <w:rsid w:val="00EC4DD7"/>
    <w:rsid w:val="00ED12AE"/>
    <w:rsid w:val="00ED4C2A"/>
    <w:rsid w:val="00EE2E0F"/>
    <w:rsid w:val="00EF2BC7"/>
    <w:rsid w:val="00EF558A"/>
    <w:rsid w:val="00F34761"/>
    <w:rsid w:val="00F34EE4"/>
    <w:rsid w:val="00F40E0D"/>
    <w:rsid w:val="00F45300"/>
    <w:rsid w:val="00F46547"/>
    <w:rsid w:val="00F66E23"/>
    <w:rsid w:val="00F749B2"/>
    <w:rsid w:val="00FA00DB"/>
    <w:rsid w:val="00FA1DD8"/>
    <w:rsid w:val="00FA6660"/>
    <w:rsid w:val="00FC7146"/>
    <w:rsid w:val="00FD1EA1"/>
    <w:rsid w:val="00FD6455"/>
    <w:rsid w:val="00FE3DDA"/>
    <w:rsid w:val="00FF4D3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85BB9"/>
    <w:rPr>
      <w:color w:val="808080"/>
    </w:rPr>
  </w:style>
  <w:style w:type="paragraph" w:customStyle="1" w:styleId="2DC8892E27CF3C44B69D38359D0819DF">
    <w:name w:val="2DC8892E27CF3C44B69D38359D0819DF"/>
    <w:pPr>
      <w:spacing w:line="278" w:lineRule="auto"/>
    </w:pPr>
    <w:rPr>
      <w:kern w:val="2"/>
      <w:sz w:val="24"/>
      <w:szCs w:val="24"/>
      <w:lang w:eastAsia="en-US"/>
      <w14:ligatures w14:val="standardContextual"/>
    </w:rPr>
  </w:style>
  <w:style w:type="paragraph" w:customStyle="1" w:styleId="535FAC6218CBF34EAAAE2DB568EBFE49">
    <w:name w:val="535FAC6218CBF34EAAAE2DB568EBFE49"/>
    <w:pPr>
      <w:spacing w:line="278" w:lineRule="auto"/>
    </w:pPr>
    <w:rPr>
      <w:kern w:val="2"/>
      <w:sz w:val="24"/>
      <w:szCs w:val="24"/>
      <w:lang w:eastAsia="en-US"/>
      <w14:ligatures w14:val="standardContextual"/>
    </w:rPr>
  </w:style>
  <w:style w:type="paragraph" w:customStyle="1" w:styleId="B1A52CE0F80D48F4925D23A635ED12EF">
    <w:name w:val="B1A52CE0F80D48F4925D23A635ED12EF"/>
    <w:rsid w:val="00B85BB9"/>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low-MER">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Props1.xml><?xml version="1.0" encoding="utf-8"?>
<ds:datastoreItem xmlns:ds="http://schemas.openxmlformats.org/officeDocument/2006/customXml" ds:itemID="{06169069-5365-48B1-BA77-3AEE772DFBB1}"/>
</file>

<file path=customXml/itemProps2.xml><?xml version="1.0" encoding="utf-8"?>
<ds:datastoreItem xmlns:ds="http://schemas.openxmlformats.org/officeDocument/2006/customXml" ds:itemID="{4AC67390-0BF5-469A-8A57-E5C70B687F9C}">
  <ds:schemaRefs>
    <ds:schemaRef ds:uri="http://schemas.microsoft.com/sharepoint/v3/contenttype/forms"/>
  </ds:schemaRefs>
</ds:datastoreItem>
</file>

<file path=customXml/itemProps3.xml><?xml version="1.0" encoding="utf-8"?>
<ds:datastoreItem xmlns:ds="http://schemas.openxmlformats.org/officeDocument/2006/customXml" ds:itemID="{B21127F7-736F-45DD-89C0-8278CAD83E6C}">
  <ds:schemaRefs>
    <ds:schemaRef ds:uri="http://schemas.openxmlformats.org/officeDocument/2006/bibliography"/>
  </ds:schemaRefs>
</ds:datastoreItem>
</file>

<file path=customXml/itemProps4.xml><?xml version="1.0" encoding="utf-8"?>
<ds:datastoreItem xmlns:ds="http://schemas.openxmlformats.org/officeDocument/2006/customXml" ds:itemID="{195BB5CB-E790-4B1C-9149-229B271AFAA4}">
  <ds:schemaRefs>
    <ds:schemaRef ds:uri="http://schemas.microsoft.com/sharepoint/events"/>
  </ds:schemaRefs>
</ds:datastoreItem>
</file>

<file path=customXml/itemProps5.xml><?xml version="1.0" encoding="utf-8"?>
<ds:datastoreItem xmlns:ds="http://schemas.openxmlformats.org/officeDocument/2006/customXml" ds:itemID="{FB870BBA-2760-4500-9305-B132C5C1416C}">
  <ds:schemaRefs>
    <ds:schemaRef ds:uri="http://schemas.microsoft.com/sharepoint/v3/contenttype/forms"/>
  </ds:schemaRefs>
</ds:datastoreItem>
</file>

<file path=customXml/itemProps6.xml><?xml version="1.0" encoding="utf-8"?>
<ds:datastoreItem xmlns:ds="http://schemas.openxmlformats.org/officeDocument/2006/customXml" ds:itemID="{D3118BA0-6EB9-4C12-AA2C-49B0C3841ED0}">
  <ds:schemaRefs>
    <ds:schemaRef ds:uri="http://schemas.microsoft.com/office/2006/metadata/properties"/>
    <ds:schemaRef ds:uri="http://schemas.microsoft.com/office/infopath/2007/PartnerControls"/>
    <ds:schemaRef ds:uri="cef064d9-833a-4371-be14-d32f389c9492"/>
    <ds:schemaRef ds:uri="f25e6db3-c0af-4f7c-83bb-9421085d09c1"/>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84</Pages>
  <Words>30661</Words>
  <Characters>174771</Characters>
  <Application>Microsoft Office Word</Application>
  <DocSecurity>0</DocSecurity>
  <Lines>1456</Lines>
  <Paragraphs>410</Paragraphs>
  <ScaleCrop>false</ScaleCrop>
  <HeadingPairs>
    <vt:vector size="2" baseType="variant">
      <vt:variant>
        <vt:lpstr>Title</vt:lpstr>
      </vt:variant>
      <vt:variant>
        <vt:i4>1</vt:i4>
      </vt:variant>
    </vt:vector>
  </HeadingPairs>
  <TitlesOfParts>
    <vt:vector size="1" baseType="lpstr">
      <vt:lpstr>Commonwealth environmental water sustaining Murray–Darling Basin ecosystems: 10-year (2014–24) retrospective</vt:lpstr>
    </vt:vector>
  </TitlesOfParts>
  <Company>CSIRO</Company>
  <LinksUpToDate>false</LinksUpToDate>
  <CharactersWithSpaces>205022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sustaining Murray–Darling Basin ecosystems: 10-year (2014–24) retrospective</dc:title>
  <dc:subject/>
  <dc:creator>Flow-MER</dc:creator>
  <cp:keywords/>
  <cp:lastModifiedBy>Dianne Flett</cp:lastModifiedBy>
  <cp:revision>3</cp:revision>
  <cp:lastPrinted>2025-08-20T04:16:00Z</cp:lastPrinted>
  <dcterms:created xsi:type="dcterms:W3CDTF">2025-08-20T04:16:00Z</dcterms:created>
  <dcterms:modified xsi:type="dcterms:W3CDTF">2025-08-20T04:17:00Z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0x010100D001B2BE74D025469E1D0E28F10DD2C8</vt:lpwstr>
  </property>
  <property fmtid="{D5CDD505-2E9C-101B-9397-08002B2CF9AE}" pid="5" name="RecordPoint_WorkflowType">
    <vt:lpwstr>ActiveSubmitStub</vt:lpwstr>
  </property>
  <property fmtid="{D5CDD505-2E9C-101B-9397-08002B2CF9AE}" pid="6" name="RecordPoint_ActiveItemSiteId">
    <vt:lpwstr>{a8f0bc9d-7c61-4d87-8154-4194e40ae5d3}</vt:lpwstr>
  </property>
  <property fmtid="{D5CDD505-2E9C-101B-9397-08002B2CF9AE}" pid="7" name="RecordPoint_ActiveItemListId">
    <vt:lpwstr>{05fc5c14-5593-4f15-97da-da4a441e1941}</vt:lpwstr>
  </property>
  <property fmtid="{D5CDD505-2E9C-101B-9397-08002B2CF9AE}" pid="8" name="RecordPoint_ActiveItemUniqueId">
    <vt:lpwstr>{2606ccb1-b883-421a-a5f4-ec6eab36f42c}</vt:lpwstr>
  </property>
  <property fmtid="{D5CDD505-2E9C-101B-9397-08002B2CF9AE}" pid="9" name="RecordPoint_ActiveItemWebId">
    <vt:lpwstr>{3234329a-c2b3-4a00-a284-7f3d975eb87b}</vt:lpwstr>
  </property>
  <property fmtid="{D5CDD505-2E9C-101B-9397-08002B2CF9AE}" pid="10" name="MediaServiceImageTags">
    <vt:lpwstr/>
  </property>
  <property fmtid="{D5CDD505-2E9C-101B-9397-08002B2CF9AE}" pid="11" name="RecordPoint_SubmissionDate">
    <vt:lpwstr/>
  </property>
  <property fmtid="{D5CDD505-2E9C-101B-9397-08002B2CF9AE}" pid="12" name="RecordPoint_RecordNumberSubmitted">
    <vt:lpwstr/>
  </property>
  <property fmtid="{D5CDD505-2E9C-101B-9397-08002B2CF9AE}" pid="13" name="RecordPoint_ActiveItemMoved">
    <vt:lpwstr/>
  </property>
  <property fmtid="{D5CDD505-2E9C-101B-9397-08002B2CF9AE}" pid="14" name="RecordPoint_RecordFormat">
    <vt:lpwstr/>
  </property>
  <property fmtid="{D5CDD505-2E9C-101B-9397-08002B2CF9AE}" pid="15" name="RecordPoint_SubmissionCompleted">
    <vt:lpwstr/>
  </property>
  <property fmtid="{D5CDD505-2E9C-101B-9397-08002B2CF9AE}" pid="16" name="MSIP_Label_4257e2ab-f512-40e2-9c9a-c64247360765_Enabled">
    <vt:lpwstr>true</vt:lpwstr>
  </property>
  <property fmtid="{D5CDD505-2E9C-101B-9397-08002B2CF9AE}" pid="17" name="MSIP_Label_4257e2ab-f512-40e2-9c9a-c64247360765_SetDate">
    <vt:lpwstr>2023-06-22T02:12:52Z</vt:lpwstr>
  </property>
  <property fmtid="{D5CDD505-2E9C-101B-9397-08002B2CF9AE}" pid="18" name="MSIP_Label_4257e2ab-f512-40e2-9c9a-c64247360765_Method">
    <vt:lpwstr>Privileged</vt:lpwstr>
  </property>
  <property fmtid="{D5CDD505-2E9C-101B-9397-08002B2CF9AE}" pid="19" name="MSIP_Label_4257e2ab-f512-40e2-9c9a-c64247360765_Name">
    <vt:lpwstr>OFFICIAL</vt:lpwstr>
  </property>
  <property fmtid="{D5CDD505-2E9C-101B-9397-08002B2CF9AE}" pid="20" name="MSIP_Label_4257e2ab-f512-40e2-9c9a-c64247360765_SiteId">
    <vt:lpwstr>e8bdd6f7-fc18-4e48-a554-7f547927223b</vt:lpwstr>
  </property>
  <property fmtid="{D5CDD505-2E9C-101B-9397-08002B2CF9AE}" pid="21" name="MSIP_Label_4257e2ab-f512-40e2-9c9a-c64247360765_ActionId">
    <vt:lpwstr>b8901afa-3cd4-45de-ad96-65059b94fab9</vt:lpwstr>
  </property>
  <property fmtid="{D5CDD505-2E9C-101B-9397-08002B2CF9AE}" pid="22" name="MSIP_Label_4257e2ab-f512-40e2-9c9a-c64247360765_ContentBits">
    <vt:lpwstr>2</vt:lpwstr>
  </property>
  <property fmtid="{D5CDD505-2E9C-101B-9397-08002B2CF9AE}" pid="23" name="AUTHOR0">
    <vt:lpwstr/>
  </property>
  <property fmtid="{D5CDD505-2E9C-101B-9397-08002B2CF9AE}" pid="24" name="GrammarlyDocumentId">
    <vt:lpwstr>da633d70b7eb60a2dc0bfbe93818c8b968ab37263f4611ec67c3468576306415</vt:lpwstr>
  </property>
  <property fmtid="{D5CDD505-2E9C-101B-9397-08002B2CF9AE}" pid="25" name="MSIP_Label_bf6fef03-d487-4433-8e43-6b81c0a1b7be_Enabled">
    <vt:lpwstr>true</vt:lpwstr>
  </property>
  <property fmtid="{D5CDD505-2E9C-101B-9397-08002B2CF9AE}" pid="26" name="MSIP_Label_bf6fef03-d487-4433-8e43-6b81c0a1b7be_SetDate">
    <vt:lpwstr>2024-09-11T11:11:57Z</vt:lpwstr>
  </property>
  <property fmtid="{D5CDD505-2E9C-101B-9397-08002B2CF9AE}" pid="27" name="MSIP_Label_bf6fef03-d487-4433-8e43-6b81c0a1b7be_Method">
    <vt:lpwstr>Standard</vt:lpwstr>
  </property>
  <property fmtid="{D5CDD505-2E9C-101B-9397-08002B2CF9AE}" pid="28" name="MSIP_Label_bf6fef03-d487-4433-8e43-6b81c0a1b7be_Name">
    <vt:lpwstr>Unclassified</vt:lpwstr>
  </property>
  <property fmtid="{D5CDD505-2E9C-101B-9397-08002B2CF9AE}" pid="29" name="MSIP_Label_bf6fef03-d487-4433-8e43-6b81c0a1b7be_SiteId">
    <vt:lpwstr>1daf5147-a543-4707-a2fb-2acf0b2a3936</vt:lpwstr>
  </property>
  <property fmtid="{D5CDD505-2E9C-101B-9397-08002B2CF9AE}" pid="30" name="MSIP_Label_bf6fef03-d487-4433-8e43-6b81c0a1b7be_ActionId">
    <vt:lpwstr>6b373e89-20df-4e11-b82d-b0c28d8ebcf0</vt:lpwstr>
  </property>
  <property fmtid="{D5CDD505-2E9C-101B-9397-08002B2CF9AE}" pid="31" name="MSIP_Label_bf6fef03-d487-4433-8e43-6b81c0a1b7be_ContentBits">
    <vt:lpwstr>0</vt:lpwstr>
  </property>
  <property fmtid="{D5CDD505-2E9C-101B-9397-08002B2CF9AE}" pid="32" name="_dlc_DocIdItemGuid">
    <vt:lpwstr>e93bea4e-b035-468c-bd18-db94569d986b</vt:lpwstr>
  </property>
  <property fmtid="{D5CDD505-2E9C-101B-9397-08002B2CF9AE}" pid="33" name="xd_ProgID">
    <vt:lpwstr/>
  </property>
  <property fmtid="{D5CDD505-2E9C-101B-9397-08002B2CF9AE}" pid="34" name="_SourceUrl">
    <vt:lpwstr/>
  </property>
  <property fmtid="{D5CDD505-2E9C-101B-9397-08002B2CF9AE}" pid="35" name="_SharedFileIndex">
    <vt:lpwstr/>
  </property>
  <property fmtid="{D5CDD505-2E9C-101B-9397-08002B2CF9AE}" pid="36" name="ComplianceAssetId">
    <vt:lpwstr/>
  </property>
  <property fmtid="{D5CDD505-2E9C-101B-9397-08002B2CF9AE}" pid="37" name="TemplateUrl">
    <vt:lpwstr/>
  </property>
  <property fmtid="{D5CDD505-2E9C-101B-9397-08002B2CF9AE}" pid="38" name="_ExtendedDescription">
    <vt:lpwstr/>
  </property>
  <property fmtid="{D5CDD505-2E9C-101B-9397-08002B2CF9AE}" pid="39" name="xd_Signature">
    <vt:bool>false</vt:bool>
  </property>
  <property fmtid="{D5CDD505-2E9C-101B-9397-08002B2CF9AE}" pid="40" name="TriggerFlowInfo">
    <vt:lpwstr/>
  </property>
</Properties>
</file>