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30.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75E3B9" w14:textId="77777777" w:rsidR="00B0196B" w:rsidRDefault="00B0196B" w:rsidP="00045B2B">
      <w:pPr>
        <w:pStyle w:val="CoverTitle"/>
        <w:ind w:right="1274"/>
        <w:rPr>
          <w:rFonts w:eastAsia="Calibri" w:cs="Times New Roman"/>
          <w:color w:val="000000"/>
          <w:spacing w:val="0"/>
          <w:kern w:val="0"/>
          <w:sz w:val="22"/>
          <w:szCs w:val="22"/>
          <w:shd w:val="clear" w:color="auto" w:fill="E6E6E6"/>
        </w:rPr>
      </w:pPr>
      <w:bookmarkStart w:id="0" w:name="_Hlk103608546"/>
    </w:p>
    <w:p w14:paraId="5E9E7B18" w14:textId="757534C2" w:rsidR="004A3924" w:rsidRDefault="004A3924" w:rsidP="00045B2B">
      <w:pPr>
        <w:pStyle w:val="CoverTitle"/>
        <w:ind w:right="1274"/>
        <w:rPr>
          <w:rFonts w:eastAsia="Calibri" w:cs="Times New Roman"/>
          <w:color w:val="000000"/>
          <w:spacing w:val="0"/>
          <w:kern w:val="0"/>
          <w:sz w:val="22"/>
          <w:szCs w:val="22"/>
          <w:shd w:val="clear" w:color="auto" w:fill="E6E6E6"/>
        </w:rPr>
      </w:pPr>
      <w:r w:rsidRPr="00C601A2">
        <w:rPr>
          <w:noProof/>
          <w:color w:val="2B579A"/>
          <w:shd w:val="clear" w:color="auto" w:fill="E6E6E6"/>
        </w:rPr>
        <w:drawing>
          <wp:anchor distT="0" distB="0" distL="114300" distR="114300" simplePos="0" relativeHeight="251658242" behindDoc="0" locked="0" layoutInCell="1" allowOverlap="1" wp14:anchorId="399026C8" wp14:editId="671F36FC">
            <wp:simplePos x="0" y="0"/>
            <wp:positionH relativeFrom="page">
              <wp:posOffset>-130810</wp:posOffset>
            </wp:positionH>
            <wp:positionV relativeFrom="page">
              <wp:posOffset>17145</wp:posOffset>
            </wp:positionV>
            <wp:extent cx="7687733" cy="4188460"/>
            <wp:effectExtent l="0" t="0" r="8890" b="2540"/>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a:ext>
                      </a:extLst>
                    </a:blip>
                    <a:stretch>
                      <a:fillRect/>
                    </a:stretch>
                  </pic:blipFill>
                  <pic:spPr>
                    <a:xfrm>
                      <a:off x="0" y="0"/>
                      <a:ext cx="7687733" cy="4188460"/>
                    </a:xfrm>
                    <a:prstGeom prst="rect">
                      <a:avLst/>
                    </a:prstGeom>
                  </pic:spPr>
                </pic:pic>
              </a:graphicData>
            </a:graphic>
            <wp14:sizeRelH relativeFrom="margin">
              <wp14:pctWidth>0</wp14:pctWidth>
            </wp14:sizeRelH>
            <wp14:sizeRelV relativeFrom="margin">
              <wp14:pctHeight>0</wp14:pctHeight>
            </wp14:sizeRelV>
          </wp:anchor>
        </w:drawing>
      </w:r>
    </w:p>
    <w:sdt>
      <w:sdtPr>
        <w:rPr>
          <w:rFonts w:eastAsia="Calibri" w:cs="Times New Roman"/>
          <w:color w:val="000000"/>
          <w:spacing w:val="0"/>
          <w:kern w:val="0"/>
          <w:sz w:val="22"/>
          <w:szCs w:val="22"/>
          <w:shd w:val="clear" w:color="auto" w:fill="E6E6E6"/>
        </w:rPr>
        <w:id w:val="1539781646"/>
        <w:docPartObj>
          <w:docPartGallery w:val="Cover Pages"/>
          <w:docPartUnique/>
        </w:docPartObj>
      </w:sdtPr>
      <w:sdtEndPr>
        <w:rPr>
          <w:color w:val="000000" w:themeColor="text2"/>
        </w:rPr>
      </w:sdtEndPr>
      <w:sdtContent>
        <w:sdt>
          <w:sdtPr>
            <w:rPr>
              <w:color w:val="2B579A"/>
            </w:rPr>
            <w:alias w:val="Title"/>
            <w:tag w:val=""/>
            <w:id w:val="-1746876706"/>
            <w:placeholder>
              <w:docPart w:val="8D0D47506AC8434898E0A6600976AA75"/>
            </w:placeholder>
            <w:dataBinding w:prefixMappings="xmlns:ns0='http://purl.org/dc/elements/1.1/' xmlns:ns1='http://schemas.openxmlformats.org/package/2006/metadata/core-properties' " w:xpath="/ns1:coreProperties[1]/ns0:title[1]" w:storeItemID="{6C3C8BC8-F283-45AE-878A-BAB7291924A1}"/>
            <w:text/>
          </w:sdtPr>
          <w:sdtContent>
            <w:p w14:paraId="4B7A6CF3" w14:textId="022E453F" w:rsidR="00045B2B" w:rsidRPr="0074052F" w:rsidRDefault="004A4DBC" w:rsidP="00045B2B">
              <w:pPr>
                <w:pStyle w:val="CoverTitle"/>
                <w:ind w:right="1274"/>
              </w:pPr>
              <w:r>
                <w:rPr>
                  <w:color w:val="2B579A"/>
                </w:rPr>
                <w:t>Basin-scale evaluation of 2023–24 Commonwealth environmental water: Food Webs and Water Quality</w:t>
              </w:r>
            </w:p>
          </w:sdtContent>
        </w:sdt>
        <w:sdt>
          <w:sdtPr>
            <w:rPr>
              <w:rFonts w:eastAsia="Calibri" w:cs="Times New Roman"/>
              <w:iCs w:val="0"/>
              <w:color w:val="000000"/>
              <w:spacing w:val="0"/>
              <w:sz w:val="22"/>
              <w:szCs w:val="22"/>
              <w:shd w:val="clear" w:color="auto" w:fill="E6E6E6"/>
            </w:rPr>
            <w:id w:val="1615406320"/>
            <w:docPartObj>
              <w:docPartGallery w:val="Cover Pages"/>
              <w:docPartUnique/>
            </w:docPartObj>
          </w:sdtPr>
          <w:sdtEndPr>
            <w:rPr>
              <w:color w:val="000000" w:themeColor="text2"/>
            </w:rPr>
          </w:sdtEndPr>
          <w:sdtContent>
            <w:sdt>
              <w:sdtPr>
                <w:rPr>
                  <w:rFonts w:eastAsia="Calibri" w:cs="Times New Roman"/>
                  <w:iCs w:val="0"/>
                  <w:color w:val="000000"/>
                  <w:spacing w:val="0"/>
                  <w:sz w:val="22"/>
                  <w:szCs w:val="22"/>
                  <w:shd w:val="clear" w:color="auto" w:fill="E6E6E6"/>
                </w:rPr>
                <w:id w:val="-2142259113"/>
                <w:docPartObj>
                  <w:docPartGallery w:val="Cover Pages"/>
                  <w:docPartUnique/>
                </w:docPartObj>
              </w:sdtPr>
              <w:sdtEndPr>
                <w:rPr>
                  <w:color w:val="000000" w:themeColor="text2"/>
                </w:rPr>
              </w:sdtEndPr>
              <w:sdtContent>
                <w:p w14:paraId="41614CD1" w14:textId="11EAFAC6" w:rsidR="005702B8" w:rsidRPr="00C601A2" w:rsidRDefault="00EB20EE" w:rsidP="00B44CCC">
                  <w:pPr>
                    <w:pStyle w:val="CoverSubtitle"/>
                  </w:pPr>
                  <w:r w:rsidRPr="00C601A2">
                    <w:t xml:space="preserve">Commonwealth Environmental Water </w:t>
                  </w:r>
                  <w:r w:rsidR="007964F2">
                    <w:t>Holder’s Science Program:</w:t>
                  </w:r>
                  <w:r w:rsidR="00606C0F">
                    <w:br/>
                    <w:t xml:space="preserve">Flow Monitoring Evaluation and Research </w:t>
                  </w:r>
                  <w:r w:rsidR="000B2841">
                    <w:t xml:space="preserve">Program </w:t>
                  </w:r>
                  <w:r w:rsidR="00606C0F">
                    <w:t>(Flow-MER)</w:t>
                  </w:r>
                </w:p>
                <w:p w14:paraId="1000BEB3" w14:textId="70BF3A56" w:rsidR="00DE6550" w:rsidRPr="001B4152" w:rsidRDefault="0032632E">
                  <w:pPr>
                    <w:spacing w:after="0"/>
                    <w:rPr>
                      <w:b/>
                      <w:color w:val="auto"/>
                    </w:rPr>
                  </w:pPr>
                  <w:r w:rsidRPr="001B4152">
                    <w:rPr>
                      <w:b/>
                      <w:bCs/>
                      <w:color w:val="auto"/>
                    </w:rPr>
                    <w:t>JUNE</w:t>
                  </w:r>
                  <w:r w:rsidR="00EE4E2C" w:rsidRPr="001B4152">
                    <w:rPr>
                      <w:b/>
                      <w:bCs/>
                      <w:color w:val="auto"/>
                    </w:rPr>
                    <w:t xml:space="preserve"> </w:t>
                  </w:r>
                  <w:r w:rsidR="00590943" w:rsidRPr="001B4152">
                    <w:rPr>
                      <w:b/>
                      <w:color w:val="auto"/>
                    </w:rPr>
                    <w:t>202</w:t>
                  </w:r>
                  <w:r w:rsidR="00932DD8" w:rsidRPr="001B4152">
                    <w:rPr>
                      <w:b/>
                      <w:color w:val="auto"/>
                    </w:rPr>
                    <w:t>5</w:t>
                  </w:r>
                </w:p>
                <w:p w14:paraId="6432DD3D" w14:textId="681100CC" w:rsidR="00014EBE" w:rsidRPr="00C601A2" w:rsidRDefault="003168A3" w:rsidP="00E8169A">
                  <w:pPr>
                    <w:spacing w:before="2400" w:after="0"/>
                    <w:rPr>
                      <w:sz w:val="24"/>
                    </w:rPr>
                  </w:pPr>
                  <w:r>
                    <w:rPr>
                      <w:noProof/>
                    </w:rPr>
                    <w:drawing>
                      <wp:inline distT="0" distB="0" distL="0" distR="0" wp14:anchorId="14F324C6" wp14:editId="663AF5C3">
                        <wp:extent cx="6346800" cy="529200"/>
                        <wp:effectExtent l="0" t="0" r="0" b="4445"/>
                        <wp:docPr id="1037173908" name="Picture 1" descr="Australian government and Flow-MER Logo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73908" name="Picture 1" descr="Australian government and Flow-MER Logos">
                                  <a:extLs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0" y="0"/>
                                  <a:ext cx="6346800" cy="529200"/>
                                </a:xfrm>
                                <a:prstGeom prst="rect">
                                  <a:avLst/>
                                </a:prstGeom>
                              </pic:spPr>
                            </pic:pic>
                          </a:graphicData>
                        </a:graphic>
                      </wp:inline>
                    </w:drawing>
                  </w:r>
                  <w:r w:rsidR="0083744A" w:rsidRPr="00C601A2">
                    <w:rPr>
                      <w:noProof/>
                      <w:color w:val="2B579A"/>
                      <w:shd w:val="clear" w:color="auto" w:fill="E6E6E6"/>
                    </w:rPr>
                    <mc:AlternateContent>
                      <mc:Choice Requires="wps">
                        <w:drawing>
                          <wp:anchor distT="0" distB="0" distL="114300" distR="114300" simplePos="0" relativeHeight="251658240" behindDoc="1" locked="1" layoutInCell="1" allowOverlap="1" wp14:anchorId="74A43327" wp14:editId="767967E5">
                            <wp:simplePos x="0" y="0"/>
                            <wp:positionH relativeFrom="page">
                              <wp:align>left</wp:align>
                            </wp:positionH>
                            <wp:positionV relativeFrom="page">
                              <wp:align>bottom</wp:align>
                            </wp:positionV>
                            <wp:extent cx="7560310" cy="393700"/>
                            <wp:effectExtent l="0" t="0" r="2540" b="6350"/>
                            <wp:wrapNone/>
                            <wp:docPr id="23" name="Rectangl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dec="http://schemas.microsoft.com/office/drawing/2017/decorative" xmlns:pic="http://schemas.openxmlformats.org/drawingml/2006/picture" xmlns:a="http://schemas.openxmlformats.org/drawingml/2006/main">
                        <w:pict w14:anchorId="16373BF9">
                          <v:rect id="Rectangle 23" style="position:absolute;margin-left:0;margin-top:0;width:595.3pt;height:31pt;z-index:-25165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alt="&quot;&quot;" o:spid="_x0000_s1026" fillcolor="#01528b [3204]" stroked="f" w14:anchorId="52437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p>
              </w:sdtContent>
            </w:sdt>
          </w:sdtContent>
        </w:sdt>
      </w:sdtContent>
    </w:sdt>
    <w:p w14:paraId="397A98DF" w14:textId="78DA27CC" w:rsidR="00B92FAE" w:rsidRPr="00C601A2" w:rsidRDefault="00B92FAE" w:rsidP="0053329A">
      <w:pPr>
        <w:pStyle w:val="VersoPageHeading"/>
        <w:tabs>
          <w:tab w:val="left" w:pos="3502"/>
        </w:tabs>
      </w:pPr>
      <w:r w:rsidRPr="00C601A2">
        <w:lastRenderedPageBreak/>
        <w:t>Acknowledgement</w:t>
      </w:r>
      <w:r>
        <w:t xml:space="preserve"> of Country</w:t>
      </w:r>
    </w:p>
    <w:p w14:paraId="2F476912" w14:textId="40FEE99F" w:rsidR="00B92FAE" w:rsidRPr="00C601A2" w:rsidRDefault="00B92FAE" w:rsidP="00B92FAE">
      <w:pPr>
        <w:pStyle w:val="VersoPageText"/>
        <w:rPr>
          <w:sz w:val="20"/>
        </w:rPr>
      </w:pPr>
      <w:r w:rsidRPr="00C601A2">
        <w:t xml:space="preserve">The project team and the Commonwealth Environmental Water </w:t>
      </w:r>
      <w:r w:rsidR="00E336B5">
        <w:t>Holder</w:t>
      </w:r>
      <w:r w:rsidRPr="00C601A2">
        <w:t xml:space="preserve"> (CEW</w:t>
      </w:r>
      <w:r w:rsidR="00E336B5">
        <w:t>H</w:t>
      </w:r>
      <w:r w:rsidRPr="00C601A2">
        <w:t xml:space="preserve">) respectfully acknowledge the </w:t>
      </w:r>
      <w:r w:rsidR="00600128">
        <w:t>T</w:t>
      </w:r>
      <w:r w:rsidRPr="00C601A2">
        <w:t xml:space="preserve">raditional </w:t>
      </w:r>
      <w:r w:rsidR="00600128">
        <w:t>O</w:t>
      </w:r>
      <w:r w:rsidRPr="00C601A2">
        <w:t>wners of the land on which this work is conducted, their Elders past and present, their Nations of the Murray–Darling Basin, and their cultural, social, environmental, spiritual and economic connection to their lands and waters.</w:t>
      </w:r>
    </w:p>
    <w:p w14:paraId="34139414" w14:textId="710EC00B" w:rsidR="000334C3" w:rsidRPr="00C601A2" w:rsidRDefault="000334C3" w:rsidP="000334C3">
      <w:pPr>
        <w:pStyle w:val="VersoPageHeading"/>
      </w:pPr>
      <w:r w:rsidRPr="00C601A2">
        <w:t>Acknowledgement</w:t>
      </w:r>
      <w:r>
        <w:t xml:space="preserve"> of collaborators and contributors</w:t>
      </w:r>
    </w:p>
    <w:p w14:paraId="05B1C91F" w14:textId="418F3DB6" w:rsidR="000069BB" w:rsidRPr="00C601A2" w:rsidRDefault="007B2C6D" w:rsidP="0011684C">
      <w:pPr>
        <w:pStyle w:val="VersoPageText"/>
      </w:pPr>
      <w:r w:rsidRPr="00C601A2">
        <w:t>A big thank you for c</w:t>
      </w:r>
      <w:r w:rsidR="000069BB" w:rsidRPr="00C601A2">
        <w:t xml:space="preserve">ontributions from </w:t>
      </w:r>
      <w:r w:rsidRPr="00C601A2">
        <w:t>Selected Area Theme Leaders</w:t>
      </w:r>
      <w:r w:rsidR="006F7EB6" w:rsidRPr="00C601A2">
        <w:t xml:space="preserve"> and team members</w:t>
      </w:r>
      <w:r w:rsidRPr="00C601A2">
        <w:t xml:space="preserve">: </w:t>
      </w:r>
      <w:r w:rsidR="000069BB" w:rsidRPr="00C601A2">
        <w:t xml:space="preserve">Mike Grace, Simon Treadwell, Yoshi Kobayashi, Xiaoying Liu, Nicole </w:t>
      </w:r>
      <w:proofErr w:type="spellStart"/>
      <w:r w:rsidR="000069BB" w:rsidRPr="00C601A2">
        <w:t>McCasker</w:t>
      </w:r>
      <w:proofErr w:type="spellEnd"/>
      <w:r w:rsidR="000069BB" w:rsidRPr="00C601A2">
        <w:t xml:space="preserve">, Rod Oliver, Alica </w:t>
      </w:r>
      <w:proofErr w:type="spellStart"/>
      <w:r w:rsidR="000069BB" w:rsidRPr="00C601A2">
        <w:t>Tschierschke</w:t>
      </w:r>
      <w:proofErr w:type="spellEnd"/>
      <w:r w:rsidR="000069BB" w:rsidRPr="00C601A2">
        <w:t>, Andre Siebers</w:t>
      </w:r>
      <w:r w:rsidR="001174F6" w:rsidRPr="00C601A2">
        <w:t>, Nick Bond, Mark Southwell</w:t>
      </w:r>
      <w:r w:rsidR="000069BB" w:rsidRPr="00C601A2">
        <w:t xml:space="preserve"> </w:t>
      </w:r>
      <w:r w:rsidR="00D429FF" w:rsidRPr="00C601A2">
        <w:t xml:space="preserve">and </w:t>
      </w:r>
      <w:r w:rsidR="000069BB" w:rsidRPr="00C601A2">
        <w:t>Sarah Mika.</w:t>
      </w:r>
    </w:p>
    <w:p w14:paraId="0059185F" w14:textId="026D4078" w:rsidR="0011684C" w:rsidRDefault="0011684C" w:rsidP="0011684C">
      <w:pPr>
        <w:pStyle w:val="VersoPageText"/>
      </w:pPr>
      <w:r>
        <w:t>We would like to thank the CSIRO team</w:t>
      </w:r>
      <w:r w:rsidR="005E786A">
        <w:t xml:space="preserve"> members</w:t>
      </w:r>
      <w:r>
        <w:t xml:space="preserve"> for their efforts in report layout, editing, reviewing and formatting. Special mention to</w:t>
      </w:r>
      <w:r w:rsidR="0085621D">
        <w:t xml:space="preserve"> </w:t>
      </w:r>
      <w:r w:rsidR="002F47BA">
        <w:t>Jane Thomas,</w:t>
      </w:r>
      <w:r w:rsidR="0085621D">
        <w:t xml:space="preserve"> </w:t>
      </w:r>
      <w:r>
        <w:t>Di</w:t>
      </w:r>
      <w:r w:rsidR="002F47BA">
        <w:t>anne</w:t>
      </w:r>
      <w:r>
        <w:t xml:space="preserve"> Flett</w:t>
      </w:r>
      <w:r w:rsidR="00EE5A04">
        <w:t xml:space="preserve">, </w:t>
      </w:r>
      <w:r w:rsidR="573D1380">
        <w:t>Martin Nolan</w:t>
      </w:r>
      <w:r w:rsidR="006F3572">
        <w:t xml:space="preserve"> and </w:t>
      </w:r>
      <w:r w:rsidR="00EE5A04">
        <w:t>Susan Cuddy</w:t>
      </w:r>
      <w:r>
        <w:t xml:space="preserve"> whose input, together with formatting specialist Jill Sharkey</w:t>
      </w:r>
      <w:r w:rsidR="009D2A4C">
        <w:t>,</w:t>
      </w:r>
      <w:r>
        <w:t xml:space="preserve"> greatly improved the readability of the report. CSIRO’s Martin Nolan assisted with figures and GIS layers. </w:t>
      </w:r>
    </w:p>
    <w:p w14:paraId="1B49D665" w14:textId="1FDB7D14" w:rsidR="00B00544" w:rsidRDefault="00B00544" w:rsidP="0011684C">
      <w:pPr>
        <w:pStyle w:val="VersoPageText"/>
      </w:pPr>
      <w:r>
        <w:t>We would also like to thank Luke McPha</w:t>
      </w:r>
      <w:r w:rsidR="008A7F6B">
        <w:t>n</w:t>
      </w:r>
      <w:r>
        <w:t xml:space="preserve"> for his peer review of the new counterfactual modelling</w:t>
      </w:r>
      <w:r w:rsidR="004A42D7">
        <w:t>,</w:t>
      </w:r>
      <w:r>
        <w:t xml:space="preserve"> </w:t>
      </w:r>
      <w:r w:rsidR="004A42D7">
        <w:t>and write-up in C</w:t>
      </w:r>
      <w:r>
        <w:t>hapter</w:t>
      </w:r>
      <w:r w:rsidR="004A42D7">
        <w:t xml:space="preserve"> 5</w:t>
      </w:r>
      <w:r>
        <w:t xml:space="preserve"> </w:t>
      </w:r>
      <w:r w:rsidR="004A42D7">
        <w:t xml:space="preserve">of this report </w:t>
      </w:r>
      <w:r>
        <w:t>and companion Methods report (O’Sullivan and Cuddy 2025)</w:t>
      </w:r>
      <w:r w:rsidR="008E29E3">
        <w:t xml:space="preserve">; and the staff of the CEWH and the CEWH’s Independent Advisory Group </w:t>
      </w:r>
      <w:r w:rsidR="0014655F">
        <w:t xml:space="preserve">for providing independent expert review. We acknowledge the </w:t>
      </w:r>
      <w:r w:rsidR="003A7AA2">
        <w:t xml:space="preserve">independent expert reviews provided by </w:t>
      </w:r>
      <w:r w:rsidR="008E29E3">
        <w:t>Professor Peter Davies</w:t>
      </w:r>
      <w:r w:rsidR="003A7AA2">
        <w:t xml:space="preserve"> over </w:t>
      </w:r>
      <w:r w:rsidR="00420653">
        <w:t>several</w:t>
      </w:r>
      <w:r w:rsidR="003A7AA2">
        <w:t xml:space="preserve"> years and the contribution his reviews have made to improving this evaluation and reporting</w:t>
      </w:r>
      <w:r w:rsidR="008E29E3">
        <w:t>.</w:t>
      </w:r>
    </w:p>
    <w:p w14:paraId="30AA9F07" w14:textId="77777777" w:rsidR="000334C3" w:rsidRPr="00C601A2" w:rsidRDefault="000334C3" w:rsidP="000334C3">
      <w:pPr>
        <w:pStyle w:val="VersoPageHeading"/>
      </w:pPr>
      <w:r w:rsidRPr="00C601A2">
        <w:t>Citation</w:t>
      </w:r>
    </w:p>
    <w:p w14:paraId="1CA3A5CA" w14:textId="7E8A1001" w:rsidR="000334C3" w:rsidRPr="00C601A2" w:rsidRDefault="000334C3" w:rsidP="00F13CB9">
      <w:pPr>
        <w:pStyle w:val="VersoPageText"/>
        <w:ind w:left="284" w:hanging="284"/>
      </w:pPr>
      <w:r w:rsidRPr="00C601A2">
        <w:t>McInerney P, Linke S</w:t>
      </w:r>
      <w:r w:rsidR="00E770BB">
        <w:t xml:space="preserve"> and</w:t>
      </w:r>
      <w:r w:rsidRPr="00C601A2">
        <w:t xml:space="preserve"> </w:t>
      </w:r>
      <w:proofErr w:type="spellStart"/>
      <w:r w:rsidRPr="00C601A2">
        <w:t>Giling</w:t>
      </w:r>
      <w:proofErr w:type="spellEnd"/>
      <w:r w:rsidRPr="00C601A2">
        <w:t xml:space="preserve"> D (202</w:t>
      </w:r>
      <w:r w:rsidR="00A23083">
        <w:t>5</w:t>
      </w:r>
      <w:r w:rsidRPr="00C601A2">
        <w:t>)</w:t>
      </w:r>
      <w:r>
        <w:t xml:space="preserve"> </w:t>
      </w:r>
      <w:r w:rsidR="00617CB3">
        <w:t>Basin-scale evaluation of 202</w:t>
      </w:r>
      <w:r w:rsidR="00932DD8">
        <w:t>3</w:t>
      </w:r>
      <w:r w:rsidR="00617CB3">
        <w:t>–2</w:t>
      </w:r>
      <w:r w:rsidR="00932DD8">
        <w:t>4</w:t>
      </w:r>
      <w:r w:rsidR="00617CB3">
        <w:t xml:space="preserve"> Commonwealth environmental water: Food Webs and Water Quality</w:t>
      </w:r>
      <w:r w:rsidRPr="00BA185D">
        <w:t>.</w:t>
      </w:r>
      <w:r w:rsidRPr="00C601A2">
        <w:t xml:space="preserve"> </w:t>
      </w:r>
      <w:r w:rsidR="00D613B7">
        <w:t>Flow-MER Program.</w:t>
      </w:r>
      <w:r w:rsidR="00426BC5">
        <w:t xml:space="preserve"> </w:t>
      </w:r>
      <w:r w:rsidRPr="00C601A2">
        <w:t xml:space="preserve">Commonwealth Environmental Water </w:t>
      </w:r>
      <w:r w:rsidR="00573ECE">
        <w:t>Holder</w:t>
      </w:r>
      <w:r w:rsidRPr="00C601A2">
        <w:t xml:space="preserve">, Department of </w:t>
      </w:r>
      <w:r w:rsidR="00E95F81">
        <w:t>Climate Change, Energy, the Environment and Water</w:t>
      </w:r>
      <w:r w:rsidRPr="00C601A2">
        <w:t xml:space="preserve">, Australia. </w:t>
      </w:r>
      <w:r>
        <w:fldChar w:fldCharType="begin"/>
      </w:r>
      <w:r w:rsidRPr="001C774F">
        <w:instrText xml:space="preserve"> NUMPAGES   \* MERGEFORMAT </w:instrText>
      </w:r>
      <w:r>
        <w:fldChar w:fldCharType="separate"/>
      </w:r>
      <w:r w:rsidR="007E463F">
        <w:rPr>
          <w:noProof/>
        </w:rPr>
        <w:t>78</w:t>
      </w:r>
      <w:r>
        <w:rPr>
          <w:noProof/>
        </w:rPr>
        <w:fldChar w:fldCharType="end"/>
      </w:r>
      <w:r w:rsidRPr="00C601A2">
        <w:t>pp.</w:t>
      </w:r>
    </w:p>
    <w:p w14:paraId="66762C9B" w14:textId="366D45CF" w:rsidR="00A943B2" w:rsidRPr="00C601A2" w:rsidRDefault="00A943B2" w:rsidP="0011684C">
      <w:pPr>
        <w:pStyle w:val="VersoPageHeading"/>
      </w:pPr>
      <w:r w:rsidRPr="00C601A2">
        <w:t>Copyright</w:t>
      </w:r>
    </w:p>
    <w:p w14:paraId="5E9A1C49" w14:textId="17B32DCE" w:rsidR="00E92DA8" w:rsidRPr="00C601A2" w:rsidRDefault="00E92DA8" w:rsidP="0011684C">
      <w:pPr>
        <w:pStyle w:val="VersoPageText"/>
        <w:rPr>
          <w:rStyle w:val="BodyTextChar"/>
          <w:rFonts w:eastAsia="Times"/>
          <w:color w:val="auto"/>
        </w:rPr>
      </w:pPr>
      <w:r w:rsidRPr="00C601A2">
        <w:rPr>
          <w:noProof/>
          <w:color w:val="2B579A"/>
          <w:shd w:val="clear" w:color="auto" w:fill="E6E6E6"/>
        </w:rPr>
        <w:drawing>
          <wp:inline distT="0" distB="0" distL="0" distR="0" wp14:anchorId="16E777C4" wp14:editId="7FC882A4">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00C601A2">
        <w:t xml:space="preserve"> © Commonwealth of Australia 202</w:t>
      </w:r>
      <w:r w:rsidR="00932DD8">
        <w:t>5</w:t>
      </w:r>
      <w:r w:rsidRPr="00C601A2">
        <w:br/>
        <w:t>With the exception of the Commonwealth Coat of Arms, partner logos and where otherwise noted, all material in this publication is provided under a Creative Commons Attribution 4.0 International Licence</w:t>
      </w:r>
      <w:r w:rsidRPr="00C601A2">
        <w:rPr>
          <w:rStyle w:val="BodyTextChar"/>
          <w:rFonts w:eastAsia="Times"/>
          <w:color w:val="auto"/>
        </w:rPr>
        <w:t xml:space="preserve"> </w:t>
      </w:r>
      <w:hyperlink r:id="rId15" w:tooltip="Creative Commons website" w:history="1">
        <w:r w:rsidRPr="00C601A2">
          <w:rPr>
            <w:rStyle w:val="Hyperlink"/>
          </w:rPr>
          <w:t>https://creativecommons.org/licenses/by/4.0/</w:t>
        </w:r>
      </w:hyperlink>
      <w:r w:rsidRPr="00C601A2">
        <w:rPr>
          <w:rStyle w:val="BodyTextChar"/>
          <w:rFonts w:eastAsia="Times"/>
          <w:color w:val="auto"/>
        </w:rPr>
        <w:t>. Flow</w:t>
      </w:r>
      <w:r w:rsidRPr="00C601A2">
        <w:rPr>
          <w:rStyle w:val="BodyTextChar"/>
          <w:rFonts w:eastAsia="Times"/>
          <w:color w:val="auto"/>
        </w:rPr>
        <w:noBreakHyphen/>
        <w:t>MER requests attribution as ‘© Commonwealth of Australia (Flow</w:t>
      </w:r>
      <w:r w:rsidRPr="00C601A2">
        <w:rPr>
          <w:rStyle w:val="BodyTextChar"/>
          <w:rFonts w:eastAsia="Times"/>
          <w:color w:val="auto"/>
        </w:rPr>
        <w:noBreakHyphen/>
        <w:t xml:space="preserve">MER Program, </w:t>
      </w:r>
      <w:r w:rsidR="00310CC8" w:rsidRPr="00C601A2">
        <w:rPr>
          <w:rStyle w:val="Hyperlink"/>
          <w:rFonts w:cs="Arial"/>
        </w:rPr>
        <w:t>https://flow-mer.org.au)</w:t>
      </w:r>
      <w:r w:rsidRPr="00C601A2">
        <w:rPr>
          <w:rStyle w:val="BodyTextChar"/>
          <w:rFonts w:eastAsia="Times"/>
          <w:color w:val="auto"/>
        </w:rPr>
        <w:t>’.</w:t>
      </w:r>
    </w:p>
    <w:p w14:paraId="40B6C3ED" w14:textId="7050F7E3" w:rsidR="00DE30F1" w:rsidRPr="00103387" w:rsidRDefault="00310CC8" w:rsidP="00103387">
      <w:pPr>
        <w:pStyle w:val="VersoPageHeading"/>
      </w:pPr>
      <w:r w:rsidRPr="00C601A2">
        <w:t>C</w:t>
      </w:r>
      <w:r w:rsidR="00DE30F1" w:rsidRPr="00C601A2">
        <w:t>over photograph</w:t>
      </w:r>
    </w:p>
    <w:p w14:paraId="3E87438C" w14:textId="0B202353" w:rsidR="00DE30F1" w:rsidRDefault="00E95F81" w:rsidP="00C50718">
      <w:pPr>
        <w:pStyle w:val="VersoPageText"/>
      </w:pPr>
      <w:r>
        <w:t>Gulpa Creek</w:t>
      </w:r>
      <w:r w:rsidR="00C50718" w:rsidRPr="00C601A2">
        <w:t>, N</w:t>
      </w:r>
      <w:r w:rsidR="00F968C8" w:rsidRPr="00C601A2">
        <w:t>ew South Wales</w:t>
      </w:r>
      <w:r w:rsidR="00C50718" w:rsidRPr="00C601A2">
        <w:t xml:space="preserve"> </w:t>
      </w:r>
      <w:r w:rsidR="00C50718" w:rsidRPr="00C601A2">
        <w:br/>
        <w:t>Photo credit: Paul McInerney</w:t>
      </w:r>
    </w:p>
    <w:p w14:paraId="14C77223" w14:textId="2C4DE3B7" w:rsidR="00012C0B" w:rsidRDefault="00012C0B" w:rsidP="00664394">
      <w:pPr>
        <w:pStyle w:val="VersoPageHeading"/>
      </w:pPr>
      <w:r>
        <w:t>Document history</w:t>
      </w:r>
    </w:p>
    <w:tbl>
      <w:tblPr>
        <w:tblStyle w:val="TableFlow-MER"/>
        <w:tblW w:w="9526" w:type="dxa"/>
        <w:tblLook w:val="04A0" w:firstRow="1" w:lastRow="0" w:firstColumn="1" w:lastColumn="0" w:noHBand="0" w:noVBand="1"/>
      </w:tblPr>
      <w:tblGrid>
        <w:gridCol w:w="2014"/>
        <w:gridCol w:w="7512"/>
      </w:tblGrid>
      <w:tr w:rsidR="003F2A51" w14:paraId="4FE915BC" w14:textId="77777777" w:rsidTr="003A06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4" w:type="dxa"/>
          </w:tcPr>
          <w:p w14:paraId="53D093D6" w14:textId="701AC5CA" w:rsidR="003F2A51" w:rsidRDefault="003F2A51" w:rsidP="00664394">
            <w:pPr>
              <w:pStyle w:val="ColumnHeading"/>
            </w:pPr>
            <w:r>
              <w:t>Date</w:t>
            </w:r>
          </w:p>
        </w:tc>
        <w:tc>
          <w:tcPr>
            <w:tcW w:w="7512" w:type="dxa"/>
          </w:tcPr>
          <w:p w14:paraId="03C451FC" w14:textId="2575ABDA" w:rsidR="003F2A51" w:rsidRDefault="003F2A51" w:rsidP="00664394">
            <w:pPr>
              <w:pStyle w:val="ColumnHeading"/>
              <w:cnfStyle w:val="100000000000" w:firstRow="1" w:lastRow="0" w:firstColumn="0" w:lastColumn="0" w:oddVBand="0" w:evenVBand="0" w:oddHBand="0" w:evenHBand="0" w:firstRowFirstColumn="0" w:firstRowLastColumn="0" w:lastRowFirstColumn="0" w:lastRowLastColumn="0"/>
            </w:pPr>
            <w:r>
              <w:t>Version</w:t>
            </w:r>
          </w:p>
        </w:tc>
      </w:tr>
      <w:tr w:rsidR="00A87E46" w14:paraId="57DB278F" w14:textId="77777777" w:rsidTr="00DD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4" w:type="dxa"/>
            <w:vAlign w:val="center"/>
          </w:tcPr>
          <w:p w14:paraId="3BF3BEE4" w14:textId="48246504" w:rsidR="00A87E46" w:rsidRDefault="006F3572" w:rsidP="00DD29B5">
            <w:pPr>
              <w:pStyle w:val="VersoPageText"/>
              <w:spacing w:before="60" w:after="60"/>
            </w:pPr>
            <w:r>
              <w:t>24</w:t>
            </w:r>
            <w:r w:rsidR="00F96AF1">
              <w:t xml:space="preserve"> March 2025</w:t>
            </w:r>
          </w:p>
        </w:tc>
        <w:tc>
          <w:tcPr>
            <w:tcW w:w="7512" w:type="dxa"/>
            <w:vAlign w:val="center"/>
          </w:tcPr>
          <w:p w14:paraId="10EEF265" w14:textId="120CA769" w:rsidR="00A87E46" w:rsidRDefault="00A87E46" w:rsidP="00DD29B5">
            <w:pPr>
              <w:pStyle w:val="VersoPageText"/>
              <w:spacing w:before="60" w:after="60"/>
              <w:cnfStyle w:val="000000100000" w:firstRow="0" w:lastRow="0" w:firstColumn="0" w:lastColumn="0" w:oddVBand="0" w:evenVBand="0" w:oddHBand="1" w:evenHBand="0" w:firstRowFirstColumn="0" w:firstRowLastColumn="0" w:lastRowFirstColumn="0" w:lastRowLastColumn="0"/>
            </w:pPr>
            <w:r>
              <w:t>Draft delivered to CSIRO for editing and quality checking</w:t>
            </w:r>
          </w:p>
        </w:tc>
      </w:tr>
      <w:tr w:rsidR="00A87E46" w14:paraId="1469D10E" w14:textId="77777777" w:rsidTr="00DD29B5">
        <w:tc>
          <w:tcPr>
            <w:cnfStyle w:val="001000000000" w:firstRow="0" w:lastRow="0" w:firstColumn="1" w:lastColumn="0" w:oddVBand="0" w:evenVBand="0" w:oddHBand="0" w:evenHBand="0" w:firstRowFirstColumn="0" w:firstRowLastColumn="0" w:lastRowFirstColumn="0" w:lastRowLastColumn="0"/>
            <w:tcW w:w="2014" w:type="dxa"/>
            <w:vAlign w:val="center"/>
          </w:tcPr>
          <w:p w14:paraId="0D89873F" w14:textId="374414DC" w:rsidR="00A87E46" w:rsidRDefault="00F96AF1" w:rsidP="00DD29B5">
            <w:pPr>
              <w:pStyle w:val="VersoPageText"/>
              <w:spacing w:before="60" w:after="60"/>
            </w:pPr>
            <w:r>
              <w:t>26 March 2025</w:t>
            </w:r>
          </w:p>
        </w:tc>
        <w:tc>
          <w:tcPr>
            <w:tcW w:w="7512" w:type="dxa"/>
            <w:vAlign w:val="center"/>
          </w:tcPr>
          <w:p w14:paraId="70163DBF" w14:textId="576C3548" w:rsidR="00A87E46" w:rsidRDefault="00EE4E2C" w:rsidP="00DD29B5">
            <w:pPr>
              <w:pStyle w:val="VersoPageText"/>
              <w:spacing w:before="60" w:after="60"/>
              <w:cnfStyle w:val="000000000000" w:firstRow="0" w:lastRow="0" w:firstColumn="0" w:lastColumn="0" w:oddVBand="0" w:evenVBand="0" w:oddHBand="0" w:evenHBand="0" w:firstRowFirstColumn="0" w:firstRowLastColumn="0" w:lastRowFirstColumn="0" w:lastRowLastColumn="0"/>
            </w:pPr>
            <w:r>
              <w:t>V</w:t>
            </w:r>
            <w:r w:rsidR="006F07E6">
              <w:t>1.0</w:t>
            </w:r>
            <w:r w:rsidR="001B66CC">
              <w:t xml:space="preserve"> – reporting team editing and review</w:t>
            </w:r>
          </w:p>
        </w:tc>
      </w:tr>
      <w:tr w:rsidR="00A87E46" w14:paraId="389C04B9" w14:textId="77777777" w:rsidTr="00DD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4" w:type="dxa"/>
            <w:vAlign w:val="center"/>
          </w:tcPr>
          <w:p w14:paraId="3A85B717" w14:textId="6D44FF4B" w:rsidR="00A87E46" w:rsidRDefault="00EE4E2C" w:rsidP="00DD29B5">
            <w:pPr>
              <w:pStyle w:val="VersoPageText"/>
              <w:spacing w:before="60" w:after="60"/>
            </w:pPr>
            <w:r>
              <w:t>30</w:t>
            </w:r>
            <w:r w:rsidR="00500F2A">
              <w:t xml:space="preserve"> April </w:t>
            </w:r>
            <w:r>
              <w:t>2025</w:t>
            </w:r>
          </w:p>
        </w:tc>
        <w:tc>
          <w:tcPr>
            <w:tcW w:w="7512" w:type="dxa"/>
            <w:vAlign w:val="center"/>
          </w:tcPr>
          <w:p w14:paraId="36CDBF41" w14:textId="05C8CBCA" w:rsidR="00A87E46" w:rsidRDefault="00EE4E2C" w:rsidP="00DD29B5">
            <w:pPr>
              <w:pStyle w:val="VersoPageText"/>
              <w:spacing w:before="60" w:after="60"/>
              <w:cnfStyle w:val="000000100000" w:firstRow="0" w:lastRow="0" w:firstColumn="0" w:lastColumn="0" w:oddVBand="0" w:evenVBand="0" w:oddHBand="1" w:evenHBand="0" w:firstRowFirstColumn="0" w:firstRowLastColumn="0" w:lastRowFirstColumn="0" w:lastRowLastColumn="0"/>
            </w:pPr>
            <w:r>
              <w:t>V2.0 – draft delivered to CEWH for review</w:t>
            </w:r>
          </w:p>
        </w:tc>
      </w:tr>
      <w:tr w:rsidR="00A87E46" w14:paraId="16268BC2" w14:textId="77777777" w:rsidTr="00DD29B5">
        <w:tc>
          <w:tcPr>
            <w:cnfStyle w:val="001000000000" w:firstRow="0" w:lastRow="0" w:firstColumn="1" w:lastColumn="0" w:oddVBand="0" w:evenVBand="0" w:oddHBand="0" w:evenHBand="0" w:firstRowFirstColumn="0" w:firstRowLastColumn="0" w:lastRowFirstColumn="0" w:lastRowLastColumn="0"/>
            <w:tcW w:w="2014" w:type="dxa"/>
            <w:vAlign w:val="center"/>
          </w:tcPr>
          <w:p w14:paraId="546DFA15" w14:textId="7C300C42" w:rsidR="00A87E46" w:rsidRPr="00A95030" w:rsidRDefault="004641AE" w:rsidP="00DD29B5">
            <w:pPr>
              <w:pStyle w:val="VersoPageText"/>
              <w:spacing w:before="60" w:after="60"/>
            </w:pPr>
            <w:r w:rsidRPr="00A95030">
              <w:t>2</w:t>
            </w:r>
            <w:r w:rsidR="0021385E" w:rsidRPr="00A95030">
              <w:t>0–</w:t>
            </w:r>
            <w:r w:rsidR="003A0616" w:rsidRPr="00A95030">
              <w:t>24</w:t>
            </w:r>
            <w:r w:rsidRPr="00A95030">
              <w:t xml:space="preserve"> June 2025</w:t>
            </w:r>
          </w:p>
        </w:tc>
        <w:tc>
          <w:tcPr>
            <w:tcW w:w="7512" w:type="dxa"/>
            <w:vAlign w:val="center"/>
          </w:tcPr>
          <w:p w14:paraId="1A1FDF68" w14:textId="677E7310" w:rsidR="00A87E46" w:rsidRDefault="00500F2A" w:rsidP="00DD29B5">
            <w:pPr>
              <w:pStyle w:val="VersoPageText"/>
              <w:spacing w:before="60" w:after="60"/>
              <w:cnfStyle w:val="000000000000" w:firstRow="0" w:lastRow="0" w:firstColumn="0" w:lastColumn="0" w:oddVBand="0" w:evenVBand="0" w:oddHBand="0" w:evenHBand="0" w:firstRowFirstColumn="0" w:firstRowLastColumn="0" w:lastRowFirstColumn="0" w:lastRowLastColumn="0"/>
            </w:pPr>
            <w:r w:rsidRPr="00A95030">
              <w:t>Review comments received from CEWH and r</w:t>
            </w:r>
            <w:r w:rsidR="00F96AF1" w:rsidRPr="00A95030">
              <w:t>esponse to review</w:t>
            </w:r>
            <w:r w:rsidR="004641AE" w:rsidRPr="00A95030">
              <w:t xml:space="preserve"> comments undertaken</w:t>
            </w:r>
          </w:p>
        </w:tc>
      </w:tr>
      <w:tr w:rsidR="00BD7DDC" w14:paraId="1C2CA6D5" w14:textId="77777777" w:rsidTr="00DD2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4" w:type="dxa"/>
            <w:vAlign w:val="center"/>
          </w:tcPr>
          <w:p w14:paraId="761173D9" w14:textId="230C5E33" w:rsidR="00BD7DDC" w:rsidRDefault="00F96AF1" w:rsidP="00DD29B5">
            <w:pPr>
              <w:pStyle w:val="VersoPageText"/>
              <w:spacing w:before="60" w:after="60"/>
            </w:pPr>
            <w:r>
              <w:t>30 June 2025</w:t>
            </w:r>
          </w:p>
        </w:tc>
        <w:tc>
          <w:tcPr>
            <w:tcW w:w="7512" w:type="dxa"/>
            <w:vAlign w:val="center"/>
          </w:tcPr>
          <w:p w14:paraId="1696399B" w14:textId="28775405" w:rsidR="00BD7DDC" w:rsidRDefault="003A0616" w:rsidP="00DD29B5">
            <w:pPr>
              <w:pStyle w:val="VersoPageText"/>
              <w:spacing w:before="60" w:after="60"/>
              <w:cnfStyle w:val="000000100000" w:firstRow="0" w:lastRow="0" w:firstColumn="0" w:lastColumn="0" w:oddVBand="0" w:evenVBand="0" w:oddHBand="1" w:evenHBand="0" w:firstRowFirstColumn="0" w:firstRowLastColumn="0" w:lastRowFirstColumn="0" w:lastRowLastColumn="0"/>
            </w:pPr>
            <w:r>
              <w:t xml:space="preserve">V3.0 </w:t>
            </w:r>
            <w:r w:rsidR="00F96AF1">
              <w:t>Final delivered to CEWH</w:t>
            </w:r>
          </w:p>
        </w:tc>
      </w:tr>
    </w:tbl>
    <w:p w14:paraId="3E3BB8F9" w14:textId="77777777" w:rsidR="003F2A51" w:rsidRPr="00C601A2" w:rsidRDefault="003F2A51" w:rsidP="00C50718">
      <w:pPr>
        <w:pStyle w:val="VersoPageText"/>
      </w:pPr>
    </w:p>
    <w:p w14:paraId="6DA04AFF" w14:textId="77777777" w:rsidR="00A943B2" w:rsidRPr="00C601A2" w:rsidRDefault="00A943B2" w:rsidP="00091D8A">
      <w:pPr>
        <w:pStyle w:val="VersoPageHeading"/>
        <w:spacing w:before="240"/>
      </w:pPr>
      <w:r w:rsidRPr="00C601A2">
        <w:t>Important disclaimer</w:t>
      </w:r>
    </w:p>
    <w:p w14:paraId="3969FD31" w14:textId="5A1B054C" w:rsidR="00A943B2" w:rsidRPr="00C601A2" w:rsidRDefault="00497E6A" w:rsidP="00C50718">
      <w:pPr>
        <w:pStyle w:val="VersoPageText"/>
      </w:pPr>
      <w:r w:rsidRPr="00C601A2">
        <w:t>T</w:t>
      </w:r>
      <w:r w:rsidR="00A943B2" w:rsidRPr="00C601A2">
        <w:t xml:space="preserve">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w:t>
      </w:r>
      <w:r w:rsidRPr="00C601A2">
        <w:t xml:space="preserve">Flow-MER </w:t>
      </w:r>
      <w:r w:rsidR="00A943B2" w:rsidRPr="00C601A2">
        <w:t xml:space="preserve">(including its </w:t>
      </w:r>
      <w:r w:rsidRPr="00C601A2">
        <w:t>partners and collaborators</w:t>
      </w:r>
      <w:r w:rsidR="00A943B2" w:rsidRPr="00C601A2">
        <w:t>)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715CE5C9" w14:textId="19E3904B" w:rsidR="002F6753" w:rsidRPr="00C601A2" w:rsidRDefault="00497E6A" w:rsidP="00C50718">
      <w:pPr>
        <w:pStyle w:val="VersoPageText"/>
      </w:pPr>
      <w:r w:rsidRPr="00C601A2">
        <w:t>Flow-MER</w:t>
      </w:r>
      <w:r w:rsidR="00F968C8" w:rsidRPr="00C601A2">
        <w:t xml:space="preserve"> </w:t>
      </w:r>
      <w:r w:rsidR="002F6753" w:rsidRPr="00C601A2">
        <w:t>is committed to providing web</w:t>
      </w:r>
      <w:r w:rsidR="00600128">
        <w:t>-</w:t>
      </w:r>
      <w:r w:rsidR="002F6753" w:rsidRPr="00C601A2">
        <w:t>accessible content wherever possible. If you are having difficulties with accessing this document</w:t>
      </w:r>
      <w:r w:rsidR="00F968C8" w:rsidRPr="00C601A2">
        <w:t>,</w:t>
      </w:r>
      <w:r w:rsidR="002F6753" w:rsidRPr="00C601A2">
        <w:t xml:space="preserve"> please contact</w:t>
      </w:r>
      <w:r w:rsidR="004641AE">
        <w:t xml:space="preserve"> ewater@dcceew.gov.au.</w:t>
      </w:r>
    </w:p>
    <w:p w14:paraId="5D9AA884" w14:textId="77777777" w:rsidR="00892052" w:rsidRPr="00C601A2" w:rsidRDefault="00892052" w:rsidP="00C50718">
      <w:pPr>
        <w:pStyle w:val="VersoPageText"/>
      </w:pPr>
    </w:p>
    <w:p w14:paraId="542C0BA1" w14:textId="31246DF2" w:rsidR="00BE63E8" w:rsidRPr="00C601A2" w:rsidRDefault="00BE63E8" w:rsidP="00C50718">
      <w:pPr>
        <w:pStyle w:val="VersoPageText"/>
        <w:sectPr w:rsidR="00BE63E8" w:rsidRPr="00C601A2" w:rsidSect="000E21A8">
          <w:headerReference w:type="even" r:id="rId16"/>
          <w:headerReference w:type="default" r:id="rId17"/>
          <w:footerReference w:type="even" r:id="rId18"/>
          <w:footerReference w:type="default" r:id="rId19"/>
          <w:headerReference w:type="first" r:id="rId20"/>
          <w:footerReference w:type="first" r:id="rId21"/>
          <w:type w:val="oddPage"/>
          <w:pgSz w:w="11906" w:h="16838" w:code="9"/>
          <w:pgMar w:top="1134" w:right="1134" w:bottom="1134" w:left="1134" w:header="510" w:footer="510" w:gutter="0"/>
          <w:pgNumType w:fmt="lowerRoman" w:start="1"/>
          <w:cols w:space="284"/>
          <w:docGrid w:linePitch="360"/>
        </w:sectPr>
      </w:pPr>
    </w:p>
    <w:p w14:paraId="461A62B5" w14:textId="0710FD33" w:rsidR="00490C50" w:rsidRPr="00C601A2" w:rsidRDefault="00E13F9D" w:rsidP="00490C50">
      <w:pPr>
        <w:pStyle w:val="Heading1notnumbered"/>
      </w:pPr>
      <w:bookmarkStart w:id="1" w:name="_Toc71298425"/>
      <w:bookmarkStart w:id="2" w:name="_Toc169543849"/>
      <w:bookmarkStart w:id="3" w:name="_Toc202187829"/>
      <w:r w:rsidRPr="00C601A2">
        <w:lastRenderedPageBreak/>
        <w:t>Executive s</w:t>
      </w:r>
      <w:r w:rsidR="00490C50" w:rsidRPr="00C601A2">
        <w:t>ummary</w:t>
      </w:r>
      <w:bookmarkEnd w:id="1"/>
      <w:bookmarkEnd w:id="2"/>
      <w:bookmarkEnd w:id="3"/>
    </w:p>
    <w:p w14:paraId="39E8BDD7" w14:textId="20187A8A" w:rsidR="0098107D" w:rsidRPr="00C601A2" w:rsidRDefault="0098107D" w:rsidP="0098107D">
      <w:pPr>
        <w:pStyle w:val="BodyText"/>
      </w:pPr>
      <w:r w:rsidRPr="00C601A2">
        <w:t xml:space="preserve">Strategic management of Commonwealth </w:t>
      </w:r>
      <w:r w:rsidR="008529A1">
        <w:t xml:space="preserve">environmental </w:t>
      </w:r>
      <w:r w:rsidRPr="00C601A2">
        <w:t>water</w:t>
      </w:r>
      <w:r w:rsidR="00867336">
        <w:t xml:space="preserve"> </w:t>
      </w:r>
      <w:r w:rsidRPr="00C601A2">
        <w:t xml:space="preserve">by the Commonwealth Environmental Water Holder (CEWH) is </w:t>
      </w:r>
      <w:r w:rsidR="008476BD">
        <w:t>key</w:t>
      </w:r>
      <w:r w:rsidR="008476BD" w:rsidRPr="00C601A2">
        <w:t xml:space="preserve"> </w:t>
      </w:r>
      <w:r w:rsidRPr="00C601A2">
        <w:t>to achieving the</w:t>
      </w:r>
      <w:r w:rsidR="00470BF4">
        <w:t xml:space="preserve"> environmental objectives in the</w:t>
      </w:r>
      <w:r w:rsidRPr="00C601A2">
        <w:t xml:space="preserve"> Commonwealth’s (Murray–Darling) </w:t>
      </w:r>
      <w:r w:rsidRPr="00C601A2">
        <w:rPr>
          <w:rStyle w:val="Italics"/>
        </w:rPr>
        <w:t>Basin Plan 2012</w:t>
      </w:r>
      <w:r w:rsidRPr="00C601A2">
        <w:t xml:space="preserve"> </w:t>
      </w:r>
      <w:r w:rsidR="00F06450">
        <w:t>(</w:t>
      </w:r>
      <w:r w:rsidR="003D3424">
        <w:t xml:space="preserve">the </w:t>
      </w:r>
      <w:r w:rsidR="00F06450">
        <w:t>Basin Plan)</w:t>
      </w:r>
      <w:r w:rsidRPr="00C601A2">
        <w:t xml:space="preserve">. </w:t>
      </w:r>
      <w:r w:rsidR="00E95F81" w:rsidRPr="00C601A2">
        <w:t>The C</w:t>
      </w:r>
      <w:r w:rsidR="007E5082">
        <w:t>EWH</w:t>
      </w:r>
      <w:r w:rsidR="00E95F81" w:rsidRPr="00C601A2">
        <w:t xml:space="preserve">’s </w:t>
      </w:r>
      <w:r w:rsidR="00E95F81">
        <w:t>Science Program invests in Flow</w:t>
      </w:r>
      <w:r w:rsidR="00E95F81" w:rsidRPr="00C601A2">
        <w:t xml:space="preserve"> Monitoring, Evaluation and Research (Flow-MER) to demonstrate </w:t>
      </w:r>
      <w:r w:rsidR="00F53961">
        <w:t xml:space="preserve">Basin-scale </w:t>
      </w:r>
      <w:r w:rsidR="00E95F81" w:rsidRPr="00C601A2">
        <w:t xml:space="preserve">outcomes of Commonwealth </w:t>
      </w:r>
      <w:r w:rsidR="00B5375C">
        <w:t xml:space="preserve">environmental </w:t>
      </w:r>
      <w:r w:rsidR="00E95F81" w:rsidRPr="00C601A2">
        <w:t>water, support adaptive management</w:t>
      </w:r>
      <w:r w:rsidR="00696B35">
        <w:t>,</w:t>
      </w:r>
      <w:r w:rsidR="00E95F81" w:rsidRPr="00C601A2">
        <w:t xml:space="preserve"> and fulfil </w:t>
      </w:r>
      <w:r w:rsidR="00E95F81">
        <w:t xml:space="preserve">the </w:t>
      </w:r>
      <w:r w:rsidR="00E95F81" w:rsidRPr="00C601A2">
        <w:t>CEWH</w:t>
      </w:r>
      <w:r w:rsidR="00E95F81">
        <w:t>’s</w:t>
      </w:r>
      <w:r w:rsidR="00E95F81" w:rsidRPr="00C601A2">
        <w:t xml:space="preserve"> legislative requirements under the Basin Plan.</w:t>
      </w:r>
    </w:p>
    <w:p w14:paraId="30C7BA7F" w14:textId="50BC0AED" w:rsidR="0098107D" w:rsidRPr="00C601A2" w:rsidRDefault="0098107D" w:rsidP="0098107D">
      <w:pPr>
        <w:pStyle w:val="BodyText"/>
      </w:pPr>
      <w:r w:rsidRPr="00C601A2">
        <w:t>A key objective of the Basin Plan</w:t>
      </w:r>
      <w:r w:rsidRPr="00C601A2">
        <w:rPr>
          <w:rStyle w:val="Italics"/>
        </w:rPr>
        <w:t xml:space="preserve"> </w:t>
      </w:r>
      <w:r w:rsidRPr="00C601A2">
        <w:t>is the ‘</w:t>
      </w:r>
      <w:r w:rsidRPr="004A4DBC">
        <w:t>protection and restoration of ecosystem functions of water-dependent ecosystems’</w:t>
      </w:r>
      <w:r w:rsidRPr="00C601A2">
        <w:t xml:space="preserve"> (Basin Plan </w:t>
      </w:r>
      <w:r w:rsidR="00A420E6" w:rsidRPr="00C601A2">
        <w:t>s</w:t>
      </w:r>
      <w:r w:rsidRPr="00C601A2">
        <w:t>ection 8.06)</w:t>
      </w:r>
      <w:r w:rsidRPr="00E95F81">
        <w:t xml:space="preserve">. </w:t>
      </w:r>
      <w:r w:rsidRPr="00C601A2">
        <w:t>This includes</w:t>
      </w:r>
      <w:r w:rsidRPr="00C601A2">
        <w:rPr>
          <w:i/>
          <w:iCs/>
        </w:rPr>
        <w:t xml:space="preserve"> </w:t>
      </w:r>
      <w:r w:rsidRPr="00C601A2">
        <w:t>‘</w:t>
      </w:r>
      <w:r w:rsidRPr="004A4DBC">
        <w:t>food webs that sustain water-dependent ecosystems, including by protecting energy, carbon and nutrient dynamics, primary production and respiration</w:t>
      </w:r>
      <w:r w:rsidRPr="00696B35">
        <w:t>’</w:t>
      </w:r>
      <w:r w:rsidRPr="00C601A2">
        <w:t xml:space="preserve"> (Basin Plan </w:t>
      </w:r>
      <w:r w:rsidR="007E5082">
        <w:t>sub</w:t>
      </w:r>
      <w:r w:rsidR="00A420E6" w:rsidRPr="00C601A2">
        <w:t>s</w:t>
      </w:r>
      <w:r w:rsidRPr="00C601A2">
        <w:t>ection 8.0</w:t>
      </w:r>
      <w:r w:rsidR="00016952" w:rsidRPr="00C601A2">
        <w:t>6(</w:t>
      </w:r>
      <w:r w:rsidRPr="00C601A2">
        <w:t>7</w:t>
      </w:r>
      <w:r w:rsidR="00016952" w:rsidRPr="00C601A2">
        <w:t>)</w:t>
      </w:r>
      <w:r w:rsidRPr="00C601A2">
        <w:t xml:space="preserve">). Furthermore, Basin Plan </w:t>
      </w:r>
      <w:r w:rsidR="00A420E6" w:rsidRPr="00C601A2">
        <w:t>s</w:t>
      </w:r>
      <w:r w:rsidRPr="00C601A2">
        <w:t>ection 5.04 establishes objectives for maintaining adequate water quality, which underpins productive and diverse food webs. These objectives are</w:t>
      </w:r>
      <w:r w:rsidRPr="00C601A2" w:rsidDel="00354E3F">
        <w:t xml:space="preserve"> </w:t>
      </w:r>
      <w:r w:rsidRPr="00C601A2">
        <w:t xml:space="preserve">highlighted for future consideration within the </w:t>
      </w:r>
      <w:r w:rsidRPr="00C601A2">
        <w:rPr>
          <w:rStyle w:val="Italics"/>
        </w:rPr>
        <w:t>Basin-wide environmental watering strategy</w:t>
      </w:r>
      <w:r w:rsidRPr="00C601A2">
        <w:t xml:space="preserve"> (the Strategy</w:t>
      </w:r>
      <w:r w:rsidR="006D1759">
        <w:rPr>
          <w:rStyle w:val="FootnoteReference"/>
        </w:rPr>
        <w:footnoteReference w:id="2"/>
      </w:r>
      <w:r w:rsidRPr="00C601A2">
        <w:t xml:space="preserve">) and will be further explored for inclusion in the next Strategy under Ecosystem </w:t>
      </w:r>
      <w:r w:rsidR="00655C14" w:rsidRPr="00C601A2">
        <w:t>F</w:t>
      </w:r>
      <w:r w:rsidRPr="00C601A2">
        <w:t xml:space="preserve">unctions as a subtheme of the Flows and Connectivity </w:t>
      </w:r>
      <w:r w:rsidR="002A7765" w:rsidRPr="00C601A2">
        <w:t>T</w:t>
      </w:r>
      <w:r w:rsidRPr="00C601A2">
        <w:t>heme.</w:t>
      </w:r>
    </w:p>
    <w:p w14:paraId="1DB90C09" w14:textId="4A23B1A9" w:rsidR="00B37383" w:rsidRPr="00C601A2" w:rsidRDefault="0098107D" w:rsidP="00F317F5">
      <w:pPr>
        <w:pStyle w:val="BodyText"/>
      </w:pPr>
      <w:r w:rsidRPr="00C601A2">
        <w:t>Th</w:t>
      </w:r>
      <w:r w:rsidR="002C3D6D" w:rsidRPr="00C601A2">
        <w:t>e</w:t>
      </w:r>
      <w:r w:rsidRPr="00C601A2">
        <w:t xml:space="preserve"> </w:t>
      </w:r>
      <w:r w:rsidR="00050E0C">
        <w:t xml:space="preserve">Basin-scale </w:t>
      </w:r>
      <w:r w:rsidRPr="00C601A2">
        <w:t>Food Webs and Water Quality Theme investigates how environmental water impacts water quality and stream metabolism in the Murray–Darling Basin</w:t>
      </w:r>
      <w:r w:rsidR="002A7765" w:rsidRPr="00C601A2">
        <w:t xml:space="preserve"> (the Basin)</w:t>
      </w:r>
      <w:r w:rsidRPr="00C601A2">
        <w:t xml:space="preserve">. The Basin Plan seeks to protect and restore biodiversity in the Basin’s aquatic ecosystems. </w:t>
      </w:r>
      <w:r w:rsidR="098F2607" w:rsidRPr="00C601A2">
        <w:t>Energy flow in f</w:t>
      </w:r>
      <w:r w:rsidRPr="00C601A2">
        <w:t xml:space="preserve">ood webs </w:t>
      </w:r>
      <w:r w:rsidR="2F8A7320" w:rsidRPr="00C601A2">
        <w:t xml:space="preserve">is </w:t>
      </w:r>
      <w:r w:rsidRPr="00C601A2">
        <w:t>one of several critical ecosystem functions</w:t>
      </w:r>
      <w:r w:rsidR="5C758D1B" w:rsidRPr="00C601A2">
        <w:t xml:space="preserve"> </w:t>
      </w:r>
      <w:r w:rsidR="55E13E45" w:rsidRPr="00C601A2">
        <w:t>that are</w:t>
      </w:r>
      <w:r w:rsidRPr="00C601A2">
        <w:t xml:space="preserve"> central to sustaining </w:t>
      </w:r>
      <w:r w:rsidR="4C98756D" w:rsidRPr="00C601A2">
        <w:t>bio</w:t>
      </w:r>
      <w:r w:rsidR="5C758D1B" w:rsidRPr="00C601A2">
        <w:t>diversity</w:t>
      </w:r>
      <w:r w:rsidR="0079759E" w:rsidRPr="00C601A2">
        <w:t>,</w:t>
      </w:r>
      <w:r w:rsidRPr="00C601A2">
        <w:t xml:space="preserve"> along with</w:t>
      </w:r>
      <w:r w:rsidR="00DF7829" w:rsidRPr="00C601A2">
        <w:t xml:space="preserve"> hydrological</w:t>
      </w:r>
      <w:r w:rsidRPr="00C601A2">
        <w:t xml:space="preserve"> connectivity and nutrient cycling. Improved understanding of the influence of flow on </w:t>
      </w:r>
      <w:r w:rsidR="372616CD" w:rsidRPr="00C601A2">
        <w:t xml:space="preserve">the production and </w:t>
      </w:r>
      <w:r w:rsidR="01569DFF" w:rsidRPr="00C601A2">
        <w:t xml:space="preserve">breakdown </w:t>
      </w:r>
      <w:r w:rsidR="372616CD" w:rsidRPr="00C601A2">
        <w:t xml:space="preserve">of organic matter in </w:t>
      </w:r>
      <w:r w:rsidRPr="00C601A2">
        <w:t>food webs will complement our understanding of the influence of flow on habitat and connectivity. In combination, this knowledge will enable better management of environmental flows within the Basin. The evaluation is structured around answering 4 Basin-scale questions: </w:t>
      </w:r>
    </w:p>
    <w:p w14:paraId="3B90F551" w14:textId="5B89AE3F" w:rsidR="00B37383" w:rsidRPr="00C601A2" w:rsidRDefault="00B37383" w:rsidP="005F1725">
      <w:pPr>
        <w:pStyle w:val="Boxedlistbulletblue"/>
      </w:pPr>
      <w:r w:rsidRPr="00C601A2">
        <w:t xml:space="preserve">What did Commonwealth environmental water contribute to patterns and rates of </w:t>
      </w:r>
      <w:r w:rsidRPr="00C601A2">
        <w:rPr>
          <w:rStyle w:val="Bold"/>
        </w:rPr>
        <w:t>ecosystem respiration</w:t>
      </w:r>
      <w:r w:rsidRPr="00C601A2">
        <w:t>?</w:t>
      </w:r>
    </w:p>
    <w:p w14:paraId="432004A2" w14:textId="55A51B51" w:rsidR="00B37383" w:rsidRPr="00C601A2" w:rsidRDefault="00B37383" w:rsidP="005F1725">
      <w:pPr>
        <w:pStyle w:val="Boxedlistbulletblue"/>
      </w:pPr>
      <w:r w:rsidRPr="00C601A2">
        <w:t xml:space="preserve">What did Commonwealth environmental water contribute to patterns and rates of </w:t>
      </w:r>
      <w:r w:rsidRPr="00091221">
        <w:rPr>
          <w:rStyle w:val="Bold"/>
        </w:rPr>
        <w:t>primary productivity</w:t>
      </w:r>
      <w:r w:rsidRPr="00C601A2">
        <w:t>?</w:t>
      </w:r>
    </w:p>
    <w:p w14:paraId="3E5E9D62" w14:textId="3A15E883" w:rsidR="00B37383" w:rsidRPr="00C601A2" w:rsidRDefault="00B37383" w:rsidP="005F1725">
      <w:pPr>
        <w:pStyle w:val="Boxedlistbulletblue"/>
      </w:pPr>
      <w:r w:rsidRPr="00C601A2">
        <w:t xml:space="preserve">What did Commonwealth environmental water contribute to </w:t>
      </w:r>
      <w:r w:rsidRPr="00091221">
        <w:rPr>
          <w:rStyle w:val="Bold"/>
        </w:rPr>
        <w:t>dissolved oxygen</w:t>
      </w:r>
      <w:r w:rsidRPr="00C601A2">
        <w:t xml:space="preserve"> levels?</w:t>
      </w:r>
    </w:p>
    <w:p w14:paraId="5C6D0781" w14:textId="77777777" w:rsidR="00CC1DD3" w:rsidRPr="00C601A2" w:rsidRDefault="00B37383" w:rsidP="005F1725">
      <w:pPr>
        <w:pStyle w:val="Boxedlistbulletblue"/>
      </w:pPr>
      <w:r w:rsidRPr="00C601A2">
        <w:t xml:space="preserve">What did Commonwealth environmental water contribute to </w:t>
      </w:r>
      <w:r w:rsidRPr="00091221">
        <w:rPr>
          <w:rStyle w:val="Bold"/>
        </w:rPr>
        <w:t>salinity</w:t>
      </w:r>
      <w:r w:rsidRPr="00C601A2">
        <w:t xml:space="preserve"> regimes?</w:t>
      </w:r>
    </w:p>
    <w:p w14:paraId="1392F5E1" w14:textId="174A9D1F" w:rsidR="0080749C" w:rsidRDefault="00CD3AE0" w:rsidP="00D31733">
      <w:pPr>
        <w:pStyle w:val="BodyText"/>
      </w:pPr>
      <w:r w:rsidRPr="00BA679A">
        <w:rPr>
          <w:rStyle w:val="Bold"/>
        </w:rPr>
        <w:t>S</w:t>
      </w:r>
      <w:r w:rsidR="001E004D" w:rsidRPr="00BA679A">
        <w:rPr>
          <w:rStyle w:val="Bold"/>
        </w:rPr>
        <w:t>tream metabolism</w:t>
      </w:r>
      <w:r w:rsidR="00EC6238">
        <w:rPr>
          <w:rStyle w:val="FootnoteReference"/>
          <w:b/>
        </w:rPr>
        <w:footnoteReference w:id="3"/>
      </w:r>
      <w:r w:rsidR="001E004D" w:rsidRPr="00C601A2">
        <w:t xml:space="preserve"> </w:t>
      </w:r>
      <w:r w:rsidRPr="00C601A2">
        <w:t xml:space="preserve">is </w:t>
      </w:r>
      <w:r w:rsidR="000B5A35" w:rsidRPr="00C601A2">
        <w:t xml:space="preserve">used to </w:t>
      </w:r>
      <w:r w:rsidR="000A08F1" w:rsidRPr="00C601A2">
        <w:t>a</w:t>
      </w:r>
      <w:r w:rsidR="000A08F1">
        <w:t>ddress</w:t>
      </w:r>
      <w:r w:rsidR="009470C8">
        <w:t xml:space="preserve"> </w:t>
      </w:r>
      <w:r w:rsidR="000B5A35" w:rsidRPr="00C601A2">
        <w:t xml:space="preserve">the </w:t>
      </w:r>
      <w:r w:rsidR="002D40BB" w:rsidRPr="00C601A2">
        <w:t xml:space="preserve">first </w:t>
      </w:r>
      <w:r w:rsidR="000B5A35" w:rsidRPr="00C601A2">
        <w:t>3</w:t>
      </w:r>
      <w:r w:rsidR="002D40BB" w:rsidRPr="00C601A2">
        <w:t xml:space="preserve"> evaluation questions</w:t>
      </w:r>
      <w:r w:rsidR="000B5A35" w:rsidRPr="00C601A2">
        <w:t xml:space="preserve">. </w:t>
      </w:r>
      <w:r w:rsidR="00D31733" w:rsidRPr="00C601A2">
        <w:t>We report on stream metabolism</w:t>
      </w:r>
      <w:r w:rsidR="00D31733" w:rsidRPr="00C601A2">
        <w:rPr>
          <w:rStyle w:val="Bold"/>
        </w:rPr>
        <w:t xml:space="preserve"> </w:t>
      </w:r>
      <w:r w:rsidR="00D31733" w:rsidRPr="00C601A2">
        <w:t xml:space="preserve">from </w:t>
      </w:r>
      <w:r w:rsidR="003C3244" w:rsidRPr="00C601A2">
        <w:t>the</w:t>
      </w:r>
      <w:r w:rsidR="00D31733" w:rsidRPr="00C601A2">
        <w:t xml:space="preserve"> </w:t>
      </w:r>
      <w:r w:rsidR="006F0127">
        <w:t>7</w:t>
      </w:r>
      <w:r w:rsidR="006F0127" w:rsidRPr="00C601A2">
        <w:t xml:space="preserve"> </w:t>
      </w:r>
      <w:r w:rsidR="00D31733" w:rsidRPr="00C601A2">
        <w:t xml:space="preserve">Selected Areas for the </w:t>
      </w:r>
      <w:r w:rsidR="00682D38">
        <w:t>202</w:t>
      </w:r>
      <w:r w:rsidR="00EC5758">
        <w:t>3</w:t>
      </w:r>
      <w:r w:rsidR="00682D38">
        <w:t>–2</w:t>
      </w:r>
      <w:r w:rsidR="00EC5758">
        <w:t>4</w:t>
      </w:r>
      <w:r w:rsidR="00D31733" w:rsidRPr="00C601A2">
        <w:t xml:space="preserve"> water year (1 July 202</w:t>
      </w:r>
      <w:r w:rsidR="00EC5758">
        <w:t>3</w:t>
      </w:r>
      <w:r w:rsidR="00D31733" w:rsidRPr="00C601A2">
        <w:t xml:space="preserve"> to 30 June 202</w:t>
      </w:r>
      <w:r w:rsidR="00EC5758">
        <w:t>4</w:t>
      </w:r>
      <w:r w:rsidR="00D31733" w:rsidRPr="00C601A2">
        <w:t>) and place this in the context of longer term (2014–2</w:t>
      </w:r>
      <w:r w:rsidR="00EC5758">
        <w:t>4</w:t>
      </w:r>
      <w:r w:rsidR="00D31733" w:rsidRPr="00C601A2">
        <w:t>) patterns</w:t>
      </w:r>
      <w:r w:rsidR="0080749C">
        <w:t>.</w:t>
      </w:r>
    </w:p>
    <w:p w14:paraId="3A071AFA" w14:textId="1892AC3E" w:rsidR="00962BF7" w:rsidRPr="00C601A2" w:rsidRDefault="76D59B8D" w:rsidP="00767C38">
      <w:pPr>
        <w:pStyle w:val="BodyText"/>
      </w:pPr>
      <w:r>
        <w:lastRenderedPageBreak/>
        <w:t xml:space="preserve">In this evaluation, we extend our ‘metabolic fingerprint’ approach to interrogate dominant metabolic responses to flows that are common to all Selected Areas. The approach improves </w:t>
      </w:r>
      <w:r w:rsidR="7E1159D8">
        <w:t xml:space="preserve">the </w:t>
      </w:r>
      <w:r>
        <w:t>correlation of metabolic responses to flow and provides a visual assessment of whether responses are within the ‘typical’ metabolic regime of a Selected Area.</w:t>
      </w:r>
      <w:r w:rsidR="2D571085">
        <w:t xml:space="preserve"> The metabolic fingerprints developed for this evaluation are based on </w:t>
      </w:r>
      <w:r w:rsidR="3FCBF9C7">
        <w:t>24,62</w:t>
      </w:r>
      <w:r w:rsidR="00F14829">
        <w:t>1</w:t>
      </w:r>
      <w:r w:rsidR="3FCBF9C7">
        <w:t xml:space="preserve"> </w:t>
      </w:r>
      <w:r w:rsidR="2D571085">
        <w:t xml:space="preserve">daily records of </w:t>
      </w:r>
      <w:r w:rsidR="008273EC">
        <w:t xml:space="preserve">gross primary production (GPP) and ecosystem respiration (ER) </w:t>
      </w:r>
      <w:r w:rsidR="2D571085">
        <w:t>from 2014–</w:t>
      </w:r>
      <w:r w:rsidR="1E093241">
        <w:t>2</w:t>
      </w:r>
      <w:r w:rsidR="7DA0C32F">
        <w:t>4</w:t>
      </w:r>
      <w:r w:rsidR="66D92ECA">
        <w:t>. This is</w:t>
      </w:r>
      <w:r w:rsidR="2D571085">
        <w:t xml:space="preserve"> one of the largest riverine metabolic datasets in the world.</w:t>
      </w:r>
      <w:r w:rsidR="4E3D2DD2">
        <w:t xml:space="preserve"> We also performed counterfactual modelling to estimate the contribution of Commonwealth environmental water to riverine GPP across the entire 2014</w:t>
      </w:r>
      <w:r w:rsidR="00B57FE3">
        <w:t>–</w:t>
      </w:r>
      <w:r w:rsidR="4E3D2DD2">
        <w:t>24 monitoring period.</w:t>
      </w:r>
    </w:p>
    <w:p w14:paraId="07EF6B05" w14:textId="017EFC50" w:rsidR="0080749C" w:rsidRDefault="00AC0F06" w:rsidP="00767C38">
      <w:pPr>
        <w:pStyle w:val="BodyText"/>
      </w:pPr>
      <w:r>
        <w:t>The</w:t>
      </w:r>
      <w:r w:rsidRPr="00BA679A">
        <w:rPr>
          <w:rStyle w:val="Bold"/>
        </w:rPr>
        <w:t xml:space="preserve"> </w:t>
      </w:r>
      <w:r w:rsidR="009038B8" w:rsidRPr="00BA679A">
        <w:rPr>
          <w:rStyle w:val="Bold"/>
        </w:rPr>
        <w:t>export of salt</w:t>
      </w:r>
      <w:r w:rsidR="009038B8" w:rsidRPr="00C601A2">
        <w:t xml:space="preserve"> through the Lower Murray River Selected Area and in</w:t>
      </w:r>
      <w:r w:rsidR="00E1531A">
        <w:t>-</w:t>
      </w:r>
      <w:r w:rsidR="009038B8" w:rsidRPr="00C601A2">
        <w:t>situ measurements of electrical conductivity at the other Selected Areas</w:t>
      </w:r>
      <w:r>
        <w:t xml:space="preserve"> are used to evaluate salinity</w:t>
      </w:r>
      <w:r w:rsidR="0080749C">
        <w:t>.</w:t>
      </w:r>
    </w:p>
    <w:p w14:paraId="7D499743" w14:textId="3EF3086B" w:rsidR="00490C50" w:rsidRPr="00C601A2" w:rsidRDefault="00682D38" w:rsidP="00070F34">
      <w:pPr>
        <w:pStyle w:val="Heading2notnumbered"/>
        <w:spacing w:before="0"/>
      </w:pPr>
      <w:bookmarkStart w:id="4" w:name="_Toc169543850"/>
      <w:bookmarkStart w:id="5" w:name="_Toc202187830"/>
      <w:r>
        <w:t>202</w:t>
      </w:r>
      <w:r w:rsidR="006354C4">
        <w:t>3</w:t>
      </w:r>
      <w:r>
        <w:t>–2</w:t>
      </w:r>
      <w:r w:rsidR="006354C4">
        <w:t>4</w:t>
      </w:r>
      <w:r w:rsidR="006A1AAF">
        <w:t xml:space="preserve"> key </w:t>
      </w:r>
      <w:r w:rsidR="00D22E5B">
        <w:t xml:space="preserve">metrics and </w:t>
      </w:r>
      <w:r w:rsidR="00853391">
        <w:t>messages</w:t>
      </w:r>
      <w:bookmarkEnd w:id="4"/>
      <w:bookmarkEnd w:id="5"/>
    </w:p>
    <w:p w14:paraId="43EA66E7" w14:textId="7FA2484C" w:rsidR="0080749C" w:rsidRDefault="00992DA8" w:rsidP="00B41939">
      <w:pPr>
        <w:pStyle w:val="Boxedtextorange"/>
      </w:pPr>
      <w:r>
        <w:t>O</w:t>
      </w:r>
      <w:r w:rsidR="00382492">
        <w:t xml:space="preserve">f the </w:t>
      </w:r>
      <w:r w:rsidR="00AD4653">
        <w:t>1</w:t>
      </w:r>
      <w:r w:rsidR="0019550C">
        <w:t>1</w:t>
      </w:r>
      <w:r w:rsidR="005F52B9">
        <w:t>4</w:t>
      </w:r>
      <w:r w:rsidR="00382492">
        <w:t xml:space="preserve"> Commonwealth environmental watering actions</w:t>
      </w:r>
      <w:r w:rsidR="00B11949">
        <w:t xml:space="preserve"> in 202</w:t>
      </w:r>
      <w:r w:rsidR="005525C1">
        <w:t>3</w:t>
      </w:r>
      <w:r w:rsidR="00B11949">
        <w:t>–2</w:t>
      </w:r>
      <w:r w:rsidR="005525C1">
        <w:t>4</w:t>
      </w:r>
      <w:r>
        <w:t xml:space="preserve">, </w:t>
      </w:r>
      <w:r w:rsidR="005525C1">
        <w:t>38</w:t>
      </w:r>
      <w:r>
        <w:t xml:space="preserve"> (</w:t>
      </w:r>
      <w:r w:rsidR="005525C1">
        <w:t>2,160</w:t>
      </w:r>
      <w:r>
        <w:t> GL)</w:t>
      </w:r>
      <w:r w:rsidR="00382492">
        <w:t xml:space="preserve"> </w:t>
      </w:r>
      <w:r w:rsidR="003813E1" w:rsidRPr="00C601A2">
        <w:t xml:space="preserve">had expected </w:t>
      </w:r>
      <w:r w:rsidR="007006D3" w:rsidRPr="00C601A2">
        <w:t xml:space="preserve">outcomes </w:t>
      </w:r>
      <w:r w:rsidR="006D0A89" w:rsidRPr="00C601A2">
        <w:t>linked to</w:t>
      </w:r>
      <w:r w:rsidR="0067612C" w:rsidRPr="00C601A2">
        <w:t xml:space="preserve"> </w:t>
      </w:r>
      <w:r w:rsidR="006D0A89" w:rsidRPr="00C601A2">
        <w:t xml:space="preserve">water quality and </w:t>
      </w:r>
      <w:r w:rsidR="0090697D" w:rsidRPr="00C601A2">
        <w:t xml:space="preserve">ecosystem </w:t>
      </w:r>
      <w:r w:rsidR="00B16741" w:rsidRPr="00C601A2">
        <w:t>process</w:t>
      </w:r>
      <w:r w:rsidR="00B11949">
        <w:t xml:space="preserve"> or f</w:t>
      </w:r>
      <w:r w:rsidR="006D0A89" w:rsidRPr="00C601A2">
        <w:t>ood webs.</w:t>
      </w:r>
      <w:r w:rsidR="002D43BB" w:rsidRPr="00C601A2">
        <w:t xml:space="preserve"> </w:t>
      </w:r>
      <w:r w:rsidR="001A14D3">
        <w:t>O</w:t>
      </w:r>
      <w:r w:rsidR="00382492">
        <w:t xml:space="preserve">f the </w:t>
      </w:r>
      <w:r w:rsidR="005525C1">
        <w:t>3</w:t>
      </w:r>
      <w:r w:rsidR="008F3CB2">
        <w:t>8</w:t>
      </w:r>
      <w:r w:rsidR="00382492">
        <w:t xml:space="preserve"> </w:t>
      </w:r>
      <w:r w:rsidR="0073049D">
        <w:t xml:space="preserve">watering </w:t>
      </w:r>
      <w:r w:rsidR="00382492">
        <w:t>actions linked to water quality</w:t>
      </w:r>
      <w:r w:rsidR="001A14D3">
        <w:t xml:space="preserve">, </w:t>
      </w:r>
      <w:r w:rsidR="008F3CB2">
        <w:t>21 (1,955 GL)</w:t>
      </w:r>
      <w:r w:rsidR="00B30A70">
        <w:t xml:space="preserve"> </w:t>
      </w:r>
      <w:r w:rsidR="006D0A89" w:rsidRPr="00C601A2">
        <w:t xml:space="preserve">occurred within </w:t>
      </w:r>
      <w:r w:rsidR="008F3CB2">
        <w:t>6</w:t>
      </w:r>
      <w:r w:rsidR="007D0C8A" w:rsidRPr="00C601A2">
        <w:t xml:space="preserve"> </w:t>
      </w:r>
      <w:r w:rsidR="006D0A89" w:rsidRPr="00C601A2">
        <w:t xml:space="preserve">of the 7 </w:t>
      </w:r>
      <w:r w:rsidR="00F158A1">
        <w:t>S</w:t>
      </w:r>
      <w:r w:rsidR="006D0A89" w:rsidRPr="00C601A2">
        <w:t xml:space="preserve">elected Areas. Of the </w:t>
      </w:r>
      <w:r w:rsidR="008F3CB2">
        <w:t>10</w:t>
      </w:r>
      <w:r w:rsidR="0054490E" w:rsidRPr="00C601A2">
        <w:t xml:space="preserve"> </w:t>
      </w:r>
      <w:r w:rsidR="006D0A89" w:rsidRPr="00C601A2">
        <w:t>water</w:t>
      </w:r>
      <w:r w:rsidR="0073049D">
        <w:t>ing</w:t>
      </w:r>
      <w:r w:rsidR="006D0A89" w:rsidRPr="00C601A2">
        <w:t xml:space="preserve"> actions linked to </w:t>
      </w:r>
      <w:r w:rsidR="0090697D" w:rsidRPr="00C601A2">
        <w:t xml:space="preserve">ecosystem </w:t>
      </w:r>
      <w:r w:rsidR="00B16741" w:rsidRPr="00C601A2">
        <w:t>process</w:t>
      </w:r>
      <w:r w:rsidR="00743E6F">
        <w:t xml:space="preserve"> or </w:t>
      </w:r>
      <w:r w:rsidR="00A35C99" w:rsidRPr="00C601A2">
        <w:t>food webs</w:t>
      </w:r>
      <w:r w:rsidR="006D0A89" w:rsidRPr="00C601A2">
        <w:t xml:space="preserve">, </w:t>
      </w:r>
      <w:r w:rsidR="008F3CB2">
        <w:t>6 (1,492 GL)</w:t>
      </w:r>
      <w:r w:rsidR="0054490E" w:rsidRPr="00C601A2">
        <w:t xml:space="preserve"> </w:t>
      </w:r>
      <w:r w:rsidR="006D0A89" w:rsidRPr="00C601A2">
        <w:t xml:space="preserve">occurred within </w:t>
      </w:r>
      <w:r w:rsidR="008F3CB2">
        <w:t>2</w:t>
      </w:r>
      <w:r w:rsidR="006D0A89" w:rsidRPr="00C601A2">
        <w:t xml:space="preserve"> of the 7 Selected Areas</w:t>
      </w:r>
      <w:r w:rsidR="0080749C">
        <w:t>.</w:t>
      </w:r>
    </w:p>
    <w:p w14:paraId="13BFF3E2" w14:textId="78ECF615" w:rsidR="003C5744" w:rsidRPr="002B22E0" w:rsidRDefault="003C5744" w:rsidP="002B22E0">
      <w:pPr>
        <w:pStyle w:val="Heading3notnumbered"/>
      </w:pPr>
      <w:r w:rsidRPr="002B22E0">
        <w:t xml:space="preserve">Food webs, stream metabolism, </w:t>
      </w:r>
      <w:r w:rsidR="00070F34" w:rsidRPr="002B22E0">
        <w:t xml:space="preserve">gross </w:t>
      </w:r>
      <w:r w:rsidRPr="002B22E0">
        <w:t>primary producti</w:t>
      </w:r>
      <w:r w:rsidR="008917E9">
        <w:t>on</w:t>
      </w:r>
      <w:r w:rsidR="00992DA8" w:rsidRPr="002B22E0">
        <w:t xml:space="preserve"> and</w:t>
      </w:r>
      <w:r w:rsidRPr="002B22E0">
        <w:t xml:space="preserve"> ecosystem respiration</w:t>
      </w:r>
    </w:p>
    <w:p w14:paraId="1FC937F2" w14:textId="11A2DDF4" w:rsidR="00186AD9" w:rsidRPr="00B5375C" w:rsidRDefault="006378B0" w:rsidP="000F00A4">
      <w:pPr>
        <w:pStyle w:val="ListBullet"/>
      </w:pPr>
      <w:r>
        <w:t xml:space="preserve">6 </w:t>
      </w:r>
      <w:r w:rsidR="00F77AF5">
        <w:t>out</w:t>
      </w:r>
      <w:r w:rsidR="00186AD9">
        <w:t xml:space="preserve"> </w:t>
      </w:r>
      <w:r w:rsidR="00F05124">
        <w:t xml:space="preserve">of </w:t>
      </w:r>
      <w:r w:rsidR="009D52AA">
        <w:t xml:space="preserve">7 </w:t>
      </w:r>
      <w:r w:rsidR="00186AD9">
        <w:t xml:space="preserve">Selected Areas were net consumers of carbon (ratio of GPP to ER </w:t>
      </w:r>
      <w:r w:rsidR="00591129">
        <w:t xml:space="preserve">was </w:t>
      </w:r>
      <w:r w:rsidR="0034605B">
        <w:t>less than</w:t>
      </w:r>
      <w:r w:rsidR="009D52AA">
        <w:t> </w:t>
      </w:r>
      <w:r w:rsidR="00186AD9">
        <w:t>1). This highlights the importance of terrestrial organic carbon</w:t>
      </w:r>
      <w:r w:rsidR="00CD44E6">
        <w:t xml:space="preserve"> from channel and floodplain connectivity</w:t>
      </w:r>
      <w:r w:rsidR="00186AD9">
        <w:t xml:space="preserve"> as a major energy source in these systems.</w:t>
      </w:r>
    </w:p>
    <w:p w14:paraId="127A8383" w14:textId="4480DB53" w:rsidR="0080749C" w:rsidRDefault="00AC453D" w:rsidP="00070F34">
      <w:pPr>
        <w:pStyle w:val="ListBullet"/>
      </w:pPr>
      <w:r>
        <w:t>S</w:t>
      </w:r>
      <w:r w:rsidR="00FE3D63">
        <w:t xml:space="preserve">eason was the primary driver of rates of </w:t>
      </w:r>
      <w:r w:rsidR="00156F31">
        <w:t>s</w:t>
      </w:r>
      <w:r w:rsidR="00FE3D63">
        <w:t xml:space="preserve">tream </w:t>
      </w:r>
      <w:r w:rsidR="00156F31">
        <w:t>m</w:t>
      </w:r>
      <w:r w:rsidR="00FE3D63">
        <w:t xml:space="preserve">etabolism </w:t>
      </w:r>
      <w:r w:rsidR="000B65FF">
        <w:t>–</w:t>
      </w:r>
      <w:r w:rsidR="00FE3D63">
        <w:t xml:space="preserve"> </w:t>
      </w:r>
      <w:r w:rsidR="00CC1DD3">
        <w:t xml:space="preserve">the </w:t>
      </w:r>
      <w:r w:rsidR="00FE3D63">
        <w:t xml:space="preserve">highest daily rates of </w:t>
      </w:r>
      <w:r w:rsidR="00EC1E93">
        <w:t xml:space="preserve">GPP </w:t>
      </w:r>
      <w:r w:rsidR="00FE3D63">
        <w:t xml:space="preserve">and </w:t>
      </w:r>
      <w:r w:rsidR="00EC1E93">
        <w:t>ER</w:t>
      </w:r>
      <w:r w:rsidR="00FE3D63">
        <w:t xml:space="preserve"> </w:t>
      </w:r>
      <w:r w:rsidR="000B65FF">
        <w:t xml:space="preserve">were </w:t>
      </w:r>
      <w:r w:rsidR="00FE3D63">
        <w:t>consistently recorded in summer</w:t>
      </w:r>
      <w:r w:rsidR="0080749C">
        <w:t>.</w:t>
      </w:r>
    </w:p>
    <w:p w14:paraId="7D55E670" w14:textId="2222653D" w:rsidR="00C21719" w:rsidRDefault="00C21719" w:rsidP="00C21719">
      <w:pPr>
        <w:pStyle w:val="ListBullet"/>
      </w:pPr>
      <w:r>
        <w:t>There were significant relationships between stream metabolism and flow. Higher flows generally decreased in-channel volumetric rates of GPP and ER, likely due to disturbance and dilution effects. However, responses were variable among sites, emphasising a high level of context dependency, likely related to channel morphology and other site-specific characteristics.</w:t>
      </w:r>
    </w:p>
    <w:p w14:paraId="7660B9C4" w14:textId="27A87872" w:rsidR="00D769F6" w:rsidRPr="00C601A2" w:rsidRDefault="00AC453D" w:rsidP="00070F34">
      <w:pPr>
        <w:pStyle w:val="ListBullet"/>
      </w:pPr>
      <w:r>
        <w:t>Within Selected Areas, c</w:t>
      </w:r>
      <w:r w:rsidR="00D769F6">
        <w:t xml:space="preserve">hanges to rates of GPP and ER </w:t>
      </w:r>
      <w:r>
        <w:t xml:space="preserve">in response to flow </w:t>
      </w:r>
      <w:r w:rsidR="00D769F6">
        <w:t>were generally small a</w:t>
      </w:r>
      <w:r w:rsidR="00047BA3">
        <w:t xml:space="preserve">nd comparable to </w:t>
      </w:r>
      <w:r w:rsidR="00D769F6">
        <w:t>previous years.</w:t>
      </w:r>
    </w:p>
    <w:p w14:paraId="4868C10F" w14:textId="5EA99154" w:rsidR="005D77CC" w:rsidRPr="002B22E0" w:rsidRDefault="005D77CC" w:rsidP="002B22E0">
      <w:pPr>
        <w:pStyle w:val="Heading3notnumbered"/>
      </w:pPr>
      <w:r w:rsidRPr="002B22E0">
        <w:t>Dissolved oxygen</w:t>
      </w:r>
    </w:p>
    <w:p w14:paraId="01CF94BB" w14:textId="77777777" w:rsidR="003121EE" w:rsidRPr="00B5375C" w:rsidRDefault="003121EE" w:rsidP="003121EE">
      <w:pPr>
        <w:pStyle w:val="ListBullet"/>
      </w:pPr>
      <w:r>
        <w:t>Environmental watering actions in the Edward/Kolety–Wakool river systems maintained dissolved oxygen concentrations during warm periods, potentially preventing the development of hypoxic blackwater events.</w:t>
      </w:r>
    </w:p>
    <w:p w14:paraId="16FA3434" w14:textId="0F509D8C" w:rsidR="009C036B" w:rsidRPr="003D3DA2" w:rsidRDefault="009C036B" w:rsidP="002B22E0">
      <w:pPr>
        <w:pStyle w:val="Heading3notnumbered"/>
      </w:pPr>
      <w:r w:rsidRPr="003D3DA2">
        <w:t>Salinity</w:t>
      </w:r>
    </w:p>
    <w:p w14:paraId="31F71A6C" w14:textId="7D0DC9BE" w:rsidR="00995ADB" w:rsidRPr="00B5375C" w:rsidRDefault="00702BAD" w:rsidP="002D7BCD">
      <w:pPr>
        <w:pStyle w:val="ListBullet"/>
      </w:pPr>
      <w:r>
        <w:t xml:space="preserve">Commonwealth environmental water was responsible for the export of </w:t>
      </w:r>
      <w:r w:rsidR="00EC6271" w:rsidRPr="00F52660">
        <w:t>221,272</w:t>
      </w:r>
      <w:r w:rsidR="00083A68">
        <w:t> </w:t>
      </w:r>
      <w:r>
        <w:t>tonnes of salt (</w:t>
      </w:r>
      <w:r w:rsidR="00A3346D">
        <w:t>17</w:t>
      </w:r>
      <w:r>
        <w:t>.</w:t>
      </w:r>
      <w:r w:rsidR="00A3346D">
        <w:t>8</w:t>
      </w:r>
      <w:r>
        <w:t>% of total salt exported) through the barrages</w:t>
      </w:r>
      <w:r w:rsidR="00291508">
        <w:t>.</w:t>
      </w:r>
    </w:p>
    <w:p w14:paraId="6F5727D5" w14:textId="7B1C2575" w:rsidR="00490C50" w:rsidRDefault="00682D38" w:rsidP="002D7BCD">
      <w:pPr>
        <w:pStyle w:val="Heading2notnumbered"/>
      </w:pPr>
      <w:bookmarkStart w:id="6" w:name="_Toc169543851"/>
      <w:bookmarkStart w:id="7" w:name="_Toc202187831"/>
      <w:r>
        <w:lastRenderedPageBreak/>
        <w:t>2014–2</w:t>
      </w:r>
      <w:r w:rsidR="00F0388A">
        <w:t>4</w:t>
      </w:r>
      <w:r w:rsidR="00D22E5B">
        <w:t xml:space="preserve"> key metrics and messages</w:t>
      </w:r>
      <w:bookmarkEnd w:id="6"/>
      <w:bookmarkEnd w:id="7"/>
    </w:p>
    <w:p w14:paraId="273EB08D" w14:textId="3D7912C2" w:rsidR="005775AE" w:rsidRPr="003D3DA2" w:rsidRDefault="005775AE" w:rsidP="003D3DA2">
      <w:pPr>
        <w:pStyle w:val="Heading3notnumbered"/>
      </w:pPr>
      <w:r w:rsidRPr="003D3DA2">
        <w:t xml:space="preserve">Food webs, stream metabolism, </w:t>
      </w:r>
      <w:r w:rsidR="002D7BCD" w:rsidRPr="003D3DA2">
        <w:t xml:space="preserve">gross </w:t>
      </w:r>
      <w:r w:rsidRPr="003D3DA2">
        <w:t>primary producti</w:t>
      </w:r>
      <w:r w:rsidR="008917E9">
        <w:t>on</w:t>
      </w:r>
      <w:r w:rsidR="00992DA8" w:rsidRPr="003D3DA2">
        <w:t xml:space="preserve"> and</w:t>
      </w:r>
      <w:r w:rsidRPr="003D3DA2">
        <w:t xml:space="preserve"> ecosystem respiration</w:t>
      </w:r>
    </w:p>
    <w:p w14:paraId="76456379" w14:textId="14740C0E" w:rsidR="0080749C" w:rsidRDefault="007B26CB" w:rsidP="001F4B20">
      <w:pPr>
        <w:pStyle w:val="ListBullet"/>
      </w:pPr>
      <w:r>
        <w:t xml:space="preserve">Rates of GPP and ER across all Selected Areas in the </w:t>
      </w:r>
      <w:r w:rsidR="00682D38">
        <w:t>202</w:t>
      </w:r>
      <w:r w:rsidR="00B93CBA">
        <w:t>3</w:t>
      </w:r>
      <w:r w:rsidR="00682D38">
        <w:t>–2</w:t>
      </w:r>
      <w:r w:rsidR="00B93CBA">
        <w:t>4</w:t>
      </w:r>
      <w:r>
        <w:t xml:space="preserve"> </w:t>
      </w:r>
      <w:r w:rsidR="00291508">
        <w:t xml:space="preserve">water year </w:t>
      </w:r>
      <w:r>
        <w:t xml:space="preserve">were broadly similar and comparable </w:t>
      </w:r>
      <w:r w:rsidR="008A280B">
        <w:t xml:space="preserve">to </w:t>
      </w:r>
      <w:r>
        <w:t xml:space="preserve">the </w:t>
      </w:r>
      <w:r w:rsidR="000F10BF">
        <w:t xml:space="preserve">previous </w:t>
      </w:r>
      <w:r w:rsidR="002F4846">
        <w:t>9-</w:t>
      </w:r>
      <w:r w:rsidR="000F10BF">
        <w:t xml:space="preserve">year </w:t>
      </w:r>
      <w:r>
        <w:t>record.</w:t>
      </w:r>
      <w:r w:rsidR="00BB4FF6">
        <w:t xml:space="preserve"> </w:t>
      </w:r>
      <w:r w:rsidR="000F10BF">
        <w:t xml:space="preserve">Over the </w:t>
      </w:r>
      <w:r w:rsidR="002F4846">
        <w:t>10</w:t>
      </w:r>
      <w:r w:rsidR="000F10BF">
        <w:t xml:space="preserve"> years</w:t>
      </w:r>
      <w:r w:rsidR="002A4ED8">
        <w:t>, riverine ecosystems of the Goulburn River, Edward/Kolety–Wakool river systems, Lachlan River System, Gwydir River System and Junction of Warrego and Darling rivers were predominantly heterotrophic</w:t>
      </w:r>
      <w:r w:rsidR="00926F4F">
        <w:t>,</w:t>
      </w:r>
      <w:r w:rsidR="006F3572">
        <w:t xml:space="preserve"> </w:t>
      </w:r>
      <w:r w:rsidR="002A4ED8">
        <w:t>consuming more carbon than they were producing</w:t>
      </w:r>
      <w:r w:rsidR="0080749C" w:rsidRPr="00B5375C">
        <w:t>.</w:t>
      </w:r>
    </w:p>
    <w:p w14:paraId="50BDEFED" w14:textId="77777777" w:rsidR="00451E70" w:rsidRDefault="00451E70" w:rsidP="00451E70">
      <w:pPr>
        <w:pStyle w:val="ListBullet"/>
      </w:pPr>
      <w:r>
        <w:t>The Murrumbidgee River System regularly alternated between heterotrophy and autotrophy over the 10 years, depending on conditions (such as season).</w:t>
      </w:r>
    </w:p>
    <w:p w14:paraId="21AA40C0" w14:textId="77777777" w:rsidR="00451E70" w:rsidRDefault="00451E70" w:rsidP="00451E70">
      <w:pPr>
        <w:pStyle w:val="ListBullet"/>
        <w:rPr>
          <w:color w:val="000000" w:themeColor="text2"/>
        </w:rPr>
      </w:pPr>
      <w:r>
        <w:t xml:space="preserve">The Lower Murray River was mostly a net producer of carbon (autotrophic) up to 2021–22, driven by phytoplankton and relatively low turbidity in the slow-flowing channels. However, high flows in 2022–23 shifted the Lower Murray River into heterotrophy, reflecting a return to a flowing system more closely resembling metabolic patterns at other Selected Areas. For the 2023–24 water year, the Lower Murray River returned to autotrophy, reflecting reduced flows from the previous year. </w:t>
      </w:r>
    </w:p>
    <w:p w14:paraId="6DCF9503" w14:textId="401A1F0E" w:rsidR="006354C4" w:rsidRDefault="000B7534" w:rsidP="006354C4">
      <w:pPr>
        <w:pStyle w:val="ListBullet"/>
      </w:pPr>
      <w:r>
        <w:t>GPP</w:t>
      </w:r>
      <w:r w:rsidR="001775BF">
        <w:t xml:space="preserve"> was sensitive to</w:t>
      </w:r>
      <w:r w:rsidR="008920B8">
        <w:t xml:space="preserve"> </w:t>
      </w:r>
      <w:r w:rsidR="0009369A">
        <w:t>Commonwealth environmental water</w:t>
      </w:r>
      <w:r w:rsidR="001775BF">
        <w:t>.</w:t>
      </w:r>
      <w:r w:rsidR="006354C4">
        <w:t xml:space="preserve"> Counterfactual modelling revealed that C</w:t>
      </w:r>
      <w:r w:rsidR="00A27EEB">
        <w:t>ommonwealth environmental water</w:t>
      </w:r>
      <w:r w:rsidR="006F3572">
        <w:t xml:space="preserve"> </w:t>
      </w:r>
      <w:r w:rsidR="006354C4">
        <w:t>most often</w:t>
      </w:r>
      <w:r w:rsidR="00AD5A24">
        <w:t xml:space="preserve"> was associated with a modest reduction in </w:t>
      </w:r>
      <w:r w:rsidR="006354C4">
        <w:t>riverine GPP</w:t>
      </w:r>
      <w:r w:rsidR="00B04F5F">
        <w:t xml:space="preserve">. This is generally a positive outcome for river condition as it </w:t>
      </w:r>
      <w:r w:rsidR="006354C4">
        <w:t>potentially limit</w:t>
      </w:r>
      <w:r w:rsidR="00B04F5F">
        <w:t>s the</w:t>
      </w:r>
      <w:r w:rsidR="006354C4">
        <w:t xml:space="preserve"> proliferation of algae during warm and low</w:t>
      </w:r>
      <w:r w:rsidR="005E49ED">
        <w:t xml:space="preserve"> </w:t>
      </w:r>
      <w:r w:rsidR="006354C4">
        <w:t xml:space="preserve">flow periods. </w:t>
      </w:r>
    </w:p>
    <w:p w14:paraId="6689599F" w14:textId="5CD36B82" w:rsidR="00B04F5F" w:rsidRDefault="00B04F5F" w:rsidP="00B04F5F">
      <w:pPr>
        <w:pStyle w:val="ListBullet"/>
      </w:pPr>
      <w:r>
        <w:t xml:space="preserve">Overall, Commonwealth environmental water </w:t>
      </w:r>
      <w:r w:rsidR="00C54366">
        <w:t xml:space="preserve">was estimated to have </w:t>
      </w:r>
      <w:r>
        <w:t>reduced annual GPP by a mean of 5.3% (range 0.3% to 17.5% among site and years). On individual days with Commonwealth environmental water contribution, daily GPP was a mean of 15% lower than the counterfactual scenario (range 6.5% to 43% among sites and years).</w:t>
      </w:r>
    </w:p>
    <w:p w14:paraId="320F0F48" w14:textId="0FB1BE6C" w:rsidR="006354C4" w:rsidRPr="00B5375C" w:rsidRDefault="0009369A" w:rsidP="006354C4">
      <w:pPr>
        <w:pStyle w:val="ListBullet"/>
      </w:pPr>
      <w:r>
        <w:t>Commonwealth environmental water</w:t>
      </w:r>
      <w:r w:rsidR="006354C4">
        <w:t xml:space="preserve"> bolstered riverine GPP in rare instances where </w:t>
      </w:r>
      <w:r w:rsidR="00A27EEB">
        <w:t>the water</w:t>
      </w:r>
      <w:r w:rsidR="006F3572">
        <w:t xml:space="preserve"> </w:t>
      </w:r>
      <w:r w:rsidR="006354C4">
        <w:t>contributed to very high discharges (e.g. when extending a flood recession), supporting the boom</w:t>
      </w:r>
      <w:r w:rsidR="00B57FE3">
        <w:t>–</w:t>
      </w:r>
      <w:r w:rsidR="006354C4">
        <w:t>bust nature of the lowland river</w:t>
      </w:r>
      <w:r w:rsidR="00B57FE3">
        <w:t>–</w:t>
      </w:r>
      <w:r w:rsidR="006354C4">
        <w:t>floodplain systems.</w:t>
      </w:r>
    </w:p>
    <w:p w14:paraId="009DA084" w14:textId="30E2E065" w:rsidR="006B77F4" w:rsidRPr="00B5375C" w:rsidRDefault="2EA83844" w:rsidP="001F4B20">
      <w:pPr>
        <w:pStyle w:val="ListBullet"/>
      </w:pPr>
      <w:r>
        <w:t xml:space="preserve">Independent of Commonwealth environmental </w:t>
      </w:r>
      <w:r w:rsidR="00BA752E">
        <w:t>watering action</w:t>
      </w:r>
      <w:r>
        <w:t>s, r</w:t>
      </w:r>
      <w:r w:rsidR="3D3966D8">
        <w:t xml:space="preserve">ates of GPP are </w:t>
      </w:r>
      <w:r w:rsidR="761966A3">
        <w:t xml:space="preserve">most </w:t>
      </w:r>
      <w:r w:rsidR="3D3966D8">
        <w:t>strongly influenced by seasonal changes (</w:t>
      </w:r>
      <w:r w:rsidR="0037186E">
        <w:t>i.e.</w:t>
      </w:r>
      <w:r w:rsidR="3D3966D8">
        <w:t xml:space="preserve"> light</w:t>
      </w:r>
      <w:r w:rsidR="00591CB6">
        <w:t>,</w:t>
      </w:r>
      <w:r w:rsidR="006F3572">
        <w:t xml:space="preserve"> </w:t>
      </w:r>
      <w:r w:rsidR="3D3966D8">
        <w:t>temperature) and site</w:t>
      </w:r>
      <w:r w:rsidR="00006351">
        <w:t>-</w:t>
      </w:r>
      <w:r w:rsidR="3D3966D8">
        <w:t>specific drivers</w:t>
      </w:r>
      <w:r w:rsidR="00591CB6">
        <w:t xml:space="preserve"> (e.g.</w:t>
      </w:r>
      <w:r w:rsidR="3D3966D8">
        <w:t xml:space="preserve"> bioavailable nutrient concentrations</w:t>
      </w:r>
      <w:r w:rsidR="00591CB6">
        <w:t>,</w:t>
      </w:r>
      <w:r w:rsidR="006F3572">
        <w:t xml:space="preserve"> </w:t>
      </w:r>
      <w:r w:rsidR="3D3966D8">
        <w:t>reduced light availability due to turbidity</w:t>
      </w:r>
      <w:r w:rsidR="00591CB6">
        <w:t>)</w:t>
      </w:r>
      <w:r w:rsidR="3D3966D8">
        <w:t>.</w:t>
      </w:r>
    </w:p>
    <w:p w14:paraId="72EA181B" w14:textId="4C642DBA" w:rsidR="00541534" w:rsidRPr="00535C84" w:rsidRDefault="00541534" w:rsidP="00535C84">
      <w:pPr>
        <w:pStyle w:val="Heading3notnumbered"/>
      </w:pPr>
      <w:r w:rsidRPr="00535C84">
        <w:t>Dissolved oxygen</w:t>
      </w:r>
    </w:p>
    <w:p w14:paraId="325F177F" w14:textId="696E8C34" w:rsidR="00BC02C7" w:rsidRPr="00B5375C" w:rsidRDefault="00BC02C7" w:rsidP="00BC02C7">
      <w:pPr>
        <w:pStyle w:val="ListBullet"/>
      </w:pPr>
      <w:bookmarkStart w:id="8" w:name="_Toc71298427"/>
      <w:r>
        <w:t>In 2014–24, Commonwealth environmental water decreased the likelihood of low dissolved oxygen in the Lower Murray River by maintaining flow velocities above 0.18 m/s. Flow velocities above this threshold increase water mixing and oxygen exchange at the surface. Below this velocity, surface oxygen exchange is poor.</w:t>
      </w:r>
    </w:p>
    <w:p w14:paraId="04D1EFB1" w14:textId="090FB58A" w:rsidR="00490C50" w:rsidRPr="00C601A2" w:rsidRDefault="00490C50" w:rsidP="00126E43">
      <w:pPr>
        <w:pStyle w:val="Heading2notnumbered"/>
      </w:pPr>
      <w:bookmarkStart w:id="9" w:name="_Toc169543852"/>
      <w:bookmarkStart w:id="10" w:name="_Toc202187832"/>
      <w:r w:rsidRPr="00C601A2">
        <w:t>Key contributions to Basin Plan objectives</w:t>
      </w:r>
      <w:bookmarkEnd w:id="8"/>
      <w:bookmarkEnd w:id="9"/>
      <w:bookmarkEnd w:id="10"/>
    </w:p>
    <w:p w14:paraId="67CA9551" w14:textId="4E0B70D7" w:rsidR="00484CF0" w:rsidRPr="00C601A2" w:rsidRDefault="00484CF0" w:rsidP="00484CF0">
      <w:pPr>
        <w:pStyle w:val="Heading3notnumbered"/>
      </w:pPr>
      <w:bookmarkStart w:id="11" w:name="_Toc71298428"/>
      <w:r w:rsidRPr="00C601A2">
        <w:t xml:space="preserve">Water year </w:t>
      </w:r>
      <w:r w:rsidR="00682D38">
        <w:t>202</w:t>
      </w:r>
      <w:r w:rsidR="002D2925">
        <w:t>3</w:t>
      </w:r>
      <w:r w:rsidR="00682D38">
        <w:t>–2</w:t>
      </w:r>
      <w:r w:rsidR="002D2925">
        <w:t>4</w:t>
      </w:r>
    </w:p>
    <w:p w14:paraId="61CF2395" w14:textId="2A6D77EA" w:rsidR="00484CF0" w:rsidRPr="001B4152" w:rsidRDefault="000331CF" w:rsidP="00B5375C">
      <w:pPr>
        <w:pStyle w:val="ListBullet"/>
      </w:pPr>
      <w:r w:rsidRPr="001B4152">
        <w:rPr>
          <w:rStyle w:val="Bold"/>
        </w:rPr>
        <w:t>P</w:t>
      </w:r>
      <w:r w:rsidR="001E0722" w:rsidRPr="001B4152">
        <w:rPr>
          <w:rStyle w:val="Bold"/>
        </w:rPr>
        <w:t>aragraph</w:t>
      </w:r>
      <w:r w:rsidR="00FC6956" w:rsidRPr="001B4152">
        <w:rPr>
          <w:rStyle w:val="Bold"/>
        </w:rPr>
        <w:t>s</w:t>
      </w:r>
      <w:r w:rsidR="00484CF0" w:rsidRPr="001B4152">
        <w:rPr>
          <w:rStyle w:val="Bold"/>
        </w:rPr>
        <w:t xml:space="preserve"> 8.06(3</w:t>
      </w:r>
      <w:r w:rsidR="001E0722" w:rsidRPr="001B4152">
        <w:rPr>
          <w:rStyle w:val="Bold"/>
        </w:rPr>
        <w:t>)(</w:t>
      </w:r>
      <w:r w:rsidR="00484CF0" w:rsidRPr="001B4152">
        <w:rPr>
          <w:rStyle w:val="Bold"/>
        </w:rPr>
        <w:t>c</w:t>
      </w:r>
      <w:r w:rsidR="001E0722" w:rsidRPr="001B4152">
        <w:rPr>
          <w:rStyle w:val="Bold"/>
        </w:rPr>
        <w:t>)</w:t>
      </w:r>
      <w:r w:rsidR="00484CF0" w:rsidRPr="001B4152">
        <w:rPr>
          <w:rStyle w:val="Bold"/>
        </w:rPr>
        <w:t>,</w:t>
      </w:r>
      <w:r w:rsidR="001E0722" w:rsidRPr="001B4152">
        <w:rPr>
          <w:rStyle w:val="Bold"/>
        </w:rPr>
        <w:t>(</w:t>
      </w:r>
      <w:r w:rsidR="00484CF0" w:rsidRPr="001B4152">
        <w:rPr>
          <w:rStyle w:val="Bold"/>
        </w:rPr>
        <w:t>d)</w:t>
      </w:r>
      <w:r w:rsidR="00484CF0" w:rsidRPr="001B4152">
        <w:t xml:space="preserve"> and </w:t>
      </w:r>
      <w:r w:rsidR="00E86415" w:rsidRPr="001B4152">
        <w:rPr>
          <w:rStyle w:val="Bold"/>
        </w:rPr>
        <w:t>s</w:t>
      </w:r>
      <w:r w:rsidR="00484CF0" w:rsidRPr="001B4152">
        <w:rPr>
          <w:rStyle w:val="Bold"/>
        </w:rPr>
        <w:t>ection 9.09</w:t>
      </w:r>
      <w:r w:rsidR="00484CF0" w:rsidRPr="001B4152">
        <w:t xml:space="preserve">: </w:t>
      </w:r>
      <w:r w:rsidR="00C41227" w:rsidRPr="001B4152">
        <w:t xml:space="preserve">Commonwealth environmental water was responsible for the export of </w:t>
      </w:r>
      <w:r w:rsidR="005241E2" w:rsidRPr="0027239F">
        <w:t>221,272</w:t>
      </w:r>
      <w:r w:rsidR="004E0CAB" w:rsidRPr="001B4152">
        <w:t> </w:t>
      </w:r>
      <w:r w:rsidR="00C41227" w:rsidRPr="001B4152">
        <w:t>tonnes of salt (</w:t>
      </w:r>
      <w:r w:rsidR="005241E2" w:rsidRPr="001B4152">
        <w:t>17.8</w:t>
      </w:r>
      <w:r w:rsidR="00C41227" w:rsidRPr="001B4152">
        <w:t>% of total salt exported</w:t>
      </w:r>
      <w:r w:rsidR="00D47B38">
        <w:t xml:space="preserve"> and around 11% of the Basin target)</w:t>
      </w:r>
      <w:r w:rsidR="00C41227" w:rsidRPr="001B4152">
        <w:t xml:space="preserve"> through the barrages.</w:t>
      </w:r>
    </w:p>
    <w:p w14:paraId="6294FF31" w14:textId="01894E3C" w:rsidR="00484CF0" w:rsidRPr="001B4152" w:rsidRDefault="00D33995" w:rsidP="00B5375C">
      <w:pPr>
        <w:pStyle w:val="ListBullet"/>
      </w:pPr>
      <w:r w:rsidRPr="001B4152">
        <w:rPr>
          <w:rStyle w:val="Bold"/>
        </w:rPr>
        <w:lastRenderedPageBreak/>
        <w:t>Subs</w:t>
      </w:r>
      <w:r w:rsidR="00484CF0" w:rsidRPr="001B4152">
        <w:rPr>
          <w:rStyle w:val="Bold"/>
        </w:rPr>
        <w:t>ection 8.06(7)</w:t>
      </w:r>
      <w:r w:rsidR="00484CF0" w:rsidRPr="001B4152">
        <w:t xml:space="preserve">: Data from </w:t>
      </w:r>
      <w:r w:rsidR="00B11949" w:rsidRPr="001B4152">
        <w:t xml:space="preserve">the </w:t>
      </w:r>
      <w:r w:rsidR="00C41227" w:rsidRPr="001B4152">
        <w:t>7</w:t>
      </w:r>
      <w:r w:rsidR="00484CF0" w:rsidRPr="001B4152">
        <w:t xml:space="preserve"> Selected Areas provided evidence that Commonwealth</w:t>
      </w:r>
      <w:r w:rsidR="00964DB1" w:rsidRPr="001B4152">
        <w:t xml:space="preserve"> </w:t>
      </w:r>
      <w:r w:rsidR="00B5375C" w:rsidRPr="001B4152">
        <w:t>environmental water</w:t>
      </w:r>
      <w:r w:rsidR="00E25017">
        <w:t xml:space="preserve"> </w:t>
      </w:r>
      <w:r w:rsidR="00484CF0" w:rsidRPr="001B4152">
        <w:t>contributed to protecting and restoring energy, carbon and nutrient dynamics, primary production and respiration</w:t>
      </w:r>
      <w:r w:rsidR="007669B8" w:rsidRPr="001B4152">
        <w:t xml:space="preserve"> </w:t>
      </w:r>
      <w:r w:rsidR="00B57FE3" w:rsidRPr="001B4152">
        <w:t>–</w:t>
      </w:r>
      <w:r w:rsidR="00484CF0" w:rsidRPr="001B4152">
        <w:t xml:space="preserve"> reducing the risk of blackwater events and algal blooms.</w:t>
      </w:r>
    </w:p>
    <w:p w14:paraId="090EE281" w14:textId="12C7D082" w:rsidR="00484CF0" w:rsidRPr="001B4152" w:rsidRDefault="00484CF0" w:rsidP="00B5375C">
      <w:pPr>
        <w:pStyle w:val="ListBullet"/>
      </w:pPr>
      <w:r w:rsidRPr="001B4152">
        <w:rPr>
          <w:rStyle w:val="Bold"/>
        </w:rPr>
        <w:t>Section 9.08</w:t>
      </w:r>
      <w:r w:rsidRPr="001B4152">
        <w:t xml:space="preserve">: </w:t>
      </w:r>
      <w:r w:rsidR="001A1B08" w:rsidRPr="001A1B08">
        <w:t>Environmental watering actions in 2023–24 provided benefits in terms of increasing oxygen concentrations and reducing the potential for blackwater events</w:t>
      </w:r>
    </w:p>
    <w:p w14:paraId="1B143154" w14:textId="2CF2BC2E" w:rsidR="00484CF0" w:rsidRPr="00C601A2" w:rsidRDefault="00484CF0" w:rsidP="00484CF0">
      <w:pPr>
        <w:pStyle w:val="Heading3notnumbered"/>
      </w:pPr>
      <w:r w:rsidRPr="00C601A2">
        <w:t xml:space="preserve">Water years </w:t>
      </w:r>
      <w:r w:rsidR="00682D38">
        <w:t>2014–2</w:t>
      </w:r>
      <w:r w:rsidR="00F0388A">
        <w:t>4</w:t>
      </w:r>
    </w:p>
    <w:p w14:paraId="70B51B69" w14:textId="321B1B26" w:rsidR="00484CF0" w:rsidRPr="00C601A2" w:rsidRDefault="000331CF" w:rsidP="00B5375C">
      <w:pPr>
        <w:pStyle w:val="ListBullet"/>
      </w:pPr>
      <w:r w:rsidRPr="29DF62DC">
        <w:rPr>
          <w:rStyle w:val="Bold"/>
        </w:rPr>
        <w:t>P</w:t>
      </w:r>
      <w:r w:rsidR="0027768F" w:rsidRPr="29DF62DC">
        <w:rPr>
          <w:rStyle w:val="Bold"/>
        </w:rPr>
        <w:t>aragraph</w:t>
      </w:r>
      <w:r w:rsidR="00FC6956" w:rsidRPr="29DF62DC">
        <w:rPr>
          <w:rStyle w:val="Bold"/>
        </w:rPr>
        <w:t>s</w:t>
      </w:r>
      <w:r w:rsidR="0027768F" w:rsidRPr="29DF62DC">
        <w:rPr>
          <w:rStyle w:val="Bold"/>
        </w:rPr>
        <w:t xml:space="preserve"> </w:t>
      </w:r>
      <w:r w:rsidR="00484CF0" w:rsidRPr="29DF62DC">
        <w:rPr>
          <w:rStyle w:val="Bold"/>
        </w:rPr>
        <w:t>8.06(3</w:t>
      </w:r>
      <w:r w:rsidR="00FC2EF2" w:rsidRPr="29DF62DC">
        <w:rPr>
          <w:rStyle w:val="Bold"/>
        </w:rPr>
        <w:t>)(</w:t>
      </w:r>
      <w:r w:rsidR="00484CF0" w:rsidRPr="29DF62DC">
        <w:rPr>
          <w:rStyle w:val="Bold"/>
        </w:rPr>
        <w:t>c</w:t>
      </w:r>
      <w:r w:rsidR="00FC2EF2" w:rsidRPr="29DF62DC">
        <w:rPr>
          <w:rStyle w:val="Bold"/>
        </w:rPr>
        <w:t>)</w:t>
      </w:r>
      <w:r w:rsidR="00484CF0" w:rsidRPr="29DF62DC">
        <w:rPr>
          <w:rStyle w:val="Bold"/>
        </w:rPr>
        <w:t>,</w:t>
      </w:r>
      <w:r w:rsidR="00FC2EF2" w:rsidRPr="29DF62DC">
        <w:rPr>
          <w:rStyle w:val="Bold"/>
        </w:rPr>
        <w:t>(</w:t>
      </w:r>
      <w:r w:rsidR="00484CF0" w:rsidRPr="29DF62DC">
        <w:rPr>
          <w:rStyle w:val="Bold"/>
        </w:rPr>
        <w:t>d)</w:t>
      </w:r>
      <w:r w:rsidR="00484CF0">
        <w:t>: Commonwealth</w:t>
      </w:r>
      <w:r w:rsidR="00964DB1">
        <w:t xml:space="preserve"> </w:t>
      </w:r>
      <w:r w:rsidR="00B5375C">
        <w:t>environmental water</w:t>
      </w:r>
      <w:r w:rsidR="00484CF0">
        <w:t xml:space="preserve"> </w:t>
      </w:r>
      <w:r w:rsidR="006E3B8E">
        <w:t xml:space="preserve">played </w:t>
      </w:r>
      <w:r w:rsidR="00484CF0">
        <w:t xml:space="preserve">an important role in meeting long-term objectives to protect and restore connectivity within and between water-dependent ecosystems. </w:t>
      </w:r>
      <w:r w:rsidR="00A071FE">
        <w:t>C</w:t>
      </w:r>
      <w:r w:rsidR="005613A0">
        <w:t>ommonwealth environmental water</w:t>
      </w:r>
      <w:r w:rsidR="00A071FE">
        <w:t xml:space="preserve"> </w:t>
      </w:r>
      <w:r w:rsidR="00484CF0">
        <w:t>can support heterotrophic production if it contributes to connectivity between river channels and floodplains by increasing the supply of allochthonous organic carbon to food webs.</w:t>
      </w:r>
    </w:p>
    <w:p w14:paraId="6EE97850" w14:textId="54F0BCCA" w:rsidR="00484CF0" w:rsidRPr="00C601A2" w:rsidRDefault="008E4E12" w:rsidP="00B5375C">
      <w:pPr>
        <w:pStyle w:val="ListBullet"/>
      </w:pPr>
      <w:r w:rsidRPr="29DF62DC">
        <w:rPr>
          <w:rStyle w:val="Bold"/>
        </w:rPr>
        <w:t>Subs</w:t>
      </w:r>
      <w:r w:rsidR="00D417DF" w:rsidRPr="29DF62DC">
        <w:rPr>
          <w:rStyle w:val="Bold"/>
        </w:rPr>
        <w:t>ection</w:t>
      </w:r>
      <w:r w:rsidR="0027768F" w:rsidRPr="29DF62DC">
        <w:rPr>
          <w:rStyle w:val="Bold"/>
        </w:rPr>
        <w:t xml:space="preserve"> </w:t>
      </w:r>
      <w:r w:rsidR="00484CF0" w:rsidRPr="29DF62DC">
        <w:rPr>
          <w:rStyle w:val="Bold"/>
        </w:rPr>
        <w:t>8.06(7)</w:t>
      </w:r>
      <w:r w:rsidR="00484CF0">
        <w:t xml:space="preserve">: </w:t>
      </w:r>
      <w:r w:rsidR="001D5FF1">
        <w:t>There is e</w:t>
      </w:r>
      <w:r w:rsidR="00484CF0">
        <w:t>vidence from all Selected Areas that Commonwealth</w:t>
      </w:r>
      <w:r w:rsidR="00964DB1">
        <w:t xml:space="preserve"> </w:t>
      </w:r>
      <w:r w:rsidR="00B5375C">
        <w:t>environmental water</w:t>
      </w:r>
      <w:r w:rsidR="00484CF0">
        <w:t xml:space="preserve"> </w:t>
      </w:r>
      <w:r w:rsidR="009F10E2">
        <w:t xml:space="preserve">has </w:t>
      </w:r>
      <w:r w:rsidR="00484CF0">
        <w:t>ha</w:t>
      </w:r>
      <w:r w:rsidR="00FC6956">
        <w:t>d</w:t>
      </w:r>
      <w:r w:rsidR="00484CF0">
        <w:t xml:space="preserve"> a positive influence on protecting and restoring energy, carbon and nutrient dynamics, primary production and respiration </w:t>
      </w:r>
      <w:r w:rsidR="009F10E2">
        <w:t xml:space="preserve">over the </w:t>
      </w:r>
      <w:r w:rsidR="0099576E">
        <w:t>10</w:t>
      </w:r>
      <w:r w:rsidR="009F10E2">
        <w:t xml:space="preserve"> years</w:t>
      </w:r>
      <w:r w:rsidR="00484CF0">
        <w:t xml:space="preserve">. For example, even when changes in rates of GPP and ER </w:t>
      </w:r>
      <w:r w:rsidR="00EA53B6">
        <w:t>were</w:t>
      </w:r>
      <w:r w:rsidR="00484CF0">
        <w:t xml:space="preserve"> small, the increase in water volume provided by Commonwealth </w:t>
      </w:r>
      <w:r w:rsidR="00B5375C">
        <w:t>environmental water</w:t>
      </w:r>
      <w:r w:rsidR="00484CF0">
        <w:t xml:space="preserve"> increase</w:t>
      </w:r>
      <w:r w:rsidR="00EA53B6">
        <w:t>d</w:t>
      </w:r>
      <w:r w:rsidR="00484CF0">
        <w:t xml:space="preserve"> total production and consumption of carbon in riverine food webs.</w:t>
      </w:r>
    </w:p>
    <w:p w14:paraId="0DB987EE" w14:textId="10D35FA8" w:rsidR="00484CF0" w:rsidRPr="00C601A2" w:rsidRDefault="00484CF0" w:rsidP="00B5375C">
      <w:pPr>
        <w:pStyle w:val="ListBullet"/>
      </w:pPr>
      <w:bookmarkStart w:id="12" w:name="_Hlk103606700"/>
      <w:r w:rsidRPr="29DF62DC">
        <w:rPr>
          <w:rStyle w:val="Bold"/>
        </w:rPr>
        <w:t>Section 9.08</w:t>
      </w:r>
      <w:r>
        <w:t>: Trends in water quality and relationships with environmental flow delivery are difficult to assess across the Basin due to the high level of spatial and temporal baseline variation and inadequate data to capture that variability</w:t>
      </w:r>
      <w:bookmarkEnd w:id="12"/>
      <w:r>
        <w:t xml:space="preserve">. However, there is strong evidence that Commonwealth </w:t>
      </w:r>
      <w:r w:rsidR="00B5375C">
        <w:t>environmental water</w:t>
      </w:r>
      <w:r>
        <w:t xml:space="preserve"> played an important role in maintaining water quality </w:t>
      </w:r>
      <w:r w:rsidR="006A7C2A">
        <w:t>over the 10 years</w:t>
      </w:r>
      <w:r>
        <w:t>.</w:t>
      </w:r>
      <w:r w:rsidR="006F3572">
        <w:t xml:space="preserve"> </w:t>
      </w:r>
      <w:r>
        <w:t xml:space="preserve">For example, anoxic events in 2016 and the subsequent delivery of ameliorating flows that included Commonwealth </w:t>
      </w:r>
      <w:r w:rsidR="00B5375C">
        <w:t>environmental water</w:t>
      </w:r>
      <w:r>
        <w:t xml:space="preserve"> demonstrated the utility of targeted watering actions</w:t>
      </w:r>
      <w:r w:rsidR="004F6AE8">
        <w:t xml:space="preserve"> that are</w:t>
      </w:r>
      <w:r>
        <w:t xml:space="preserve"> designed to improve water quality (e.g. evidenced by counterfactual observations). </w:t>
      </w:r>
      <w:r w:rsidR="00D3521E">
        <w:t>C</w:t>
      </w:r>
      <w:r w:rsidR="005613A0">
        <w:t>ommonwealth environmental water</w:t>
      </w:r>
      <w:r w:rsidR="00D3521E">
        <w:t xml:space="preserve"> </w:t>
      </w:r>
      <w:r>
        <w:t xml:space="preserve">also contributed to the objective of meeting salt export </w:t>
      </w:r>
      <w:r w:rsidR="003426E1">
        <w:t xml:space="preserve">targets </w:t>
      </w:r>
      <w:r>
        <w:t xml:space="preserve">(see </w:t>
      </w:r>
      <w:r w:rsidR="00000C59">
        <w:t xml:space="preserve">section </w:t>
      </w:r>
      <w:r>
        <w:t xml:space="preserve">9.09 and </w:t>
      </w:r>
      <w:r w:rsidR="00014898">
        <w:t xml:space="preserve">paragraph </w:t>
      </w:r>
      <w:r>
        <w:t>9.14(5)</w:t>
      </w:r>
      <w:r w:rsidR="00073950">
        <w:t>(</w:t>
      </w:r>
      <w:r>
        <w:t>c</w:t>
      </w:r>
      <w:r w:rsidR="00073950">
        <w:t>)</w:t>
      </w:r>
      <w:r w:rsidR="00000C59">
        <w:t>)</w:t>
      </w:r>
      <w:r>
        <w:t>.</w:t>
      </w:r>
    </w:p>
    <w:p w14:paraId="21A07A79" w14:textId="328769B9" w:rsidR="00484CF0" w:rsidRPr="00574384" w:rsidRDefault="00484CF0" w:rsidP="00B5375C">
      <w:pPr>
        <w:pStyle w:val="ListBullet"/>
      </w:pPr>
      <w:r w:rsidRPr="29DF62DC">
        <w:rPr>
          <w:rStyle w:val="Bold"/>
        </w:rPr>
        <w:t>Section 9.09</w:t>
      </w:r>
      <w:r>
        <w:t xml:space="preserve">: </w:t>
      </w:r>
      <w:r w:rsidR="0085655B">
        <w:t>Over the</w:t>
      </w:r>
      <w:r w:rsidR="00125084">
        <w:t xml:space="preserve"> </w:t>
      </w:r>
      <w:r w:rsidR="00770149">
        <w:t xml:space="preserve">10 </w:t>
      </w:r>
      <w:r w:rsidR="003253FF">
        <w:t>years,</w:t>
      </w:r>
      <w:r w:rsidR="00125084">
        <w:t xml:space="preserve"> Commonwealth </w:t>
      </w:r>
      <w:r w:rsidR="00B5375C">
        <w:t>environmental water</w:t>
      </w:r>
      <w:r w:rsidR="00125084">
        <w:t xml:space="preserve"> </w:t>
      </w:r>
      <w:r w:rsidR="0085655B">
        <w:t>was</w:t>
      </w:r>
      <w:r w:rsidR="00125084">
        <w:t xml:space="preserve"> responsible for </w:t>
      </w:r>
      <w:r w:rsidR="009C143D">
        <w:t xml:space="preserve">exporting </w:t>
      </w:r>
      <w:r w:rsidR="00E410D1">
        <w:t>over 4</w:t>
      </w:r>
      <w:r w:rsidR="003253FF">
        <w:t> </w:t>
      </w:r>
      <w:r w:rsidR="00125084">
        <w:t>million tonnes of salt exported through the barrages</w:t>
      </w:r>
      <w:r w:rsidR="00DA4F7A">
        <w:t xml:space="preserve"> (</w:t>
      </w:r>
      <w:r w:rsidR="0085655B">
        <w:t xml:space="preserve">around </w:t>
      </w:r>
      <w:r w:rsidR="00DA4F7A">
        <w:t>2</w:t>
      </w:r>
      <w:r w:rsidR="00E46EA2">
        <w:t>2</w:t>
      </w:r>
      <w:r w:rsidR="00DA4F7A">
        <w:t xml:space="preserve">% of </w:t>
      </w:r>
      <w:r w:rsidR="0094758D">
        <w:t xml:space="preserve">the </w:t>
      </w:r>
      <w:r w:rsidR="00DA4F7A">
        <w:t>Basin Plan target)</w:t>
      </w:r>
      <w:r w:rsidR="00125084">
        <w:t xml:space="preserve"> and </w:t>
      </w:r>
      <w:r w:rsidR="009C143D">
        <w:t xml:space="preserve">reducing </w:t>
      </w:r>
      <w:r w:rsidR="00125084">
        <w:t xml:space="preserve">salt import by </w:t>
      </w:r>
      <w:r w:rsidR="00E10EC5">
        <w:t>more than</w:t>
      </w:r>
      <w:r w:rsidR="00125084">
        <w:t xml:space="preserve"> </w:t>
      </w:r>
      <w:r w:rsidR="00E410D1">
        <w:t>2</w:t>
      </w:r>
      <w:r w:rsidR="001556CD">
        <w:t>8</w:t>
      </w:r>
      <w:r w:rsidR="00E410D1">
        <w:t xml:space="preserve"> </w:t>
      </w:r>
      <w:r w:rsidR="00125084">
        <w:t>million tonnes</w:t>
      </w:r>
      <w:r w:rsidR="00000C59">
        <w:t>.</w:t>
      </w:r>
    </w:p>
    <w:p w14:paraId="5B526EA8" w14:textId="717C713D" w:rsidR="0080749C" w:rsidRDefault="000331CF" w:rsidP="00B5375C">
      <w:pPr>
        <w:pStyle w:val="ListBullet"/>
      </w:pPr>
      <w:r w:rsidRPr="29DF62DC">
        <w:rPr>
          <w:rStyle w:val="Bold"/>
        </w:rPr>
        <w:t>P</w:t>
      </w:r>
      <w:r w:rsidR="00347B1A" w:rsidRPr="29DF62DC">
        <w:rPr>
          <w:rStyle w:val="Bold"/>
        </w:rPr>
        <w:t xml:space="preserve">aragraph </w:t>
      </w:r>
      <w:r w:rsidR="00484CF0" w:rsidRPr="29DF62DC">
        <w:rPr>
          <w:rStyle w:val="Bold"/>
        </w:rPr>
        <w:t>9.14(5)</w:t>
      </w:r>
      <w:r w:rsidR="00347B1A" w:rsidRPr="29DF62DC">
        <w:rPr>
          <w:rStyle w:val="Bold"/>
        </w:rPr>
        <w:t>(</w:t>
      </w:r>
      <w:r w:rsidR="00484CF0" w:rsidRPr="29DF62DC">
        <w:rPr>
          <w:rStyle w:val="Bold"/>
        </w:rPr>
        <w:t>a</w:t>
      </w:r>
      <w:r w:rsidR="00347B1A" w:rsidRPr="29DF62DC">
        <w:rPr>
          <w:rStyle w:val="Bold"/>
        </w:rPr>
        <w:t>)</w:t>
      </w:r>
      <w:r w:rsidR="00484CF0">
        <w:t xml:space="preserve">: </w:t>
      </w:r>
      <w:r w:rsidR="00A021BD">
        <w:t xml:space="preserve">When the addition of </w:t>
      </w:r>
      <w:r w:rsidR="00484CF0">
        <w:t xml:space="preserve">Commonwealth </w:t>
      </w:r>
      <w:r w:rsidR="00B5375C">
        <w:t>environmental water</w:t>
      </w:r>
      <w:r w:rsidR="00484CF0">
        <w:t xml:space="preserve"> </w:t>
      </w:r>
      <w:r w:rsidR="00A021BD">
        <w:t>increase</w:t>
      </w:r>
      <w:r w:rsidR="0085655B">
        <w:t>d</w:t>
      </w:r>
      <w:r w:rsidR="00A021BD">
        <w:t xml:space="preserve"> mean water velocities above ~0.18 m/s </w:t>
      </w:r>
      <w:r w:rsidR="00942DF9">
        <w:t>in the Lower Murray River</w:t>
      </w:r>
      <w:r w:rsidR="00EA53B6">
        <w:t>,</w:t>
      </w:r>
      <w:r w:rsidR="00942DF9">
        <w:t xml:space="preserve"> it</w:t>
      </w:r>
      <w:r w:rsidR="008C02F6">
        <w:t xml:space="preserve"> </w:t>
      </w:r>
      <w:r w:rsidR="00484CF0">
        <w:t>help</w:t>
      </w:r>
      <w:r w:rsidR="008C02F6">
        <w:t>ed</w:t>
      </w:r>
      <w:r w:rsidR="00484CF0">
        <w:t xml:space="preserve"> reduce the likelihood of low </w:t>
      </w:r>
      <w:r w:rsidR="00DC7093">
        <w:t xml:space="preserve">dissolved oxygen </w:t>
      </w:r>
      <w:r w:rsidR="00484CF0">
        <w:t>concentrations</w:t>
      </w:r>
      <w:r w:rsidR="008C02F6">
        <w:t xml:space="preserve"> by increasing </w:t>
      </w:r>
      <w:r w:rsidR="00F81D26">
        <w:t>ga</w:t>
      </w:r>
      <w:r w:rsidR="00BF4185">
        <w:t>s exchange at the water surface</w:t>
      </w:r>
      <w:r w:rsidR="0080749C">
        <w:t>.</w:t>
      </w:r>
    </w:p>
    <w:p w14:paraId="7E79A5AF" w14:textId="48C23E7C" w:rsidR="00264B6A" w:rsidRPr="00C601A2" w:rsidRDefault="00D417DF" w:rsidP="00B5375C">
      <w:pPr>
        <w:pStyle w:val="ListBullet"/>
      </w:pPr>
      <w:r w:rsidRPr="29DF62DC">
        <w:rPr>
          <w:rStyle w:val="Bold"/>
        </w:rPr>
        <w:t>P</w:t>
      </w:r>
      <w:r w:rsidR="00347B1A" w:rsidRPr="29DF62DC">
        <w:rPr>
          <w:rStyle w:val="Bold"/>
        </w:rPr>
        <w:t xml:space="preserve">aragraph </w:t>
      </w:r>
      <w:r w:rsidR="00484CF0" w:rsidRPr="29DF62DC">
        <w:rPr>
          <w:rStyle w:val="Bold"/>
        </w:rPr>
        <w:t>9.14(5)</w:t>
      </w:r>
      <w:r w:rsidR="001A7581" w:rsidRPr="29DF62DC">
        <w:rPr>
          <w:rStyle w:val="Bold"/>
        </w:rPr>
        <w:t>(c)</w:t>
      </w:r>
      <w:r w:rsidR="00484CF0">
        <w:t xml:space="preserve">: </w:t>
      </w:r>
      <w:r w:rsidR="000B4E25">
        <w:t>C</w:t>
      </w:r>
      <w:r w:rsidR="00906CDB">
        <w:t>ommonwealth environmental water</w:t>
      </w:r>
      <w:r w:rsidR="000B4E25">
        <w:t xml:space="preserve"> </w:t>
      </w:r>
      <w:r w:rsidR="00484CF0">
        <w:t>contributed to maintenance of river salinity below 800 </w:t>
      </w:r>
      <w:r w:rsidR="00CF5A52" w:rsidRPr="00C601A2">
        <w:t>µS/cm</w:t>
      </w:r>
      <w:r w:rsidR="00CF5A52">
        <w:t xml:space="preserve"> (</w:t>
      </w:r>
      <w:r w:rsidR="00F51A4F">
        <w:t>electrical</w:t>
      </w:r>
      <w:r w:rsidR="006F3572">
        <w:t xml:space="preserve"> </w:t>
      </w:r>
      <w:r w:rsidR="00F51A4F">
        <w:t>conductivity</w:t>
      </w:r>
      <w:r w:rsidR="00CF5A52">
        <w:t>)</w:t>
      </w:r>
      <w:r w:rsidR="00340817">
        <w:t xml:space="preserve"> </w:t>
      </w:r>
      <w:r w:rsidR="00484CF0">
        <w:t xml:space="preserve">at Morgan over the </w:t>
      </w:r>
      <w:r w:rsidR="001A5981">
        <w:t>10 years</w:t>
      </w:r>
      <w:r w:rsidR="00484CF0">
        <w:t>.</w:t>
      </w:r>
      <w:r w:rsidR="006F3572">
        <w:t xml:space="preserve"> </w:t>
      </w:r>
      <w:r w:rsidR="00484CF0">
        <w:t xml:space="preserve">Salinity was maintained within the range required for potable water in the Murray River </w:t>
      </w:r>
      <w:r w:rsidR="001A5981">
        <w:t>over this period</w:t>
      </w:r>
      <w:r w:rsidR="00484CF0">
        <w:t xml:space="preserve"> </w:t>
      </w:r>
      <w:r w:rsidR="00443A22">
        <w:t>–</w:t>
      </w:r>
      <w:r w:rsidR="006F3572">
        <w:t xml:space="preserve"> </w:t>
      </w:r>
      <w:r w:rsidR="00484CF0">
        <w:t xml:space="preserve">water </w:t>
      </w:r>
      <w:r w:rsidR="00443A22">
        <w:t xml:space="preserve">was </w:t>
      </w:r>
      <w:r w:rsidR="00484CF0">
        <w:t xml:space="preserve">about 10% fresher </w:t>
      </w:r>
      <w:r w:rsidR="00FB0B95">
        <w:t xml:space="preserve">due to </w:t>
      </w:r>
      <w:r w:rsidR="00484CF0">
        <w:t>environmental flows.</w:t>
      </w:r>
    </w:p>
    <w:p w14:paraId="1E577A3F" w14:textId="770045AC" w:rsidR="00AC2DD8" w:rsidRPr="00C601A2" w:rsidRDefault="00514961" w:rsidP="00F3396B">
      <w:pPr>
        <w:pStyle w:val="Heading2notnumbered"/>
      </w:pPr>
      <w:bookmarkStart w:id="13" w:name="_Toc169543853"/>
      <w:bookmarkStart w:id="14" w:name="_Toc202187833"/>
      <w:bookmarkStart w:id="15" w:name="_Hlk103606768"/>
      <w:r w:rsidRPr="00C601A2">
        <w:t>Informing</w:t>
      </w:r>
      <w:r w:rsidR="00EB0E3E" w:rsidRPr="00C601A2">
        <w:t xml:space="preserve"> a</w:t>
      </w:r>
      <w:r w:rsidR="00AC2DD8" w:rsidRPr="00C601A2">
        <w:t>daptive management</w:t>
      </w:r>
      <w:bookmarkEnd w:id="13"/>
      <w:bookmarkEnd w:id="14"/>
    </w:p>
    <w:p w14:paraId="3F9D92C2" w14:textId="0E959F03" w:rsidR="000E5AC0" w:rsidRPr="00C601A2" w:rsidRDefault="000E5AC0" w:rsidP="00B5375C">
      <w:pPr>
        <w:pStyle w:val="ListBullet"/>
      </w:pPr>
      <w:r>
        <w:t xml:space="preserve">Despite high site-specific context dependency, we identify a general response </w:t>
      </w:r>
      <w:r w:rsidR="0059023D">
        <w:t>at</w:t>
      </w:r>
      <w:r>
        <w:t xml:space="preserve"> </w:t>
      </w:r>
      <w:proofErr w:type="gramStart"/>
      <w:r>
        <w:t>the vast majority of</w:t>
      </w:r>
      <w:proofErr w:type="gramEnd"/>
      <w:r>
        <w:t xml:space="preserve"> locations</w:t>
      </w:r>
      <w:r w:rsidR="00C448E5">
        <w:t>:</w:t>
      </w:r>
      <w:r>
        <w:t xml:space="preserve"> increased flow decreases volumetric rates of overall metabolic activity</w:t>
      </w:r>
      <w:r w:rsidR="006704A4">
        <w:t>,</w:t>
      </w:r>
      <w:r>
        <w:t xml:space="preserve"> or ‘metabolic </w:t>
      </w:r>
      <w:r w:rsidR="2DAD1F42">
        <w:t>throughput’</w:t>
      </w:r>
      <w:r w:rsidR="006704A4">
        <w:t>,</w:t>
      </w:r>
      <w:r w:rsidR="0078074C">
        <w:t xml:space="preserve"> </w:t>
      </w:r>
      <w:r>
        <w:t xml:space="preserve">via disturbance and dilution. Flow disturbance can </w:t>
      </w:r>
      <w:r w:rsidR="00135AC7">
        <w:t>therefore be used</w:t>
      </w:r>
      <w:r>
        <w:t xml:space="preserve"> to ‘reset’ aquatic ecosystems </w:t>
      </w:r>
      <w:r w:rsidR="2479BFE2">
        <w:t xml:space="preserve">by moving sediments and scouring periphyton. </w:t>
      </w:r>
      <w:r w:rsidR="43C20575">
        <w:t>T</w:t>
      </w:r>
      <w:r w:rsidR="2DAD1F42">
        <w:t>he</w:t>
      </w:r>
      <w:r>
        <w:t xml:space="preserve"> trajectory of recovery is likely to vary by site and by valley, governed by localised drivers such as size of the flow, substrate type, channel morphology and structural complexity. The rate of recovery </w:t>
      </w:r>
      <w:r w:rsidR="7EEC2C05">
        <w:t>is</w:t>
      </w:r>
      <w:r>
        <w:t xml:space="preserve"> indicative of ecosystem resilience.</w:t>
      </w:r>
    </w:p>
    <w:p w14:paraId="4E800DD6" w14:textId="769B82DC" w:rsidR="00E658DD" w:rsidRDefault="001E3B9C" w:rsidP="001E3B9C">
      <w:pPr>
        <w:pStyle w:val="ListBullet"/>
      </w:pPr>
      <w:r>
        <w:lastRenderedPageBreak/>
        <w:t xml:space="preserve">Commonwealth environmental water can support higher </w:t>
      </w:r>
      <w:r w:rsidR="00457A24">
        <w:t>ecosystem respiration</w:t>
      </w:r>
      <w:r>
        <w:t xml:space="preserve"> rates and heterotrophic production if flows lead to increases in terrestrial carbon subsidies to the river channel (e.g. litter). The amount of litter incorporated into the river channel is governed primarily by</w:t>
      </w:r>
      <w:r w:rsidR="00E658DD">
        <w:t>:</w:t>
      </w:r>
    </w:p>
    <w:p w14:paraId="020D623C" w14:textId="3415F3DB" w:rsidR="00E658DD" w:rsidRDefault="001E3B9C" w:rsidP="00E658DD">
      <w:pPr>
        <w:pStyle w:val="ListBullet2"/>
      </w:pPr>
      <w:r>
        <w:t>flow type</w:t>
      </w:r>
      <w:r w:rsidR="009336D0">
        <w:t xml:space="preserve">, for example </w:t>
      </w:r>
      <w:r>
        <w:t>bankfull and overbank flows may increase lateral connectivity and mobilise large quantities of litter, while freshes may be limited to incorporating small quantities of litter from in-channel features only</w:t>
      </w:r>
      <w:r w:rsidR="00B10ECA">
        <w:t>;</w:t>
      </w:r>
      <w:r>
        <w:t xml:space="preserve"> and </w:t>
      </w:r>
    </w:p>
    <w:p w14:paraId="2DD6B312" w14:textId="2528CDBA" w:rsidR="001E3B9C" w:rsidRPr="00C601A2" w:rsidRDefault="001E3B9C" w:rsidP="001B4152">
      <w:pPr>
        <w:pStyle w:val="ListBullet2"/>
      </w:pPr>
      <w:r>
        <w:t>antecedent patterns</w:t>
      </w:r>
      <w:r w:rsidR="009336D0">
        <w:t xml:space="preserve">, for example </w:t>
      </w:r>
      <w:r>
        <w:t>climate, time since last flow, magnitude of last flow)</w:t>
      </w:r>
      <w:r w:rsidR="009336D0">
        <w:t>.</w:t>
      </w:r>
    </w:p>
    <w:p w14:paraId="667EA2E0" w14:textId="68D4EA0B" w:rsidR="000E5AC0" w:rsidRPr="00C601A2" w:rsidRDefault="00024746" w:rsidP="00B5375C">
      <w:pPr>
        <w:pStyle w:val="ListBullet"/>
        <w:rPr>
          <w:rFonts w:cs="Calibri"/>
          <w:color w:val="000000" w:themeColor="text2"/>
        </w:rPr>
      </w:pPr>
      <w:r>
        <w:t>Increasing flow reduces th</w:t>
      </w:r>
      <w:r w:rsidR="000E5AC0">
        <w:t>e volumetric rate of primary production but increase</w:t>
      </w:r>
      <w:r>
        <w:t>s</w:t>
      </w:r>
      <w:r w:rsidR="000E5AC0">
        <w:t xml:space="preserve"> cross-sectional channel GPP, particularly in reaches where the channel broadens, by increasing the cross-sectional area of the photic zone</w:t>
      </w:r>
      <w:r w:rsidR="00BC0226">
        <w:t xml:space="preserve"> (i.e. the area with enough light for photosynthesis)</w:t>
      </w:r>
      <w:r w:rsidR="000E5AC0">
        <w:t>. Although rates of GPP and ER are not direct estimates of secondary production by higher trophic levels, ecological theory and existing empirical evidence suggest that this increased ecosystem metabolism will be correlated with higher consumer productivity.</w:t>
      </w:r>
    </w:p>
    <w:p w14:paraId="233B48D0" w14:textId="6A6439AA" w:rsidR="000E5AC0" w:rsidRPr="00C601A2" w:rsidRDefault="000E5AC0" w:rsidP="00B5375C">
      <w:pPr>
        <w:pStyle w:val="ListBullet"/>
      </w:pPr>
      <w:r>
        <w:t xml:space="preserve">There is scope to focus future Basin-scale reporting for food webs and water quality on improving our understanding of how the food supply for food webs is influenced by Commonwealth </w:t>
      </w:r>
      <w:r w:rsidR="00B5375C">
        <w:t>environmental water</w:t>
      </w:r>
      <w:r>
        <w:t xml:space="preserve"> (e.g. recovery of metabolic activity following flow disturbance,</w:t>
      </w:r>
      <w:r w:rsidR="006F3572">
        <w:t xml:space="preserve"> </w:t>
      </w:r>
      <w:r>
        <w:t>influence of disturbance on food webs).</w:t>
      </w:r>
    </w:p>
    <w:p w14:paraId="542D3036" w14:textId="77777777" w:rsidR="00C534A4" w:rsidRPr="00C601A2" w:rsidRDefault="006703B5" w:rsidP="00C534A4">
      <w:pPr>
        <w:pStyle w:val="Heading3notnumbered"/>
      </w:pPr>
      <w:r w:rsidRPr="00C601A2">
        <w:t>Recommendations</w:t>
      </w:r>
    </w:p>
    <w:p w14:paraId="51645A2A" w14:textId="22050F7E" w:rsidR="007758F9" w:rsidRPr="00C601A2" w:rsidRDefault="00BC0226" w:rsidP="00B5375C">
      <w:pPr>
        <w:pStyle w:val="ListBullet"/>
      </w:pPr>
      <w:r>
        <w:t xml:space="preserve">To improve the utility of metabolic data collected, we recommend a formally designed and coordinated sampling approach between and beyond Selected Areas for future iterations of Flow-MER. </w:t>
      </w:r>
      <w:r w:rsidR="007758F9">
        <w:t xml:space="preserve">Lack of a complete metabolic time series (e.g. no winter data) at most Selected Areas makes removal of ‘season’ as a factor to better understand the influence of flow problematic. </w:t>
      </w:r>
      <w:r w:rsidR="00EB74AE">
        <w:t>We recommend c</w:t>
      </w:r>
      <w:r w:rsidR="007758F9">
        <w:t>ollection of metabolic data year</w:t>
      </w:r>
      <w:r w:rsidR="009718E6">
        <w:t>-</w:t>
      </w:r>
      <w:r w:rsidR="007758F9">
        <w:t xml:space="preserve">round </w:t>
      </w:r>
      <w:r w:rsidR="70583439">
        <w:t>using the same sampling approach at all Selected Areas</w:t>
      </w:r>
      <w:r w:rsidR="0085655B">
        <w:t>. This</w:t>
      </w:r>
      <w:r w:rsidR="0048231B">
        <w:t xml:space="preserve"> will</w:t>
      </w:r>
      <w:r w:rsidR="007758F9">
        <w:t xml:space="preserve"> improve our capacity to predict flow-metabolism responses in unmonitored areas.</w:t>
      </w:r>
    </w:p>
    <w:bookmarkEnd w:id="15"/>
    <w:p w14:paraId="11E3DA9F" w14:textId="4C539A7C" w:rsidR="007758F9" w:rsidRPr="00C601A2" w:rsidRDefault="007758F9" w:rsidP="00664394">
      <w:pPr>
        <w:pStyle w:val="ListBullet"/>
      </w:pPr>
      <w:r>
        <w:t>We recommend estimation of average depth at all Selected Areas</w:t>
      </w:r>
      <w:r w:rsidR="005305FC">
        <w:t>,</w:t>
      </w:r>
      <w:r>
        <w:t xml:space="preserve"> which will enable conversion of volumetric metabolic rates to areal rates, in</w:t>
      </w:r>
      <w:r w:rsidR="00F3396B">
        <w:t xml:space="preserve"> </w:t>
      </w:r>
      <w:r>
        <w:t>line with international literature.</w:t>
      </w:r>
    </w:p>
    <w:p w14:paraId="262296BC" w14:textId="3244E05D" w:rsidR="00D64C84" w:rsidRPr="00C601A2" w:rsidRDefault="00D64C84" w:rsidP="00D64C84">
      <w:pPr>
        <w:pStyle w:val="ListBullet"/>
        <w:numPr>
          <w:ilvl w:val="0"/>
          <w:numId w:val="0"/>
        </w:numPr>
        <w:spacing w:before="0" w:after="0"/>
        <w:ind w:left="142"/>
      </w:pPr>
    </w:p>
    <w:p w14:paraId="0EAD651B" w14:textId="2DDE91D4" w:rsidR="00445814" w:rsidRPr="00C601A2" w:rsidRDefault="00445814" w:rsidP="00D64C84">
      <w:pPr>
        <w:pStyle w:val="BodyText"/>
        <w:sectPr w:rsidR="00445814" w:rsidRPr="00C601A2" w:rsidSect="000E21A8">
          <w:headerReference w:type="even" r:id="rId22"/>
          <w:headerReference w:type="default" r:id="rId23"/>
          <w:footerReference w:type="even" r:id="rId24"/>
          <w:footerReference w:type="default" r:id="rId25"/>
          <w:headerReference w:type="first" r:id="rId26"/>
          <w:type w:val="oddPage"/>
          <w:pgSz w:w="11906" w:h="16838" w:code="9"/>
          <w:pgMar w:top="1134" w:right="1134" w:bottom="1134" w:left="1134" w:header="510" w:footer="510" w:gutter="0"/>
          <w:pgNumType w:fmt="lowerRoman"/>
          <w:cols w:space="284"/>
          <w:docGrid w:linePitch="360"/>
        </w:sectPr>
      </w:pPr>
    </w:p>
    <w:p w14:paraId="1D7FE233" w14:textId="3D033FD9" w:rsidR="00E13F9D" w:rsidRPr="00C601A2" w:rsidRDefault="00E13F9D" w:rsidP="00E13F9D">
      <w:pPr>
        <w:pStyle w:val="Heading1notnumbered"/>
      </w:pPr>
      <w:bookmarkStart w:id="16" w:name="_Toc75778159"/>
      <w:bookmarkStart w:id="17" w:name="_Toc100830425"/>
      <w:bookmarkStart w:id="18" w:name="_Toc107411488"/>
      <w:bookmarkStart w:id="19" w:name="_Toc169543854"/>
      <w:bookmarkStart w:id="20" w:name="_Toc202187834"/>
      <w:bookmarkStart w:id="21" w:name="_Hlk75431701"/>
      <w:r w:rsidRPr="00C601A2">
        <w:lastRenderedPageBreak/>
        <w:t>Overview of Flow-MER</w:t>
      </w:r>
      <w:bookmarkEnd w:id="16"/>
      <w:bookmarkEnd w:id="17"/>
      <w:bookmarkEnd w:id="18"/>
      <w:r w:rsidR="00955586">
        <w:t xml:space="preserve"> and this 202</w:t>
      </w:r>
      <w:r w:rsidR="0056302B">
        <w:t>3</w:t>
      </w:r>
      <w:r w:rsidR="00955586">
        <w:t>–2</w:t>
      </w:r>
      <w:r w:rsidR="0056302B">
        <w:t>4</w:t>
      </w:r>
      <w:r w:rsidR="00955586">
        <w:t xml:space="preserve"> evaluation</w:t>
      </w:r>
      <w:bookmarkEnd w:id="19"/>
      <w:bookmarkEnd w:id="20"/>
    </w:p>
    <w:p w14:paraId="2BF391CC" w14:textId="7E62EDDC" w:rsidR="00E13F9D" w:rsidRPr="00C601A2" w:rsidRDefault="002D083C" w:rsidP="00674421">
      <w:pPr>
        <w:pStyle w:val="BodyText10"/>
        <w:rPr>
          <w:noProof/>
        </w:rPr>
      </w:pPr>
      <w:r w:rsidRPr="00485D41">
        <w:t xml:space="preserve">The Commonwealth Environmental Water </w:t>
      </w:r>
      <w:r>
        <w:t>Holder’s</w:t>
      </w:r>
      <w:r w:rsidRPr="00485D41">
        <w:t xml:space="preserve"> (CEW</w:t>
      </w:r>
      <w:r>
        <w:t>H</w:t>
      </w:r>
      <w:r w:rsidRPr="00485D41">
        <w:t>)</w:t>
      </w:r>
      <w:r>
        <w:t xml:space="preserve"> Science Program</w:t>
      </w:r>
      <w:r w:rsidRPr="00485D41">
        <w:t xml:space="preserve"> invests in monitoring, evaluation and research activities through its </w:t>
      </w:r>
      <w:r>
        <w:t xml:space="preserve">Flow </w:t>
      </w:r>
      <w:r w:rsidRPr="00485D41">
        <w:t>Monitoring, Evaluation and Research (Flow-MER)</w:t>
      </w:r>
      <w:r w:rsidR="004F0BD1">
        <w:t xml:space="preserve"> Program</w:t>
      </w:r>
      <w:r w:rsidRPr="00485D41">
        <w:t xml:space="preserve">. The </w:t>
      </w:r>
      <w:r>
        <w:t xml:space="preserve">Flow-MER </w:t>
      </w:r>
      <w:r w:rsidRPr="00485D41">
        <w:t>Basin-scale evaluation</w:t>
      </w:r>
      <w:r>
        <w:t xml:space="preserve"> assesses the contributions of Commonwealth </w:t>
      </w:r>
      <w:r w:rsidR="00B5375C">
        <w:t>environmental water</w:t>
      </w:r>
      <w:r w:rsidR="004906B4">
        <w:t xml:space="preserve"> (</w:t>
      </w:r>
      <w:r w:rsidR="00480186">
        <w:t>CEW</w:t>
      </w:r>
      <w:r w:rsidR="004906B4">
        <w:t>)</w:t>
      </w:r>
      <w:r>
        <w:t xml:space="preserve"> to meeting </w:t>
      </w:r>
      <w:r w:rsidRPr="00485D41">
        <w:t xml:space="preserve">the environmental objectives stated in </w:t>
      </w:r>
      <w:r w:rsidR="00D64C84">
        <w:t xml:space="preserve">chapters </w:t>
      </w:r>
      <w:r>
        <w:t xml:space="preserve">8 </w:t>
      </w:r>
      <w:r w:rsidR="00D64C84">
        <w:t xml:space="preserve">and 9 </w:t>
      </w:r>
      <w:r>
        <w:t xml:space="preserve">of </w:t>
      </w:r>
      <w:r w:rsidRPr="00485D41">
        <w:t xml:space="preserve">the (Murray–Darling) </w:t>
      </w:r>
      <w:r w:rsidRPr="00485D41">
        <w:rPr>
          <w:rStyle w:val="Italics"/>
        </w:rPr>
        <w:t>Basin Plan</w:t>
      </w:r>
      <w:r w:rsidRPr="00664394">
        <w:rPr>
          <w:i/>
          <w:iCs/>
        </w:rPr>
        <w:t xml:space="preserve"> 2012 </w:t>
      </w:r>
      <w:r w:rsidRPr="00485D41">
        <w:t xml:space="preserve">and in the </w:t>
      </w:r>
      <w:hyperlink r:id="rId27" w:history="1">
        <w:r w:rsidRPr="00485D41">
          <w:rPr>
            <w:rStyle w:val="Hyperlink"/>
            <w:i/>
          </w:rPr>
          <w:t>Basin-wide environmental watering strategy</w:t>
        </w:r>
      </w:hyperlink>
      <w:r>
        <w:t>.</w:t>
      </w:r>
      <w:r w:rsidR="00074247">
        <w:rPr>
          <w:rStyle w:val="FootnoteReference"/>
        </w:rPr>
        <w:footnoteReference w:id="4"/>
      </w:r>
      <w:r>
        <w:t xml:space="preserve"> Six </w:t>
      </w:r>
      <w:r w:rsidRPr="00485D41">
        <w:t>Basin Themes (</w:t>
      </w:r>
      <w:r w:rsidR="000B2E5D">
        <w:fldChar w:fldCharType="begin"/>
      </w:r>
      <w:r w:rsidR="000B2E5D">
        <w:instrText xml:space="preserve"> REF _Ref183533816 \h </w:instrText>
      </w:r>
      <w:r w:rsidR="000B2E5D">
        <w:fldChar w:fldCharType="separate"/>
      </w:r>
      <w:r w:rsidR="00492712">
        <w:t>Figure </w:t>
      </w:r>
      <w:r w:rsidR="00492712">
        <w:rPr>
          <w:noProof/>
        </w:rPr>
        <w:t>1</w:t>
      </w:r>
      <w:r w:rsidR="000B2E5D">
        <w:fldChar w:fldCharType="end"/>
      </w:r>
      <w:r w:rsidRPr="00485D41">
        <w:t xml:space="preserve">) </w:t>
      </w:r>
      <w:r>
        <w:t xml:space="preserve">are evaluated using data from </w:t>
      </w:r>
      <w:r w:rsidRPr="00485D41">
        <w:rPr>
          <w:rStyle w:val="BodyTextChar"/>
        </w:rPr>
        <w:t>7</w:t>
      </w:r>
      <w:r w:rsidR="00EF49C9">
        <w:rPr>
          <w:rStyle w:val="BodyTextChar"/>
        </w:rPr>
        <w:t> </w:t>
      </w:r>
      <w:r>
        <w:rPr>
          <w:rStyle w:val="BodyTextChar"/>
        </w:rPr>
        <w:t xml:space="preserve">Flow-MER </w:t>
      </w:r>
      <w:r w:rsidRPr="00485D41">
        <w:rPr>
          <w:rStyle w:val="BodyTextChar"/>
        </w:rPr>
        <w:t>Selected Areas (left-side map,</w:t>
      </w:r>
      <w:r w:rsidR="000B2E5D">
        <w:rPr>
          <w:rStyle w:val="BodyTextChar"/>
        </w:rPr>
        <w:t xml:space="preserve"> </w:t>
      </w:r>
      <w:r w:rsidR="000B2E5D">
        <w:rPr>
          <w:rStyle w:val="BodyTextChar"/>
        </w:rPr>
        <w:fldChar w:fldCharType="begin"/>
      </w:r>
      <w:r w:rsidR="000B2E5D">
        <w:rPr>
          <w:rStyle w:val="BodyTextChar"/>
        </w:rPr>
        <w:instrText xml:space="preserve"> REF _Ref183533826 \h </w:instrText>
      </w:r>
      <w:r w:rsidR="000B2E5D">
        <w:rPr>
          <w:rStyle w:val="BodyTextChar"/>
        </w:rPr>
      </w:r>
      <w:r w:rsidR="000B2E5D">
        <w:rPr>
          <w:rStyle w:val="BodyTextChar"/>
        </w:rPr>
        <w:fldChar w:fldCharType="separate"/>
      </w:r>
      <w:r w:rsidR="00492712">
        <w:t>Figure </w:t>
      </w:r>
      <w:r w:rsidR="00492712">
        <w:rPr>
          <w:noProof/>
        </w:rPr>
        <w:t>2</w:t>
      </w:r>
      <w:r w:rsidR="000B2E5D">
        <w:rPr>
          <w:rStyle w:val="BodyTextChar"/>
        </w:rPr>
        <w:fldChar w:fldCharType="end"/>
      </w:r>
      <w:r w:rsidRPr="00485D41">
        <w:rPr>
          <w:rStyle w:val="BodyTextChar"/>
        </w:rPr>
        <w:t>) and the 19 valleys (right-side map,</w:t>
      </w:r>
      <w:r w:rsidR="000B2E5D">
        <w:rPr>
          <w:rStyle w:val="BodyTextChar"/>
        </w:rPr>
        <w:t xml:space="preserve"> </w:t>
      </w:r>
      <w:r w:rsidR="000B2E5D">
        <w:rPr>
          <w:rStyle w:val="BodyTextChar"/>
        </w:rPr>
        <w:fldChar w:fldCharType="begin"/>
      </w:r>
      <w:r w:rsidR="000B2E5D">
        <w:rPr>
          <w:rStyle w:val="BodyTextChar"/>
        </w:rPr>
        <w:instrText xml:space="preserve"> REF _Ref183533826 \h </w:instrText>
      </w:r>
      <w:r w:rsidR="000B2E5D">
        <w:rPr>
          <w:rStyle w:val="BodyTextChar"/>
        </w:rPr>
      </w:r>
      <w:r w:rsidR="000B2E5D">
        <w:rPr>
          <w:rStyle w:val="BodyTextChar"/>
        </w:rPr>
        <w:fldChar w:fldCharType="separate"/>
      </w:r>
      <w:r w:rsidR="00492712">
        <w:t>Figure </w:t>
      </w:r>
      <w:r w:rsidR="00492712">
        <w:rPr>
          <w:noProof/>
        </w:rPr>
        <w:t>2</w:t>
      </w:r>
      <w:r w:rsidR="000B2E5D">
        <w:rPr>
          <w:rStyle w:val="BodyTextChar"/>
        </w:rPr>
        <w:fldChar w:fldCharType="end"/>
      </w:r>
      <w:r w:rsidRPr="00485D41">
        <w:rPr>
          <w:rStyle w:val="BodyTextChar"/>
        </w:rPr>
        <w:t xml:space="preserve">) where </w:t>
      </w:r>
      <w:r>
        <w:rPr>
          <w:rStyle w:val="BodyTextChar"/>
        </w:rPr>
        <w:t>the CEWH</w:t>
      </w:r>
      <w:r w:rsidRPr="00485D41">
        <w:rPr>
          <w:rStyle w:val="BodyTextChar"/>
        </w:rPr>
        <w:t xml:space="preserve"> holds water entitlements in the Murray–Darling Basin</w:t>
      </w:r>
      <w:r>
        <w:rPr>
          <w:rStyle w:val="BodyTextChar"/>
        </w:rPr>
        <w:t xml:space="preserve">. </w:t>
      </w:r>
      <w:r w:rsidRPr="00485D41">
        <w:t>The evaluation builds on work undertaken by its predecessors</w:t>
      </w:r>
      <w:r>
        <w:t>.</w:t>
      </w:r>
      <w:r w:rsidRPr="002C07A3">
        <w:rPr>
          <w:rStyle w:val="FootnoteReference"/>
        </w:rPr>
        <w:footnoteReference w:id="5"/>
      </w:r>
      <w:r w:rsidR="00E13F9D" w:rsidRPr="00C601A2">
        <w:t xml:space="preserve"> </w:t>
      </w:r>
      <w:r w:rsidR="00237E9C">
        <w:t>Research informs the evaluation and the CEWH’s Science Program.</w:t>
      </w:r>
    </w:p>
    <w:p w14:paraId="0EFC7B22" w14:textId="77908F48" w:rsidR="00C77E02" w:rsidRPr="00485D41" w:rsidRDefault="00405920" w:rsidP="00EF3392">
      <w:pPr>
        <w:pStyle w:val="CaptionWithNote"/>
        <w:ind w:right="849"/>
      </w:pPr>
      <w:bookmarkStart w:id="22" w:name="_Ref183533816"/>
      <w:bookmarkStart w:id="23" w:name="_Ref75344535"/>
      <w:bookmarkStart w:id="24" w:name="_Toc75778192"/>
      <w:bookmarkStart w:id="25" w:name="_Toc169184337"/>
      <w:bookmarkStart w:id="26" w:name="_Toc193363427"/>
      <w:bookmarkStart w:id="27" w:name="_Toc194788943"/>
      <w:bookmarkStart w:id="28" w:name="_Toc202187876"/>
      <w:r>
        <w:t>Figure</w:t>
      </w:r>
      <w:r w:rsidR="00A535AD">
        <w:t> </w:t>
      </w:r>
      <w:r>
        <w:fldChar w:fldCharType="begin"/>
      </w:r>
      <w:r>
        <w:instrText>SEQ Figure \* ARABIC \s 1</w:instrText>
      </w:r>
      <w:r>
        <w:fldChar w:fldCharType="separate"/>
      </w:r>
      <w:r w:rsidR="00492712">
        <w:rPr>
          <w:noProof/>
        </w:rPr>
        <w:t>1</w:t>
      </w:r>
      <w:r>
        <w:fldChar w:fldCharType="end"/>
      </w:r>
      <w:bookmarkEnd w:id="22"/>
      <w:r w:rsidRPr="00C601A2">
        <w:t xml:space="preserve"> </w:t>
      </w:r>
      <w:bookmarkStart w:id="29" w:name="_Hlk75431730"/>
      <w:bookmarkEnd w:id="21"/>
      <w:bookmarkEnd w:id="23"/>
      <w:bookmarkEnd w:id="24"/>
      <w:r w:rsidR="00C77E02" w:rsidRPr="00485D41">
        <w:t xml:space="preserve">Schematic of the </w:t>
      </w:r>
      <w:r w:rsidR="00C77E02">
        <w:t xml:space="preserve">components of the </w:t>
      </w:r>
      <w:r w:rsidR="00C77E02" w:rsidRPr="00485D41">
        <w:t>Basin-scale evaluation</w:t>
      </w:r>
      <w:bookmarkEnd w:id="25"/>
      <w:bookmarkEnd w:id="26"/>
      <w:bookmarkEnd w:id="27"/>
      <w:bookmarkEnd w:id="28"/>
    </w:p>
    <w:p w14:paraId="070C87CB" w14:textId="009EF108" w:rsidR="00C77E02" w:rsidRPr="00485D41" w:rsidRDefault="00C77E02" w:rsidP="00AA1171">
      <w:pPr>
        <w:pStyle w:val="CaptionNote"/>
        <w:ind w:right="566"/>
      </w:pPr>
      <w:r w:rsidRPr="00485D41">
        <w:t>The evaluation</w:t>
      </w:r>
      <w:r>
        <w:t xml:space="preserve">s are </w:t>
      </w:r>
      <w:r w:rsidRPr="00485D41">
        <w:t xml:space="preserve">informed by Basin-scale research projects, stakeholder engagement </w:t>
      </w:r>
      <w:r>
        <w:t xml:space="preserve">and </w:t>
      </w:r>
      <w:r w:rsidR="00074247">
        <w:t xml:space="preserve">Selected Area </w:t>
      </w:r>
      <w:r>
        <w:t>monitoring data</w:t>
      </w:r>
      <w:r w:rsidRPr="00485D41">
        <w:t>.</w:t>
      </w:r>
    </w:p>
    <w:p w14:paraId="7743F96A" w14:textId="77777777" w:rsidR="00B013F5" w:rsidRPr="00C601A2" w:rsidRDefault="00B013F5" w:rsidP="00296940">
      <w:pPr>
        <w:pStyle w:val="Figure"/>
      </w:pPr>
      <w:r w:rsidRPr="00296940">
        <w:rPr>
          <w:noProof/>
        </w:rPr>
        <w:drawing>
          <wp:inline distT="0" distB="0" distL="0" distR="0" wp14:anchorId="135064B7" wp14:editId="37F65285">
            <wp:extent cx="5626735" cy="1492211"/>
            <wp:effectExtent l="0" t="0" r="0" b="0"/>
            <wp:docPr id="226691665" name="Picture 226691665" descr="Diagram showing linkages between the 6 themes. Further details in cap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 showing linkages between the 6 themes. Further details in caption">
                      <a:extLst>
                        <a:ext uri="{C183D7F6-B498-43B3-948B-1728B52AA6E4}">
                          <adec:decorative xmlns:adec="http://schemas.microsoft.com/office/drawing/2017/decorative" val="0"/>
                        </a:ext>
                      </a:extLst>
                    </pic:cNvPr>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5629109" cy="1492841"/>
                    </a:xfrm>
                    <a:prstGeom prst="rect">
                      <a:avLst/>
                    </a:prstGeom>
                    <a:ln>
                      <a:noFill/>
                    </a:ln>
                    <a:extLst>
                      <a:ext uri="{53640926-AAD7-44D8-BBD7-CCE9431645EC}">
                        <a14:shadowObscured xmlns:a14="http://schemas.microsoft.com/office/drawing/2010/main"/>
                      </a:ext>
                    </a:extLst>
                  </pic:spPr>
                </pic:pic>
              </a:graphicData>
            </a:graphic>
          </wp:inline>
        </w:drawing>
      </w:r>
    </w:p>
    <w:p w14:paraId="14338D82" w14:textId="7E8346AD" w:rsidR="00A96D7A" w:rsidRPr="0003406B" w:rsidRDefault="00405920" w:rsidP="00AA1171">
      <w:pPr>
        <w:pStyle w:val="CaptionWithNote"/>
      </w:pPr>
      <w:bookmarkStart w:id="30" w:name="_Ref183533826"/>
      <w:bookmarkStart w:id="31" w:name="_Ref75623235"/>
      <w:bookmarkStart w:id="32" w:name="_Toc75778193"/>
      <w:bookmarkStart w:id="33" w:name="_Toc71801874"/>
      <w:bookmarkStart w:id="34" w:name="_Toc68789869"/>
      <w:bookmarkStart w:id="35" w:name="_Toc69854432"/>
      <w:bookmarkStart w:id="36" w:name="_Toc70949054"/>
      <w:bookmarkStart w:id="37" w:name="_Toc72682464"/>
      <w:bookmarkStart w:id="38" w:name="_Toc169184338"/>
      <w:bookmarkStart w:id="39" w:name="_Toc193363428"/>
      <w:bookmarkStart w:id="40" w:name="_Toc194788944"/>
      <w:bookmarkStart w:id="41" w:name="_Toc202187877"/>
      <w:r>
        <w:t>Figure</w:t>
      </w:r>
      <w:r w:rsidR="00A535AD">
        <w:t> </w:t>
      </w:r>
      <w:r>
        <w:fldChar w:fldCharType="begin"/>
      </w:r>
      <w:r>
        <w:instrText>SEQ Figure \* ARABIC \s 1</w:instrText>
      </w:r>
      <w:r>
        <w:fldChar w:fldCharType="separate"/>
      </w:r>
      <w:r w:rsidR="00492712">
        <w:rPr>
          <w:noProof/>
        </w:rPr>
        <w:t>2</w:t>
      </w:r>
      <w:r>
        <w:fldChar w:fldCharType="end"/>
      </w:r>
      <w:bookmarkEnd w:id="30"/>
      <w:r w:rsidRPr="00C601A2">
        <w:t xml:space="preserve"> </w:t>
      </w:r>
      <w:bookmarkEnd w:id="29"/>
      <w:bookmarkEnd w:id="31"/>
      <w:bookmarkEnd w:id="32"/>
      <w:bookmarkEnd w:id="33"/>
      <w:bookmarkEnd w:id="34"/>
      <w:bookmarkEnd w:id="35"/>
      <w:bookmarkEnd w:id="36"/>
      <w:bookmarkEnd w:id="37"/>
      <w:r w:rsidR="00A96D7A" w:rsidRPr="0003406B">
        <w:t xml:space="preserve">The 7 Selected Areas (left map) and 25 valleys (right map) established for long-term monitoring of the impacts of environmental watering under </w:t>
      </w:r>
      <w:r w:rsidR="00F6208C">
        <w:t xml:space="preserve">the </w:t>
      </w:r>
      <w:r w:rsidR="00A96D7A" w:rsidRPr="0003406B">
        <w:t>L</w:t>
      </w:r>
      <w:r w:rsidR="00F6208C">
        <w:t xml:space="preserve">ong </w:t>
      </w:r>
      <w:r w:rsidR="00A96D7A" w:rsidRPr="0003406B">
        <w:t>T</w:t>
      </w:r>
      <w:r w:rsidR="00F6208C">
        <w:t xml:space="preserve">erm </w:t>
      </w:r>
      <w:r w:rsidR="00A96D7A" w:rsidRPr="0003406B">
        <w:t>I</w:t>
      </w:r>
      <w:r w:rsidR="00F6208C">
        <w:t xml:space="preserve">ntervention </w:t>
      </w:r>
      <w:r w:rsidR="00A96D7A" w:rsidRPr="0003406B">
        <w:t>M</w:t>
      </w:r>
      <w:r w:rsidR="00F6208C">
        <w:t>onitoring Project</w:t>
      </w:r>
      <w:r w:rsidR="00A96D7A" w:rsidRPr="0003406B">
        <w:t xml:space="preserve"> and Flow-MER (2014–15 to present)</w:t>
      </w:r>
      <w:bookmarkEnd w:id="38"/>
      <w:bookmarkEnd w:id="39"/>
      <w:bookmarkEnd w:id="40"/>
      <w:bookmarkEnd w:id="41"/>
    </w:p>
    <w:p w14:paraId="5DA7CFE2" w14:textId="77777777" w:rsidR="001E5AEC" w:rsidRDefault="001E5AEC" w:rsidP="001E5AEC">
      <w:pPr>
        <w:pStyle w:val="CaptionNote"/>
      </w:pPr>
      <w:r w:rsidRPr="00BB6067">
        <w:t>In the valley</w:t>
      </w:r>
      <w:r>
        <w:t>s</w:t>
      </w:r>
      <w:r w:rsidRPr="00BB6067">
        <w:t xml:space="preserve"> map, </w:t>
      </w:r>
      <w:r>
        <w:t xml:space="preserve">grey </w:t>
      </w:r>
      <w:r w:rsidRPr="00BB6067">
        <w:t>shad</w:t>
      </w:r>
      <w:r>
        <w:t>ing</w:t>
      </w:r>
      <w:r w:rsidRPr="00BB6067">
        <w:t xml:space="preserve"> </w:t>
      </w:r>
      <w:r>
        <w:t xml:space="preserve">indicates </w:t>
      </w:r>
      <w:r w:rsidRPr="00BB6067">
        <w:t xml:space="preserve">the 19 valleys where the Commonwealth holds water </w:t>
      </w:r>
      <w:proofErr w:type="gramStart"/>
      <w:r w:rsidRPr="00BB6067">
        <w:t>entitlements</w:t>
      </w:r>
      <w:proofErr w:type="gramEnd"/>
      <w:r w:rsidRPr="00BB6067">
        <w:t xml:space="preserve"> and which are in scope for evaluation; white identifies those valleys which are not in scope.</w:t>
      </w:r>
    </w:p>
    <w:p w14:paraId="79F54D33" w14:textId="63369E8B" w:rsidR="001E5AEC" w:rsidRPr="001E5AEC" w:rsidRDefault="007B62E3" w:rsidP="00296940">
      <w:pPr>
        <w:pStyle w:val="Figure"/>
      </w:pPr>
      <w:r w:rsidRPr="00296940">
        <w:rPr>
          <w:noProof/>
        </w:rPr>
        <w:drawing>
          <wp:inline distT="0" distB="0" distL="0" distR="0" wp14:anchorId="323396D6" wp14:editId="1193F684">
            <wp:extent cx="5674226" cy="3001011"/>
            <wp:effectExtent l="0" t="0" r="3175" b="8890"/>
            <wp:docPr id="1278236380" name="Picture 1278236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36380" name="Picture 1278236380">
                      <a:extLst>
                        <a:ext uri="{C183D7F6-B498-43B3-948B-1728B52AA6E4}">
                          <adec:decorative xmlns:adec="http://schemas.microsoft.com/office/drawing/2017/decorative" val="1"/>
                        </a:ext>
                      </a:extLst>
                    </pic:cNvPr>
                    <pic:cNvPicPr>
                      <a:picLocks noChangeAspect="1" noChangeArrowheads="1"/>
                    </pic:cNvPicPr>
                  </pic:nvPicPr>
                  <pic:blipFill>
                    <a:blip r:embed="rId29"/>
                    <a:stretch>
                      <a:fillRect/>
                    </a:stretch>
                  </pic:blipFill>
                  <pic:spPr bwMode="auto">
                    <a:xfrm>
                      <a:off x="0" y="0"/>
                      <a:ext cx="5674226" cy="3001011"/>
                    </a:xfrm>
                    <a:prstGeom prst="rect">
                      <a:avLst/>
                    </a:prstGeom>
                    <a:noFill/>
                  </pic:spPr>
                </pic:pic>
              </a:graphicData>
            </a:graphic>
          </wp:inline>
        </w:drawing>
      </w:r>
    </w:p>
    <w:p w14:paraId="34523CB3" w14:textId="251577E8" w:rsidR="007B62E3" w:rsidRPr="007B62E3" w:rsidRDefault="007B62E3" w:rsidP="007B62E3">
      <w:pPr>
        <w:pStyle w:val="BodyText"/>
        <w:sectPr w:rsidR="007B62E3" w:rsidRPr="007B62E3" w:rsidSect="000E21A8">
          <w:headerReference w:type="even" r:id="rId30"/>
          <w:headerReference w:type="default" r:id="rId31"/>
          <w:footerReference w:type="default" r:id="rId32"/>
          <w:headerReference w:type="first" r:id="rId33"/>
          <w:pgSz w:w="11906" w:h="16838" w:code="9"/>
          <w:pgMar w:top="1080" w:right="1134" w:bottom="1134" w:left="1134" w:header="510" w:footer="510" w:gutter="0"/>
          <w:pgNumType w:fmt="lowerRoman"/>
          <w:cols w:space="284"/>
          <w:docGrid w:linePitch="360"/>
        </w:sectPr>
      </w:pPr>
    </w:p>
    <w:p w14:paraId="1A16C23E" w14:textId="2BDFAB2B" w:rsidR="00684EAE" w:rsidRPr="006C0FB3" w:rsidRDefault="00684EAE" w:rsidP="00F5389C">
      <w:pPr>
        <w:pStyle w:val="Heading2notnumbered1014"/>
      </w:pPr>
      <w:bookmarkStart w:id="42" w:name="_Toc131432394"/>
      <w:bookmarkStart w:id="43" w:name="_Toc169543855"/>
      <w:bookmarkStart w:id="44" w:name="_Toc202187835"/>
      <w:bookmarkStart w:id="45" w:name="_Hlk75431740"/>
      <w:r w:rsidRPr="006C0FB3">
        <w:lastRenderedPageBreak/>
        <w:t xml:space="preserve">Evaluating the contribution of Commonwealth </w:t>
      </w:r>
      <w:r w:rsidR="00B5375C">
        <w:t>environmental water</w:t>
      </w:r>
      <w:r w:rsidRPr="006C0FB3">
        <w:t xml:space="preserve"> to observed environmental outcomes</w:t>
      </w:r>
      <w:bookmarkEnd w:id="42"/>
      <w:bookmarkEnd w:id="43"/>
      <w:bookmarkEnd w:id="44"/>
    </w:p>
    <w:bookmarkEnd w:id="45"/>
    <w:p w14:paraId="046C1CF2" w14:textId="5E67040C" w:rsidR="0080749C" w:rsidRPr="00B273F5" w:rsidRDefault="00FE7AFD" w:rsidP="00B273F5">
      <w:pPr>
        <w:pStyle w:val="BodyText10"/>
      </w:pPr>
      <w:r w:rsidRPr="004A4DBC">
        <w:t>To undertake the Basin-scale evaluation, t</w:t>
      </w:r>
      <w:r w:rsidR="00684EAE" w:rsidRPr="00B273F5">
        <w:t>he Basin-scale evaluation team uses water delivery and outcomes data provided by the CEWH’s Science Program, along with monitoring data provided by the 7 Selected Areas. Other publicly available data may be used where relevant data are not collected by the Selected Areas</w:t>
      </w:r>
      <w:r w:rsidR="0080749C" w:rsidRPr="00B273F5">
        <w:t>.</w:t>
      </w:r>
    </w:p>
    <w:p w14:paraId="3E51D89A" w14:textId="37977F8B" w:rsidR="00684EAE" w:rsidRDefault="00684EAE" w:rsidP="004A4DBC">
      <w:pPr>
        <w:pStyle w:val="BodyText10"/>
      </w:pPr>
      <w:r>
        <w:t>Evaluation of t</w:t>
      </w:r>
      <w:r w:rsidRPr="00652394">
        <w:t xml:space="preserve">he contribution of </w:t>
      </w:r>
      <w:r w:rsidR="00F202B0">
        <w:t xml:space="preserve">CEW </w:t>
      </w:r>
      <w:r w:rsidRPr="00652394">
        <w:t>to observed environmental outcomes for the 6 Basin Themes</w:t>
      </w:r>
      <w:r>
        <w:t xml:space="preserve"> depends on the data available.</w:t>
      </w:r>
    </w:p>
    <w:p w14:paraId="32CF064F" w14:textId="4A04D4B5" w:rsidR="00900FC3" w:rsidRPr="00B15E62" w:rsidRDefault="00900FC3" w:rsidP="001B4152">
      <w:pPr>
        <w:pStyle w:val="Boxedtext10"/>
        <w:spacing w:line="240" w:lineRule="auto"/>
      </w:pPr>
      <w:r w:rsidRPr="00B15E62">
        <w:t xml:space="preserve">When delivered with other water, ecological outcomes cannot be apportioned with current methods and </w:t>
      </w:r>
      <w:r w:rsidR="00F202B0" w:rsidRPr="00B15E62">
        <w:t xml:space="preserve">CEW </w:t>
      </w:r>
      <w:r w:rsidRPr="00B15E62">
        <w:t>is reported as contributing to, or supporting, the environmental outcomes of the watering action.</w:t>
      </w:r>
    </w:p>
    <w:p w14:paraId="4E0CAE1B" w14:textId="0E161875" w:rsidR="00684EAE" w:rsidRPr="000553D7" w:rsidRDefault="0027149E" w:rsidP="001B109B">
      <w:pPr>
        <w:pStyle w:val="BodyText10"/>
      </w:pPr>
      <w:r w:rsidRPr="000553D7">
        <w:t>The multi-year Hydrology (instream)</w:t>
      </w:r>
      <w:r>
        <w:t>,</w:t>
      </w:r>
      <w:r w:rsidRPr="000553D7">
        <w:t xml:space="preserve"> Fish and Vegetation</w:t>
      </w:r>
      <w:r w:rsidR="00684EAE" w:rsidRPr="000553D7">
        <w:t xml:space="preserve"> </w:t>
      </w:r>
      <w:r w:rsidR="0049338C">
        <w:t>Basin T</w:t>
      </w:r>
      <w:r w:rsidR="00684EAE" w:rsidRPr="000553D7">
        <w:t xml:space="preserve">hemes have sufficient data to model and compare environmental outcomes both with and without </w:t>
      </w:r>
      <w:r w:rsidR="000D220E">
        <w:t>CEW</w:t>
      </w:r>
      <w:r w:rsidR="00684EAE" w:rsidRPr="000553D7">
        <w:t> (counterfactual modelling</w:t>
      </w:r>
      <w:r w:rsidR="00684EAE" w:rsidRPr="002C07A3">
        <w:rPr>
          <w:rStyle w:val="FootnoteReference"/>
        </w:rPr>
        <w:footnoteReference w:id="6"/>
      </w:r>
      <w:r w:rsidR="00684EAE" w:rsidRPr="000553D7">
        <w:t>).</w:t>
      </w:r>
    </w:p>
    <w:p w14:paraId="5780272F" w14:textId="00B4EB5E" w:rsidR="00684EAE" w:rsidRPr="000553D7" w:rsidRDefault="00684EAE" w:rsidP="001B109B">
      <w:pPr>
        <w:pStyle w:val="BodyText10"/>
      </w:pPr>
      <w:r w:rsidRPr="000553D7">
        <w:t xml:space="preserve">Ecosystem Diversity, Species Diversity and Vegetation </w:t>
      </w:r>
      <w:r w:rsidR="0049338C">
        <w:t>Basin T</w:t>
      </w:r>
      <w:r w:rsidRPr="000553D7">
        <w:t xml:space="preserve">hemes identify environmental responses in locations that received </w:t>
      </w:r>
      <w:r w:rsidR="003C60AC">
        <w:t xml:space="preserve">CEW </w:t>
      </w:r>
      <w:r w:rsidRPr="000553D7">
        <w:t xml:space="preserve">(often in conjunction with other sources of environmental or non-environmental water) and, where feasible, compare </w:t>
      </w:r>
      <w:r w:rsidR="00EF49C9">
        <w:t xml:space="preserve">them </w:t>
      </w:r>
      <w:r w:rsidRPr="000553D7">
        <w:t xml:space="preserve">with areas that did not receive </w:t>
      </w:r>
      <w:r w:rsidR="003C60AC">
        <w:t>CEW</w:t>
      </w:r>
      <w:r w:rsidRPr="000553D7">
        <w:t>.</w:t>
      </w:r>
      <w:r w:rsidRPr="002C07A3">
        <w:rPr>
          <w:rStyle w:val="FootnoteReference"/>
        </w:rPr>
        <w:footnoteReference w:id="7"/>
      </w:r>
    </w:p>
    <w:p w14:paraId="6EFC7354" w14:textId="1EAB2919" w:rsidR="00373428" w:rsidRDefault="00684EAE" w:rsidP="001B109B">
      <w:pPr>
        <w:pStyle w:val="BodyText10"/>
      </w:pPr>
      <w:r w:rsidRPr="000553D7">
        <w:t xml:space="preserve">Hydrology (inundation) and Food Webs and Water Quality </w:t>
      </w:r>
      <w:r w:rsidR="0049338C">
        <w:t>Basin T</w:t>
      </w:r>
      <w:r w:rsidRPr="000553D7">
        <w:t>hemes use flow and water quality metrics to infer likely outcomes.</w:t>
      </w:r>
    </w:p>
    <w:p w14:paraId="117FC2CE" w14:textId="064B1137" w:rsidR="002264D7" w:rsidRDefault="00684EAE" w:rsidP="001B109B">
      <w:pPr>
        <w:pStyle w:val="BodyText10"/>
      </w:pPr>
      <w:r w:rsidRPr="000553D7">
        <w:t xml:space="preserve">Fish (annual), Vegetation </w:t>
      </w:r>
      <w:r w:rsidR="00EA1E5A">
        <w:t xml:space="preserve">(annual) </w:t>
      </w:r>
      <w:r w:rsidRPr="000553D7">
        <w:t xml:space="preserve">and Food Webs and Water Quality </w:t>
      </w:r>
      <w:r w:rsidR="0049338C">
        <w:t>Basin T</w:t>
      </w:r>
      <w:r w:rsidRPr="000553D7">
        <w:t>hemes synthesise findings across Selected Areas.</w:t>
      </w:r>
    </w:p>
    <w:p w14:paraId="2F01B512" w14:textId="04ED606B" w:rsidR="00684EAE" w:rsidRPr="00664394" w:rsidRDefault="00684EAE" w:rsidP="00F5389C">
      <w:pPr>
        <w:pStyle w:val="Heading2notnumbered1014"/>
      </w:pPr>
      <w:bookmarkStart w:id="46" w:name="_Toc202187836"/>
      <w:r w:rsidRPr="00664394">
        <w:t>Partnering on watering actions</w:t>
      </w:r>
      <w:bookmarkEnd w:id="46"/>
    </w:p>
    <w:p w14:paraId="54A64E26" w14:textId="3EE8F411" w:rsidR="00F209AF" w:rsidRDefault="00684EAE" w:rsidP="004A4DBC">
      <w:pPr>
        <w:pStyle w:val="BodyText10"/>
        <w:spacing w:after="100"/>
      </w:pPr>
      <w:r w:rsidRPr="00EA038C">
        <w:t xml:space="preserve">Commonwealth </w:t>
      </w:r>
      <w:r w:rsidR="00B5375C">
        <w:t>environmental water</w:t>
      </w:r>
      <w:r w:rsidRPr="00EA038C">
        <w:t xml:space="preserve"> is often delivered in conjunction with other environmental water holdings and non-environmental water releases (such as for irrigation or during high</w:t>
      </w:r>
      <w:r w:rsidR="00355BF9">
        <w:t xml:space="preserve"> </w:t>
      </w:r>
      <w:r w:rsidRPr="00EA038C">
        <w:t>flow events)</w:t>
      </w:r>
      <w:r w:rsidR="0080749C">
        <w:t>.</w:t>
      </w:r>
    </w:p>
    <w:p w14:paraId="719BB546" w14:textId="67D323D3" w:rsidR="00684EAE" w:rsidRDefault="00684EAE" w:rsidP="004A4DBC">
      <w:pPr>
        <w:pStyle w:val="BodyText10"/>
        <w:spacing w:after="100"/>
      </w:pPr>
      <w:r w:rsidRPr="00795AD1">
        <w:t>C</w:t>
      </w:r>
      <w:r>
        <w:t xml:space="preserve">ommonwealth environmental watering actions </w:t>
      </w:r>
      <w:r w:rsidRPr="00795AD1">
        <w:t>for the most recent evaluation year (</w:t>
      </w:r>
      <w:r w:rsidR="00391F88">
        <w:t>2023</w:t>
      </w:r>
      <w:r w:rsidR="00682D38">
        <w:t>–</w:t>
      </w:r>
      <w:r w:rsidR="00391F88">
        <w:t>24</w:t>
      </w:r>
      <w:r w:rsidRPr="00795AD1">
        <w:t xml:space="preserve">) and cumulative over the </w:t>
      </w:r>
      <w:r w:rsidR="00E95060">
        <w:t>10</w:t>
      </w:r>
      <w:r w:rsidRPr="00795AD1">
        <w:t xml:space="preserve"> evaluation years (2014–15 to </w:t>
      </w:r>
      <w:r w:rsidR="00391F88">
        <w:t>2023</w:t>
      </w:r>
      <w:r w:rsidR="00682D38">
        <w:t>–</w:t>
      </w:r>
      <w:r w:rsidR="00391F88">
        <w:t>24</w:t>
      </w:r>
      <w:r w:rsidRPr="00795AD1">
        <w:t>) are provided in</w:t>
      </w:r>
      <w:r w:rsidR="000B2E5D">
        <w:t xml:space="preserve"> </w:t>
      </w:r>
      <w:r w:rsidR="000B2E5D">
        <w:fldChar w:fldCharType="begin"/>
      </w:r>
      <w:r w:rsidR="000B2E5D">
        <w:instrText xml:space="preserve"> REF _Ref183533871 \h </w:instrText>
      </w:r>
      <w:r w:rsidR="000B2E5D">
        <w:fldChar w:fldCharType="separate"/>
      </w:r>
      <w:r w:rsidR="00492712" w:rsidRPr="00C601A2">
        <w:t>Table</w:t>
      </w:r>
      <w:r w:rsidR="00492712">
        <w:t> </w:t>
      </w:r>
      <w:r w:rsidR="00492712">
        <w:rPr>
          <w:noProof/>
        </w:rPr>
        <w:t>1</w:t>
      </w:r>
      <w:r w:rsidR="00835C8B">
        <w:t>.</w:t>
      </w:r>
      <w:r w:rsidR="00835C8B">
        <w:rPr>
          <w:noProof/>
        </w:rPr>
        <w:t>1</w:t>
      </w:r>
      <w:r w:rsidR="000B2E5D">
        <w:fldChar w:fldCharType="end"/>
      </w:r>
      <w:r w:rsidRPr="00795AD1">
        <w:t>.</w:t>
      </w:r>
    </w:p>
    <w:p w14:paraId="7D86333D" w14:textId="053C1231" w:rsidR="00684EAE" w:rsidRPr="00795AD1" w:rsidRDefault="00CC0EDD" w:rsidP="0030698F">
      <w:pPr>
        <w:pStyle w:val="CaptionWithNote"/>
        <w:spacing w:before="240"/>
      </w:pPr>
      <w:bookmarkStart w:id="47" w:name="_Ref198542306"/>
      <w:bookmarkStart w:id="48" w:name="_Ref183533871"/>
      <w:bookmarkStart w:id="49" w:name="_Toc169543940"/>
      <w:bookmarkStart w:id="50" w:name="_Toc183533676"/>
      <w:bookmarkStart w:id="51" w:name="_Toc202187932"/>
      <w:r w:rsidRPr="00C601A2">
        <w:t>Table</w:t>
      </w:r>
      <w:r w:rsidR="00A535AD">
        <w:t> </w:t>
      </w:r>
      <w:bookmarkEnd w:id="47"/>
      <w:bookmarkEnd w:id="48"/>
      <w:r w:rsidR="00835C8B">
        <w:fldChar w:fldCharType="begin"/>
      </w:r>
      <w:r w:rsidR="00835C8B">
        <w:instrText xml:space="preserve"> STYLEREF 1 \s </w:instrText>
      </w:r>
      <w:r w:rsidR="00835C8B">
        <w:fldChar w:fldCharType="separate"/>
      </w:r>
      <w:r w:rsidR="00835C8B">
        <w:rPr>
          <w:noProof/>
        </w:rPr>
        <w:t>1</w:t>
      </w:r>
      <w:r w:rsidR="00835C8B">
        <w:rPr>
          <w:noProof/>
        </w:rPr>
        <w:fldChar w:fldCharType="end"/>
      </w:r>
      <w:r w:rsidR="00835C8B">
        <w:t>.</w:t>
      </w:r>
      <w:fldSimple w:instr=" SEQ Table \* ARABIC \s 1 ">
        <w:r w:rsidR="00835C8B">
          <w:rPr>
            <w:noProof/>
          </w:rPr>
          <w:t>1</w:t>
        </w:r>
      </w:fldSimple>
      <w:r w:rsidRPr="00C601A2">
        <w:t xml:space="preserve"> </w:t>
      </w:r>
      <w:r w:rsidR="00684EAE">
        <w:t>Summary statistics for most recent evaluation year and multi-year evaluation period</w:t>
      </w:r>
      <w:bookmarkEnd w:id="49"/>
      <w:bookmarkEnd w:id="50"/>
      <w:bookmarkEnd w:id="51"/>
    </w:p>
    <w:p w14:paraId="26A915EF" w14:textId="0CE432DC" w:rsidR="00C8797E" w:rsidRPr="00795AD1" w:rsidRDefault="00405A6E" w:rsidP="005658AA">
      <w:pPr>
        <w:pStyle w:val="CaptionNote"/>
      </w:pPr>
      <w:r>
        <w:rPr>
          <w:rFonts w:cs="Calibri"/>
        </w:rPr>
        <w:t>Dash (</w:t>
      </w:r>
      <w:r w:rsidR="00C8797E">
        <w:rPr>
          <w:rFonts w:cs="Calibri"/>
        </w:rPr>
        <w:t>–</w:t>
      </w:r>
      <w:r>
        <w:rPr>
          <w:rFonts w:cs="Calibri"/>
        </w:rPr>
        <w:t>)</w:t>
      </w:r>
      <w:r w:rsidR="00C8797E">
        <w:t xml:space="preserve"> indicates statistic not </w:t>
      </w:r>
      <w:r>
        <w:t>available</w:t>
      </w:r>
      <w:r w:rsidR="00E03DAD">
        <w:t>.</w:t>
      </w:r>
    </w:p>
    <w:tbl>
      <w:tblPr>
        <w:tblStyle w:val="TableFlow-MER"/>
        <w:tblW w:w="0" w:type="auto"/>
        <w:tblLook w:val="0420" w:firstRow="1" w:lastRow="0" w:firstColumn="0" w:lastColumn="0" w:noHBand="0" w:noVBand="1"/>
      </w:tblPr>
      <w:tblGrid>
        <w:gridCol w:w="2610"/>
        <w:gridCol w:w="900"/>
        <w:gridCol w:w="885"/>
      </w:tblGrid>
      <w:tr w:rsidR="00684EAE" w:rsidRPr="00501BA4" w14:paraId="7573791C" w14:textId="77777777" w:rsidTr="1A4ED46C">
        <w:trPr>
          <w:cnfStyle w:val="100000000000" w:firstRow="1" w:lastRow="0" w:firstColumn="0" w:lastColumn="0" w:oddVBand="0" w:evenVBand="0" w:oddHBand="0" w:evenHBand="0" w:firstRowFirstColumn="0" w:firstRowLastColumn="0" w:lastRowFirstColumn="0" w:lastRowLastColumn="0"/>
        </w:trPr>
        <w:tc>
          <w:tcPr>
            <w:tcW w:w="0" w:type="dxa"/>
            <w:vAlign w:val="center"/>
          </w:tcPr>
          <w:p w14:paraId="2068B242" w14:textId="77777777" w:rsidR="00684EAE" w:rsidRPr="00501BA4" w:rsidRDefault="00684EAE" w:rsidP="004A4DBC">
            <w:pPr>
              <w:pStyle w:val="ColumnHeading"/>
              <w:jc w:val="center"/>
            </w:pPr>
          </w:p>
        </w:tc>
        <w:tc>
          <w:tcPr>
            <w:tcW w:w="0" w:type="dxa"/>
            <w:vAlign w:val="center"/>
          </w:tcPr>
          <w:p w14:paraId="6B8B54A2" w14:textId="7E5984B0" w:rsidR="00684EAE" w:rsidRPr="00501BA4" w:rsidRDefault="006370FB" w:rsidP="004A4DBC">
            <w:pPr>
              <w:pStyle w:val="ColumnHeading"/>
              <w:jc w:val="center"/>
            </w:pPr>
            <w:r>
              <w:t>2023</w:t>
            </w:r>
            <w:r w:rsidR="00682D38">
              <w:t>–</w:t>
            </w:r>
            <w:r>
              <w:t>24</w:t>
            </w:r>
          </w:p>
        </w:tc>
        <w:tc>
          <w:tcPr>
            <w:tcW w:w="0" w:type="dxa"/>
            <w:vAlign w:val="center"/>
          </w:tcPr>
          <w:p w14:paraId="5B3AAFB4" w14:textId="4B444468" w:rsidR="00684EAE" w:rsidRPr="00501BA4" w:rsidRDefault="00682D38" w:rsidP="004A4DBC">
            <w:pPr>
              <w:pStyle w:val="ColumnHeading"/>
              <w:jc w:val="center"/>
            </w:pPr>
            <w:r>
              <w:t>2014–</w:t>
            </w:r>
            <w:r w:rsidR="006370FB">
              <w:t>24</w:t>
            </w:r>
          </w:p>
        </w:tc>
      </w:tr>
      <w:tr w:rsidR="00684EAE" w14:paraId="416D56A2" w14:textId="77777777" w:rsidTr="1A4ED46C">
        <w:trPr>
          <w:cnfStyle w:val="000000100000" w:firstRow="0" w:lastRow="0" w:firstColumn="0" w:lastColumn="0" w:oddVBand="0" w:evenVBand="0" w:oddHBand="1" w:evenHBand="0" w:firstRowFirstColumn="0" w:firstRowLastColumn="0" w:lastRowFirstColumn="0" w:lastRowLastColumn="0"/>
        </w:trPr>
        <w:tc>
          <w:tcPr>
            <w:tcW w:w="2610" w:type="dxa"/>
          </w:tcPr>
          <w:p w14:paraId="6A470973" w14:textId="70044DF1" w:rsidR="1A4ED46C" w:rsidRDefault="1A4ED46C" w:rsidP="001B4152">
            <w:pPr>
              <w:spacing w:before="20" w:after="20"/>
              <w:rPr>
                <w:rFonts w:cs="Calibri"/>
                <w:color w:val="000000" w:themeColor="text2"/>
                <w:sz w:val="16"/>
                <w:szCs w:val="16"/>
              </w:rPr>
            </w:pPr>
            <w:r w:rsidRPr="1A4ED46C">
              <w:rPr>
                <w:rFonts w:cs="Calibri"/>
                <w:color w:val="000000" w:themeColor="text2"/>
                <w:sz w:val="16"/>
                <w:szCs w:val="16"/>
              </w:rPr>
              <w:t>Volume of CEW actions (GL)</w:t>
            </w:r>
          </w:p>
        </w:tc>
        <w:tc>
          <w:tcPr>
            <w:tcW w:w="900" w:type="dxa"/>
          </w:tcPr>
          <w:p w14:paraId="24CC96C8" w14:textId="748CEE6E"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2,870</w:t>
            </w:r>
          </w:p>
        </w:tc>
        <w:tc>
          <w:tcPr>
            <w:tcW w:w="885" w:type="dxa"/>
          </w:tcPr>
          <w:p w14:paraId="13FFC90A" w14:textId="370BFDFE"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18,310</w:t>
            </w:r>
          </w:p>
        </w:tc>
      </w:tr>
      <w:tr w:rsidR="00684EAE" w14:paraId="4AFE8CE4" w14:textId="77777777" w:rsidTr="1A4ED46C">
        <w:tc>
          <w:tcPr>
            <w:tcW w:w="2610" w:type="dxa"/>
          </w:tcPr>
          <w:p w14:paraId="7330A30D" w14:textId="3170BF5D" w:rsidR="1A4ED46C" w:rsidRDefault="1A4ED46C" w:rsidP="001B4152">
            <w:pPr>
              <w:spacing w:before="20" w:after="20"/>
              <w:rPr>
                <w:rFonts w:cs="Calibri"/>
                <w:color w:val="000000" w:themeColor="text2"/>
                <w:sz w:val="16"/>
                <w:szCs w:val="16"/>
              </w:rPr>
            </w:pPr>
            <w:r w:rsidRPr="1A4ED46C">
              <w:rPr>
                <w:rFonts w:cs="Calibri"/>
                <w:color w:val="000000" w:themeColor="text2"/>
                <w:sz w:val="16"/>
                <w:szCs w:val="16"/>
              </w:rPr>
              <w:t>Number of CEW actions</w:t>
            </w:r>
          </w:p>
        </w:tc>
        <w:tc>
          <w:tcPr>
            <w:tcW w:w="900" w:type="dxa"/>
          </w:tcPr>
          <w:p w14:paraId="11ADE6EF" w14:textId="34DE6448"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114</w:t>
            </w:r>
          </w:p>
        </w:tc>
        <w:tc>
          <w:tcPr>
            <w:tcW w:w="885" w:type="dxa"/>
          </w:tcPr>
          <w:p w14:paraId="440BB6B8" w14:textId="6C2C6C63"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1,194</w:t>
            </w:r>
          </w:p>
        </w:tc>
      </w:tr>
      <w:tr w:rsidR="00684EAE" w14:paraId="0F829DDB" w14:textId="77777777" w:rsidTr="1A4ED46C">
        <w:trPr>
          <w:cnfStyle w:val="000000100000" w:firstRow="0" w:lastRow="0" w:firstColumn="0" w:lastColumn="0" w:oddVBand="0" w:evenVBand="0" w:oddHBand="1" w:evenHBand="0" w:firstRowFirstColumn="0" w:firstRowLastColumn="0" w:lastRowFirstColumn="0" w:lastRowLastColumn="0"/>
        </w:trPr>
        <w:tc>
          <w:tcPr>
            <w:tcW w:w="2610" w:type="dxa"/>
          </w:tcPr>
          <w:p w14:paraId="32A966AA" w14:textId="3B99E027" w:rsidR="1A4ED46C" w:rsidRDefault="1A4ED46C" w:rsidP="001B4152">
            <w:pPr>
              <w:spacing w:before="20" w:after="20"/>
              <w:rPr>
                <w:rFonts w:cs="Calibri"/>
                <w:color w:val="000000" w:themeColor="text2"/>
                <w:sz w:val="16"/>
                <w:szCs w:val="16"/>
                <w:lang w:val="en-US"/>
              </w:rPr>
            </w:pPr>
            <w:r w:rsidRPr="1A4ED46C">
              <w:rPr>
                <w:rFonts w:cs="Calibri"/>
                <w:color w:val="000000" w:themeColor="text2"/>
                <w:sz w:val="16"/>
                <w:szCs w:val="16"/>
                <w:lang w:val="en-US"/>
              </w:rPr>
              <w:t>% CEW volume of total EW volume</w:t>
            </w:r>
          </w:p>
        </w:tc>
        <w:tc>
          <w:tcPr>
            <w:tcW w:w="900" w:type="dxa"/>
          </w:tcPr>
          <w:p w14:paraId="253C67B2" w14:textId="4814395F"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~70%</w:t>
            </w:r>
          </w:p>
        </w:tc>
        <w:tc>
          <w:tcPr>
            <w:tcW w:w="885" w:type="dxa"/>
          </w:tcPr>
          <w:p w14:paraId="1DBDD91E" w14:textId="0EEBA5BD"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w:t>
            </w:r>
          </w:p>
        </w:tc>
      </w:tr>
      <w:tr w:rsidR="00684EAE" w14:paraId="0DDDB4E6" w14:textId="77777777" w:rsidTr="1A4ED46C">
        <w:tc>
          <w:tcPr>
            <w:tcW w:w="2610" w:type="dxa"/>
          </w:tcPr>
          <w:p w14:paraId="1BB50FF9" w14:textId="3EE1D62A" w:rsidR="1A4ED46C" w:rsidRDefault="1A4ED46C" w:rsidP="001B4152">
            <w:pPr>
              <w:spacing w:before="20" w:after="20"/>
              <w:rPr>
                <w:rFonts w:cs="Calibri"/>
                <w:color w:val="000000" w:themeColor="text2"/>
                <w:sz w:val="16"/>
                <w:szCs w:val="16"/>
              </w:rPr>
            </w:pPr>
            <w:r w:rsidRPr="1A4ED46C">
              <w:rPr>
                <w:rFonts w:cs="Calibri"/>
                <w:color w:val="000000" w:themeColor="text2"/>
                <w:sz w:val="16"/>
                <w:szCs w:val="16"/>
                <w:lang w:val="en-US"/>
              </w:rPr>
              <w:t>% CEW actions with partner</w:t>
            </w:r>
            <w:r w:rsidR="0091520D">
              <w:rPr>
                <w:rFonts w:cs="Calibri"/>
                <w:color w:val="000000" w:themeColor="text2"/>
                <w:sz w:val="16"/>
                <w:szCs w:val="16"/>
                <w:lang w:val="en-US"/>
              </w:rPr>
              <w:t xml:space="preserve"> or with </w:t>
            </w:r>
            <w:r w:rsidRPr="1A4ED46C">
              <w:rPr>
                <w:rFonts w:cs="Calibri"/>
                <w:color w:val="000000" w:themeColor="text2"/>
                <w:sz w:val="16"/>
                <w:szCs w:val="16"/>
              </w:rPr>
              <w:t>other flows</w:t>
            </w:r>
          </w:p>
        </w:tc>
        <w:tc>
          <w:tcPr>
            <w:tcW w:w="900" w:type="dxa"/>
          </w:tcPr>
          <w:p w14:paraId="3990CA8B" w14:textId="52F3B87C"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~50%</w:t>
            </w:r>
          </w:p>
        </w:tc>
        <w:tc>
          <w:tcPr>
            <w:tcW w:w="885" w:type="dxa"/>
          </w:tcPr>
          <w:p w14:paraId="7A78921D" w14:textId="0986DA7D" w:rsidR="1A4ED46C" w:rsidRDefault="1A4ED46C" w:rsidP="001B4152">
            <w:pPr>
              <w:spacing w:before="20" w:after="20"/>
              <w:jc w:val="center"/>
              <w:rPr>
                <w:rFonts w:cs="Calibri"/>
                <w:color w:val="000000" w:themeColor="text2"/>
                <w:sz w:val="16"/>
                <w:szCs w:val="16"/>
              </w:rPr>
            </w:pPr>
            <w:r w:rsidRPr="1A4ED46C">
              <w:rPr>
                <w:rFonts w:cs="Calibri"/>
                <w:color w:val="000000" w:themeColor="text2"/>
                <w:sz w:val="16"/>
                <w:szCs w:val="16"/>
              </w:rPr>
              <w:t>–</w:t>
            </w:r>
          </w:p>
        </w:tc>
      </w:tr>
      <w:tr w:rsidR="1A4ED46C" w14:paraId="5A901302" w14:textId="77777777" w:rsidTr="001B4152">
        <w:trPr>
          <w:cnfStyle w:val="000000100000" w:firstRow="0" w:lastRow="0" w:firstColumn="0" w:lastColumn="0" w:oddVBand="0" w:evenVBand="0" w:oddHBand="1" w:evenHBand="0" w:firstRowFirstColumn="0" w:firstRowLastColumn="0" w:lastRowFirstColumn="0" w:lastRowLastColumn="0"/>
          <w:trHeight w:val="300"/>
        </w:trPr>
        <w:tc>
          <w:tcPr>
            <w:tcW w:w="0" w:type="dxa"/>
          </w:tcPr>
          <w:p w14:paraId="1158FB98" w14:textId="08BB66CB" w:rsidR="334A55EA" w:rsidRDefault="334A55EA" w:rsidP="1A4ED46C">
            <w:pPr>
              <w:rPr>
                <w:rFonts w:cs="Calibri"/>
                <w:color w:val="000000" w:themeColor="text2"/>
                <w:sz w:val="16"/>
                <w:szCs w:val="16"/>
                <w:lang w:val="en-US"/>
              </w:rPr>
            </w:pPr>
            <w:r w:rsidRPr="1A4ED46C">
              <w:rPr>
                <w:rFonts w:cs="Calibri"/>
                <w:color w:val="000000" w:themeColor="text2"/>
                <w:sz w:val="16"/>
                <w:szCs w:val="16"/>
                <w:lang w:val="en-US"/>
              </w:rPr>
              <w:t xml:space="preserve">CEW </w:t>
            </w:r>
            <w:r w:rsidR="00646AFF">
              <w:rPr>
                <w:rFonts w:cs="Calibri"/>
                <w:color w:val="000000" w:themeColor="text2"/>
                <w:sz w:val="16"/>
                <w:szCs w:val="16"/>
                <w:lang w:val="en-US"/>
              </w:rPr>
              <w:t>% of total volume of partnered watering actions</w:t>
            </w:r>
          </w:p>
        </w:tc>
        <w:tc>
          <w:tcPr>
            <w:tcW w:w="0" w:type="dxa"/>
          </w:tcPr>
          <w:p w14:paraId="3C130B20" w14:textId="4A65A367" w:rsidR="1A4ED46C" w:rsidRDefault="334A55EA" w:rsidP="00646AFF">
            <w:pPr>
              <w:spacing w:before="20" w:after="20"/>
              <w:jc w:val="center"/>
              <w:rPr>
                <w:rFonts w:cs="Calibri"/>
                <w:color w:val="000000" w:themeColor="text2"/>
                <w:sz w:val="16"/>
                <w:szCs w:val="16"/>
              </w:rPr>
            </w:pPr>
            <w:r w:rsidRPr="1A4ED46C">
              <w:rPr>
                <w:rFonts w:cs="Calibri"/>
                <w:color w:val="000000" w:themeColor="text2"/>
                <w:sz w:val="16"/>
                <w:szCs w:val="16"/>
              </w:rPr>
              <w:t>~50%</w:t>
            </w:r>
          </w:p>
        </w:tc>
        <w:tc>
          <w:tcPr>
            <w:tcW w:w="0" w:type="dxa"/>
          </w:tcPr>
          <w:p w14:paraId="7909B3D4" w14:textId="2E695F98" w:rsidR="334A55EA" w:rsidRDefault="334A55EA" w:rsidP="1A4ED46C">
            <w:pPr>
              <w:jc w:val="center"/>
              <w:rPr>
                <w:rFonts w:cs="Calibri"/>
                <w:color w:val="000000" w:themeColor="text2"/>
                <w:sz w:val="16"/>
                <w:szCs w:val="16"/>
              </w:rPr>
            </w:pPr>
            <w:r w:rsidRPr="1A4ED46C">
              <w:rPr>
                <w:rFonts w:cs="Calibri"/>
                <w:color w:val="000000" w:themeColor="text2"/>
                <w:sz w:val="16"/>
                <w:szCs w:val="16"/>
              </w:rPr>
              <w:t>–</w:t>
            </w:r>
          </w:p>
        </w:tc>
      </w:tr>
      <w:tr w:rsidR="1A4ED46C" w14:paraId="51B78B3E" w14:textId="77777777" w:rsidTr="001B4152">
        <w:trPr>
          <w:trHeight w:val="300"/>
        </w:trPr>
        <w:tc>
          <w:tcPr>
            <w:tcW w:w="0" w:type="dxa"/>
            <w:shd w:val="clear" w:color="auto" w:fill="FFFFFF" w:themeFill="background2"/>
          </w:tcPr>
          <w:p w14:paraId="34E8C3AA" w14:textId="00AF1D62" w:rsidR="334A55EA" w:rsidRDefault="334A55EA" w:rsidP="1A4ED46C">
            <w:pPr>
              <w:rPr>
                <w:rFonts w:cs="Calibri"/>
                <w:color w:val="000000" w:themeColor="text2"/>
                <w:sz w:val="16"/>
                <w:szCs w:val="16"/>
                <w:lang w:val="en-US"/>
              </w:rPr>
            </w:pPr>
            <w:r w:rsidRPr="1A4ED46C">
              <w:rPr>
                <w:rFonts w:cs="Calibri"/>
                <w:color w:val="000000" w:themeColor="text2"/>
                <w:sz w:val="16"/>
                <w:szCs w:val="16"/>
                <w:lang w:val="en-US"/>
              </w:rPr>
              <w:t xml:space="preserve">CEW % of total Basin </w:t>
            </w:r>
            <w:r w:rsidR="0091520D">
              <w:rPr>
                <w:rFonts w:cs="Calibri"/>
                <w:color w:val="000000" w:themeColor="text2"/>
                <w:sz w:val="16"/>
                <w:szCs w:val="16"/>
                <w:lang w:val="en-US"/>
              </w:rPr>
              <w:t xml:space="preserve">surface water </w:t>
            </w:r>
            <w:r w:rsidRPr="1A4ED46C">
              <w:rPr>
                <w:rFonts w:cs="Calibri"/>
                <w:color w:val="000000" w:themeColor="text2"/>
                <w:sz w:val="16"/>
                <w:szCs w:val="16"/>
                <w:lang w:val="en-US"/>
              </w:rPr>
              <w:t>runoff</w:t>
            </w:r>
          </w:p>
        </w:tc>
        <w:tc>
          <w:tcPr>
            <w:tcW w:w="0" w:type="dxa"/>
            <w:shd w:val="clear" w:color="auto" w:fill="FFFFFF" w:themeFill="background2"/>
          </w:tcPr>
          <w:p w14:paraId="30C0D00E" w14:textId="279AE61E" w:rsidR="334A55EA" w:rsidRDefault="0091520D" w:rsidP="1A4ED46C">
            <w:pPr>
              <w:jc w:val="center"/>
              <w:rPr>
                <w:rFonts w:cs="Calibri"/>
                <w:color w:val="000000" w:themeColor="text2"/>
                <w:sz w:val="16"/>
                <w:szCs w:val="16"/>
              </w:rPr>
            </w:pPr>
            <w:r>
              <w:rPr>
                <w:rFonts w:cs="Calibri"/>
                <w:color w:val="000000" w:themeColor="text2"/>
                <w:sz w:val="16"/>
                <w:szCs w:val="16"/>
              </w:rPr>
              <w:t>~13%</w:t>
            </w:r>
          </w:p>
        </w:tc>
        <w:tc>
          <w:tcPr>
            <w:tcW w:w="0" w:type="dxa"/>
            <w:shd w:val="clear" w:color="auto" w:fill="FFFFFF" w:themeFill="background2"/>
          </w:tcPr>
          <w:p w14:paraId="03C0A24C" w14:textId="38F88EDD" w:rsidR="334A55EA" w:rsidRDefault="334A55EA" w:rsidP="1A4ED46C">
            <w:pPr>
              <w:jc w:val="center"/>
              <w:rPr>
                <w:rFonts w:cs="Calibri"/>
                <w:color w:val="000000" w:themeColor="text2"/>
                <w:sz w:val="16"/>
                <w:szCs w:val="16"/>
              </w:rPr>
            </w:pPr>
            <w:r w:rsidRPr="1A4ED46C">
              <w:rPr>
                <w:rFonts w:cs="Calibri"/>
                <w:color w:val="000000" w:themeColor="text2"/>
                <w:sz w:val="16"/>
                <w:szCs w:val="16"/>
              </w:rPr>
              <w:t>–</w:t>
            </w:r>
          </w:p>
        </w:tc>
      </w:tr>
    </w:tbl>
    <w:p w14:paraId="206CC29C" w14:textId="77777777" w:rsidR="00684EAE" w:rsidRPr="00672C43" w:rsidRDefault="00684EAE" w:rsidP="00F609AB">
      <w:pPr>
        <w:pStyle w:val="Heading2notnumbered"/>
        <w:spacing w:before="200" w:after="100"/>
        <w:contextualSpacing/>
        <w:rPr>
          <w:sz w:val="28"/>
          <w:szCs w:val="28"/>
        </w:rPr>
      </w:pPr>
      <w:bookmarkStart w:id="52" w:name="_Toc169543856"/>
      <w:bookmarkStart w:id="53" w:name="_Toc202187837"/>
      <w:r w:rsidRPr="00672C43">
        <w:rPr>
          <w:sz w:val="28"/>
          <w:szCs w:val="28"/>
        </w:rPr>
        <w:t>Evaluation reporting</w:t>
      </w:r>
      <w:bookmarkEnd w:id="52"/>
      <w:bookmarkEnd w:id="53"/>
    </w:p>
    <w:p w14:paraId="0772AF32" w14:textId="170542D4" w:rsidR="00684EAE" w:rsidRDefault="00684EAE" w:rsidP="00684EAE">
      <w:pPr>
        <w:pStyle w:val="BodyText10"/>
      </w:pPr>
      <w:r>
        <w:t xml:space="preserve">Each </w:t>
      </w:r>
      <w:r w:rsidR="00F43C71">
        <w:t xml:space="preserve">Basin </w:t>
      </w:r>
      <w:r>
        <w:t>T</w:t>
      </w:r>
      <w:r w:rsidRPr="003D533A">
        <w:t xml:space="preserve">heme prepares </w:t>
      </w:r>
      <w:r>
        <w:t xml:space="preserve">a </w:t>
      </w:r>
      <w:r w:rsidRPr="003D533A">
        <w:t>technical evaluation report</w:t>
      </w:r>
      <w:r>
        <w:t xml:space="preserve"> for each water year</w:t>
      </w:r>
      <w:r w:rsidRPr="003D533A">
        <w:t xml:space="preserve"> from which key outcomes and lessons for adaptive management are brought together, with research highlights, into an annual </w:t>
      </w:r>
      <w:r w:rsidR="00EB74AE">
        <w:t>s</w:t>
      </w:r>
      <w:r w:rsidRPr="003D533A">
        <w:t xml:space="preserve">ynthesis report. To provide consistency over the life of Flow-MER and its predecessors, some content in these </w:t>
      </w:r>
      <w:r>
        <w:t xml:space="preserve">annual </w:t>
      </w:r>
      <w:r w:rsidRPr="003D533A">
        <w:t xml:space="preserve">reports may be reused from previous years. In these cases, all efforts have been made to cite the relevant </w:t>
      </w:r>
      <w:r w:rsidR="00D70AD9">
        <w:t>Long Term Intervention Monitoring</w:t>
      </w:r>
      <w:r w:rsidR="00C73C8A">
        <w:t xml:space="preserve"> Project</w:t>
      </w:r>
      <w:r w:rsidRPr="003D533A">
        <w:t xml:space="preserve">, </w:t>
      </w:r>
      <w:r w:rsidR="00D70AD9">
        <w:t xml:space="preserve">Environmental </w:t>
      </w:r>
      <w:r w:rsidR="00333092">
        <w:t>Water Knowledge and Research</w:t>
      </w:r>
      <w:r w:rsidR="00C73C8A">
        <w:t xml:space="preserve"> Project,</w:t>
      </w:r>
      <w:r w:rsidRPr="003D533A">
        <w:t xml:space="preserve"> or Flow-MER publication. All reports </w:t>
      </w:r>
      <w:r>
        <w:t xml:space="preserve">published by the CEWH </w:t>
      </w:r>
      <w:r w:rsidRPr="003D533A">
        <w:t xml:space="preserve">are available from the </w:t>
      </w:r>
      <w:hyperlink r:id="rId34" w:history="1">
        <w:r w:rsidR="00990181">
          <w:rPr>
            <w:rStyle w:val="Hyperlink"/>
          </w:rPr>
          <w:t>CEWH's publications and resources webpage</w:t>
        </w:r>
      </w:hyperlink>
      <w:r w:rsidRPr="003D533A">
        <w:t>.</w:t>
      </w:r>
    </w:p>
    <w:p w14:paraId="55B7C071" w14:textId="23DB1953" w:rsidR="00684EAE" w:rsidRPr="006C0FB3" w:rsidRDefault="00120C6C" w:rsidP="0064131C">
      <w:pPr>
        <w:pStyle w:val="Heading2notnumbered"/>
        <w:spacing w:before="0" w:after="100"/>
        <w:contextualSpacing/>
        <w:rPr>
          <w:sz w:val="28"/>
          <w:szCs w:val="28"/>
        </w:rPr>
      </w:pPr>
      <w:bookmarkStart w:id="54" w:name="_Toc169543857"/>
      <w:bookmarkStart w:id="55" w:name="_Toc202187838"/>
      <w:r>
        <w:rPr>
          <w:sz w:val="28"/>
          <w:szCs w:val="28"/>
        </w:rPr>
        <w:t xml:space="preserve">Basin-scale </w:t>
      </w:r>
      <w:r w:rsidR="00684EAE" w:rsidRPr="006C0FB3">
        <w:rPr>
          <w:sz w:val="28"/>
          <w:szCs w:val="28"/>
        </w:rPr>
        <w:t>Flow-MER partnership</w:t>
      </w:r>
      <w:bookmarkEnd w:id="54"/>
      <w:bookmarkEnd w:id="55"/>
    </w:p>
    <w:p w14:paraId="2D3A7ABE" w14:textId="73979F9C" w:rsidR="0080749C" w:rsidRDefault="00215C2B" w:rsidP="00B41939">
      <w:pPr>
        <w:pStyle w:val="Boxedtext10"/>
      </w:pPr>
      <w:r w:rsidRPr="00A13FDA">
        <w:t xml:space="preserve">Basin-scale evaluation in </w:t>
      </w:r>
      <w:r w:rsidR="00684EAE" w:rsidRPr="00A13FDA">
        <w:t xml:space="preserve">Flow-MER is led by CSIRO in partnership with the University of Canberra. Collaborators on the </w:t>
      </w:r>
      <w:r w:rsidR="00682D38" w:rsidRPr="00A13FDA">
        <w:t>202</w:t>
      </w:r>
      <w:r w:rsidR="00014916">
        <w:t>3</w:t>
      </w:r>
      <w:r w:rsidR="00682D38" w:rsidRPr="00A13FDA">
        <w:t>–2</w:t>
      </w:r>
      <w:r w:rsidR="00014916">
        <w:t>4</w:t>
      </w:r>
      <w:r w:rsidR="00684EAE" w:rsidRPr="00A13FDA">
        <w:t xml:space="preserve"> evaluation include </w:t>
      </w:r>
      <w:r w:rsidRPr="00A13FDA">
        <w:t xml:space="preserve">Alluvium, </w:t>
      </w:r>
      <w:r w:rsidR="00684EAE" w:rsidRPr="00A13FDA">
        <w:t>Arthur Rylah Institute, Charles Sturt University, South Australian Research &amp; Development Institute, NSW Department of Primary Industries, the Australian River Restoration Centre and Brooks Ecology &amp; Technology</w:t>
      </w:r>
      <w:r w:rsidR="0080749C" w:rsidRPr="00A13FDA">
        <w:t>.</w:t>
      </w:r>
    </w:p>
    <w:p w14:paraId="0E1B0837" w14:textId="46D55EBD" w:rsidR="00EE424C" w:rsidRPr="00A13FDA" w:rsidRDefault="0011158B" w:rsidP="00B41939">
      <w:pPr>
        <w:pStyle w:val="BodyText10"/>
      </w:pPr>
      <w:r w:rsidRPr="00B82594">
        <w:t xml:space="preserve">2025 is the final year of this </w:t>
      </w:r>
      <w:r>
        <w:t xml:space="preserve">5-year </w:t>
      </w:r>
      <w:r w:rsidRPr="00B82594">
        <w:t>phase of Flow-MER</w:t>
      </w:r>
      <w:r>
        <w:t>. This is the final evaluation under this phase</w:t>
      </w:r>
      <w:r w:rsidRPr="00B82594">
        <w:t>. The next 5-year phase commenced on 1 July 2025 and is led by CSIRO in partnership with the One Basin C</w:t>
      </w:r>
      <w:r>
        <w:t>ooperative Research Centre</w:t>
      </w:r>
      <w:r w:rsidRPr="00B82594">
        <w:t xml:space="preserve">. </w:t>
      </w:r>
      <w:r>
        <w:t xml:space="preserve">Information on the new phase of Flow-MER can be found at the </w:t>
      </w:r>
      <w:hyperlink r:id="rId35" w:history="1">
        <w:r w:rsidRPr="004A5BEA">
          <w:rPr>
            <w:rStyle w:val="Hyperlink"/>
          </w:rPr>
          <w:t>CEWH's science programs website</w:t>
        </w:r>
      </w:hyperlink>
      <w:r>
        <w:t>.</w:t>
      </w:r>
    </w:p>
    <w:p w14:paraId="22485A12" w14:textId="77777777" w:rsidR="00E13F9D" w:rsidRPr="00C601A2" w:rsidRDefault="00E13F9D" w:rsidP="00E13F9D">
      <w:pPr>
        <w:pStyle w:val="BodyText"/>
        <w:sectPr w:rsidR="00E13F9D" w:rsidRPr="00C601A2" w:rsidSect="00B15E62">
          <w:type w:val="continuous"/>
          <w:pgSz w:w="11906" w:h="16838" w:code="9"/>
          <w:pgMar w:top="1080" w:right="1134" w:bottom="1134" w:left="1134" w:header="510" w:footer="510" w:gutter="0"/>
          <w:pgNumType w:fmt="lowerRoman"/>
          <w:cols w:num="2" w:space="284"/>
          <w:docGrid w:linePitch="360"/>
        </w:sectPr>
      </w:pPr>
    </w:p>
    <w:p w14:paraId="19D01650" w14:textId="5712FE2A" w:rsidR="00A943B2" w:rsidRPr="00C601A2" w:rsidRDefault="00A943B2" w:rsidP="00BA2579">
      <w:pPr>
        <w:pStyle w:val="Heading1notnumbered"/>
      </w:pPr>
      <w:bookmarkStart w:id="56" w:name="_Toc169543858"/>
      <w:bookmarkStart w:id="57" w:name="_Toc202187839"/>
      <w:r w:rsidRPr="00C601A2">
        <w:lastRenderedPageBreak/>
        <w:t>Contents</w:t>
      </w:r>
      <w:bookmarkEnd w:id="11"/>
      <w:bookmarkEnd w:id="56"/>
      <w:bookmarkEnd w:id="57"/>
    </w:p>
    <w:p w14:paraId="20CC85AA" w14:textId="74FF929A" w:rsidR="00835C8B" w:rsidRDefault="008A4989">
      <w:pPr>
        <w:pStyle w:val="TOC1"/>
        <w:rPr>
          <w:rFonts w:asciiTheme="minorHAnsi" w:eastAsiaTheme="minorEastAsia" w:hAnsiTheme="minorHAnsi" w:cstheme="minorBidi"/>
          <w:b w:val="0"/>
          <w:smallCaps w:val="0"/>
          <w:color w:val="auto"/>
          <w:kern w:val="2"/>
          <w:sz w:val="24"/>
          <w:szCs w:val="21"/>
          <w:lang w:bidi="ne-NP"/>
          <w14:ligatures w14:val="standardContextual"/>
        </w:rPr>
      </w:pPr>
      <w:r>
        <w:fldChar w:fldCharType="begin"/>
      </w:r>
      <w:r>
        <w:instrText xml:space="preserve"> TOC \h \z \t "Heading 1,1,Heading 2,2,Heading 1 not numbered,1,Heading 2 not numbered,2,Appendix Heading 1 base,1,Appendix Heading 2,2,Heading 2 not numbered 10/14,</w:instrText>
      </w:r>
      <w:r w:rsidR="00996A49">
        <w:instrText xml:space="preserve"> </w:instrText>
      </w:r>
      <w:r w:rsidR="005A28E5">
        <w:instrText>2</w:instrText>
      </w:r>
      <w:r w:rsidR="002E07F3">
        <w:instrText>, HEADING 9,1</w:instrText>
      </w:r>
      <w:r>
        <w:instrText xml:space="preserve">" </w:instrText>
      </w:r>
      <w:r>
        <w:fldChar w:fldCharType="separate"/>
      </w:r>
      <w:hyperlink w:anchor="_Toc202187829" w:history="1">
        <w:r w:rsidR="00835C8B" w:rsidRPr="001A7E4E">
          <w:rPr>
            <w:rStyle w:val="Hyperlink"/>
          </w:rPr>
          <w:t>Executive summary</w:t>
        </w:r>
        <w:r w:rsidR="00835C8B">
          <w:rPr>
            <w:webHidden/>
          </w:rPr>
          <w:tab/>
        </w:r>
        <w:r w:rsidR="00835C8B">
          <w:rPr>
            <w:webHidden/>
          </w:rPr>
          <w:fldChar w:fldCharType="begin"/>
        </w:r>
        <w:r w:rsidR="00835C8B">
          <w:rPr>
            <w:webHidden/>
          </w:rPr>
          <w:instrText xml:space="preserve"> PAGEREF _Toc202187829 \h </w:instrText>
        </w:r>
        <w:r w:rsidR="00835C8B">
          <w:rPr>
            <w:webHidden/>
          </w:rPr>
        </w:r>
        <w:r w:rsidR="00835C8B">
          <w:rPr>
            <w:webHidden/>
          </w:rPr>
          <w:fldChar w:fldCharType="separate"/>
        </w:r>
        <w:r w:rsidR="00835C8B">
          <w:rPr>
            <w:webHidden/>
          </w:rPr>
          <w:t>iii</w:t>
        </w:r>
        <w:r w:rsidR="00835C8B">
          <w:rPr>
            <w:webHidden/>
          </w:rPr>
          <w:fldChar w:fldCharType="end"/>
        </w:r>
      </w:hyperlink>
    </w:p>
    <w:p w14:paraId="6130892C" w14:textId="4CE3FAC1"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0" w:history="1">
        <w:r w:rsidRPr="001A7E4E">
          <w:rPr>
            <w:rStyle w:val="Hyperlink"/>
          </w:rPr>
          <w:t>2023–24 key metrics and messages</w:t>
        </w:r>
        <w:r>
          <w:rPr>
            <w:webHidden/>
          </w:rPr>
          <w:tab/>
        </w:r>
        <w:r>
          <w:rPr>
            <w:webHidden/>
          </w:rPr>
          <w:fldChar w:fldCharType="begin"/>
        </w:r>
        <w:r>
          <w:rPr>
            <w:webHidden/>
          </w:rPr>
          <w:instrText xml:space="preserve"> PAGEREF _Toc202187830 \h </w:instrText>
        </w:r>
        <w:r>
          <w:rPr>
            <w:webHidden/>
          </w:rPr>
        </w:r>
        <w:r>
          <w:rPr>
            <w:webHidden/>
          </w:rPr>
          <w:fldChar w:fldCharType="separate"/>
        </w:r>
        <w:r>
          <w:rPr>
            <w:webHidden/>
          </w:rPr>
          <w:t>iv</w:t>
        </w:r>
        <w:r>
          <w:rPr>
            <w:webHidden/>
          </w:rPr>
          <w:fldChar w:fldCharType="end"/>
        </w:r>
      </w:hyperlink>
    </w:p>
    <w:p w14:paraId="1E0B4297" w14:textId="612A5D71"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1" w:history="1">
        <w:r w:rsidRPr="001A7E4E">
          <w:rPr>
            <w:rStyle w:val="Hyperlink"/>
          </w:rPr>
          <w:t>2014–24 key metrics and messages</w:t>
        </w:r>
        <w:r>
          <w:rPr>
            <w:webHidden/>
          </w:rPr>
          <w:tab/>
        </w:r>
        <w:r>
          <w:rPr>
            <w:webHidden/>
          </w:rPr>
          <w:fldChar w:fldCharType="begin"/>
        </w:r>
        <w:r>
          <w:rPr>
            <w:webHidden/>
          </w:rPr>
          <w:instrText xml:space="preserve"> PAGEREF _Toc202187831 \h </w:instrText>
        </w:r>
        <w:r>
          <w:rPr>
            <w:webHidden/>
          </w:rPr>
        </w:r>
        <w:r>
          <w:rPr>
            <w:webHidden/>
          </w:rPr>
          <w:fldChar w:fldCharType="separate"/>
        </w:r>
        <w:r>
          <w:rPr>
            <w:webHidden/>
          </w:rPr>
          <w:t>v</w:t>
        </w:r>
        <w:r>
          <w:rPr>
            <w:webHidden/>
          </w:rPr>
          <w:fldChar w:fldCharType="end"/>
        </w:r>
      </w:hyperlink>
    </w:p>
    <w:p w14:paraId="31065A05" w14:textId="55298329"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2" w:history="1">
        <w:r w:rsidRPr="001A7E4E">
          <w:rPr>
            <w:rStyle w:val="Hyperlink"/>
          </w:rPr>
          <w:t>Key contributions to Basin Plan objectives</w:t>
        </w:r>
        <w:r>
          <w:rPr>
            <w:webHidden/>
          </w:rPr>
          <w:tab/>
        </w:r>
        <w:r>
          <w:rPr>
            <w:webHidden/>
          </w:rPr>
          <w:fldChar w:fldCharType="begin"/>
        </w:r>
        <w:r>
          <w:rPr>
            <w:webHidden/>
          </w:rPr>
          <w:instrText xml:space="preserve"> PAGEREF _Toc202187832 \h </w:instrText>
        </w:r>
        <w:r>
          <w:rPr>
            <w:webHidden/>
          </w:rPr>
        </w:r>
        <w:r>
          <w:rPr>
            <w:webHidden/>
          </w:rPr>
          <w:fldChar w:fldCharType="separate"/>
        </w:r>
        <w:r>
          <w:rPr>
            <w:webHidden/>
          </w:rPr>
          <w:t>v</w:t>
        </w:r>
        <w:r>
          <w:rPr>
            <w:webHidden/>
          </w:rPr>
          <w:fldChar w:fldCharType="end"/>
        </w:r>
      </w:hyperlink>
    </w:p>
    <w:p w14:paraId="5BB85060" w14:textId="073C8EFE"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3" w:history="1">
        <w:r w:rsidRPr="001A7E4E">
          <w:rPr>
            <w:rStyle w:val="Hyperlink"/>
          </w:rPr>
          <w:t>Informing adaptive management</w:t>
        </w:r>
        <w:r>
          <w:rPr>
            <w:webHidden/>
          </w:rPr>
          <w:tab/>
        </w:r>
        <w:r>
          <w:rPr>
            <w:webHidden/>
          </w:rPr>
          <w:fldChar w:fldCharType="begin"/>
        </w:r>
        <w:r>
          <w:rPr>
            <w:webHidden/>
          </w:rPr>
          <w:instrText xml:space="preserve"> PAGEREF _Toc202187833 \h </w:instrText>
        </w:r>
        <w:r>
          <w:rPr>
            <w:webHidden/>
          </w:rPr>
        </w:r>
        <w:r>
          <w:rPr>
            <w:webHidden/>
          </w:rPr>
          <w:fldChar w:fldCharType="separate"/>
        </w:r>
        <w:r>
          <w:rPr>
            <w:webHidden/>
          </w:rPr>
          <w:t>vi</w:t>
        </w:r>
        <w:r>
          <w:rPr>
            <w:webHidden/>
          </w:rPr>
          <w:fldChar w:fldCharType="end"/>
        </w:r>
      </w:hyperlink>
    </w:p>
    <w:p w14:paraId="48F0558E" w14:textId="5BB4437F"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34" w:history="1">
        <w:r w:rsidRPr="001A7E4E">
          <w:rPr>
            <w:rStyle w:val="Hyperlink"/>
          </w:rPr>
          <w:t>Overview of Flow-MER and this 2023–24 evaluation</w:t>
        </w:r>
        <w:r>
          <w:rPr>
            <w:webHidden/>
          </w:rPr>
          <w:tab/>
        </w:r>
        <w:r>
          <w:rPr>
            <w:webHidden/>
          </w:rPr>
          <w:fldChar w:fldCharType="begin"/>
        </w:r>
        <w:r>
          <w:rPr>
            <w:webHidden/>
          </w:rPr>
          <w:instrText xml:space="preserve"> PAGEREF _Toc202187834 \h </w:instrText>
        </w:r>
        <w:r>
          <w:rPr>
            <w:webHidden/>
          </w:rPr>
        </w:r>
        <w:r>
          <w:rPr>
            <w:webHidden/>
          </w:rPr>
          <w:fldChar w:fldCharType="separate"/>
        </w:r>
        <w:r>
          <w:rPr>
            <w:webHidden/>
          </w:rPr>
          <w:t>viii</w:t>
        </w:r>
        <w:r>
          <w:rPr>
            <w:webHidden/>
          </w:rPr>
          <w:fldChar w:fldCharType="end"/>
        </w:r>
      </w:hyperlink>
    </w:p>
    <w:p w14:paraId="470F0AE4" w14:textId="477C9A57"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5" w:history="1">
        <w:r w:rsidRPr="001A7E4E">
          <w:rPr>
            <w:rStyle w:val="Hyperlink"/>
          </w:rPr>
          <w:t>Evaluating the contribution of Commonwealth environmental water to observed environmental outcomes</w:t>
        </w:r>
        <w:r>
          <w:rPr>
            <w:webHidden/>
          </w:rPr>
          <w:tab/>
        </w:r>
        <w:r>
          <w:rPr>
            <w:webHidden/>
          </w:rPr>
          <w:fldChar w:fldCharType="begin"/>
        </w:r>
        <w:r>
          <w:rPr>
            <w:webHidden/>
          </w:rPr>
          <w:instrText xml:space="preserve"> PAGEREF _Toc202187835 \h </w:instrText>
        </w:r>
        <w:r>
          <w:rPr>
            <w:webHidden/>
          </w:rPr>
        </w:r>
        <w:r>
          <w:rPr>
            <w:webHidden/>
          </w:rPr>
          <w:fldChar w:fldCharType="separate"/>
        </w:r>
        <w:r>
          <w:rPr>
            <w:webHidden/>
          </w:rPr>
          <w:t>ix</w:t>
        </w:r>
        <w:r>
          <w:rPr>
            <w:webHidden/>
          </w:rPr>
          <w:fldChar w:fldCharType="end"/>
        </w:r>
      </w:hyperlink>
    </w:p>
    <w:p w14:paraId="2721B2A8" w14:textId="5176144C"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6" w:history="1">
        <w:r w:rsidRPr="001A7E4E">
          <w:rPr>
            <w:rStyle w:val="Hyperlink"/>
          </w:rPr>
          <w:t>Partnering on watering actions</w:t>
        </w:r>
        <w:r>
          <w:rPr>
            <w:webHidden/>
          </w:rPr>
          <w:tab/>
        </w:r>
        <w:r>
          <w:rPr>
            <w:webHidden/>
          </w:rPr>
          <w:fldChar w:fldCharType="begin"/>
        </w:r>
        <w:r>
          <w:rPr>
            <w:webHidden/>
          </w:rPr>
          <w:instrText xml:space="preserve"> PAGEREF _Toc202187836 \h </w:instrText>
        </w:r>
        <w:r>
          <w:rPr>
            <w:webHidden/>
          </w:rPr>
        </w:r>
        <w:r>
          <w:rPr>
            <w:webHidden/>
          </w:rPr>
          <w:fldChar w:fldCharType="separate"/>
        </w:r>
        <w:r>
          <w:rPr>
            <w:webHidden/>
          </w:rPr>
          <w:t>ix</w:t>
        </w:r>
        <w:r>
          <w:rPr>
            <w:webHidden/>
          </w:rPr>
          <w:fldChar w:fldCharType="end"/>
        </w:r>
      </w:hyperlink>
    </w:p>
    <w:p w14:paraId="52CFAB1A" w14:textId="1DA165DA"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7" w:history="1">
        <w:r w:rsidRPr="001A7E4E">
          <w:rPr>
            <w:rStyle w:val="Hyperlink"/>
          </w:rPr>
          <w:t>Evaluation reporting</w:t>
        </w:r>
        <w:r>
          <w:rPr>
            <w:webHidden/>
          </w:rPr>
          <w:tab/>
        </w:r>
        <w:r>
          <w:rPr>
            <w:webHidden/>
          </w:rPr>
          <w:fldChar w:fldCharType="begin"/>
        </w:r>
        <w:r>
          <w:rPr>
            <w:webHidden/>
          </w:rPr>
          <w:instrText xml:space="preserve"> PAGEREF _Toc202187837 \h </w:instrText>
        </w:r>
        <w:r>
          <w:rPr>
            <w:webHidden/>
          </w:rPr>
        </w:r>
        <w:r>
          <w:rPr>
            <w:webHidden/>
          </w:rPr>
          <w:fldChar w:fldCharType="separate"/>
        </w:r>
        <w:r>
          <w:rPr>
            <w:webHidden/>
          </w:rPr>
          <w:t>ix</w:t>
        </w:r>
        <w:r>
          <w:rPr>
            <w:webHidden/>
          </w:rPr>
          <w:fldChar w:fldCharType="end"/>
        </w:r>
      </w:hyperlink>
    </w:p>
    <w:p w14:paraId="03E3D6A5" w14:textId="0040443C"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38" w:history="1">
        <w:r w:rsidRPr="001A7E4E">
          <w:rPr>
            <w:rStyle w:val="Hyperlink"/>
          </w:rPr>
          <w:t>Basin-scale Flow-MER partnership</w:t>
        </w:r>
        <w:r>
          <w:rPr>
            <w:webHidden/>
          </w:rPr>
          <w:tab/>
        </w:r>
        <w:r>
          <w:rPr>
            <w:webHidden/>
          </w:rPr>
          <w:fldChar w:fldCharType="begin"/>
        </w:r>
        <w:r>
          <w:rPr>
            <w:webHidden/>
          </w:rPr>
          <w:instrText xml:space="preserve"> PAGEREF _Toc202187838 \h </w:instrText>
        </w:r>
        <w:r>
          <w:rPr>
            <w:webHidden/>
          </w:rPr>
        </w:r>
        <w:r>
          <w:rPr>
            <w:webHidden/>
          </w:rPr>
          <w:fldChar w:fldCharType="separate"/>
        </w:r>
        <w:r>
          <w:rPr>
            <w:webHidden/>
          </w:rPr>
          <w:t>ix</w:t>
        </w:r>
        <w:r>
          <w:rPr>
            <w:webHidden/>
          </w:rPr>
          <w:fldChar w:fldCharType="end"/>
        </w:r>
      </w:hyperlink>
    </w:p>
    <w:p w14:paraId="56AE3562" w14:textId="18CCE714"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39" w:history="1">
        <w:r w:rsidRPr="001A7E4E">
          <w:rPr>
            <w:rStyle w:val="Hyperlink"/>
          </w:rPr>
          <w:t>Contents</w:t>
        </w:r>
        <w:r w:rsidR="006C5878">
          <w:rPr>
            <w:rStyle w:val="Hyperlink"/>
          </w:rPr>
          <w:tab/>
        </w:r>
        <w:r>
          <w:rPr>
            <w:webHidden/>
          </w:rPr>
          <w:tab/>
        </w:r>
        <w:r>
          <w:rPr>
            <w:webHidden/>
          </w:rPr>
          <w:fldChar w:fldCharType="begin"/>
        </w:r>
        <w:r>
          <w:rPr>
            <w:webHidden/>
          </w:rPr>
          <w:instrText xml:space="preserve"> PAGEREF _Toc202187839 \h </w:instrText>
        </w:r>
        <w:r>
          <w:rPr>
            <w:webHidden/>
          </w:rPr>
        </w:r>
        <w:r>
          <w:rPr>
            <w:webHidden/>
          </w:rPr>
          <w:fldChar w:fldCharType="separate"/>
        </w:r>
        <w:r>
          <w:rPr>
            <w:webHidden/>
          </w:rPr>
          <w:t>xi</w:t>
        </w:r>
        <w:r>
          <w:rPr>
            <w:webHidden/>
          </w:rPr>
          <w:fldChar w:fldCharType="end"/>
        </w:r>
      </w:hyperlink>
    </w:p>
    <w:p w14:paraId="7442C857" w14:textId="7F02593E"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40" w:history="1">
        <w:r w:rsidRPr="001A7E4E">
          <w:rPr>
            <w:rStyle w:val="Hyperlink"/>
          </w:rPr>
          <w:t>1</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Introduction</w:t>
        </w:r>
        <w:r>
          <w:rPr>
            <w:webHidden/>
          </w:rPr>
          <w:tab/>
        </w:r>
        <w:r>
          <w:rPr>
            <w:webHidden/>
          </w:rPr>
          <w:fldChar w:fldCharType="begin"/>
        </w:r>
        <w:r>
          <w:rPr>
            <w:webHidden/>
          </w:rPr>
          <w:instrText xml:space="preserve"> PAGEREF _Toc202187840 \h </w:instrText>
        </w:r>
        <w:r>
          <w:rPr>
            <w:webHidden/>
          </w:rPr>
        </w:r>
        <w:r>
          <w:rPr>
            <w:webHidden/>
          </w:rPr>
          <w:fldChar w:fldCharType="separate"/>
        </w:r>
        <w:r>
          <w:rPr>
            <w:webHidden/>
          </w:rPr>
          <w:t>1</w:t>
        </w:r>
        <w:r>
          <w:rPr>
            <w:webHidden/>
          </w:rPr>
          <w:fldChar w:fldCharType="end"/>
        </w:r>
      </w:hyperlink>
    </w:p>
    <w:p w14:paraId="410CA658" w14:textId="1E430374"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41" w:history="1">
        <w:r w:rsidRPr="001A7E4E">
          <w:rPr>
            <w:rStyle w:val="Hyperlink"/>
          </w:rPr>
          <w:t>1.1</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Evaluation objectives</w:t>
        </w:r>
        <w:r>
          <w:rPr>
            <w:webHidden/>
          </w:rPr>
          <w:tab/>
        </w:r>
        <w:r>
          <w:rPr>
            <w:webHidden/>
          </w:rPr>
          <w:fldChar w:fldCharType="begin"/>
        </w:r>
        <w:r>
          <w:rPr>
            <w:webHidden/>
          </w:rPr>
          <w:instrText xml:space="preserve"> PAGEREF _Toc202187841 \h </w:instrText>
        </w:r>
        <w:r>
          <w:rPr>
            <w:webHidden/>
          </w:rPr>
        </w:r>
        <w:r>
          <w:rPr>
            <w:webHidden/>
          </w:rPr>
          <w:fldChar w:fldCharType="separate"/>
        </w:r>
        <w:r>
          <w:rPr>
            <w:webHidden/>
          </w:rPr>
          <w:t>1</w:t>
        </w:r>
        <w:r>
          <w:rPr>
            <w:webHidden/>
          </w:rPr>
          <w:fldChar w:fldCharType="end"/>
        </w:r>
      </w:hyperlink>
    </w:p>
    <w:p w14:paraId="1D5657CF" w14:textId="669F8893"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42" w:history="1">
        <w:r w:rsidRPr="001A7E4E">
          <w:rPr>
            <w:rStyle w:val="Hyperlink"/>
          </w:rPr>
          <w:t>1.2</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Evaluation coverage</w:t>
        </w:r>
        <w:r>
          <w:rPr>
            <w:webHidden/>
          </w:rPr>
          <w:tab/>
        </w:r>
        <w:r>
          <w:rPr>
            <w:webHidden/>
          </w:rPr>
          <w:fldChar w:fldCharType="begin"/>
        </w:r>
        <w:r>
          <w:rPr>
            <w:webHidden/>
          </w:rPr>
          <w:instrText xml:space="preserve"> PAGEREF _Toc202187842 \h </w:instrText>
        </w:r>
        <w:r>
          <w:rPr>
            <w:webHidden/>
          </w:rPr>
        </w:r>
        <w:r>
          <w:rPr>
            <w:webHidden/>
          </w:rPr>
          <w:fldChar w:fldCharType="separate"/>
        </w:r>
        <w:r>
          <w:rPr>
            <w:webHidden/>
          </w:rPr>
          <w:t>2</w:t>
        </w:r>
        <w:r>
          <w:rPr>
            <w:webHidden/>
          </w:rPr>
          <w:fldChar w:fldCharType="end"/>
        </w:r>
      </w:hyperlink>
    </w:p>
    <w:p w14:paraId="147371E0" w14:textId="7A6C57AE"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43" w:history="1">
        <w:r w:rsidRPr="001A7E4E">
          <w:rPr>
            <w:rStyle w:val="Hyperlink"/>
          </w:rPr>
          <w:t>1.3</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About this report</w:t>
        </w:r>
        <w:r>
          <w:rPr>
            <w:webHidden/>
          </w:rPr>
          <w:tab/>
        </w:r>
        <w:r>
          <w:rPr>
            <w:webHidden/>
          </w:rPr>
          <w:fldChar w:fldCharType="begin"/>
        </w:r>
        <w:r>
          <w:rPr>
            <w:webHidden/>
          </w:rPr>
          <w:instrText xml:space="preserve"> PAGEREF _Toc202187843 \h </w:instrText>
        </w:r>
        <w:r>
          <w:rPr>
            <w:webHidden/>
          </w:rPr>
        </w:r>
        <w:r>
          <w:rPr>
            <w:webHidden/>
          </w:rPr>
          <w:fldChar w:fldCharType="separate"/>
        </w:r>
        <w:r>
          <w:rPr>
            <w:webHidden/>
          </w:rPr>
          <w:t>2</w:t>
        </w:r>
        <w:r>
          <w:rPr>
            <w:webHidden/>
          </w:rPr>
          <w:fldChar w:fldCharType="end"/>
        </w:r>
      </w:hyperlink>
    </w:p>
    <w:p w14:paraId="2BE45167" w14:textId="4694AB0D"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44" w:history="1">
        <w:r w:rsidRPr="001A7E4E">
          <w:rPr>
            <w:rStyle w:val="Hyperlink"/>
          </w:rPr>
          <w:t>2</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Overview of evaluation approach</w:t>
        </w:r>
        <w:r>
          <w:rPr>
            <w:webHidden/>
          </w:rPr>
          <w:tab/>
        </w:r>
        <w:r>
          <w:rPr>
            <w:webHidden/>
          </w:rPr>
          <w:fldChar w:fldCharType="begin"/>
        </w:r>
        <w:r>
          <w:rPr>
            <w:webHidden/>
          </w:rPr>
          <w:instrText xml:space="preserve"> PAGEREF _Toc202187844 \h </w:instrText>
        </w:r>
        <w:r>
          <w:rPr>
            <w:webHidden/>
          </w:rPr>
        </w:r>
        <w:r>
          <w:rPr>
            <w:webHidden/>
          </w:rPr>
          <w:fldChar w:fldCharType="separate"/>
        </w:r>
        <w:r>
          <w:rPr>
            <w:webHidden/>
          </w:rPr>
          <w:t>3</w:t>
        </w:r>
        <w:r>
          <w:rPr>
            <w:webHidden/>
          </w:rPr>
          <w:fldChar w:fldCharType="end"/>
        </w:r>
      </w:hyperlink>
    </w:p>
    <w:p w14:paraId="7113AAA4" w14:textId="610F0426"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45" w:history="1">
        <w:r w:rsidRPr="001A7E4E">
          <w:rPr>
            <w:rStyle w:val="Hyperlink"/>
          </w:rPr>
          <w:t>2.1</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Conceptual model</w:t>
        </w:r>
        <w:r>
          <w:rPr>
            <w:webHidden/>
          </w:rPr>
          <w:tab/>
        </w:r>
        <w:r>
          <w:rPr>
            <w:webHidden/>
          </w:rPr>
          <w:fldChar w:fldCharType="begin"/>
        </w:r>
        <w:r>
          <w:rPr>
            <w:webHidden/>
          </w:rPr>
          <w:instrText xml:space="preserve"> PAGEREF _Toc202187845 \h </w:instrText>
        </w:r>
        <w:r>
          <w:rPr>
            <w:webHidden/>
          </w:rPr>
        </w:r>
        <w:r>
          <w:rPr>
            <w:webHidden/>
          </w:rPr>
          <w:fldChar w:fldCharType="separate"/>
        </w:r>
        <w:r>
          <w:rPr>
            <w:webHidden/>
          </w:rPr>
          <w:t>3</w:t>
        </w:r>
        <w:r>
          <w:rPr>
            <w:webHidden/>
          </w:rPr>
          <w:fldChar w:fldCharType="end"/>
        </w:r>
      </w:hyperlink>
    </w:p>
    <w:p w14:paraId="1A8647B2" w14:textId="7D4CD48B"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46" w:history="1">
        <w:r w:rsidRPr="001A7E4E">
          <w:rPr>
            <w:rStyle w:val="Hyperlink"/>
          </w:rPr>
          <w:t>2.2</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Metabolic fingerprints</w:t>
        </w:r>
        <w:r>
          <w:rPr>
            <w:webHidden/>
          </w:rPr>
          <w:tab/>
        </w:r>
        <w:r>
          <w:rPr>
            <w:webHidden/>
          </w:rPr>
          <w:fldChar w:fldCharType="begin"/>
        </w:r>
        <w:r>
          <w:rPr>
            <w:webHidden/>
          </w:rPr>
          <w:instrText xml:space="preserve"> PAGEREF _Toc202187846 \h </w:instrText>
        </w:r>
        <w:r>
          <w:rPr>
            <w:webHidden/>
          </w:rPr>
        </w:r>
        <w:r>
          <w:rPr>
            <w:webHidden/>
          </w:rPr>
          <w:fldChar w:fldCharType="separate"/>
        </w:r>
        <w:r>
          <w:rPr>
            <w:webHidden/>
          </w:rPr>
          <w:t>4</w:t>
        </w:r>
        <w:r>
          <w:rPr>
            <w:webHidden/>
          </w:rPr>
          <w:fldChar w:fldCharType="end"/>
        </w:r>
      </w:hyperlink>
    </w:p>
    <w:p w14:paraId="2C7943B8" w14:textId="4058CD04"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47" w:history="1">
        <w:r w:rsidRPr="001A7E4E">
          <w:rPr>
            <w:rStyle w:val="Hyperlink"/>
          </w:rPr>
          <w:t>3</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Basin-scale evaluation 2023–24</w:t>
        </w:r>
        <w:r>
          <w:rPr>
            <w:webHidden/>
          </w:rPr>
          <w:tab/>
        </w:r>
        <w:r>
          <w:rPr>
            <w:webHidden/>
          </w:rPr>
          <w:fldChar w:fldCharType="begin"/>
        </w:r>
        <w:r>
          <w:rPr>
            <w:webHidden/>
          </w:rPr>
          <w:instrText xml:space="preserve"> PAGEREF _Toc202187847 \h </w:instrText>
        </w:r>
        <w:r>
          <w:rPr>
            <w:webHidden/>
          </w:rPr>
        </w:r>
        <w:r>
          <w:rPr>
            <w:webHidden/>
          </w:rPr>
          <w:fldChar w:fldCharType="separate"/>
        </w:r>
        <w:r>
          <w:rPr>
            <w:webHidden/>
          </w:rPr>
          <w:t>6</w:t>
        </w:r>
        <w:r>
          <w:rPr>
            <w:webHidden/>
          </w:rPr>
          <w:fldChar w:fldCharType="end"/>
        </w:r>
      </w:hyperlink>
    </w:p>
    <w:p w14:paraId="4327AB55" w14:textId="74D9F987"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48" w:history="1">
        <w:r w:rsidRPr="001A7E4E">
          <w:rPr>
            <w:rStyle w:val="Hyperlink"/>
          </w:rPr>
          <w:t>3.1</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Key findings</w:t>
        </w:r>
        <w:r>
          <w:rPr>
            <w:webHidden/>
          </w:rPr>
          <w:tab/>
        </w:r>
        <w:r>
          <w:rPr>
            <w:webHidden/>
          </w:rPr>
          <w:fldChar w:fldCharType="begin"/>
        </w:r>
        <w:r>
          <w:rPr>
            <w:webHidden/>
          </w:rPr>
          <w:instrText xml:space="preserve"> PAGEREF _Toc202187848 \h </w:instrText>
        </w:r>
        <w:r>
          <w:rPr>
            <w:webHidden/>
          </w:rPr>
        </w:r>
        <w:r>
          <w:rPr>
            <w:webHidden/>
          </w:rPr>
          <w:fldChar w:fldCharType="separate"/>
        </w:r>
        <w:r>
          <w:rPr>
            <w:webHidden/>
          </w:rPr>
          <w:t>6</w:t>
        </w:r>
        <w:r>
          <w:rPr>
            <w:webHidden/>
          </w:rPr>
          <w:fldChar w:fldCharType="end"/>
        </w:r>
      </w:hyperlink>
    </w:p>
    <w:p w14:paraId="63E4AC46" w14:textId="7803D608"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49" w:history="1">
        <w:r w:rsidRPr="001A7E4E">
          <w:rPr>
            <w:rStyle w:val="Hyperlink"/>
          </w:rPr>
          <w:t>3.2</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Rainfall</w:t>
        </w:r>
        <w:r w:rsidR="006C5878">
          <w:rPr>
            <w:rStyle w:val="Hyperlink"/>
          </w:rPr>
          <w:tab/>
        </w:r>
        <w:r>
          <w:rPr>
            <w:webHidden/>
          </w:rPr>
          <w:tab/>
        </w:r>
        <w:r>
          <w:rPr>
            <w:webHidden/>
          </w:rPr>
          <w:fldChar w:fldCharType="begin"/>
        </w:r>
        <w:r>
          <w:rPr>
            <w:webHidden/>
          </w:rPr>
          <w:instrText xml:space="preserve"> PAGEREF _Toc202187849 \h </w:instrText>
        </w:r>
        <w:r>
          <w:rPr>
            <w:webHidden/>
          </w:rPr>
        </w:r>
        <w:r>
          <w:rPr>
            <w:webHidden/>
          </w:rPr>
          <w:fldChar w:fldCharType="separate"/>
        </w:r>
        <w:r>
          <w:rPr>
            <w:webHidden/>
          </w:rPr>
          <w:t>6</w:t>
        </w:r>
        <w:r>
          <w:rPr>
            <w:webHidden/>
          </w:rPr>
          <w:fldChar w:fldCharType="end"/>
        </w:r>
      </w:hyperlink>
    </w:p>
    <w:p w14:paraId="56B1F5CF" w14:textId="2C8D4203"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0" w:history="1">
        <w:r w:rsidRPr="001A7E4E">
          <w:rPr>
            <w:rStyle w:val="Hyperlink"/>
          </w:rPr>
          <w:t>3.3</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Environmental water delivery 2023–24</w:t>
        </w:r>
        <w:r>
          <w:rPr>
            <w:webHidden/>
          </w:rPr>
          <w:tab/>
        </w:r>
        <w:r>
          <w:rPr>
            <w:webHidden/>
          </w:rPr>
          <w:fldChar w:fldCharType="begin"/>
        </w:r>
        <w:r>
          <w:rPr>
            <w:webHidden/>
          </w:rPr>
          <w:instrText xml:space="preserve"> PAGEREF _Toc202187850 \h </w:instrText>
        </w:r>
        <w:r>
          <w:rPr>
            <w:webHidden/>
          </w:rPr>
        </w:r>
        <w:r>
          <w:rPr>
            <w:webHidden/>
          </w:rPr>
          <w:fldChar w:fldCharType="separate"/>
        </w:r>
        <w:r>
          <w:rPr>
            <w:webHidden/>
          </w:rPr>
          <w:t>7</w:t>
        </w:r>
        <w:r>
          <w:rPr>
            <w:webHidden/>
          </w:rPr>
          <w:fldChar w:fldCharType="end"/>
        </w:r>
      </w:hyperlink>
    </w:p>
    <w:p w14:paraId="042FF41F" w14:textId="6904603F"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1" w:history="1">
        <w:r w:rsidRPr="001A7E4E">
          <w:rPr>
            <w:rStyle w:val="Hyperlink"/>
          </w:rPr>
          <w:t>3.4</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Outcomes</w:t>
        </w:r>
        <w:r>
          <w:rPr>
            <w:webHidden/>
          </w:rPr>
          <w:tab/>
        </w:r>
        <w:r>
          <w:rPr>
            <w:webHidden/>
          </w:rPr>
          <w:fldChar w:fldCharType="begin"/>
        </w:r>
        <w:r>
          <w:rPr>
            <w:webHidden/>
          </w:rPr>
          <w:instrText xml:space="preserve"> PAGEREF _Toc202187851 \h </w:instrText>
        </w:r>
        <w:r>
          <w:rPr>
            <w:webHidden/>
          </w:rPr>
        </w:r>
        <w:r>
          <w:rPr>
            <w:webHidden/>
          </w:rPr>
          <w:fldChar w:fldCharType="separate"/>
        </w:r>
        <w:r>
          <w:rPr>
            <w:webHidden/>
          </w:rPr>
          <w:t>8</w:t>
        </w:r>
        <w:r>
          <w:rPr>
            <w:webHidden/>
          </w:rPr>
          <w:fldChar w:fldCharType="end"/>
        </w:r>
      </w:hyperlink>
    </w:p>
    <w:p w14:paraId="3EB50EA5" w14:textId="129AFB94"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52" w:history="1">
        <w:r w:rsidRPr="001A7E4E">
          <w:rPr>
            <w:rStyle w:val="Hyperlink"/>
          </w:rPr>
          <w:t>4</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Basin-scale evaluation 2014–24</w:t>
        </w:r>
        <w:r>
          <w:rPr>
            <w:webHidden/>
          </w:rPr>
          <w:tab/>
        </w:r>
        <w:r>
          <w:rPr>
            <w:webHidden/>
          </w:rPr>
          <w:fldChar w:fldCharType="begin"/>
        </w:r>
        <w:r>
          <w:rPr>
            <w:webHidden/>
          </w:rPr>
          <w:instrText xml:space="preserve"> PAGEREF _Toc202187852 \h </w:instrText>
        </w:r>
        <w:r>
          <w:rPr>
            <w:webHidden/>
          </w:rPr>
        </w:r>
        <w:r>
          <w:rPr>
            <w:webHidden/>
          </w:rPr>
          <w:fldChar w:fldCharType="separate"/>
        </w:r>
        <w:r>
          <w:rPr>
            <w:webHidden/>
          </w:rPr>
          <w:t>15</w:t>
        </w:r>
        <w:r>
          <w:rPr>
            <w:webHidden/>
          </w:rPr>
          <w:fldChar w:fldCharType="end"/>
        </w:r>
      </w:hyperlink>
    </w:p>
    <w:p w14:paraId="42FFB16C" w14:textId="720BB656"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3" w:history="1">
        <w:r w:rsidRPr="001A7E4E">
          <w:rPr>
            <w:rStyle w:val="Hyperlink"/>
          </w:rPr>
          <w:t>4.1</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Key findings</w:t>
        </w:r>
        <w:r>
          <w:rPr>
            <w:webHidden/>
          </w:rPr>
          <w:tab/>
        </w:r>
        <w:r>
          <w:rPr>
            <w:webHidden/>
          </w:rPr>
          <w:fldChar w:fldCharType="begin"/>
        </w:r>
        <w:r>
          <w:rPr>
            <w:webHidden/>
          </w:rPr>
          <w:instrText xml:space="preserve"> PAGEREF _Toc202187853 \h </w:instrText>
        </w:r>
        <w:r>
          <w:rPr>
            <w:webHidden/>
          </w:rPr>
        </w:r>
        <w:r>
          <w:rPr>
            <w:webHidden/>
          </w:rPr>
          <w:fldChar w:fldCharType="separate"/>
        </w:r>
        <w:r>
          <w:rPr>
            <w:webHidden/>
          </w:rPr>
          <w:t>15</w:t>
        </w:r>
        <w:r>
          <w:rPr>
            <w:webHidden/>
          </w:rPr>
          <w:fldChar w:fldCharType="end"/>
        </w:r>
      </w:hyperlink>
    </w:p>
    <w:p w14:paraId="66466223" w14:textId="5E69DF16"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4" w:history="1">
        <w:r w:rsidRPr="001A7E4E">
          <w:rPr>
            <w:rStyle w:val="Hyperlink"/>
          </w:rPr>
          <w:t>4.2</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Rainfall</w:t>
        </w:r>
        <w:r>
          <w:rPr>
            <w:webHidden/>
          </w:rPr>
          <w:tab/>
        </w:r>
        <w:r w:rsidR="006C5878">
          <w:rPr>
            <w:webHidden/>
          </w:rPr>
          <w:tab/>
        </w:r>
        <w:r>
          <w:rPr>
            <w:webHidden/>
          </w:rPr>
          <w:fldChar w:fldCharType="begin"/>
        </w:r>
        <w:r>
          <w:rPr>
            <w:webHidden/>
          </w:rPr>
          <w:instrText xml:space="preserve"> PAGEREF _Toc202187854 \h </w:instrText>
        </w:r>
        <w:r>
          <w:rPr>
            <w:webHidden/>
          </w:rPr>
        </w:r>
        <w:r>
          <w:rPr>
            <w:webHidden/>
          </w:rPr>
          <w:fldChar w:fldCharType="separate"/>
        </w:r>
        <w:r>
          <w:rPr>
            <w:webHidden/>
          </w:rPr>
          <w:t>15</w:t>
        </w:r>
        <w:r>
          <w:rPr>
            <w:webHidden/>
          </w:rPr>
          <w:fldChar w:fldCharType="end"/>
        </w:r>
      </w:hyperlink>
    </w:p>
    <w:p w14:paraId="352FB3C1" w14:textId="3C558560"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5" w:history="1">
        <w:r w:rsidRPr="001A7E4E">
          <w:rPr>
            <w:rStyle w:val="Hyperlink"/>
          </w:rPr>
          <w:t>4.3</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Environmental water delivery 2014–24</w:t>
        </w:r>
        <w:r>
          <w:rPr>
            <w:webHidden/>
          </w:rPr>
          <w:tab/>
        </w:r>
        <w:r>
          <w:rPr>
            <w:webHidden/>
          </w:rPr>
          <w:fldChar w:fldCharType="begin"/>
        </w:r>
        <w:r>
          <w:rPr>
            <w:webHidden/>
          </w:rPr>
          <w:instrText xml:space="preserve"> PAGEREF _Toc202187855 \h </w:instrText>
        </w:r>
        <w:r>
          <w:rPr>
            <w:webHidden/>
          </w:rPr>
        </w:r>
        <w:r>
          <w:rPr>
            <w:webHidden/>
          </w:rPr>
          <w:fldChar w:fldCharType="separate"/>
        </w:r>
        <w:r>
          <w:rPr>
            <w:webHidden/>
          </w:rPr>
          <w:t>16</w:t>
        </w:r>
        <w:r>
          <w:rPr>
            <w:webHidden/>
          </w:rPr>
          <w:fldChar w:fldCharType="end"/>
        </w:r>
      </w:hyperlink>
    </w:p>
    <w:p w14:paraId="020FC131" w14:textId="392C5B1B"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6" w:history="1">
        <w:r w:rsidRPr="001A7E4E">
          <w:rPr>
            <w:rStyle w:val="Hyperlink"/>
          </w:rPr>
          <w:t>4.4</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Outcomes</w:t>
        </w:r>
        <w:r>
          <w:rPr>
            <w:webHidden/>
          </w:rPr>
          <w:tab/>
        </w:r>
        <w:r>
          <w:rPr>
            <w:webHidden/>
          </w:rPr>
          <w:fldChar w:fldCharType="begin"/>
        </w:r>
        <w:r>
          <w:rPr>
            <w:webHidden/>
          </w:rPr>
          <w:instrText xml:space="preserve"> PAGEREF _Toc202187856 \h </w:instrText>
        </w:r>
        <w:r>
          <w:rPr>
            <w:webHidden/>
          </w:rPr>
        </w:r>
        <w:r>
          <w:rPr>
            <w:webHidden/>
          </w:rPr>
          <w:fldChar w:fldCharType="separate"/>
        </w:r>
        <w:r>
          <w:rPr>
            <w:webHidden/>
          </w:rPr>
          <w:t>17</w:t>
        </w:r>
        <w:r>
          <w:rPr>
            <w:webHidden/>
          </w:rPr>
          <w:fldChar w:fldCharType="end"/>
        </w:r>
      </w:hyperlink>
    </w:p>
    <w:p w14:paraId="3173329E" w14:textId="796EDFCD"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57" w:history="1">
        <w:r w:rsidRPr="001A7E4E">
          <w:rPr>
            <w:rStyle w:val="Hyperlink"/>
          </w:rPr>
          <w:t>5</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Contribution of Commonwealth environmental water to river gross primary production 2014–24 – counterfactual analyses</w:t>
        </w:r>
        <w:r>
          <w:rPr>
            <w:webHidden/>
          </w:rPr>
          <w:tab/>
        </w:r>
        <w:r>
          <w:rPr>
            <w:webHidden/>
          </w:rPr>
          <w:fldChar w:fldCharType="begin"/>
        </w:r>
        <w:r>
          <w:rPr>
            <w:webHidden/>
          </w:rPr>
          <w:instrText xml:space="preserve"> PAGEREF _Toc202187857 \h </w:instrText>
        </w:r>
        <w:r>
          <w:rPr>
            <w:webHidden/>
          </w:rPr>
        </w:r>
        <w:r>
          <w:rPr>
            <w:webHidden/>
          </w:rPr>
          <w:fldChar w:fldCharType="separate"/>
        </w:r>
        <w:r>
          <w:rPr>
            <w:webHidden/>
          </w:rPr>
          <w:t>26</w:t>
        </w:r>
        <w:r>
          <w:rPr>
            <w:webHidden/>
          </w:rPr>
          <w:fldChar w:fldCharType="end"/>
        </w:r>
      </w:hyperlink>
    </w:p>
    <w:p w14:paraId="2B69AB9F" w14:textId="0BEEA340"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8" w:history="1">
        <w:r w:rsidRPr="001A7E4E">
          <w:rPr>
            <w:rStyle w:val="Hyperlink"/>
          </w:rPr>
          <w:t>5.1</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Key findings</w:t>
        </w:r>
        <w:r>
          <w:rPr>
            <w:webHidden/>
          </w:rPr>
          <w:tab/>
        </w:r>
        <w:r>
          <w:rPr>
            <w:webHidden/>
          </w:rPr>
          <w:fldChar w:fldCharType="begin"/>
        </w:r>
        <w:r>
          <w:rPr>
            <w:webHidden/>
          </w:rPr>
          <w:instrText xml:space="preserve"> PAGEREF _Toc202187858 \h </w:instrText>
        </w:r>
        <w:r>
          <w:rPr>
            <w:webHidden/>
          </w:rPr>
        </w:r>
        <w:r>
          <w:rPr>
            <w:webHidden/>
          </w:rPr>
          <w:fldChar w:fldCharType="separate"/>
        </w:r>
        <w:r>
          <w:rPr>
            <w:webHidden/>
          </w:rPr>
          <w:t>26</w:t>
        </w:r>
        <w:r>
          <w:rPr>
            <w:webHidden/>
          </w:rPr>
          <w:fldChar w:fldCharType="end"/>
        </w:r>
      </w:hyperlink>
    </w:p>
    <w:p w14:paraId="0FE9C38A" w14:textId="6E428817"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59" w:history="1">
        <w:r w:rsidRPr="001A7E4E">
          <w:rPr>
            <w:rStyle w:val="Hyperlink"/>
          </w:rPr>
          <w:t>5.2</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Overview of approach</w:t>
        </w:r>
        <w:r>
          <w:rPr>
            <w:webHidden/>
          </w:rPr>
          <w:tab/>
        </w:r>
        <w:r>
          <w:rPr>
            <w:webHidden/>
          </w:rPr>
          <w:fldChar w:fldCharType="begin"/>
        </w:r>
        <w:r>
          <w:rPr>
            <w:webHidden/>
          </w:rPr>
          <w:instrText xml:space="preserve"> PAGEREF _Toc202187859 \h </w:instrText>
        </w:r>
        <w:r>
          <w:rPr>
            <w:webHidden/>
          </w:rPr>
        </w:r>
        <w:r>
          <w:rPr>
            <w:webHidden/>
          </w:rPr>
          <w:fldChar w:fldCharType="separate"/>
        </w:r>
        <w:r>
          <w:rPr>
            <w:webHidden/>
          </w:rPr>
          <w:t>26</w:t>
        </w:r>
        <w:r>
          <w:rPr>
            <w:webHidden/>
          </w:rPr>
          <w:fldChar w:fldCharType="end"/>
        </w:r>
      </w:hyperlink>
    </w:p>
    <w:p w14:paraId="15FF3145" w14:textId="05A4800E"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60" w:history="1">
        <w:r w:rsidRPr="001A7E4E">
          <w:rPr>
            <w:rStyle w:val="Hyperlink"/>
          </w:rPr>
          <w:t>5.3</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Outcomes</w:t>
        </w:r>
        <w:r>
          <w:rPr>
            <w:webHidden/>
          </w:rPr>
          <w:tab/>
        </w:r>
        <w:r>
          <w:rPr>
            <w:webHidden/>
          </w:rPr>
          <w:fldChar w:fldCharType="begin"/>
        </w:r>
        <w:r>
          <w:rPr>
            <w:webHidden/>
          </w:rPr>
          <w:instrText xml:space="preserve"> PAGEREF _Toc202187860 \h </w:instrText>
        </w:r>
        <w:r>
          <w:rPr>
            <w:webHidden/>
          </w:rPr>
        </w:r>
        <w:r>
          <w:rPr>
            <w:webHidden/>
          </w:rPr>
          <w:fldChar w:fldCharType="separate"/>
        </w:r>
        <w:r>
          <w:rPr>
            <w:webHidden/>
          </w:rPr>
          <w:t>27</w:t>
        </w:r>
        <w:r>
          <w:rPr>
            <w:webHidden/>
          </w:rPr>
          <w:fldChar w:fldCharType="end"/>
        </w:r>
      </w:hyperlink>
    </w:p>
    <w:p w14:paraId="7A11D704" w14:textId="7FE0BF99"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61" w:history="1">
        <w:r w:rsidRPr="001A7E4E">
          <w:rPr>
            <w:rStyle w:val="Hyperlink"/>
          </w:rPr>
          <w:t>5.4</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Implications</w:t>
        </w:r>
        <w:r>
          <w:rPr>
            <w:webHidden/>
          </w:rPr>
          <w:tab/>
        </w:r>
        <w:r>
          <w:rPr>
            <w:webHidden/>
          </w:rPr>
          <w:fldChar w:fldCharType="begin"/>
        </w:r>
        <w:r>
          <w:rPr>
            <w:webHidden/>
          </w:rPr>
          <w:instrText xml:space="preserve"> PAGEREF _Toc202187861 \h </w:instrText>
        </w:r>
        <w:r>
          <w:rPr>
            <w:webHidden/>
          </w:rPr>
        </w:r>
        <w:r>
          <w:rPr>
            <w:webHidden/>
          </w:rPr>
          <w:fldChar w:fldCharType="separate"/>
        </w:r>
        <w:r>
          <w:rPr>
            <w:webHidden/>
          </w:rPr>
          <w:t>31</w:t>
        </w:r>
        <w:r>
          <w:rPr>
            <w:webHidden/>
          </w:rPr>
          <w:fldChar w:fldCharType="end"/>
        </w:r>
      </w:hyperlink>
    </w:p>
    <w:p w14:paraId="1972A213" w14:textId="1F807BFB"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62" w:history="1">
        <w:r w:rsidRPr="001A7E4E">
          <w:rPr>
            <w:rStyle w:val="Hyperlink"/>
          </w:rPr>
          <w:t>6</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Contribution to Basin Plan objectives</w:t>
        </w:r>
        <w:r>
          <w:rPr>
            <w:webHidden/>
          </w:rPr>
          <w:tab/>
        </w:r>
        <w:r>
          <w:rPr>
            <w:webHidden/>
          </w:rPr>
          <w:fldChar w:fldCharType="begin"/>
        </w:r>
        <w:r>
          <w:rPr>
            <w:webHidden/>
          </w:rPr>
          <w:instrText xml:space="preserve"> PAGEREF _Toc202187862 \h </w:instrText>
        </w:r>
        <w:r>
          <w:rPr>
            <w:webHidden/>
          </w:rPr>
        </w:r>
        <w:r>
          <w:rPr>
            <w:webHidden/>
          </w:rPr>
          <w:fldChar w:fldCharType="separate"/>
        </w:r>
        <w:r>
          <w:rPr>
            <w:webHidden/>
          </w:rPr>
          <w:t>32</w:t>
        </w:r>
        <w:r>
          <w:rPr>
            <w:webHidden/>
          </w:rPr>
          <w:fldChar w:fldCharType="end"/>
        </w:r>
      </w:hyperlink>
    </w:p>
    <w:p w14:paraId="5DC082D9" w14:textId="53C29C9D"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63" w:history="1">
        <w:r w:rsidRPr="001A7E4E">
          <w:rPr>
            <w:rStyle w:val="Hyperlink"/>
          </w:rPr>
          <w:t>7</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Informing adaptive management for food webs and water quality outcomes</w:t>
        </w:r>
        <w:r>
          <w:rPr>
            <w:webHidden/>
          </w:rPr>
          <w:tab/>
        </w:r>
        <w:r>
          <w:rPr>
            <w:webHidden/>
          </w:rPr>
          <w:fldChar w:fldCharType="begin"/>
        </w:r>
        <w:r>
          <w:rPr>
            <w:webHidden/>
          </w:rPr>
          <w:instrText xml:space="preserve"> PAGEREF _Toc202187863 \h </w:instrText>
        </w:r>
        <w:r>
          <w:rPr>
            <w:webHidden/>
          </w:rPr>
        </w:r>
        <w:r>
          <w:rPr>
            <w:webHidden/>
          </w:rPr>
          <w:fldChar w:fldCharType="separate"/>
        </w:r>
        <w:r>
          <w:rPr>
            <w:webHidden/>
          </w:rPr>
          <w:t>35</w:t>
        </w:r>
        <w:r>
          <w:rPr>
            <w:webHidden/>
          </w:rPr>
          <w:fldChar w:fldCharType="end"/>
        </w:r>
      </w:hyperlink>
    </w:p>
    <w:p w14:paraId="3D68B7C4" w14:textId="32028608"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64" w:history="1">
        <w:r w:rsidRPr="001A7E4E">
          <w:rPr>
            <w:rStyle w:val="Hyperlink"/>
          </w:rPr>
          <w:t>7.1</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Informing the planning and management of environmental water for food webs and water quality</w:t>
        </w:r>
        <w:r>
          <w:rPr>
            <w:webHidden/>
          </w:rPr>
          <w:tab/>
        </w:r>
        <w:r>
          <w:rPr>
            <w:webHidden/>
          </w:rPr>
          <w:fldChar w:fldCharType="begin"/>
        </w:r>
        <w:r>
          <w:rPr>
            <w:webHidden/>
          </w:rPr>
          <w:instrText xml:space="preserve"> PAGEREF _Toc202187864 \h </w:instrText>
        </w:r>
        <w:r>
          <w:rPr>
            <w:webHidden/>
          </w:rPr>
        </w:r>
        <w:r>
          <w:rPr>
            <w:webHidden/>
          </w:rPr>
          <w:fldChar w:fldCharType="separate"/>
        </w:r>
        <w:r>
          <w:rPr>
            <w:webHidden/>
          </w:rPr>
          <w:t>35</w:t>
        </w:r>
        <w:r>
          <w:rPr>
            <w:webHidden/>
          </w:rPr>
          <w:fldChar w:fldCharType="end"/>
        </w:r>
      </w:hyperlink>
    </w:p>
    <w:p w14:paraId="755EBA7C" w14:textId="1EBE9107"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65" w:history="1">
        <w:r w:rsidRPr="001A7E4E">
          <w:rPr>
            <w:rStyle w:val="Hyperlink"/>
          </w:rPr>
          <w:t>7.2</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Improving our approach to Basin-scale evaluation</w:t>
        </w:r>
        <w:r>
          <w:rPr>
            <w:webHidden/>
          </w:rPr>
          <w:tab/>
        </w:r>
        <w:r>
          <w:rPr>
            <w:webHidden/>
          </w:rPr>
          <w:fldChar w:fldCharType="begin"/>
        </w:r>
        <w:r>
          <w:rPr>
            <w:webHidden/>
          </w:rPr>
          <w:instrText xml:space="preserve"> PAGEREF _Toc202187865 \h </w:instrText>
        </w:r>
        <w:r>
          <w:rPr>
            <w:webHidden/>
          </w:rPr>
        </w:r>
        <w:r>
          <w:rPr>
            <w:webHidden/>
          </w:rPr>
          <w:fldChar w:fldCharType="separate"/>
        </w:r>
        <w:r>
          <w:rPr>
            <w:webHidden/>
          </w:rPr>
          <w:t>37</w:t>
        </w:r>
        <w:r>
          <w:rPr>
            <w:webHidden/>
          </w:rPr>
          <w:fldChar w:fldCharType="end"/>
        </w:r>
      </w:hyperlink>
    </w:p>
    <w:p w14:paraId="4E25108C" w14:textId="009D4370"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66" w:history="1">
        <w:r w:rsidRPr="001A7E4E">
          <w:rPr>
            <w:rStyle w:val="Hyperlink"/>
            <w14:scene3d>
              <w14:camera w14:prst="orthographicFront"/>
              <w14:lightRig w14:rig="threePt" w14:dir="t">
                <w14:rot w14:lat="0" w14:lon="0" w14:rev="0"/>
              </w14:lightRig>
            </w14:scene3d>
          </w:rPr>
          <w:t>Appendix A</w:t>
        </w:r>
        <w:r>
          <w:rPr>
            <w:rFonts w:asciiTheme="minorHAnsi" w:eastAsiaTheme="minorEastAsia" w:hAnsiTheme="minorHAnsi" w:cstheme="minorBidi"/>
            <w:b w:val="0"/>
            <w:smallCaps w:val="0"/>
            <w:color w:val="auto"/>
            <w:kern w:val="2"/>
            <w:sz w:val="24"/>
            <w:szCs w:val="21"/>
            <w:lang w:bidi="ne-NP"/>
            <w14:ligatures w14:val="standardContextual"/>
          </w:rPr>
          <w:tab/>
        </w:r>
        <w:r w:rsidRPr="001A7E4E">
          <w:rPr>
            <w:rStyle w:val="Hyperlink"/>
          </w:rPr>
          <w:t>Stream metabolic responses to flow at sites in 7 Selected Areas</w:t>
        </w:r>
        <w:r>
          <w:rPr>
            <w:webHidden/>
          </w:rPr>
          <w:tab/>
        </w:r>
        <w:r>
          <w:rPr>
            <w:webHidden/>
          </w:rPr>
          <w:fldChar w:fldCharType="begin"/>
        </w:r>
        <w:r>
          <w:rPr>
            <w:webHidden/>
          </w:rPr>
          <w:instrText xml:space="preserve"> PAGEREF _Toc202187866 \h </w:instrText>
        </w:r>
        <w:r>
          <w:rPr>
            <w:webHidden/>
          </w:rPr>
        </w:r>
        <w:r>
          <w:rPr>
            <w:webHidden/>
          </w:rPr>
          <w:fldChar w:fldCharType="separate"/>
        </w:r>
        <w:r>
          <w:rPr>
            <w:webHidden/>
          </w:rPr>
          <w:t>39</w:t>
        </w:r>
        <w:r>
          <w:rPr>
            <w:webHidden/>
          </w:rPr>
          <w:fldChar w:fldCharType="end"/>
        </w:r>
      </w:hyperlink>
    </w:p>
    <w:p w14:paraId="7EF89B1B" w14:textId="6586E1EF"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67" w:history="1">
        <w:r w:rsidRPr="001A7E4E">
          <w:rPr>
            <w:rStyle w:val="Hyperlink"/>
          </w:rPr>
          <w:t>A.1</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Junction of Warrego and Darling rivers stream metabolism – flow relationship plots</w:t>
        </w:r>
        <w:r>
          <w:rPr>
            <w:webHidden/>
          </w:rPr>
          <w:tab/>
        </w:r>
        <w:r>
          <w:rPr>
            <w:webHidden/>
          </w:rPr>
          <w:fldChar w:fldCharType="begin"/>
        </w:r>
        <w:r>
          <w:rPr>
            <w:webHidden/>
          </w:rPr>
          <w:instrText xml:space="preserve"> PAGEREF _Toc202187867 \h </w:instrText>
        </w:r>
        <w:r>
          <w:rPr>
            <w:webHidden/>
          </w:rPr>
        </w:r>
        <w:r>
          <w:rPr>
            <w:webHidden/>
          </w:rPr>
          <w:fldChar w:fldCharType="separate"/>
        </w:r>
        <w:r>
          <w:rPr>
            <w:webHidden/>
          </w:rPr>
          <w:t>39</w:t>
        </w:r>
        <w:r>
          <w:rPr>
            <w:webHidden/>
          </w:rPr>
          <w:fldChar w:fldCharType="end"/>
        </w:r>
      </w:hyperlink>
    </w:p>
    <w:p w14:paraId="22634941" w14:textId="6048B890"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68" w:history="1">
        <w:r w:rsidRPr="001A7E4E">
          <w:rPr>
            <w:rStyle w:val="Hyperlink"/>
          </w:rPr>
          <w:t>A.2</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Edward/Kolety</w:t>
        </w:r>
        <w:r w:rsidRPr="001A7E4E">
          <w:rPr>
            <w:rStyle w:val="Hyperlink"/>
            <w:rFonts w:cs="Calibri"/>
          </w:rPr>
          <w:t>–</w:t>
        </w:r>
        <w:r w:rsidRPr="001A7E4E">
          <w:rPr>
            <w:rStyle w:val="Hyperlink"/>
          </w:rPr>
          <w:t>Wakool river systems stream metabolism – flow relationship plots</w:t>
        </w:r>
        <w:r>
          <w:rPr>
            <w:webHidden/>
          </w:rPr>
          <w:tab/>
        </w:r>
        <w:r>
          <w:rPr>
            <w:webHidden/>
          </w:rPr>
          <w:fldChar w:fldCharType="begin"/>
        </w:r>
        <w:r>
          <w:rPr>
            <w:webHidden/>
          </w:rPr>
          <w:instrText xml:space="preserve"> PAGEREF _Toc202187868 \h </w:instrText>
        </w:r>
        <w:r>
          <w:rPr>
            <w:webHidden/>
          </w:rPr>
        </w:r>
        <w:r>
          <w:rPr>
            <w:webHidden/>
          </w:rPr>
          <w:fldChar w:fldCharType="separate"/>
        </w:r>
        <w:r>
          <w:rPr>
            <w:webHidden/>
          </w:rPr>
          <w:t>40</w:t>
        </w:r>
        <w:r>
          <w:rPr>
            <w:webHidden/>
          </w:rPr>
          <w:fldChar w:fldCharType="end"/>
        </w:r>
      </w:hyperlink>
    </w:p>
    <w:p w14:paraId="55FE1290" w14:textId="26E70BAB"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69" w:history="1">
        <w:r w:rsidRPr="001A7E4E">
          <w:rPr>
            <w:rStyle w:val="Hyperlink"/>
          </w:rPr>
          <w:t>A.3</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Goulburn River stream metabolism – flow relationship plots</w:t>
        </w:r>
        <w:r>
          <w:rPr>
            <w:webHidden/>
          </w:rPr>
          <w:tab/>
        </w:r>
        <w:r>
          <w:rPr>
            <w:webHidden/>
          </w:rPr>
          <w:fldChar w:fldCharType="begin"/>
        </w:r>
        <w:r>
          <w:rPr>
            <w:webHidden/>
          </w:rPr>
          <w:instrText xml:space="preserve"> PAGEREF _Toc202187869 \h </w:instrText>
        </w:r>
        <w:r>
          <w:rPr>
            <w:webHidden/>
          </w:rPr>
        </w:r>
        <w:r>
          <w:rPr>
            <w:webHidden/>
          </w:rPr>
          <w:fldChar w:fldCharType="separate"/>
        </w:r>
        <w:r>
          <w:rPr>
            <w:webHidden/>
          </w:rPr>
          <w:t>44</w:t>
        </w:r>
        <w:r>
          <w:rPr>
            <w:webHidden/>
          </w:rPr>
          <w:fldChar w:fldCharType="end"/>
        </w:r>
      </w:hyperlink>
    </w:p>
    <w:p w14:paraId="0F1AF0E3" w14:textId="7EF945F2"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70" w:history="1">
        <w:r w:rsidRPr="001A7E4E">
          <w:rPr>
            <w:rStyle w:val="Hyperlink"/>
          </w:rPr>
          <w:t>A.4</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Lachlan River System stream metabolism – flow relationship plots</w:t>
        </w:r>
        <w:r>
          <w:rPr>
            <w:webHidden/>
          </w:rPr>
          <w:tab/>
        </w:r>
        <w:r>
          <w:rPr>
            <w:webHidden/>
          </w:rPr>
          <w:fldChar w:fldCharType="begin"/>
        </w:r>
        <w:r>
          <w:rPr>
            <w:webHidden/>
          </w:rPr>
          <w:instrText xml:space="preserve"> PAGEREF _Toc202187870 \h </w:instrText>
        </w:r>
        <w:r>
          <w:rPr>
            <w:webHidden/>
          </w:rPr>
        </w:r>
        <w:r>
          <w:rPr>
            <w:webHidden/>
          </w:rPr>
          <w:fldChar w:fldCharType="separate"/>
        </w:r>
        <w:r>
          <w:rPr>
            <w:webHidden/>
          </w:rPr>
          <w:t>48</w:t>
        </w:r>
        <w:r>
          <w:rPr>
            <w:webHidden/>
          </w:rPr>
          <w:fldChar w:fldCharType="end"/>
        </w:r>
      </w:hyperlink>
    </w:p>
    <w:p w14:paraId="1797EE63" w14:textId="7EC5E817"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71" w:history="1">
        <w:r w:rsidRPr="001A7E4E">
          <w:rPr>
            <w:rStyle w:val="Hyperlink"/>
          </w:rPr>
          <w:t>A.5</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Lower Murray River stream metabolism – flow relationship plots</w:t>
        </w:r>
        <w:r>
          <w:rPr>
            <w:webHidden/>
          </w:rPr>
          <w:tab/>
        </w:r>
        <w:r>
          <w:rPr>
            <w:webHidden/>
          </w:rPr>
          <w:fldChar w:fldCharType="begin"/>
        </w:r>
        <w:r>
          <w:rPr>
            <w:webHidden/>
          </w:rPr>
          <w:instrText xml:space="preserve"> PAGEREF _Toc202187871 \h </w:instrText>
        </w:r>
        <w:r>
          <w:rPr>
            <w:webHidden/>
          </w:rPr>
        </w:r>
        <w:r>
          <w:rPr>
            <w:webHidden/>
          </w:rPr>
          <w:fldChar w:fldCharType="separate"/>
        </w:r>
        <w:r>
          <w:rPr>
            <w:webHidden/>
          </w:rPr>
          <w:t>54</w:t>
        </w:r>
        <w:r>
          <w:rPr>
            <w:webHidden/>
          </w:rPr>
          <w:fldChar w:fldCharType="end"/>
        </w:r>
      </w:hyperlink>
    </w:p>
    <w:p w14:paraId="3AA10F1A" w14:textId="1E53F60B"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72" w:history="1">
        <w:r w:rsidRPr="001A7E4E">
          <w:rPr>
            <w:rStyle w:val="Hyperlink"/>
          </w:rPr>
          <w:t>A.6</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Murrumbidgee River System stream metabolism – flow relationship plots</w:t>
        </w:r>
        <w:r>
          <w:rPr>
            <w:webHidden/>
          </w:rPr>
          <w:tab/>
        </w:r>
        <w:r>
          <w:rPr>
            <w:webHidden/>
          </w:rPr>
          <w:fldChar w:fldCharType="begin"/>
        </w:r>
        <w:r>
          <w:rPr>
            <w:webHidden/>
          </w:rPr>
          <w:instrText xml:space="preserve"> PAGEREF _Toc202187872 \h </w:instrText>
        </w:r>
        <w:r>
          <w:rPr>
            <w:webHidden/>
          </w:rPr>
        </w:r>
        <w:r>
          <w:rPr>
            <w:webHidden/>
          </w:rPr>
          <w:fldChar w:fldCharType="separate"/>
        </w:r>
        <w:r>
          <w:rPr>
            <w:webHidden/>
          </w:rPr>
          <w:t>55</w:t>
        </w:r>
        <w:r>
          <w:rPr>
            <w:webHidden/>
          </w:rPr>
          <w:fldChar w:fldCharType="end"/>
        </w:r>
      </w:hyperlink>
    </w:p>
    <w:p w14:paraId="4FCD28B1" w14:textId="667D157B" w:rsidR="00835C8B" w:rsidRDefault="00835C8B">
      <w:pPr>
        <w:pStyle w:val="TOC2"/>
        <w:rPr>
          <w:rFonts w:asciiTheme="minorHAnsi" w:eastAsiaTheme="minorEastAsia" w:hAnsiTheme="minorHAnsi" w:cstheme="minorBidi"/>
          <w:color w:val="auto"/>
          <w:kern w:val="2"/>
          <w:sz w:val="24"/>
          <w:szCs w:val="21"/>
          <w:lang w:bidi="ne-NP"/>
          <w14:ligatures w14:val="standardContextual"/>
        </w:rPr>
      </w:pPr>
      <w:hyperlink w:anchor="_Toc202187873" w:history="1">
        <w:r w:rsidRPr="001A7E4E">
          <w:rPr>
            <w:rStyle w:val="Hyperlink"/>
          </w:rPr>
          <w:t>A.7</w:t>
        </w:r>
        <w:r>
          <w:rPr>
            <w:rFonts w:asciiTheme="minorHAnsi" w:eastAsiaTheme="minorEastAsia" w:hAnsiTheme="minorHAnsi" w:cstheme="minorBidi"/>
            <w:color w:val="auto"/>
            <w:kern w:val="2"/>
            <w:sz w:val="24"/>
            <w:szCs w:val="21"/>
            <w:lang w:bidi="ne-NP"/>
            <w14:ligatures w14:val="standardContextual"/>
          </w:rPr>
          <w:tab/>
        </w:r>
        <w:r w:rsidRPr="001A7E4E">
          <w:rPr>
            <w:rStyle w:val="Hyperlink"/>
          </w:rPr>
          <w:t>Gwydir River System stream metabolism – flow relationship plots</w:t>
        </w:r>
        <w:r>
          <w:rPr>
            <w:webHidden/>
          </w:rPr>
          <w:tab/>
        </w:r>
        <w:r>
          <w:rPr>
            <w:webHidden/>
          </w:rPr>
          <w:fldChar w:fldCharType="begin"/>
        </w:r>
        <w:r>
          <w:rPr>
            <w:webHidden/>
          </w:rPr>
          <w:instrText xml:space="preserve"> PAGEREF _Toc202187873 \h </w:instrText>
        </w:r>
        <w:r>
          <w:rPr>
            <w:webHidden/>
          </w:rPr>
        </w:r>
        <w:r>
          <w:rPr>
            <w:webHidden/>
          </w:rPr>
          <w:fldChar w:fldCharType="separate"/>
        </w:r>
        <w:r>
          <w:rPr>
            <w:webHidden/>
          </w:rPr>
          <w:t>57</w:t>
        </w:r>
        <w:r>
          <w:rPr>
            <w:webHidden/>
          </w:rPr>
          <w:fldChar w:fldCharType="end"/>
        </w:r>
      </w:hyperlink>
    </w:p>
    <w:p w14:paraId="0C9EFCC0" w14:textId="19CFBE38"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74" w:history="1">
        <w:r w:rsidRPr="001A7E4E">
          <w:rPr>
            <w:rStyle w:val="Hyperlink"/>
          </w:rPr>
          <w:t>Abbreviations and terms</w:t>
        </w:r>
        <w:r>
          <w:rPr>
            <w:webHidden/>
          </w:rPr>
          <w:tab/>
        </w:r>
        <w:r>
          <w:rPr>
            <w:webHidden/>
          </w:rPr>
          <w:fldChar w:fldCharType="begin"/>
        </w:r>
        <w:r>
          <w:rPr>
            <w:webHidden/>
          </w:rPr>
          <w:instrText xml:space="preserve"> PAGEREF _Toc202187874 \h </w:instrText>
        </w:r>
        <w:r>
          <w:rPr>
            <w:webHidden/>
          </w:rPr>
        </w:r>
        <w:r>
          <w:rPr>
            <w:webHidden/>
          </w:rPr>
          <w:fldChar w:fldCharType="separate"/>
        </w:r>
        <w:r>
          <w:rPr>
            <w:webHidden/>
          </w:rPr>
          <w:t>60</w:t>
        </w:r>
        <w:r>
          <w:rPr>
            <w:webHidden/>
          </w:rPr>
          <w:fldChar w:fldCharType="end"/>
        </w:r>
      </w:hyperlink>
    </w:p>
    <w:p w14:paraId="4A52FB2F" w14:textId="38AB9F14" w:rsidR="00835C8B" w:rsidRDefault="00835C8B">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187875" w:history="1">
        <w:r w:rsidRPr="001A7E4E">
          <w:rPr>
            <w:rStyle w:val="Hyperlink"/>
          </w:rPr>
          <w:t>References</w:t>
        </w:r>
        <w:r w:rsidR="006C5878">
          <w:rPr>
            <w:rStyle w:val="Hyperlink"/>
          </w:rPr>
          <w:tab/>
        </w:r>
        <w:r>
          <w:rPr>
            <w:webHidden/>
          </w:rPr>
          <w:tab/>
        </w:r>
        <w:r>
          <w:rPr>
            <w:webHidden/>
          </w:rPr>
          <w:fldChar w:fldCharType="begin"/>
        </w:r>
        <w:r>
          <w:rPr>
            <w:webHidden/>
          </w:rPr>
          <w:instrText xml:space="preserve"> PAGEREF _Toc202187875 \h </w:instrText>
        </w:r>
        <w:r>
          <w:rPr>
            <w:webHidden/>
          </w:rPr>
        </w:r>
        <w:r>
          <w:rPr>
            <w:webHidden/>
          </w:rPr>
          <w:fldChar w:fldCharType="separate"/>
        </w:r>
        <w:r>
          <w:rPr>
            <w:webHidden/>
          </w:rPr>
          <w:t>61</w:t>
        </w:r>
        <w:r>
          <w:rPr>
            <w:webHidden/>
          </w:rPr>
          <w:fldChar w:fldCharType="end"/>
        </w:r>
      </w:hyperlink>
    </w:p>
    <w:p w14:paraId="38CDD0FE" w14:textId="6C7B2512" w:rsidR="005157A0" w:rsidRPr="00C601A2" w:rsidRDefault="008A4989" w:rsidP="009611FC">
      <w:pPr>
        <w:pStyle w:val="TableofFigures"/>
      </w:pPr>
      <w:r>
        <w:fldChar w:fldCharType="end"/>
      </w:r>
    </w:p>
    <w:p w14:paraId="175BE243" w14:textId="77777777" w:rsidR="00A943B2" w:rsidRPr="00C601A2" w:rsidRDefault="004D139E" w:rsidP="00614DD4">
      <w:pPr>
        <w:pStyle w:val="ListofFiguresandTablesTOCHeading"/>
        <w:pageBreakBefore/>
        <w:spacing w:before="0"/>
      </w:pPr>
      <w:bookmarkStart w:id="58" w:name="_Toc71298429"/>
      <w:r w:rsidRPr="00C601A2">
        <w:lastRenderedPageBreak/>
        <w:t>F</w:t>
      </w:r>
      <w:r w:rsidR="00A943B2" w:rsidRPr="00C601A2">
        <w:t>igures</w:t>
      </w:r>
      <w:bookmarkEnd w:id="58"/>
    </w:p>
    <w:p w14:paraId="48A9C75F" w14:textId="41047D21" w:rsidR="00835C8B" w:rsidRDefault="007C1C6E">
      <w:pPr>
        <w:pStyle w:val="TableofFigures"/>
        <w:rPr>
          <w:rFonts w:asciiTheme="minorHAnsi" w:eastAsiaTheme="minorEastAsia" w:hAnsiTheme="minorHAnsi" w:cstheme="minorBidi"/>
          <w:color w:val="auto"/>
          <w:kern w:val="2"/>
          <w:sz w:val="24"/>
          <w:szCs w:val="21"/>
          <w:lang w:bidi="ne-NP"/>
          <w14:ligatures w14:val="standardContextual"/>
        </w:rPr>
      </w:pPr>
      <w:r w:rsidRPr="00C601A2">
        <w:rPr>
          <w:color w:val="2B579A"/>
          <w:shd w:val="clear" w:color="auto" w:fill="E6E6E6"/>
        </w:rPr>
        <w:fldChar w:fldCharType="begin"/>
      </w:r>
      <w:r w:rsidRPr="00C601A2">
        <w:instrText xml:space="preserve"> TOC \h \z \c "Figure" </w:instrText>
      </w:r>
      <w:r w:rsidRPr="00C601A2">
        <w:rPr>
          <w:color w:val="2B579A"/>
          <w:shd w:val="clear" w:color="auto" w:fill="E6E6E6"/>
        </w:rPr>
        <w:fldChar w:fldCharType="separate"/>
      </w:r>
      <w:hyperlink w:anchor="_Toc202187876" w:history="1">
        <w:r w:rsidR="00835C8B" w:rsidRPr="00AD769A">
          <w:rPr>
            <w:rStyle w:val="Hyperlink"/>
          </w:rPr>
          <w:t>Figure 1 Schematic of the components of the Basin-scale evaluation</w:t>
        </w:r>
        <w:r w:rsidR="00835C8B">
          <w:rPr>
            <w:webHidden/>
          </w:rPr>
          <w:tab/>
        </w:r>
        <w:r w:rsidR="00835C8B">
          <w:rPr>
            <w:webHidden/>
          </w:rPr>
          <w:fldChar w:fldCharType="begin"/>
        </w:r>
        <w:r w:rsidR="00835C8B">
          <w:rPr>
            <w:webHidden/>
          </w:rPr>
          <w:instrText xml:space="preserve"> PAGEREF _Toc202187876 \h </w:instrText>
        </w:r>
        <w:r w:rsidR="00835C8B">
          <w:rPr>
            <w:webHidden/>
          </w:rPr>
        </w:r>
        <w:r w:rsidR="00835C8B">
          <w:rPr>
            <w:webHidden/>
          </w:rPr>
          <w:fldChar w:fldCharType="separate"/>
        </w:r>
        <w:r w:rsidR="00835C8B">
          <w:rPr>
            <w:webHidden/>
          </w:rPr>
          <w:t>viii</w:t>
        </w:r>
        <w:r w:rsidR="00835C8B">
          <w:rPr>
            <w:webHidden/>
          </w:rPr>
          <w:fldChar w:fldCharType="end"/>
        </w:r>
      </w:hyperlink>
    </w:p>
    <w:p w14:paraId="34526CAA" w14:textId="3535737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77" w:history="1">
        <w:r w:rsidRPr="00AD769A">
          <w:rPr>
            <w:rStyle w:val="Hyperlink"/>
          </w:rPr>
          <w:t>Figure 2 The 7 Selected Areas (left map) and 25 valleys (right map) established for long-term monitoring of the impacts of environmental watering under the Long Term Intervention Monitoring Project and Flow-MER (2014–15 to present)</w:t>
        </w:r>
        <w:r>
          <w:rPr>
            <w:webHidden/>
          </w:rPr>
          <w:tab/>
        </w:r>
        <w:r>
          <w:rPr>
            <w:webHidden/>
          </w:rPr>
          <w:fldChar w:fldCharType="begin"/>
        </w:r>
        <w:r>
          <w:rPr>
            <w:webHidden/>
          </w:rPr>
          <w:instrText xml:space="preserve"> PAGEREF _Toc202187877 \h </w:instrText>
        </w:r>
        <w:r>
          <w:rPr>
            <w:webHidden/>
          </w:rPr>
        </w:r>
        <w:r>
          <w:rPr>
            <w:webHidden/>
          </w:rPr>
          <w:fldChar w:fldCharType="separate"/>
        </w:r>
        <w:r>
          <w:rPr>
            <w:webHidden/>
          </w:rPr>
          <w:t>viii</w:t>
        </w:r>
        <w:r>
          <w:rPr>
            <w:webHidden/>
          </w:rPr>
          <w:fldChar w:fldCharType="end"/>
        </w:r>
      </w:hyperlink>
    </w:p>
    <w:p w14:paraId="591F97D6" w14:textId="70266F18"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78" w:history="1">
        <w:r w:rsidRPr="00AD769A">
          <w:rPr>
            <w:rStyle w:val="Hyperlink"/>
          </w:rPr>
          <w:t>Figure 1.1 Schematic of key elements of stream metabolism and water quality indicators</w:t>
        </w:r>
        <w:r>
          <w:rPr>
            <w:webHidden/>
          </w:rPr>
          <w:tab/>
        </w:r>
        <w:r>
          <w:rPr>
            <w:webHidden/>
          </w:rPr>
          <w:fldChar w:fldCharType="begin"/>
        </w:r>
        <w:r>
          <w:rPr>
            <w:webHidden/>
          </w:rPr>
          <w:instrText xml:space="preserve"> PAGEREF _Toc202187878 \h </w:instrText>
        </w:r>
        <w:r>
          <w:rPr>
            <w:webHidden/>
          </w:rPr>
        </w:r>
        <w:r>
          <w:rPr>
            <w:webHidden/>
          </w:rPr>
          <w:fldChar w:fldCharType="separate"/>
        </w:r>
        <w:r>
          <w:rPr>
            <w:webHidden/>
          </w:rPr>
          <w:t>1</w:t>
        </w:r>
        <w:r>
          <w:rPr>
            <w:webHidden/>
          </w:rPr>
          <w:fldChar w:fldCharType="end"/>
        </w:r>
      </w:hyperlink>
    </w:p>
    <w:p w14:paraId="2C10E408" w14:textId="22FC301C"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79" w:history="1">
        <w:r w:rsidRPr="00AD769A">
          <w:rPr>
            <w:rStyle w:val="Hyperlink"/>
          </w:rPr>
          <w:t>Figure .1 Conceptual model of the approach within the Flow-MER Basin-scale Food Webs and Water Quality Theme evaluation to measuring metabolic responses to Commonwealth environmental water</w:t>
        </w:r>
        <w:r>
          <w:rPr>
            <w:webHidden/>
          </w:rPr>
          <w:tab/>
        </w:r>
        <w:r>
          <w:rPr>
            <w:webHidden/>
          </w:rPr>
          <w:fldChar w:fldCharType="begin"/>
        </w:r>
        <w:r>
          <w:rPr>
            <w:webHidden/>
          </w:rPr>
          <w:instrText xml:space="preserve"> PAGEREF _Toc202187879 \h </w:instrText>
        </w:r>
        <w:r>
          <w:rPr>
            <w:webHidden/>
          </w:rPr>
        </w:r>
        <w:r>
          <w:rPr>
            <w:webHidden/>
          </w:rPr>
          <w:fldChar w:fldCharType="separate"/>
        </w:r>
        <w:r>
          <w:rPr>
            <w:webHidden/>
          </w:rPr>
          <w:t>5</w:t>
        </w:r>
        <w:r>
          <w:rPr>
            <w:webHidden/>
          </w:rPr>
          <w:fldChar w:fldCharType="end"/>
        </w:r>
      </w:hyperlink>
    </w:p>
    <w:p w14:paraId="1F08C0FA" w14:textId="6A4B2C61"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0" w:history="1">
        <w:r w:rsidRPr="00AD769A">
          <w:rPr>
            <w:rStyle w:val="Hyperlink"/>
          </w:rPr>
          <w:t>Figure .1 Variation in metabolic fingerprints across the 7 Selected Areas, 2023–24</w:t>
        </w:r>
        <w:r>
          <w:rPr>
            <w:webHidden/>
          </w:rPr>
          <w:tab/>
        </w:r>
        <w:r>
          <w:rPr>
            <w:webHidden/>
          </w:rPr>
          <w:fldChar w:fldCharType="begin"/>
        </w:r>
        <w:r>
          <w:rPr>
            <w:webHidden/>
          </w:rPr>
          <w:instrText xml:space="preserve"> PAGEREF _Toc202187880 \h </w:instrText>
        </w:r>
        <w:r>
          <w:rPr>
            <w:webHidden/>
          </w:rPr>
        </w:r>
        <w:r>
          <w:rPr>
            <w:webHidden/>
          </w:rPr>
          <w:fldChar w:fldCharType="separate"/>
        </w:r>
        <w:r>
          <w:rPr>
            <w:webHidden/>
          </w:rPr>
          <w:t>10</w:t>
        </w:r>
        <w:r>
          <w:rPr>
            <w:webHidden/>
          </w:rPr>
          <w:fldChar w:fldCharType="end"/>
        </w:r>
      </w:hyperlink>
    </w:p>
    <w:p w14:paraId="2DE007E5" w14:textId="5024922F"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1" w:history="1">
        <w:r w:rsidRPr="00AD769A">
          <w:rPr>
            <w:rStyle w:val="Hyperlink"/>
          </w:rPr>
          <w:t>Figure .1 Maps of annual rainfall conditions, 2014–24</w:t>
        </w:r>
        <w:r>
          <w:rPr>
            <w:webHidden/>
          </w:rPr>
          <w:tab/>
        </w:r>
        <w:r>
          <w:rPr>
            <w:webHidden/>
          </w:rPr>
          <w:fldChar w:fldCharType="begin"/>
        </w:r>
        <w:r>
          <w:rPr>
            <w:webHidden/>
          </w:rPr>
          <w:instrText xml:space="preserve"> PAGEREF _Toc202187881 \h </w:instrText>
        </w:r>
        <w:r>
          <w:rPr>
            <w:webHidden/>
          </w:rPr>
        </w:r>
        <w:r>
          <w:rPr>
            <w:webHidden/>
          </w:rPr>
          <w:fldChar w:fldCharType="separate"/>
        </w:r>
        <w:r>
          <w:rPr>
            <w:webHidden/>
          </w:rPr>
          <w:t>16</w:t>
        </w:r>
        <w:r>
          <w:rPr>
            <w:webHidden/>
          </w:rPr>
          <w:fldChar w:fldCharType="end"/>
        </w:r>
      </w:hyperlink>
    </w:p>
    <w:p w14:paraId="069BA434" w14:textId="3F7A7BEA"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2" w:history="1">
        <w:r w:rsidRPr="00AD769A">
          <w:rPr>
            <w:rStyle w:val="Hyperlink"/>
          </w:rPr>
          <w:t>Figure .2 Number of Commonwealth environmental watering actions and corresponding total volume linked to objectives for water quality and ecosystem processes or food webs for each water year, 2014–24</w:t>
        </w:r>
        <w:r>
          <w:rPr>
            <w:webHidden/>
          </w:rPr>
          <w:tab/>
        </w:r>
        <w:r>
          <w:rPr>
            <w:webHidden/>
          </w:rPr>
          <w:fldChar w:fldCharType="begin"/>
        </w:r>
        <w:r>
          <w:rPr>
            <w:webHidden/>
          </w:rPr>
          <w:instrText xml:space="preserve"> PAGEREF _Toc202187882 \h </w:instrText>
        </w:r>
        <w:r>
          <w:rPr>
            <w:webHidden/>
          </w:rPr>
        </w:r>
        <w:r>
          <w:rPr>
            <w:webHidden/>
          </w:rPr>
          <w:fldChar w:fldCharType="separate"/>
        </w:r>
        <w:r>
          <w:rPr>
            <w:webHidden/>
          </w:rPr>
          <w:t>17</w:t>
        </w:r>
        <w:r>
          <w:rPr>
            <w:webHidden/>
          </w:rPr>
          <w:fldChar w:fldCharType="end"/>
        </w:r>
      </w:hyperlink>
    </w:p>
    <w:p w14:paraId="1BF7015C" w14:textId="1F6AE11B"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3" w:history="1">
        <w:r w:rsidRPr="00AD769A">
          <w:rPr>
            <w:rStyle w:val="Hyperlink"/>
          </w:rPr>
          <w:t>Figure .3 Longer-term 2014–23 metabolic fingerprints (contour lines) overlaid with the 2023–24 metabolic fingerprint (dots) for Selected Areas</w:t>
        </w:r>
        <w:r>
          <w:rPr>
            <w:webHidden/>
          </w:rPr>
          <w:tab/>
        </w:r>
        <w:r>
          <w:rPr>
            <w:webHidden/>
          </w:rPr>
          <w:fldChar w:fldCharType="begin"/>
        </w:r>
        <w:r>
          <w:rPr>
            <w:webHidden/>
          </w:rPr>
          <w:instrText xml:space="preserve"> PAGEREF _Toc202187883 \h </w:instrText>
        </w:r>
        <w:r>
          <w:rPr>
            <w:webHidden/>
          </w:rPr>
        </w:r>
        <w:r>
          <w:rPr>
            <w:webHidden/>
          </w:rPr>
          <w:fldChar w:fldCharType="separate"/>
        </w:r>
        <w:r>
          <w:rPr>
            <w:webHidden/>
          </w:rPr>
          <w:t>19</w:t>
        </w:r>
        <w:r>
          <w:rPr>
            <w:webHidden/>
          </w:rPr>
          <w:fldChar w:fldCharType="end"/>
        </w:r>
      </w:hyperlink>
    </w:p>
    <w:p w14:paraId="6DFBEF2D" w14:textId="5E2472FA"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4" w:history="1">
        <w:r w:rsidRPr="00AD769A">
          <w:rPr>
            <w:rStyle w:val="Hyperlink"/>
          </w:rPr>
          <w:t>Figure .4 Relationship between stream metabolism and flow at Loch Garry gauge, Goulburn River</w:t>
        </w:r>
        <w:r>
          <w:rPr>
            <w:webHidden/>
          </w:rPr>
          <w:tab/>
        </w:r>
        <w:r>
          <w:rPr>
            <w:webHidden/>
          </w:rPr>
          <w:fldChar w:fldCharType="begin"/>
        </w:r>
        <w:r>
          <w:rPr>
            <w:webHidden/>
          </w:rPr>
          <w:instrText xml:space="preserve"> PAGEREF _Toc202187884 \h </w:instrText>
        </w:r>
        <w:r>
          <w:rPr>
            <w:webHidden/>
          </w:rPr>
        </w:r>
        <w:r>
          <w:rPr>
            <w:webHidden/>
          </w:rPr>
          <w:fldChar w:fldCharType="separate"/>
        </w:r>
        <w:r>
          <w:rPr>
            <w:webHidden/>
          </w:rPr>
          <w:t>23</w:t>
        </w:r>
        <w:r>
          <w:rPr>
            <w:webHidden/>
          </w:rPr>
          <w:fldChar w:fldCharType="end"/>
        </w:r>
      </w:hyperlink>
    </w:p>
    <w:p w14:paraId="7513797F" w14:textId="54DE1986"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5" w:history="1">
        <w:r w:rsidRPr="00AD769A">
          <w:rPr>
            <w:rStyle w:val="Hyperlink"/>
          </w:rPr>
          <w:t>Figure .5 Relationship between stream metabolism and flow at McCoys Bridge, Goulburn River</w:t>
        </w:r>
        <w:r>
          <w:rPr>
            <w:webHidden/>
          </w:rPr>
          <w:tab/>
        </w:r>
        <w:r>
          <w:rPr>
            <w:webHidden/>
          </w:rPr>
          <w:fldChar w:fldCharType="begin"/>
        </w:r>
        <w:r>
          <w:rPr>
            <w:webHidden/>
          </w:rPr>
          <w:instrText xml:space="preserve"> PAGEREF _Toc202187885 \h </w:instrText>
        </w:r>
        <w:r>
          <w:rPr>
            <w:webHidden/>
          </w:rPr>
        </w:r>
        <w:r>
          <w:rPr>
            <w:webHidden/>
          </w:rPr>
          <w:fldChar w:fldCharType="separate"/>
        </w:r>
        <w:r>
          <w:rPr>
            <w:webHidden/>
          </w:rPr>
          <w:t>24</w:t>
        </w:r>
        <w:r>
          <w:rPr>
            <w:webHidden/>
          </w:rPr>
          <w:fldChar w:fldCharType="end"/>
        </w:r>
      </w:hyperlink>
    </w:p>
    <w:p w14:paraId="0728E990" w14:textId="1B6CF50D"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6" w:history="1">
        <w:r w:rsidRPr="00AD769A">
          <w:rPr>
            <w:rStyle w:val="Hyperlink"/>
          </w:rPr>
          <w:t>Figure .1 Plot of generalised additive model (GAM) results</w:t>
        </w:r>
        <w:r>
          <w:rPr>
            <w:webHidden/>
          </w:rPr>
          <w:tab/>
        </w:r>
        <w:r>
          <w:rPr>
            <w:webHidden/>
          </w:rPr>
          <w:fldChar w:fldCharType="begin"/>
        </w:r>
        <w:r>
          <w:rPr>
            <w:webHidden/>
          </w:rPr>
          <w:instrText xml:space="preserve"> PAGEREF _Toc202187886 \h </w:instrText>
        </w:r>
        <w:r>
          <w:rPr>
            <w:webHidden/>
          </w:rPr>
        </w:r>
        <w:r>
          <w:rPr>
            <w:webHidden/>
          </w:rPr>
          <w:fldChar w:fldCharType="separate"/>
        </w:r>
        <w:r>
          <w:rPr>
            <w:webHidden/>
          </w:rPr>
          <w:t>28</w:t>
        </w:r>
        <w:r>
          <w:rPr>
            <w:webHidden/>
          </w:rPr>
          <w:fldChar w:fldCharType="end"/>
        </w:r>
      </w:hyperlink>
    </w:p>
    <w:p w14:paraId="4794E67E" w14:textId="62A2E83D"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7" w:history="1">
        <w:r w:rsidRPr="00AD769A">
          <w:rPr>
            <w:rStyle w:val="Hyperlink"/>
          </w:rPr>
          <w:t>Figure .2 Effect of Commonwealth environmental water contribution to flow on the predicted change in annual gross primary production compared to the counterfactual scenario</w:t>
        </w:r>
        <w:r>
          <w:rPr>
            <w:webHidden/>
          </w:rPr>
          <w:tab/>
        </w:r>
        <w:r>
          <w:rPr>
            <w:webHidden/>
          </w:rPr>
          <w:fldChar w:fldCharType="begin"/>
        </w:r>
        <w:r>
          <w:rPr>
            <w:webHidden/>
          </w:rPr>
          <w:instrText xml:space="preserve"> PAGEREF _Toc202187887 \h </w:instrText>
        </w:r>
        <w:r>
          <w:rPr>
            <w:webHidden/>
          </w:rPr>
        </w:r>
        <w:r>
          <w:rPr>
            <w:webHidden/>
          </w:rPr>
          <w:fldChar w:fldCharType="separate"/>
        </w:r>
        <w:r>
          <w:rPr>
            <w:webHidden/>
          </w:rPr>
          <w:t>29</w:t>
        </w:r>
        <w:r>
          <w:rPr>
            <w:webHidden/>
          </w:rPr>
          <w:fldChar w:fldCharType="end"/>
        </w:r>
      </w:hyperlink>
    </w:p>
    <w:p w14:paraId="365B5DEB" w14:textId="0666CEBC"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8" w:history="1">
        <w:r w:rsidRPr="00AD769A">
          <w:rPr>
            <w:rStyle w:val="Hyperlink"/>
          </w:rPr>
          <w:t>Figure .3 Counterfactual gross primary production (GPP) predictions for one site in the Lower Murray River Selected Area over 2 years</w:t>
        </w:r>
        <w:r>
          <w:rPr>
            <w:webHidden/>
          </w:rPr>
          <w:tab/>
        </w:r>
        <w:r>
          <w:rPr>
            <w:webHidden/>
          </w:rPr>
          <w:fldChar w:fldCharType="begin"/>
        </w:r>
        <w:r>
          <w:rPr>
            <w:webHidden/>
          </w:rPr>
          <w:instrText xml:space="preserve"> PAGEREF _Toc202187888 \h </w:instrText>
        </w:r>
        <w:r>
          <w:rPr>
            <w:webHidden/>
          </w:rPr>
        </w:r>
        <w:r>
          <w:rPr>
            <w:webHidden/>
          </w:rPr>
          <w:fldChar w:fldCharType="separate"/>
        </w:r>
        <w:r>
          <w:rPr>
            <w:webHidden/>
          </w:rPr>
          <w:t>29</w:t>
        </w:r>
        <w:r>
          <w:rPr>
            <w:webHidden/>
          </w:rPr>
          <w:fldChar w:fldCharType="end"/>
        </w:r>
      </w:hyperlink>
    </w:p>
    <w:p w14:paraId="6A2EDAA8" w14:textId="286FA42A"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89" w:history="1">
        <w:r w:rsidRPr="00AD769A">
          <w:rPr>
            <w:rStyle w:val="Hyperlink"/>
          </w:rPr>
          <w:t>Figure .4 Counterfactual gross primary production (GPP) predictions for Hopwood in the Edward/Kolety–Wakool river systems Selected Area in 2016–17</w:t>
        </w:r>
        <w:r>
          <w:rPr>
            <w:webHidden/>
          </w:rPr>
          <w:tab/>
        </w:r>
        <w:r>
          <w:rPr>
            <w:webHidden/>
          </w:rPr>
          <w:fldChar w:fldCharType="begin"/>
        </w:r>
        <w:r>
          <w:rPr>
            <w:webHidden/>
          </w:rPr>
          <w:instrText xml:space="preserve"> PAGEREF _Toc202187889 \h </w:instrText>
        </w:r>
        <w:r>
          <w:rPr>
            <w:webHidden/>
          </w:rPr>
        </w:r>
        <w:r>
          <w:rPr>
            <w:webHidden/>
          </w:rPr>
          <w:fldChar w:fldCharType="separate"/>
        </w:r>
        <w:r>
          <w:rPr>
            <w:webHidden/>
          </w:rPr>
          <w:t>30</w:t>
        </w:r>
        <w:r>
          <w:rPr>
            <w:webHidden/>
          </w:rPr>
          <w:fldChar w:fldCharType="end"/>
        </w:r>
      </w:hyperlink>
    </w:p>
    <w:p w14:paraId="22875A84" w14:textId="4DFCFFBF"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0" w:history="1">
        <w:r w:rsidRPr="00AD769A">
          <w:rPr>
            <w:rStyle w:val="Hyperlink"/>
          </w:rPr>
          <w:t>Figure .5 Counterfactual gross primary production (GPP) predictions for Lane’s Bridge in the Lachlan River System Selected Area</w:t>
        </w:r>
        <w:r>
          <w:rPr>
            <w:webHidden/>
          </w:rPr>
          <w:tab/>
        </w:r>
        <w:r>
          <w:rPr>
            <w:webHidden/>
          </w:rPr>
          <w:fldChar w:fldCharType="begin"/>
        </w:r>
        <w:r>
          <w:rPr>
            <w:webHidden/>
          </w:rPr>
          <w:instrText xml:space="preserve"> PAGEREF _Toc202187890 \h </w:instrText>
        </w:r>
        <w:r>
          <w:rPr>
            <w:webHidden/>
          </w:rPr>
        </w:r>
        <w:r>
          <w:rPr>
            <w:webHidden/>
          </w:rPr>
          <w:fldChar w:fldCharType="separate"/>
        </w:r>
        <w:r>
          <w:rPr>
            <w:webHidden/>
          </w:rPr>
          <w:t>30</w:t>
        </w:r>
        <w:r>
          <w:rPr>
            <w:webHidden/>
          </w:rPr>
          <w:fldChar w:fldCharType="end"/>
        </w:r>
      </w:hyperlink>
    </w:p>
    <w:p w14:paraId="043EAD92" w14:textId="77777777" w:rsidR="00835C8B" w:rsidRDefault="007C1C6E" w:rsidP="007E463F">
      <w:pPr>
        <w:pStyle w:val="TableofFigures"/>
      </w:pPr>
      <w:r w:rsidRPr="00C601A2">
        <w:rPr>
          <w:color w:val="2B579A"/>
          <w:shd w:val="clear" w:color="auto" w:fill="E6E6E6"/>
        </w:rPr>
        <w:fldChar w:fldCharType="end"/>
      </w:r>
      <w:r w:rsidRPr="00C601A2">
        <w:rPr>
          <w:color w:val="2B579A"/>
          <w:shd w:val="clear" w:color="auto" w:fill="E6E6E6"/>
        </w:rPr>
        <w:fldChar w:fldCharType="begin"/>
      </w:r>
      <w:r w:rsidRPr="00C601A2">
        <w:instrText xml:space="preserve"> TOC \h \z \c "Apx Figure" </w:instrText>
      </w:r>
      <w:r w:rsidRPr="00C601A2">
        <w:rPr>
          <w:color w:val="2B579A"/>
          <w:shd w:val="clear" w:color="auto" w:fill="E6E6E6"/>
        </w:rPr>
        <w:fldChar w:fldCharType="separate"/>
      </w:r>
    </w:p>
    <w:p w14:paraId="73956FAF" w14:textId="37FF7B77"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1" w:history="1">
        <w:r w:rsidRPr="00924108">
          <w:rPr>
            <w:rStyle w:val="Hyperlink"/>
          </w:rPr>
          <w:t>Figure A.1 Junction of Warrego and Darling rivers stream metabolism – flow relationship plots: WD_AKUNA</w:t>
        </w:r>
        <w:r>
          <w:rPr>
            <w:webHidden/>
          </w:rPr>
          <w:tab/>
        </w:r>
        <w:r>
          <w:rPr>
            <w:webHidden/>
          </w:rPr>
          <w:fldChar w:fldCharType="begin"/>
        </w:r>
        <w:r>
          <w:rPr>
            <w:webHidden/>
          </w:rPr>
          <w:instrText xml:space="preserve"> PAGEREF _Toc202187891 \h </w:instrText>
        </w:r>
        <w:r>
          <w:rPr>
            <w:webHidden/>
          </w:rPr>
        </w:r>
        <w:r>
          <w:rPr>
            <w:webHidden/>
          </w:rPr>
          <w:fldChar w:fldCharType="separate"/>
        </w:r>
        <w:r>
          <w:rPr>
            <w:webHidden/>
          </w:rPr>
          <w:t>39</w:t>
        </w:r>
        <w:r>
          <w:rPr>
            <w:webHidden/>
          </w:rPr>
          <w:fldChar w:fldCharType="end"/>
        </w:r>
      </w:hyperlink>
    </w:p>
    <w:p w14:paraId="46EA8EE0" w14:textId="5C7BF6E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2" w:history="1">
        <w:r w:rsidRPr="00924108">
          <w:rPr>
            <w:rStyle w:val="Hyperlink"/>
          </w:rPr>
          <w:t>Figure A.2 Junction of Warrego and Darling rivers stream metabolism – flow relationship plots: WD_YANDA</w:t>
        </w:r>
        <w:r>
          <w:rPr>
            <w:webHidden/>
          </w:rPr>
          <w:tab/>
        </w:r>
        <w:r>
          <w:rPr>
            <w:webHidden/>
          </w:rPr>
          <w:fldChar w:fldCharType="begin"/>
        </w:r>
        <w:r>
          <w:rPr>
            <w:webHidden/>
          </w:rPr>
          <w:instrText xml:space="preserve"> PAGEREF _Toc202187892 \h </w:instrText>
        </w:r>
        <w:r>
          <w:rPr>
            <w:webHidden/>
          </w:rPr>
        </w:r>
        <w:r>
          <w:rPr>
            <w:webHidden/>
          </w:rPr>
          <w:fldChar w:fldCharType="separate"/>
        </w:r>
        <w:r>
          <w:rPr>
            <w:webHidden/>
          </w:rPr>
          <w:t>40</w:t>
        </w:r>
        <w:r>
          <w:rPr>
            <w:webHidden/>
          </w:rPr>
          <w:fldChar w:fldCharType="end"/>
        </w:r>
      </w:hyperlink>
    </w:p>
    <w:p w14:paraId="2F77FC6C" w14:textId="193C6E15"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3" w:history="1">
        <w:r w:rsidRPr="00924108">
          <w:rPr>
            <w:rStyle w:val="Hyperlink"/>
          </w:rPr>
          <w:t>Figure A.3 Edward/Kolety</w:t>
        </w:r>
        <w:r w:rsidRPr="00924108">
          <w:rPr>
            <w:rStyle w:val="Hyperlink"/>
            <w:rFonts w:cs="Calibri"/>
          </w:rPr>
          <w:t>–</w:t>
        </w:r>
        <w:r w:rsidRPr="00924108">
          <w:rPr>
            <w:rStyle w:val="Hyperlink"/>
          </w:rPr>
          <w:t>Wakool river systems stream metabolism – flow relationship plots: Hopwood</w:t>
        </w:r>
        <w:r>
          <w:rPr>
            <w:webHidden/>
          </w:rPr>
          <w:tab/>
        </w:r>
        <w:r>
          <w:rPr>
            <w:webHidden/>
          </w:rPr>
          <w:fldChar w:fldCharType="begin"/>
        </w:r>
        <w:r>
          <w:rPr>
            <w:webHidden/>
          </w:rPr>
          <w:instrText xml:space="preserve"> PAGEREF _Toc202187893 \h </w:instrText>
        </w:r>
        <w:r>
          <w:rPr>
            <w:webHidden/>
          </w:rPr>
        </w:r>
        <w:r>
          <w:rPr>
            <w:webHidden/>
          </w:rPr>
          <w:fldChar w:fldCharType="separate"/>
        </w:r>
        <w:r>
          <w:rPr>
            <w:webHidden/>
          </w:rPr>
          <w:t>40</w:t>
        </w:r>
        <w:r>
          <w:rPr>
            <w:webHidden/>
          </w:rPr>
          <w:fldChar w:fldCharType="end"/>
        </w:r>
      </w:hyperlink>
    </w:p>
    <w:p w14:paraId="291B74EE" w14:textId="4D4EA6D6"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4" w:history="1">
        <w:r w:rsidRPr="00924108">
          <w:rPr>
            <w:rStyle w:val="Hyperlink"/>
          </w:rPr>
          <w:t>Figure A.4 Edward/Kolety</w:t>
        </w:r>
        <w:r w:rsidRPr="00924108">
          <w:rPr>
            <w:rStyle w:val="Hyperlink"/>
            <w:rFonts w:cs="Calibri"/>
          </w:rPr>
          <w:t>–</w:t>
        </w:r>
        <w:r w:rsidRPr="00924108">
          <w:rPr>
            <w:rStyle w:val="Hyperlink"/>
          </w:rPr>
          <w:t>Wakool river systems stream metabolism – flow relationship plots: Llanos Park 2</w:t>
        </w:r>
        <w:r>
          <w:rPr>
            <w:webHidden/>
          </w:rPr>
          <w:tab/>
        </w:r>
        <w:r>
          <w:rPr>
            <w:webHidden/>
          </w:rPr>
          <w:fldChar w:fldCharType="begin"/>
        </w:r>
        <w:r>
          <w:rPr>
            <w:webHidden/>
          </w:rPr>
          <w:instrText xml:space="preserve"> PAGEREF _Toc202187894 \h </w:instrText>
        </w:r>
        <w:r>
          <w:rPr>
            <w:webHidden/>
          </w:rPr>
        </w:r>
        <w:r>
          <w:rPr>
            <w:webHidden/>
          </w:rPr>
          <w:fldChar w:fldCharType="separate"/>
        </w:r>
        <w:r>
          <w:rPr>
            <w:webHidden/>
          </w:rPr>
          <w:t>41</w:t>
        </w:r>
        <w:r>
          <w:rPr>
            <w:webHidden/>
          </w:rPr>
          <w:fldChar w:fldCharType="end"/>
        </w:r>
      </w:hyperlink>
    </w:p>
    <w:p w14:paraId="1D61A30F" w14:textId="44EF406B"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5" w:history="1">
        <w:r w:rsidRPr="00924108">
          <w:rPr>
            <w:rStyle w:val="Hyperlink"/>
          </w:rPr>
          <w:t>Figure A.5 Edward/Kolety</w:t>
        </w:r>
        <w:r w:rsidRPr="00924108">
          <w:rPr>
            <w:rStyle w:val="Hyperlink"/>
            <w:rFonts w:cs="Calibri"/>
          </w:rPr>
          <w:t>–</w:t>
        </w:r>
        <w:r w:rsidRPr="00924108">
          <w:rPr>
            <w:rStyle w:val="Hyperlink"/>
          </w:rPr>
          <w:t>Wakool river systems stream metabolism – flow relationship plots: Moulamein Road Bridge</w:t>
        </w:r>
        <w:r>
          <w:rPr>
            <w:webHidden/>
          </w:rPr>
          <w:tab/>
        </w:r>
        <w:r>
          <w:rPr>
            <w:webHidden/>
          </w:rPr>
          <w:fldChar w:fldCharType="begin"/>
        </w:r>
        <w:r>
          <w:rPr>
            <w:webHidden/>
          </w:rPr>
          <w:instrText xml:space="preserve"> PAGEREF _Toc202187895 \h </w:instrText>
        </w:r>
        <w:r>
          <w:rPr>
            <w:webHidden/>
          </w:rPr>
        </w:r>
        <w:r>
          <w:rPr>
            <w:webHidden/>
          </w:rPr>
          <w:fldChar w:fldCharType="separate"/>
        </w:r>
        <w:r>
          <w:rPr>
            <w:webHidden/>
          </w:rPr>
          <w:t>41</w:t>
        </w:r>
        <w:r>
          <w:rPr>
            <w:webHidden/>
          </w:rPr>
          <w:fldChar w:fldCharType="end"/>
        </w:r>
      </w:hyperlink>
    </w:p>
    <w:p w14:paraId="45B92CB3" w14:textId="40B8ACE0"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6" w:history="1">
        <w:r w:rsidRPr="00924108">
          <w:rPr>
            <w:rStyle w:val="Hyperlink"/>
          </w:rPr>
          <w:t>Figure A.6 Edward/Kolety–Wakool river systems stream metabolism – flow relationship plots: Noorong 2</w:t>
        </w:r>
        <w:r>
          <w:rPr>
            <w:webHidden/>
          </w:rPr>
          <w:tab/>
        </w:r>
        <w:r>
          <w:rPr>
            <w:webHidden/>
          </w:rPr>
          <w:fldChar w:fldCharType="begin"/>
        </w:r>
        <w:r>
          <w:rPr>
            <w:webHidden/>
          </w:rPr>
          <w:instrText xml:space="preserve"> PAGEREF _Toc202187896 \h </w:instrText>
        </w:r>
        <w:r>
          <w:rPr>
            <w:webHidden/>
          </w:rPr>
        </w:r>
        <w:r>
          <w:rPr>
            <w:webHidden/>
          </w:rPr>
          <w:fldChar w:fldCharType="separate"/>
        </w:r>
        <w:r>
          <w:rPr>
            <w:webHidden/>
          </w:rPr>
          <w:t>42</w:t>
        </w:r>
        <w:r>
          <w:rPr>
            <w:webHidden/>
          </w:rPr>
          <w:fldChar w:fldCharType="end"/>
        </w:r>
      </w:hyperlink>
    </w:p>
    <w:p w14:paraId="6BF495FB" w14:textId="5A4500DC"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7" w:history="1">
        <w:r w:rsidRPr="00924108">
          <w:rPr>
            <w:rStyle w:val="Hyperlink"/>
          </w:rPr>
          <w:t>Figure A.7 Edward/Kolety</w:t>
        </w:r>
        <w:r w:rsidRPr="00924108">
          <w:rPr>
            <w:rStyle w:val="Hyperlink"/>
            <w:rFonts w:cs="Calibri"/>
          </w:rPr>
          <w:t>–</w:t>
        </w:r>
        <w:r w:rsidRPr="00924108">
          <w:rPr>
            <w:rStyle w:val="Hyperlink"/>
          </w:rPr>
          <w:t>Wakool river systems stream metabolism – flow relationship plots: Old Morago Road</w:t>
        </w:r>
        <w:r>
          <w:rPr>
            <w:webHidden/>
          </w:rPr>
          <w:tab/>
        </w:r>
        <w:r>
          <w:rPr>
            <w:webHidden/>
          </w:rPr>
          <w:fldChar w:fldCharType="begin"/>
        </w:r>
        <w:r>
          <w:rPr>
            <w:webHidden/>
          </w:rPr>
          <w:instrText xml:space="preserve"> PAGEREF _Toc202187897 \h </w:instrText>
        </w:r>
        <w:r>
          <w:rPr>
            <w:webHidden/>
          </w:rPr>
        </w:r>
        <w:r>
          <w:rPr>
            <w:webHidden/>
          </w:rPr>
          <w:fldChar w:fldCharType="separate"/>
        </w:r>
        <w:r>
          <w:rPr>
            <w:webHidden/>
          </w:rPr>
          <w:t>42</w:t>
        </w:r>
        <w:r>
          <w:rPr>
            <w:webHidden/>
          </w:rPr>
          <w:fldChar w:fldCharType="end"/>
        </w:r>
      </w:hyperlink>
    </w:p>
    <w:p w14:paraId="212ABEEA" w14:textId="19D6ADF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8" w:history="1">
        <w:r w:rsidRPr="00924108">
          <w:rPr>
            <w:rStyle w:val="Hyperlink"/>
          </w:rPr>
          <w:t>Figure A.8 Edward/Kolety</w:t>
        </w:r>
        <w:r w:rsidRPr="00924108">
          <w:rPr>
            <w:rStyle w:val="Hyperlink"/>
            <w:rFonts w:cs="Calibri"/>
          </w:rPr>
          <w:t>–</w:t>
        </w:r>
        <w:r w:rsidRPr="00924108">
          <w:rPr>
            <w:rStyle w:val="Hyperlink"/>
          </w:rPr>
          <w:t>Wakool river systems stream metabolism – flow relationship plots: Widgee 1</w:t>
        </w:r>
        <w:r>
          <w:rPr>
            <w:webHidden/>
          </w:rPr>
          <w:tab/>
        </w:r>
        <w:r>
          <w:rPr>
            <w:webHidden/>
          </w:rPr>
          <w:fldChar w:fldCharType="begin"/>
        </w:r>
        <w:r>
          <w:rPr>
            <w:webHidden/>
          </w:rPr>
          <w:instrText xml:space="preserve"> PAGEREF _Toc202187898 \h </w:instrText>
        </w:r>
        <w:r>
          <w:rPr>
            <w:webHidden/>
          </w:rPr>
        </w:r>
        <w:r>
          <w:rPr>
            <w:webHidden/>
          </w:rPr>
          <w:fldChar w:fldCharType="separate"/>
        </w:r>
        <w:r>
          <w:rPr>
            <w:webHidden/>
          </w:rPr>
          <w:t>43</w:t>
        </w:r>
        <w:r>
          <w:rPr>
            <w:webHidden/>
          </w:rPr>
          <w:fldChar w:fldCharType="end"/>
        </w:r>
      </w:hyperlink>
    </w:p>
    <w:p w14:paraId="7FEACCE1" w14:textId="1B0FDB6B"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899" w:history="1">
        <w:r w:rsidRPr="00924108">
          <w:rPr>
            <w:rStyle w:val="Hyperlink"/>
          </w:rPr>
          <w:t>Figure A.9 Edward/Kolety–Wakool river systems stream metabolism – flow relationship plots: Windra Vale 2</w:t>
        </w:r>
        <w:r>
          <w:rPr>
            <w:webHidden/>
          </w:rPr>
          <w:tab/>
        </w:r>
        <w:r>
          <w:rPr>
            <w:webHidden/>
          </w:rPr>
          <w:fldChar w:fldCharType="begin"/>
        </w:r>
        <w:r>
          <w:rPr>
            <w:webHidden/>
          </w:rPr>
          <w:instrText xml:space="preserve"> PAGEREF _Toc202187899 \h </w:instrText>
        </w:r>
        <w:r>
          <w:rPr>
            <w:webHidden/>
          </w:rPr>
        </w:r>
        <w:r>
          <w:rPr>
            <w:webHidden/>
          </w:rPr>
          <w:fldChar w:fldCharType="separate"/>
        </w:r>
        <w:r>
          <w:rPr>
            <w:webHidden/>
          </w:rPr>
          <w:t>43</w:t>
        </w:r>
        <w:r>
          <w:rPr>
            <w:webHidden/>
          </w:rPr>
          <w:fldChar w:fldCharType="end"/>
        </w:r>
      </w:hyperlink>
    </w:p>
    <w:p w14:paraId="6DC2C494" w14:textId="10A8B19D"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0" w:history="1">
        <w:r w:rsidRPr="00924108">
          <w:rPr>
            <w:rStyle w:val="Hyperlink"/>
          </w:rPr>
          <w:t>Figure A.10 Edward/Kolety</w:t>
        </w:r>
        <w:r w:rsidRPr="00924108">
          <w:rPr>
            <w:rStyle w:val="Hyperlink"/>
            <w:rFonts w:cs="Calibri"/>
          </w:rPr>
          <w:t>–</w:t>
        </w:r>
        <w:r w:rsidRPr="00924108">
          <w:rPr>
            <w:rStyle w:val="Hyperlink"/>
          </w:rPr>
          <w:t>Wakool river systems stream metabolism – flow relationship plots: Cummins</w:t>
        </w:r>
        <w:r>
          <w:rPr>
            <w:webHidden/>
          </w:rPr>
          <w:tab/>
        </w:r>
        <w:r>
          <w:rPr>
            <w:webHidden/>
          </w:rPr>
          <w:fldChar w:fldCharType="begin"/>
        </w:r>
        <w:r>
          <w:rPr>
            <w:webHidden/>
          </w:rPr>
          <w:instrText xml:space="preserve"> PAGEREF _Toc202187900 \h </w:instrText>
        </w:r>
        <w:r>
          <w:rPr>
            <w:webHidden/>
          </w:rPr>
        </w:r>
        <w:r>
          <w:rPr>
            <w:webHidden/>
          </w:rPr>
          <w:fldChar w:fldCharType="separate"/>
        </w:r>
        <w:r>
          <w:rPr>
            <w:webHidden/>
          </w:rPr>
          <w:t>44</w:t>
        </w:r>
        <w:r>
          <w:rPr>
            <w:webHidden/>
          </w:rPr>
          <w:fldChar w:fldCharType="end"/>
        </w:r>
      </w:hyperlink>
    </w:p>
    <w:p w14:paraId="63FC50E2" w14:textId="04DA8BB7"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1" w:history="1">
        <w:r w:rsidRPr="00924108">
          <w:rPr>
            <w:rStyle w:val="Hyperlink"/>
          </w:rPr>
          <w:t>Figure A.11 Goulburn River stream metabolism – flow relationship plots: Arcadia Down</w:t>
        </w:r>
        <w:r>
          <w:rPr>
            <w:webHidden/>
          </w:rPr>
          <w:tab/>
        </w:r>
        <w:r>
          <w:rPr>
            <w:webHidden/>
          </w:rPr>
          <w:fldChar w:fldCharType="begin"/>
        </w:r>
        <w:r>
          <w:rPr>
            <w:webHidden/>
          </w:rPr>
          <w:instrText xml:space="preserve"> PAGEREF _Toc202187901 \h </w:instrText>
        </w:r>
        <w:r>
          <w:rPr>
            <w:webHidden/>
          </w:rPr>
        </w:r>
        <w:r>
          <w:rPr>
            <w:webHidden/>
          </w:rPr>
          <w:fldChar w:fldCharType="separate"/>
        </w:r>
        <w:r>
          <w:rPr>
            <w:webHidden/>
          </w:rPr>
          <w:t>44</w:t>
        </w:r>
        <w:r>
          <w:rPr>
            <w:webHidden/>
          </w:rPr>
          <w:fldChar w:fldCharType="end"/>
        </w:r>
      </w:hyperlink>
    </w:p>
    <w:p w14:paraId="61B7D653" w14:textId="4B80A41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2" w:history="1">
        <w:r w:rsidRPr="00924108">
          <w:rPr>
            <w:rStyle w:val="Hyperlink"/>
          </w:rPr>
          <w:t>Figure A.12 Goulburn River stream metabolism – flow relationship plots: Darcy’s Track</w:t>
        </w:r>
        <w:r>
          <w:rPr>
            <w:webHidden/>
          </w:rPr>
          <w:tab/>
        </w:r>
        <w:r>
          <w:rPr>
            <w:webHidden/>
          </w:rPr>
          <w:fldChar w:fldCharType="begin"/>
        </w:r>
        <w:r>
          <w:rPr>
            <w:webHidden/>
          </w:rPr>
          <w:instrText xml:space="preserve"> PAGEREF _Toc202187902 \h </w:instrText>
        </w:r>
        <w:r>
          <w:rPr>
            <w:webHidden/>
          </w:rPr>
        </w:r>
        <w:r>
          <w:rPr>
            <w:webHidden/>
          </w:rPr>
          <w:fldChar w:fldCharType="separate"/>
        </w:r>
        <w:r>
          <w:rPr>
            <w:webHidden/>
          </w:rPr>
          <w:t>45</w:t>
        </w:r>
        <w:r>
          <w:rPr>
            <w:webHidden/>
          </w:rPr>
          <w:fldChar w:fldCharType="end"/>
        </w:r>
      </w:hyperlink>
    </w:p>
    <w:p w14:paraId="64A62164" w14:textId="5CA66F03"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3" w:history="1">
        <w:r w:rsidRPr="00924108">
          <w:rPr>
            <w:rStyle w:val="Hyperlink"/>
          </w:rPr>
          <w:t>Figure A.13 Goulburn River stream metabolism – flow relationship plots: Day Road</w:t>
        </w:r>
        <w:r>
          <w:rPr>
            <w:webHidden/>
          </w:rPr>
          <w:tab/>
        </w:r>
        <w:r>
          <w:rPr>
            <w:webHidden/>
          </w:rPr>
          <w:fldChar w:fldCharType="begin"/>
        </w:r>
        <w:r>
          <w:rPr>
            <w:webHidden/>
          </w:rPr>
          <w:instrText xml:space="preserve"> PAGEREF _Toc202187903 \h </w:instrText>
        </w:r>
        <w:r>
          <w:rPr>
            <w:webHidden/>
          </w:rPr>
        </w:r>
        <w:r>
          <w:rPr>
            <w:webHidden/>
          </w:rPr>
          <w:fldChar w:fldCharType="separate"/>
        </w:r>
        <w:r>
          <w:rPr>
            <w:webHidden/>
          </w:rPr>
          <w:t>45</w:t>
        </w:r>
        <w:r>
          <w:rPr>
            <w:webHidden/>
          </w:rPr>
          <w:fldChar w:fldCharType="end"/>
        </w:r>
      </w:hyperlink>
    </w:p>
    <w:p w14:paraId="545BE11A" w14:textId="58887826"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4" w:history="1">
        <w:r w:rsidRPr="00924108">
          <w:rPr>
            <w:rStyle w:val="Hyperlink"/>
          </w:rPr>
          <w:t>Figure A.14 Goulburn River stream metabolism – flow relationship plots: Loch Garry Gauge</w:t>
        </w:r>
        <w:r>
          <w:rPr>
            <w:webHidden/>
          </w:rPr>
          <w:tab/>
        </w:r>
        <w:r>
          <w:rPr>
            <w:webHidden/>
          </w:rPr>
          <w:fldChar w:fldCharType="begin"/>
        </w:r>
        <w:r>
          <w:rPr>
            <w:webHidden/>
          </w:rPr>
          <w:instrText xml:space="preserve"> PAGEREF _Toc202187904 \h </w:instrText>
        </w:r>
        <w:r>
          <w:rPr>
            <w:webHidden/>
          </w:rPr>
        </w:r>
        <w:r>
          <w:rPr>
            <w:webHidden/>
          </w:rPr>
          <w:fldChar w:fldCharType="separate"/>
        </w:r>
        <w:r>
          <w:rPr>
            <w:webHidden/>
          </w:rPr>
          <w:t>46</w:t>
        </w:r>
        <w:r>
          <w:rPr>
            <w:webHidden/>
          </w:rPr>
          <w:fldChar w:fldCharType="end"/>
        </w:r>
      </w:hyperlink>
    </w:p>
    <w:p w14:paraId="63D7923D" w14:textId="7E56363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5" w:history="1">
        <w:r w:rsidRPr="00924108">
          <w:rPr>
            <w:rStyle w:val="Hyperlink"/>
          </w:rPr>
          <w:t>Figure A.15 Goulburn River stream metabolism – flow relationship plots: McCoys Bridge</w:t>
        </w:r>
        <w:r>
          <w:rPr>
            <w:webHidden/>
          </w:rPr>
          <w:tab/>
        </w:r>
        <w:r>
          <w:rPr>
            <w:webHidden/>
          </w:rPr>
          <w:fldChar w:fldCharType="begin"/>
        </w:r>
        <w:r>
          <w:rPr>
            <w:webHidden/>
          </w:rPr>
          <w:instrText xml:space="preserve"> PAGEREF _Toc202187905 \h </w:instrText>
        </w:r>
        <w:r>
          <w:rPr>
            <w:webHidden/>
          </w:rPr>
        </w:r>
        <w:r>
          <w:rPr>
            <w:webHidden/>
          </w:rPr>
          <w:fldChar w:fldCharType="separate"/>
        </w:r>
        <w:r>
          <w:rPr>
            <w:webHidden/>
          </w:rPr>
          <w:t>46</w:t>
        </w:r>
        <w:r>
          <w:rPr>
            <w:webHidden/>
          </w:rPr>
          <w:fldChar w:fldCharType="end"/>
        </w:r>
      </w:hyperlink>
    </w:p>
    <w:p w14:paraId="6012084C" w14:textId="1BF1E95E"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6" w:history="1">
        <w:r w:rsidRPr="00924108">
          <w:rPr>
            <w:rStyle w:val="Hyperlink"/>
          </w:rPr>
          <w:t>Figure A.16 Goulburn River stream metabolism – flow relationship plots: Moss Road</w:t>
        </w:r>
        <w:r>
          <w:rPr>
            <w:webHidden/>
          </w:rPr>
          <w:tab/>
        </w:r>
        <w:r>
          <w:rPr>
            <w:webHidden/>
          </w:rPr>
          <w:fldChar w:fldCharType="begin"/>
        </w:r>
        <w:r>
          <w:rPr>
            <w:webHidden/>
          </w:rPr>
          <w:instrText xml:space="preserve"> PAGEREF _Toc202187906 \h </w:instrText>
        </w:r>
        <w:r>
          <w:rPr>
            <w:webHidden/>
          </w:rPr>
        </w:r>
        <w:r>
          <w:rPr>
            <w:webHidden/>
          </w:rPr>
          <w:fldChar w:fldCharType="separate"/>
        </w:r>
        <w:r>
          <w:rPr>
            <w:webHidden/>
          </w:rPr>
          <w:t>47</w:t>
        </w:r>
        <w:r>
          <w:rPr>
            <w:webHidden/>
          </w:rPr>
          <w:fldChar w:fldCharType="end"/>
        </w:r>
      </w:hyperlink>
    </w:p>
    <w:p w14:paraId="2ED53928" w14:textId="4EADA1AB"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7" w:history="1">
        <w:r w:rsidRPr="00924108">
          <w:rPr>
            <w:rStyle w:val="Hyperlink"/>
          </w:rPr>
          <w:t>Figure A.17 Goulburn River stream metabolism – flow relationship plots: Murchison</w:t>
        </w:r>
        <w:r>
          <w:rPr>
            <w:webHidden/>
          </w:rPr>
          <w:tab/>
        </w:r>
        <w:r>
          <w:rPr>
            <w:webHidden/>
          </w:rPr>
          <w:fldChar w:fldCharType="begin"/>
        </w:r>
        <w:r>
          <w:rPr>
            <w:webHidden/>
          </w:rPr>
          <w:instrText xml:space="preserve"> PAGEREF _Toc202187907 \h </w:instrText>
        </w:r>
        <w:r>
          <w:rPr>
            <w:webHidden/>
          </w:rPr>
        </w:r>
        <w:r>
          <w:rPr>
            <w:webHidden/>
          </w:rPr>
          <w:fldChar w:fldCharType="separate"/>
        </w:r>
        <w:r>
          <w:rPr>
            <w:webHidden/>
          </w:rPr>
          <w:t>47</w:t>
        </w:r>
        <w:r>
          <w:rPr>
            <w:webHidden/>
          </w:rPr>
          <w:fldChar w:fldCharType="end"/>
        </w:r>
      </w:hyperlink>
    </w:p>
    <w:p w14:paraId="44FE7C70" w14:textId="42A2B4EE"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8" w:history="1">
        <w:r w:rsidRPr="00924108">
          <w:rPr>
            <w:rStyle w:val="Hyperlink"/>
          </w:rPr>
          <w:t>Figure A.18 Goulburn River stream metabolism – flow relationship plots: Shepparton</w:t>
        </w:r>
        <w:r>
          <w:rPr>
            <w:webHidden/>
          </w:rPr>
          <w:tab/>
        </w:r>
        <w:r>
          <w:rPr>
            <w:webHidden/>
          </w:rPr>
          <w:fldChar w:fldCharType="begin"/>
        </w:r>
        <w:r>
          <w:rPr>
            <w:webHidden/>
          </w:rPr>
          <w:instrText xml:space="preserve"> PAGEREF _Toc202187908 \h </w:instrText>
        </w:r>
        <w:r>
          <w:rPr>
            <w:webHidden/>
          </w:rPr>
        </w:r>
        <w:r>
          <w:rPr>
            <w:webHidden/>
          </w:rPr>
          <w:fldChar w:fldCharType="separate"/>
        </w:r>
        <w:r>
          <w:rPr>
            <w:webHidden/>
          </w:rPr>
          <w:t>48</w:t>
        </w:r>
        <w:r>
          <w:rPr>
            <w:webHidden/>
          </w:rPr>
          <w:fldChar w:fldCharType="end"/>
        </w:r>
      </w:hyperlink>
    </w:p>
    <w:p w14:paraId="71F8A469" w14:textId="695301E8"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09" w:history="1">
        <w:r w:rsidRPr="00924108">
          <w:rPr>
            <w:rStyle w:val="Hyperlink"/>
          </w:rPr>
          <w:t>Figure A.19 Lachlan River System stream metabolism – flow relationship plot: CC</w:t>
        </w:r>
        <w:r>
          <w:rPr>
            <w:webHidden/>
          </w:rPr>
          <w:tab/>
        </w:r>
        <w:r>
          <w:rPr>
            <w:webHidden/>
          </w:rPr>
          <w:fldChar w:fldCharType="begin"/>
        </w:r>
        <w:r>
          <w:rPr>
            <w:webHidden/>
          </w:rPr>
          <w:instrText xml:space="preserve"> PAGEREF _Toc202187909 \h </w:instrText>
        </w:r>
        <w:r>
          <w:rPr>
            <w:webHidden/>
          </w:rPr>
        </w:r>
        <w:r>
          <w:rPr>
            <w:webHidden/>
          </w:rPr>
          <w:fldChar w:fldCharType="separate"/>
        </w:r>
        <w:r>
          <w:rPr>
            <w:webHidden/>
          </w:rPr>
          <w:t>48</w:t>
        </w:r>
        <w:r>
          <w:rPr>
            <w:webHidden/>
          </w:rPr>
          <w:fldChar w:fldCharType="end"/>
        </w:r>
      </w:hyperlink>
    </w:p>
    <w:p w14:paraId="6AC8342C" w14:textId="46729DA8"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0" w:history="1">
        <w:r w:rsidRPr="00924108">
          <w:rPr>
            <w:rStyle w:val="Hyperlink"/>
          </w:rPr>
          <w:t>Figure A.20 Lachlan River System stream metabolism – flow relationship plots: EU</w:t>
        </w:r>
        <w:r>
          <w:rPr>
            <w:webHidden/>
          </w:rPr>
          <w:tab/>
        </w:r>
        <w:r>
          <w:rPr>
            <w:webHidden/>
          </w:rPr>
          <w:fldChar w:fldCharType="begin"/>
        </w:r>
        <w:r>
          <w:rPr>
            <w:webHidden/>
          </w:rPr>
          <w:instrText xml:space="preserve"> PAGEREF _Toc202187910 \h </w:instrText>
        </w:r>
        <w:r>
          <w:rPr>
            <w:webHidden/>
          </w:rPr>
        </w:r>
        <w:r>
          <w:rPr>
            <w:webHidden/>
          </w:rPr>
          <w:fldChar w:fldCharType="separate"/>
        </w:r>
        <w:r>
          <w:rPr>
            <w:webHidden/>
          </w:rPr>
          <w:t>49</w:t>
        </w:r>
        <w:r>
          <w:rPr>
            <w:webHidden/>
          </w:rPr>
          <w:fldChar w:fldCharType="end"/>
        </w:r>
      </w:hyperlink>
    </w:p>
    <w:p w14:paraId="1D8668B5" w14:textId="2E6F682F"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1" w:history="1">
        <w:r w:rsidRPr="00924108">
          <w:rPr>
            <w:rStyle w:val="Hyperlink"/>
          </w:rPr>
          <w:t>Figure A.21 Lachlan River System stream metabolism – flow relationship plots: KP</w:t>
        </w:r>
        <w:r>
          <w:rPr>
            <w:webHidden/>
          </w:rPr>
          <w:tab/>
        </w:r>
        <w:r>
          <w:rPr>
            <w:webHidden/>
          </w:rPr>
          <w:fldChar w:fldCharType="begin"/>
        </w:r>
        <w:r>
          <w:rPr>
            <w:webHidden/>
          </w:rPr>
          <w:instrText xml:space="preserve"> PAGEREF _Toc202187911 \h </w:instrText>
        </w:r>
        <w:r>
          <w:rPr>
            <w:webHidden/>
          </w:rPr>
        </w:r>
        <w:r>
          <w:rPr>
            <w:webHidden/>
          </w:rPr>
          <w:fldChar w:fldCharType="separate"/>
        </w:r>
        <w:r>
          <w:rPr>
            <w:webHidden/>
          </w:rPr>
          <w:t>49</w:t>
        </w:r>
        <w:r>
          <w:rPr>
            <w:webHidden/>
          </w:rPr>
          <w:fldChar w:fldCharType="end"/>
        </w:r>
      </w:hyperlink>
    </w:p>
    <w:p w14:paraId="486BB0CF" w14:textId="311DEEB8"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2" w:history="1">
        <w:r w:rsidRPr="00924108">
          <w:rPr>
            <w:rStyle w:val="Hyperlink"/>
          </w:rPr>
          <w:t>Figure A.22 Lachlan River System stream metabolism – flow relationship plots: LB (Lanes Bridge)</w:t>
        </w:r>
        <w:r>
          <w:rPr>
            <w:webHidden/>
          </w:rPr>
          <w:tab/>
        </w:r>
        <w:r>
          <w:rPr>
            <w:webHidden/>
          </w:rPr>
          <w:fldChar w:fldCharType="begin"/>
        </w:r>
        <w:r>
          <w:rPr>
            <w:webHidden/>
          </w:rPr>
          <w:instrText xml:space="preserve"> PAGEREF _Toc202187912 \h </w:instrText>
        </w:r>
        <w:r>
          <w:rPr>
            <w:webHidden/>
          </w:rPr>
        </w:r>
        <w:r>
          <w:rPr>
            <w:webHidden/>
          </w:rPr>
          <w:fldChar w:fldCharType="separate"/>
        </w:r>
        <w:r>
          <w:rPr>
            <w:webHidden/>
          </w:rPr>
          <w:t>50</w:t>
        </w:r>
        <w:r>
          <w:rPr>
            <w:webHidden/>
          </w:rPr>
          <w:fldChar w:fldCharType="end"/>
        </w:r>
      </w:hyperlink>
    </w:p>
    <w:p w14:paraId="666AD2DC" w14:textId="301AAA08"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3" w:history="1">
        <w:r w:rsidRPr="00924108">
          <w:rPr>
            <w:rStyle w:val="Hyperlink"/>
          </w:rPr>
          <w:t>Figure A.23 Lachlan River System stream metabolism – flow relationship plots: MG</w:t>
        </w:r>
        <w:r>
          <w:rPr>
            <w:webHidden/>
          </w:rPr>
          <w:tab/>
        </w:r>
        <w:r>
          <w:rPr>
            <w:webHidden/>
          </w:rPr>
          <w:fldChar w:fldCharType="begin"/>
        </w:r>
        <w:r>
          <w:rPr>
            <w:webHidden/>
          </w:rPr>
          <w:instrText xml:space="preserve"> PAGEREF _Toc202187913 \h </w:instrText>
        </w:r>
        <w:r>
          <w:rPr>
            <w:webHidden/>
          </w:rPr>
        </w:r>
        <w:r>
          <w:rPr>
            <w:webHidden/>
          </w:rPr>
          <w:fldChar w:fldCharType="separate"/>
        </w:r>
        <w:r>
          <w:rPr>
            <w:webHidden/>
          </w:rPr>
          <w:t>50</w:t>
        </w:r>
        <w:r>
          <w:rPr>
            <w:webHidden/>
          </w:rPr>
          <w:fldChar w:fldCharType="end"/>
        </w:r>
      </w:hyperlink>
    </w:p>
    <w:p w14:paraId="2B281DB6" w14:textId="4E3875AC"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4" w:history="1">
        <w:r w:rsidRPr="00924108">
          <w:rPr>
            <w:rStyle w:val="Hyperlink"/>
          </w:rPr>
          <w:t>Figure A.24 Lachlan River System stream metabolism – flow relationship plots: TH</w:t>
        </w:r>
        <w:r>
          <w:rPr>
            <w:webHidden/>
          </w:rPr>
          <w:tab/>
        </w:r>
        <w:r>
          <w:rPr>
            <w:webHidden/>
          </w:rPr>
          <w:fldChar w:fldCharType="begin"/>
        </w:r>
        <w:r>
          <w:rPr>
            <w:webHidden/>
          </w:rPr>
          <w:instrText xml:space="preserve"> PAGEREF _Toc202187914 \h </w:instrText>
        </w:r>
        <w:r>
          <w:rPr>
            <w:webHidden/>
          </w:rPr>
        </w:r>
        <w:r>
          <w:rPr>
            <w:webHidden/>
          </w:rPr>
          <w:fldChar w:fldCharType="separate"/>
        </w:r>
        <w:r>
          <w:rPr>
            <w:webHidden/>
          </w:rPr>
          <w:t>51</w:t>
        </w:r>
        <w:r>
          <w:rPr>
            <w:webHidden/>
          </w:rPr>
          <w:fldChar w:fldCharType="end"/>
        </w:r>
      </w:hyperlink>
    </w:p>
    <w:p w14:paraId="3D089626" w14:textId="1851166C"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5" w:history="1">
        <w:r w:rsidRPr="00924108">
          <w:rPr>
            <w:rStyle w:val="Hyperlink"/>
          </w:rPr>
          <w:t>Figure A.25 Lachlan River System stream metabolism – flow relationship plots: WAL</w:t>
        </w:r>
        <w:r>
          <w:rPr>
            <w:webHidden/>
          </w:rPr>
          <w:tab/>
        </w:r>
        <w:r>
          <w:rPr>
            <w:webHidden/>
          </w:rPr>
          <w:fldChar w:fldCharType="begin"/>
        </w:r>
        <w:r>
          <w:rPr>
            <w:webHidden/>
          </w:rPr>
          <w:instrText xml:space="preserve"> PAGEREF _Toc202187915 \h </w:instrText>
        </w:r>
        <w:r>
          <w:rPr>
            <w:webHidden/>
          </w:rPr>
        </w:r>
        <w:r>
          <w:rPr>
            <w:webHidden/>
          </w:rPr>
          <w:fldChar w:fldCharType="separate"/>
        </w:r>
        <w:r>
          <w:rPr>
            <w:webHidden/>
          </w:rPr>
          <w:t>51</w:t>
        </w:r>
        <w:r>
          <w:rPr>
            <w:webHidden/>
          </w:rPr>
          <w:fldChar w:fldCharType="end"/>
        </w:r>
      </w:hyperlink>
    </w:p>
    <w:p w14:paraId="0D751124" w14:textId="1D231767"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6" w:history="1">
        <w:r w:rsidRPr="00924108">
          <w:rPr>
            <w:rStyle w:val="Hyperlink"/>
          </w:rPr>
          <w:t>Figure A.26 Lachlan River System stream metabolism – flow relationship plots: WB</w:t>
        </w:r>
        <w:r>
          <w:rPr>
            <w:webHidden/>
          </w:rPr>
          <w:tab/>
        </w:r>
        <w:r>
          <w:rPr>
            <w:webHidden/>
          </w:rPr>
          <w:fldChar w:fldCharType="begin"/>
        </w:r>
        <w:r>
          <w:rPr>
            <w:webHidden/>
          </w:rPr>
          <w:instrText xml:space="preserve"> PAGEREF _Toc202187916 \h </w:instrText>
        </w:r>
        <w:r>
          <w:rPr>
            <w:webHidden/>
          </w:rPr>
        </w:r>
        <w:r>
          <w:rPr>
            <w:webHidden/>
          </w:rPr>
          <w:fldChar w:fldCharType="separate"/>
        </w:r>
        <w:r>
          <w:rPr>
            <w:webHidden/>
          </w:rPr>
          <w:t>52</w:t>
        </w:r>
        <w:r>
          <w:rPr>
            <w:webHidden/>
          </w:rPr>
          <w:fldChar w:fldCharType="end"/>
        </w:r>
      </w:hyperlink>
    </w:p>
    <w:p w14:paraId="5F1F43AE" w14:textId="16D29FA3"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7" w:history="1">
        <w:r w:rsidRPr="00924108">
          <w:rPr>
            <w:rStyle w:val="Hyperlink"/>
          </w:rPr>
          <w:t>Figure A.27 Lachlan River System stream metabolism – flow relationship plots: BOO</w:t>
        </w:r>
        <w:r>
          <w:rPr>
            <w:webHidden/>
          </w:rPr>
          <w:tab/>
        </w:r>
        <w:r>
          <w:rPr>
            <w:webHidden/>
          </w:rPr>
          <w:fldChar w:fldCharType="begin"/>
        </w:r>
        <w:r>
          <w:rPr>
            <w:webHidden/>
          </w:rPr>
          <w:instrText xml:space="preserve"> PAGEREF _Toc202187917 \h </w:instrText>
        </w:r>
        <w:r>
          <w:rPr>
            <w:webHidden/>
          </w:rPr>
        </w:r>
        <w:r>
          <w:rPr>
            <w:webHidden/>
          </w:rPr>
          <w:fldChar w:fldCharType="separate"/>
        </w:r>
        <w:r>
          <w:rPr>
            <w:webHidden/>
          </w:rPr>
          <w:t>52</w:t>
        </w:r>
        <w:r>
          <w:rPr>
            <w:webHidden/>
          </w:rPr>
          <w:fldChar w:fldCharType="end"/>
        </w:r>
      </w:hyperlink>
    </w:p>
    <w:p w14:paraId="4D744D7E" w14:textId="0795BE6C"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8" w:history="1">
        <w:r w:rsidRPr="00924108">
          <w:rPr>
            <w:rStyle w:val="Hyperlink"/>
          </w:rPr>
          <w:t>Figure A.28 Lachlan River System stream metabolism – flow relationship plots: CON</w:t>
        </w:r>
        <w:r>
          <w:rPr>
            <w:webHidden/>
          </w:rPr>
          <w:tab/>
        </w:r>
        <w:r>
          <w:rPr>
            <w:webHidden/>
          </w:rPr>
          <w:fldChar w:fldCharType="begin"/>
        </w:r>
        <w:r>
          <w:rPr>
            <w:webHidden/>
          </w:rPr>
          <w:instrText xml:space="preserve"> PAGEREF _Toc202187918 \h </w:instrText>
        </w:r>
        <w:r>
          <w:rPr>
            <w:webHidden/>
          </w:rPr>
        </w:r>
        <w:r>
          <w:rPr>
            <w:webHidden/>
          </w:rPr>
          <w:fldChar w:fldCharType="separate"/>
        </w:r>
        <w:r>
          <w:rPr>
            <w:webHidden/>
          </w:rPr>
          <w:t>53</w:t>
        </w:r>
        <w:r>
          <w:rPr>
            <w:webHidden/>
          </w:rPr>
          <w:fldChar w:fldCharType="end"/>
        </w:r>
      </w:hyperlink>
    </w:p>
    <w:p w14:paraId="01CDA81B" w14:textId="03691004"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19" w:history="1">
        <w:r w:rsidRPr="00924108">
          <w:rPr>
            <w:rStyle w:val="Hyperlink"/>
          </w:rPr>
          <w:t>Figure A.29 Lachlan River System stream metabolism – flow relationship plots: HUN</w:t>
        </w:r>
        <w:r>
          <w:rPr>
            <w:webHidden/>
          </w:rPr>
          <w:tab/>
        </w:r>
        <w:r>
          <w:rPr>
            <w:webHidden/>
          </w:rPr>
          <w:fldChar w:fldCharType="begin"/>
        </w:r>
        <w:r>
          <w:rPr>
            <w:webHidden/>
          </w:rPr>
          <w:instrText xml:space="preserve"> PAGEREF _Toc202187919 \h </w:instrText>
        </w:r>
        <w:r>
          <w:rPr>
            <w:webHidden/>
          </w:rPr>
        </w:r>
        <w:r>
          <w:rPr>
            <w:webHidden/>
          </w:rPr>
          <w:fldChar w:fldCharType="separate"/>
        </w:r>
        <w:r>
          <w:rPr>
            <w:webHidden/>
          </w:rPr>
          <w:t>53</w:t>
        </w:r>
        <w:r>
          <w:rPr>
            <w:webHidden/>
          </w:rPr>
          <w:fldChar w:fldCharType="end"/>
        </w:r>
      </w:hyperlink>
    </w:p>
    <w:p w14:paraId="49B6B24E" w14:textId="15EE2FE5"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0" w:history="1">
        <w:r w:rsidRPr="00924108">
          <w:rPr>
            <w:rStyle w:val="Hyperlink"/>
          </w:rPr>
          <w:t>Figure A.30 Lower Murray River stream metabolism – flow relationship plots: LK1DS_265km (Lock 1)</w:t>
        </w:r>
        <w:r>
          <w:rPr>
            <w:webHidden/>
          </w:rPr>
          <w:tab/>
        </w:r>
        <w:r>
          <w:rPr>
            <w:webHidden/>
          </w:rPr>
          <w:fldChar w:fldCharType="begin"/>
        </w:r>
        <w:r>
          <w:rPr>
            <w:webHidden/>
          </w:rPr>
          <w:instrText xml:space="preserve"> PAGEREF _Toc202187920 \h </w:instrText>
        </w:r>
        <w:r>
          <w:rPr>
            <w:webHidden/>
          </w:rPr>
        </w:r>
        <w:r>
          <w:rPr>
            <w:webHidden/>
          </w:rPr>
          <w:fldChar w:fldCharType="separate"/>
        </w:r>
        <w:r>
          <w:rPr>
            <w:webHidden/>
          </w:rPr>
          <w:t>54</w:t>
        </w:r>
        <w:r>
          <w:rPr>
            <w:webHidden/>
          </w:rPr>
          <w:fldChar w:fldCharType="end"/>
        </w:r>
      </w:hyperlink>
    </w:p>
    <w:p w14:paraId="00E33169" w14:textId="1A0CAFD4"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1" w:history="1">
        <w:r w:rsidRPr="00924108">
          <w:rPr>
            <w:rStyle w:val="Hyperlink"/>
          </w:rPr>
          <w:t>Figure A.31 Lower Murray River stream metabolism – flow relationship plots: LK4DS_501km (Lock 4)</w:t>
        </w:r>
        <w:r>
          <w:rPr>
            <w:webHidden/>
          </w:rPr>
          <w:tab/>
        </w:r>
        <w:r>
          <w:rPr>
            <w:webHidden/>
          </w:rPr>
          <w:fldChar w:fldCharType="begin"/>
        </w:r>
        <w:r>
          <w:rPr>
            <w:webHidden/>
          </w:rPr>
          <w:instrText xml:space="preserve"> PAGEREF _Toc202187921 \h </w:instrText>
        </w:r>
        <w:r>
          <w:rPr>
            <w:webHidden/>
          </w:rPr>
        </w:r>
        <w:r>
          <w:rPr>
            <w:webHidden/>
          </w:rPr>
          <w:fldChar w:fldCharType="separate"/>
        </w:r>
        <w:r>
          <w:rPr>
            <w:webHidden/>
          </w:rPr>
          <w:t>54</w:t>
        </w:r>
        <w:r>
          <w:rPr>
            <w:webHidden/>
          </w:rPr>
          <w:fldChar w:fldCharType="end"/>
        </w:r>
      </w:hyperlink>
    </w:p>
    <w:p w14:paraId="26EB2FCF" w14:textId="75D83719"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2" w:history="1">
        <w:r w:rsidRPr="00924108">
          <w:rPr>
            <w:rStyle w:val="Hyperlink"/>
          </w:rPr>
          <w:t>Figure A.32 Lower Murray River stream metabolism – flow relationship plots: LK6DS_616km (Lock 6)</w:t>
        </w:r>
        <w:r>
          <w:rPr>
            <w:webHidden/>
          </w:rPr>
          <w:tab/>
        </w:r>
        <w:r>
          <w:rPr>
            <w:webHidden/>
          </w:rPr>
          <w:fldChar w:fldCharType="begin"/>
        </w:r>
        <w:r>
          <w:rPr>
            <w:webHidden/>
          </w:rPr>
          <w:instrText xml:space="preserve"> PAGEREF _Toc202187922 \h </w:instrText>
        </w:r>
        <w:r>
          <w:rPr>
            <w:webHidden/>
          </w:rPr>
        </w:r>
        <w:r>
          <w:rPr>
            <w:webHidden/>
          </w:rPr>
          <w:fldChar w:fldCharType="separate"/>
        </w:r>
        <w:r>
          <w:rPr>
            <w:webHidden/>
          </w:rPr>
          <w:t>55</w:t>
        </w:r>
        <w:r>
          <w:rPr>
            <w:webHidden/>
          </w:rPr>
          <w:fldChar w:fldCharType="end"/>
        </w:r>
      </w:hyperlink>
    </w:p>
    <w:p w14:paraId="2795E78D" w14:textId="1C165D95"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3" w:history="1">
        <w:r w:rsidRPr="00924108">
          <w:rPr>
            <w:rStyle w:val="Hyperlink"/>
          </w:rPr>
          <w:t>Figure A.33 Murrumbidgee River System stream metabolism – flow relationship plots: 1 km upstream Wynburn Escape</w:t>
        </w:r>
        <w:r>
          <w:rPr>
            <w:webHidden/>
          </w:rPr>
          <w:tab/>
        </w:r>
        <w:r>
          <w:rPr>
            <w:webHidden/>
          </w:rPr>
          <w:fldChar w:fldCharType="begin"/>
        </w:r>
        <w:r>
          <w:rPr>
            <w:webHidden/>
          </w:rPr>
          <w:instrText xml:space="preserve"> PAGEREF _Toc202187923 \h </w:instrText>
        </w:r>
        <w:r>
          <w:rPr>
            <w:webHidden/>
          </w:rPr>
        </w:r>
        <w:r>
          <w:rPr>
            <w:webHidden/>
          </w:rPr>
          <w:fldChar w:fldCharType="separate"/>
        </w:r>
        <w:r>
          <w:rPr>
            <w:webHidden/>
          </w:rPr>
          <w:t>55</w:t>
        </w:r>
        <w:r>
          <w:rPr>
            <w:webHidden/>
          </w:rPr>
          <w:fldChar w:fldCharType="end"/>
        </w:r>
      </w:hyperlink>
    </w:p>
    <w:p w14:paraId="3CE0D8EA" w14:textId="1C92D953"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4" w:history="1">
        <w:r w:rsidRPr="00924108">
          <w:rPr>
            <w:rStyle w:val="Hyperlink"/>
          </w:rPr>
          <w:t>Figure A.34 Murrumbidgee River System stream metabolism – flow relationship plots: 3 km downstream Wynburn Escape</w:t>
        </w:r>
        <w:r>
          <w:rPr>
            <w:webHidden/>
          </w:rPr>
          <w:tab/>
        </w:r>
        <w:r>
          <w:rPr>
            <w:webHidden/>
          </w:rPr>
          <w:fldChar w:fldCharType="begin"/>
        </w:r>
        <w:r>
          <w:rPr>
            <w:webHidden/>
          </w:rPr>
          <w:instrText xml:space="preserve"> PAGEREF _Toc202187924 \h </w:instrText>
        </w:r>
        <w:r>
          <w:rPr>
            <w:webHidden/>
          </w:rPr>
        </w:r>
        <w:r>
          <w:rPr>
            <w:webHidden/>
          </w:rPr>
          <w:fldChar w:fldCharType="separate"/>
        </w:r>
        <w:r>
          <w:rPr>
            <w:webHidden/>
          </w:rPr>
          <w:t>56</w:t>
        </w:r>
        <w:r>
          <w:rPr>
            <w:webHidden/>
          </w:rPr>
          <w:fldChar w:fldCharType="end"/>
        </w:r>
      </w:hyperlink>
    </w:p>
    <w:p w14:paraId="18EE4C2F" w14:textId="6F11091F"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5" w:history="1">
        <w:r w:rsidRPr="00924108">
          <w:rPr>
            <w:rStyle w:val="Hyperlink"/>
          </w:rPr>
          <w:t>Figure A.35 Murrumbidgee River System stream metabolism – flow relationship plots: McKennas</w:t>
        </w:r>
        <w:r>
          <w:rPr>
            <w:webHidden/>
          </w:rPr>
          <w:tab/>
        </w:r>
        <w:r>
          <w:rPr>
            <w:webHidden/>
          </w:rPr>
          <w:fldChar w:fldCharType="begin"/>
        </w:r>
        <w:r>
          <w:rPr>
            <w:webHidden/>
          </w:rPr>
          <w:instrText xml:space="preserve"> PAGEREF _Toc202187925 \h </w:instrText>
        </w:r>
        <w:r>
          <w:rPr>
            <w:webHidden/>
          </w:rPr>
        </w:r>
        <w:r>
          <w:rPr>
            <w:webHidden/>
          </w:rPr>
          <w:fldChar w:fldCharType="separate"/>
        </w:r>
        <w:r>
          <w:rPr>
            <w:webHidden/>
          </w:rPr>
          <w:t>56</w:t>
        </w:r>
        <w:r>
          <w:rPr>
            <w:webHidden/>
          </w:rPr>
          <w:fldChar w:fldCharType="end"/>
        </w:r>
      </w:hyperlink>
    </w:p>
    <w:p w14:paraId="08ED67AB" w14:textId="0EC8607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6" w:history="1">
        <w:r w:rsidRPr="00924108">
          <w:rPr>
            <w:rStyle w:val="Hyperlink"/>
          </w:rPr>
          <w:t>Figure A.36 Murrumbidgee River System stream metabolism – flow relationship plots: Narrandera</w:t>
        </w:r>
        <w:r>
          <w:rPr>
            <w:webHidden/>
          </w:rPr>
          <w:tab/>
        </w:r>
        <w:r>
          <w:rPr>
            <w:webHidden/>
          </w:rPr>
          <w:fldChar w:fldCharType="begin"/>
        </w:r>
        <w:r>
          <w:rPr>
            <w:webHidden/>
          </w:rPr>
          <w:instrText xml:space="preserve"> PAGEREF _Toc202187926 \h </w:instrText>
        </w:r>
        <w:r>
          <w:rPr>
            <w:webHidden/>
          </w:rPr>
        </w:r>
        <w:r>
          <w:rPr>
            <w:webHidden/>
          </w:rPr>
          <w:fldChar w:fldCharType="separate"/>
        </w:r>
        <w:r>
          <w:rPr>
            <w:webHidden/>
          </w:rPr>
          <w:t>57</w:t>
        </w:r>
        <w:r>
          <w:rPr>
            <w:webHidden/>
          </w:rPr>
          <w:fldChar w:fldCharType="end"/>
        </w:r>
      </w:hyperlink>
    </w:p>
    <w:p w14:paraId="16AEAE44" w14:textId="0B5CBF1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7" w:history="1">
        <w:r w:rsidRPr="00924108">
          <w:rPr>
            <w:rStyle w:val="Hyperlink"/>
          </w:rPr>
          <w:t>Figure A.37 Gwydir River System stream metabolism – flow relationship plots: GWY_418001</w:t>
        </w:r>
        <w:r>
          <w:rPr>
            <w:webHidden/>
          </w:rPr>
          <w:tab/>
        </w:r>
        <w:r>
          <w:rPr>
            <w:webHidden/>
          </w:rPr>
          <w:fldChar w:fldCharType="begin"/>
        </w:r>
        <w:r>
          <w:rPr>
            <w:webHidden/>
          </w:rPr>
          <w:instrText xml:space="preserve"> PAGEREF _Toc202187927 \h </w:instrText>
        </w:r>
        <w:r>
          <w:rPr>
            <w:webHidden/>
          </w:rPr>
        </w:r>
        <w:r>
          <w:rPr>
            <w:webHidden/>
          </w:rPr>
          <w:fldChar w:fldCharType="separate"/>
        </w:r>
        <w:r>
          <w:rPr>
            <w:webHidden/>
          </w:rPr>
          <w:t>57</w:t>
        </w:r>
        <w:r>
          <w:rPr>
            <w:webHidden/>
          </w:rPr>
          <w:fldChar w:fldCharType="end"/>
        </w:r>
      </w:hyperlink>
    </w:p>
    <w:p w14:paraId="46602172" w14:textId="215BD09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8" w:history="1">
        <w:r w:rsidRPr="00924108">
          <w:rPr>
            <w:rStyle w:val="Hyperlink"/>
          </w:rPr>
          <w:t>Figure A.38 Gwydir River System stream metabolism – flow relationship plots: GWY_418053</w:t>
        </w:r>
        <w:r>
          <w:rPr>
            <w:webHidden/>
          </w:rPr>
          <w:tab/>
        </w:r>
        <w:r>
          <w:rPr>
            <w:webHidden/>
          </w:rPr>
          <w:fldChar w:fldCharType="begin"/>
        </w:r>
        <w:r>
          <w:rPr>
            <w:webHidden/>
          </w:rPr>
          <w:instrText xml:space="preserve"> PAGEREF _Toc202187928 \h </w:instrText>
        </w:r>
        <w:r>
          <w:rPr>
            <w:webHidden/>
          </w:rPr>
        </w:r>
        <w:r>
          <w:rPr>
            <w:webHidden/>
          </w:rPr>
          <w:fldChar w:fldCharType="separate"/>
        </w:r>
        <w:r>
          <w:rPr>
            <w:webHidden/>
          </w:rPr>
          <w:t>58</w:t>
        </w:r>
        <w:r>
          <w:rPr>
            <w:webHidden/>
          </w:rPr>
          <w:fldChar w:fldCharType="end"/>
        </w:r>
      </w:hyperlink>
    </w:p>
    <w:p w14:paraId="70EFFBD6" w14:textId="46C6C88A"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29" w:history="1">
        <w:r w:rsidRPr="00924108">
          <w:rPr>
            <w:rStyle w:val="Hyperlink"/>
          </w:rPr>
          <w:t>Figure A.39 Gwydir River System stream metabolism – flow relationship plots: GWY 418077</w:t>
        </w:r>
        <w:r>
          <w:rPr>
            <w:webHidden/>
          </w:rPr>
          <w:tab/>
        </w:r>
        <w:r>
          <w:rPr>
            <w:webHidden/>
          </w:rPr>
          <w:fldChar w:fldCharType="begin"/>
        </w:r>
        <w:r>
          <w:rPr>
            <w:webHidden/>
          </w:rPr>
          <w:instrText xml:space="preserve"> PAGEREF _Toc202187929 \h </w:instrText>
        </w:r>
        <w:r>
          <w:rPr>
            <w:webHidden/>
          </w:rPr>
        </w:r>
        <w:r>
          <w:rPr>
            <w:webHidden/>
          </w:rPr>
          <w:fldChar w:fldCharType="separate"/>
        </w:r>
        <w:r>
          <w:rPr>
            <w:webHidden/>
          </w:rPr>
          <w:t>58</w:t>
        </w:r>
        <w:r>
          <w:rPr>
            <w:webHidden/>
          </w:rPr>
          <w:fldChar w:fldCharType="end"/>
        </w:r>
      </w:hyperlink>
    </w:p>
    <w:p w14:paraId="419D3063" w14:textId="7CC62DE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0" w:history="1">
        <w:r w:rsidRPr="00924108">
          <w:rPr>
            <w:rStyle w:val="Hyperlink"/>
          </w:rPr>
          <w:t>Figure A.40 Gwydir River System stream metabolism – flow relationship plots: GWY_418078</w:t>
        </w:r>
        <w:r>
          <w:rPr>
            <w:webHidden/>
          </w:rPr>
          <w:tab/>
        </w:r>
        <w:r>
          <w:rPr>
            <w:webHidden/>
          </w:rPr>
          <w:fldChar w:fldCharType="begin"/>
        </w:r>
        <w:r>
          <w:rPr>
            <w:webHidden/>
          </w:rPr>
          <w:instrText xml:space="preserve"> PAGEREF _Toc202187930 \h </w:instrText>
        </w:r>
        <w:r>
          <w:rPr>
            <w:webHidden/>
          </w:rPr>
        </w:r>
        <w:r>
          <w:rPr>
            <w:webHidden/>
          </w:rPr>
          <w:fldChar w:fldCharType="separate"/>
        </w:r>
        <w:r>
          <w:rPr>
            <w:webHidden/>
          </w:rPr>
          <w:t>59</w:t>
        </w:r>
        <w:r>
          <w:rPr>
            <w:webHidden/>
          </w:rPr>
          <w:fldChar w:fldCharType="end"/>
        </w:r>
      </w:hyperlink>
    </w:p>
    <w:p w14:paraId="46561251" w14:textId="49BD3EE5"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1" w:history="1">
        <w:r w:rsidRPr="00924108">
          <w:rPr>
            <w:rStyle w:val="Hyperlink"/>
          </w:rPr>
          <w:t>Figure A.41 Gwydir River System stream metabolism – flow relationship plots: GWY_ME1</w:t>
        </w:r>
        <w:r>
          <w:rPr>
            <w:webHidden/>
          </w:rPr>
          <w:tab/>
        </w:r>
        <w:r>
          <w:rPr>
            <w:webHidden/>
          </w:rPr>
          <w:fldChar w:fldCharType="begin"/>
        </w:r>
        <w:r>
          <w:rPr>
            <w:webHidden/>
          </w:rPr>
          <w:instrText xml:space="preserve"> PAGEREF _Toc202187931 \h </w:instrText>
        </w:r>
        <w:r>
          <w:rPr>
            <w:webHidden/>
          </w:rPr>
        </w:r>
        <w:r>
          <w:rPr>
            <w:webHidden/>
          </w:rPr>
          <w:fldChar w:fldCharType="separate"/>
        </w:r>
        <w:r>
          <w:rPr>
            <w:webHidden/>
          </w:rPr>
          <w:t>59</w:t>
        </w:r>
        <w:r>
          <w:rPr>
            <w:webHidden/>
          </w:rPr>
          <w:fldChar w:fldCharType="end"/>
        </w:r>
      </w:hyperlink>
    </w:p>
    <w:p w14:paraId="76819792" w14:textId="42C23054" w:rsidR="00A943B2" w:rsidRPr="00C601A2" w:rsidRDefault="007C1C6E" w:rsidP="007E463F">
      <w:pPr>
        <w:pStyle w:val="ListofFiguresandTablesTOCHeading"/>
      </w:pPr>
      <w:r w:rsidRPr="00C601A2">
        <w:rPr>
          <w:color w:val="2B579A"/>
          <w:shd w:val="clear" w:color="auto" w:fill="E6E6E6"/>
        </w:rPr>
        <w:fldChar w:fldCharType="end"/>
      </w:r>
      <w:bookmarkStart w:id="59" w:name="_Toc71298430"/>
      <w:r w:rsidR="004D139E" w:rsidRPr="00C601A2">
        <w:t>T</w:t>
      </w:r>
      <w:r w:rsidR="00A943B2" w:rsidRPr="00C601A2">
        <w:t>ables</w:t>
      </w:r>
      <w:bookmarkEnd w:id="59"/>
    </w:p>
    <w:p w14:paraId="571E9DB8" w14:textId="23B55AA4" w:rsidR="00835C8B" w:rsidRDefault="009959BB">
      <w:pPr>
        <w:pStyle w:val="TableofFigures"/>
        <w:rPr>
          <w:rFonts w:asciiTheme="minorHAnsi" w:eastAsiaTheme="minorEastAsia" w:hAnsiTheme="minorHAnsi" w:cstheme="minorBidi"/>
          <w:color w:val="auto"/>
          <w:kern w:val="2"/>
          <w:sz w:val="24"/>
          <w:szCs w:val="21"/>
          <w:lang w:bidi="ne-NP"/>
          <w14:ligatures w14:val="standardContextual"/>
        </w:rPr>
      </w:pPr>
      <w:r w:rsidRPr="00C601A2">
        <w:rPr>
          <w:color w:val="2B579A"/>
          <w:shd w:val="clear" w:color="auto" w:fill="E6E6E6"/>
        </w:rPr>
        <w:fldChar w:fldCharType="begin"/>
      </w:r>
      <w:r w:rsidR="00A943B2" w:rsidRPr="00C601A2">
        <w:instrText xml:space="preserve"> TOC \h \z \c "Table" </w:instrText>
      </w:r>
      <w:r w:rsidRPr="00C601A2">
        <w:rPr>
          <w:color w:val="2B579A"/>
          <w:shd w:val="clear" w:color="auto" w:fill="E6E6E6"/>
        </w:rPr>
        <w:fldChar w:fldCharType="separate"/>
      </w:r>
      <w:hyperlink w:anchor="_Toc202187932" w:history="1">
        <w:r w:rsidR="00835C8B" w:rsidRPr="003A6781">
          <w:rPr>
            <w:rStyle w:val="Hyperlink"/>
          </w:rPr>
          <w:t>Table 1.1 Summary statistics for most recent evaluation year and multi-year evaluation period</w:t>
        </w:r>
        <w:r w:rsidR="00835C8B">
          <w:rPr>
            <w:webHidden/>
          </w:rPr>
          <w:tab/>
        </w:r>
        <w:r w:rsidR="00835C8B">
          <w:rPr>
            <w:webHidden/>
          </w:rPr>
          <w:fldChar w:fldCharType="begin"/>
        </w:r>
        <w:r w:rsidR="00835C8B">
          <w:rPr>
            <w:webHidden/>
          </w:rPr>
          <w:instrText xml:space="preserve"> PAGEREF _Toc202187932 \h </w:instrText>
        </w:r>
        <w:r w:rsidR="00835C8B">
          <w:rPr>
            <w:webHidden/>
          </w:rPr>
        </w:r>
        <w:r w:rsidR="00835C8B">
          <w:rPr>
            <w:webHidden/>
          </w:rPr>
          <w:fldChar w:fldCharType="separate"/>
        </w:r>
        <w:r w:rsidR="00835C8B">
          <w:rPr>
            <w:webHidden/>
          </w:rPr>
          <w:t>ix</w:t>
        </w:r>
        <w:r w:rsidR="00835C8B">
          <w:rPr>
            <w:webHidden/>
          </w:rPr>
          <w:fldChar w:fldCharType="end"/>
        </w:r>
      </w:hyperlink>
    </w:p>
    <w:p w14:paraId="4C957F33" w14:textId="1709F0F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3" w:history="1">
        <w:r w:rsidRPr="003A6781">
          <w:rPr>
            <w:rStyle w:val="Hyperlink"/>
          </w:rPr>
          <w:t>Table 1.2 Sources of data used for analyses in this report</w:t>
        </w:r>
        <w:r>
          <w:rPr>
            <w:webHidden/>
          </w:rPr>
          <w:tab/>
        </w:r>
        <w:r>
          <w:rPr>
            <w:webHidden/>
          </w:rPr>
          <w:fldChar w:fldCharType="begin"/>
        </w:r>
        <w:r>
          <w:rPr>
            <w:webHidden/>
          </w:rPr>
          <w:instrText xml:space="preserve"> PAGEREF _Toc202187933 \h </w:instrText>
        </w:r>
        <w:r>
          <w:rPr>
            <w:webHidden/>
          </w:rPr>
        </w:r>
        <w:r>
          <w:rPr>
            <w:webHidden/>
          </w:rPr>
          <w:fldChar w:fldCharType="separate"/>
        </w:r>
        <w:r>
          <w:rPr>
            <w:webHidden/>
          </w:rPr>
          <w:t>2</w:t>
        </w:r>
        <w:r>
          <w:rPr>
            <w:webHidden/>
          </w:rPr>
          <w:fldChar w:fldCharType="end"/>
        </w:r>
      </w:hyperlink>
    </w:p>
    <w:p w14:paraId="1E3D9BD3" w14:textId="3E227247"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4" w:history="1">
        <w:r w:rsidRPr="003A6781">
          <w:rPr>
            <w:rStyle w:val="Hyperlink"/>
          </w:rPr>
          <w:t>Table 3.1 Annual rainfall conditions by valley, 2023–24</w:t>
        </w:r>
        <w:r>
          <w:rPr>
            <w:webHidden/>
          </w:rPr>
          <w:tab/>
        </w:r>
        <w:r>
          <w:rPr>
            <w:webHidden/>
          </w:rPr>
          <w:fldChar w:fldCharType="begin"/>
        </w:r>
        <w:r>
          <w:rPr>
            <w:webHidden/>
          </w:rPr>
          <w:instrText xml:space="preserve"> PAGEREF _Toc202187934 \h </w:instrText>
        </w:r>
        <w:r>
          <w:rPr>
            <w:webHidden/>
          </w:rPr>
        </w:r>
        <w:r>
          <w:rPr>
            <w:webHidden/>
          </w:rPr>
          <w:fldChar w:fldCharType="separate"/>
        </w:r>
        <w:r>
          <w:rPr>
            <w:webHidden/>
          </w:rPr>
          <w:t>6</w:t>
        </w:r>
        <w:r>
          <w:rPr>
            <w:webHidden/>
          </w:rPr>
          <w:fldChar w:fldCharType="end"/>
        </w:r>
      </w:hyperlink>
    </w:p>
    <w:p w14:paraId="3C8FAE64" w14:textId="31072AD7"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5" w:history="1">
        <w:r w:rsidRPr="003A6781">
          <w:rPr>
            <w:rStyle w:val="Hyperlink"/>
          </w:rPr>
          <w:t>Table 3.2 Commonwealth environmental watering actions with objectives linked to water quality and ecosystem process or food webs, by valley, 2023–24</w:t>
        </w:r>
        <w:r>
          <w:rPr>
            <w:webHidden/>
          </w:rPr>
          <w:tab/>
        </w:r>
        <w:r>
          <w:rPr>
            <w:webHidden/>
          </w:rPr>
          <w:fldChar w:fldCharType="begin"/>
        </w:r>
        <w:r>
          <w:rPr>
            <w:webHidden/>
          </w:rPr>
          <w:instrText xml:space="preserve"> PAGEREF _Toc202187935 \h </w:instrText>
        </w:r>
        <w:r>
          <w:rPr>
            <w:webHidden/>
          </w:rPr>
        </w:r>
        <w:r>
          <w:rPr>
            <w:webHidden/>
          </w:rPr>
          <w:fldChar w:fldCharType="separate"/>
        </w:r>
        <w:r>
          <w:rPr>
            <w:webHidden/>
          </w:rPr>
          <w:t>7</w:t>
        </w:r>
        <w:r>
          <w:rPr>
            <w:webHidden/>
          </w:rPr>
          <w:fldChar w:fldCharType="end"/>
        </w:r>
      </w:hyperlink>
    </w:p>
    <w:p w14:paraId="6F2209C4" w14:textId="47AD1420"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6" w:history="1">
        <w:r w:rsidRPr="003A6781">
          <w:rPr>
            <w:rStyle w:val="Hyperlink"/>
          </w:rPr>
          <w:t>Table 3.3 Stream metabolism evaluation questions and responses relating to 2023–24 Commonwealth environmental water, extracted from 2023–24 Selected Area reports</w:t>
        </w:r>
        <w:r>
          <w:rPr>
            <w:webHidden/>
          </w:rPr>
          <w:tab/>
        </w:r>
        <w:r>
          <w:rPr>
            <w:webHidden/>
          </w:rPr>
          <w:fldChar w:fldCharType="begin"/>
        </w:r>
        <w:r>
          <w:rPr>
            <w:webHidden/>
          </w:rPr>
          <w:instrText xml:space="preserve"> PAGEREF _Toc202187936 \h </w:instrText>
        </w:r>
        <w:r>
          <w:rPr>
            <w:webHidden/>
          </w:rPr>
        </w:r>
        <w:r>
          <w:rPr>
            <w:webHidden/>
          </w:rPr>
          <w:fldChar w:fldCharType="separate"/>
        </w:r>
        <w:r>
          <w:rPr>
            <w:webHidden/>
          </w:rPr>
          <w:t>11</w:t>
        </w:r>
        <w:r>
          <w:rPr>
            <w:webHidden/>
          </w:rPr>
          <w:fldChar w:fldCharType="end"/>
        </w:r>
      </w:hyperlink>
    </w:p>
    <w:p w14:paraId="07DDA36F" w14:textId="0707EA6D"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7" w:history="1">
        <w:r w:rsidRPr="003A6781">
          <w:rPr>
            <w:rStyle w:val="Hyperlink"/>
          </w:rPr>
          <w:t>Table 4.1 Modelled metabolic response to flow at 41 sites in 5 of the 7 Selected Areas</w:t>
        </w:r>
        <w:r>
          <w:rPr>
            <w:webHidden/>
          </w:rPr>
          <w:tab/>
        </w:r>
        <w:r>
          <w:rPr>
            <w:webHidden/>
          </w:rPr>
          <w:fldChar w:fldCharType="begin"/>
        </w:r>
        <w:r>
          <w:rPr>
            <w:webHidden/>
          </w:rPr>
          <w:instrText xml:space="preserve"> PAGEREF _Toc202187937 \h </w:instrText>
        </w:r>
        <w:r>
          <w:rPr>
            <w:webHidden/>
          </w:rPr>
        </w:r>
        <w:r>
          <w:rPr>
            <w:webHidden/>
          </w:rPr>
          <w:fldChar w:fldCharType="separate"/>
        </w:r>
        <w:r>
          <w:rPr>
            <w:webHidden/>
          </w:rPr>
          <w:t>20</w:t>
        </w:r>
        <w:r>
          <w:rPr>
            <w:webHidden/>
          </w:rPr>
          <w:fldChar w:fldCharType="end"/>
        </w:r>
      </w:hyperlink>
    </w:p>
    <w:p w14:paraId="5CD39D48" w14:textId="38DED312"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8" w:history="1">
        <w:r w:rsidRPr="003A6781">
          <w:rPr>
            <w:rStyle w:val="Hyperlink"/>
          </w:rPr>
          <w:t>Table 4.2 Ten-year record of modelled additional salt export (tonnes) due to Commonwealth environmental water (CEW) through the barrages to the Coorong estuary and reduction in import of salt through the Murray Mouth into the Coorong from the Southern Ocean attributable to CEW</w:t>
        </w:r>
        <w:r>
          <w:rPr>
            <w:webHidden/>
          </w:rPr>
          <w:tab/>
        </w:r>
        <w:r>
          <w:rPr>
            <w:webHidden/>
          </w:rPr>
          <w:fldChar w:fldCharType="begin"/>
        </w:r>
        <w:r>
          <w:rPr>
            <w:webHidden/>
          </w:rPr>
          <w:instrText xml:space="preserve"> PAGEREF _Toc202187938 \h </w:instrText>
        </w:r>
        <w:r>
          <w:rPr>
            <w:webHidden/>
          </w:rPr>
        </w:r>
        <w:r>
          <w:rPr>
            <w:webHidden/>
          </w:rPr>
          <w:fldChar w:fldCharType="separate"/>
        </w:r>
        <w:r>
          <w:rPr>
            <w:webHidden/>
          </w:rPr>
          <w:t>25</w:t>
        </w:r>
        <w:r>
          <w:rPr>
            <w:webHidden/>
          </w:rPr>
          <w:fldChar w:fldCharType="end"/>
        </w:r>
      </w:hyperlink>
    </w:p>
    <w:p w14:paraId="3D45C9B1" w14:textId="55F8CE40"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39" w:history="1">
        <w:r w:rsidRPr="003A6781">
          <w:rPr>
            <w:rStyle w:val="Hyperlink"/>
          </w:rPr>
          <w:t>Table 5.1 Results of best supported GAM model</w:t>
        </w:r>
        <w:r>
          <w:rPr>
            <w:webHidden/>
          </w:rPr>
          <w:tab/>
        </w:r>
        <w:r>
          <w:rPr>
            <w:webHidden/>
          </w:rPr>
          <w:fldChar w:fldCharType="begin"/>
        </w:r>
        <w:r>
          <w:rPr>
            <w:webHidden/>
          </w:rPr>
          <w:instrText xml:space="preserve"> PAGEREF _Toc202187939 \h </w:instrText>
        </w:r>
        <w:r>
          <w:rPr>
            <w:webHidden/>
          </w:rPr>
        </w:r>
        <w:r>
          <w:rPr>
            <w:webHidden/>
          </w:rPr>
          <w:fldChar w:fldCharType="separate"/>
        </w:r>
        <w:r>
          <w:rPr>
            <w:webHidden/>
          </w:rPr>
          <w:t>27</w:t>
        </w:r>
        <w:r>
          <w:rPr>
            <w:webHidden/>
          </w:rPr>
          <w:fldChar w:fldCharType="end"/>
        </w:r>
      </w:hyperlink>
    </w:p>
    <w:p w14:paraId="395772C7" w14:textId="2D38A351" w:rsidR="00835C8B" w:rsidRDefault="00835C8B">
      <w:pPr>
        <w:pStyle w:val="TableofFigures"/>
        <w:rPr>
          <w:rFonts w:asciiTheme="minorHAnsi" w:eastAsiaTheme="minorEastAsia" w:hAnsiTheme="minorHAnsi" w:cstheme="minorBidi"/>
          <w:color w:val="auto"/>
          <w:kern w:val="2"/>
          <w:sz w:val="24"/>
          <w:szCs w:val="21"/>
          <w:lang w:bidi="ne-NP"/>
          <w14:ligatures w14:val="standardContextual"/>
        </w:rPr>
      </w:pPr>
      <w:hyperlink w:anchor="_Toc202187940" w:history="1">
        <w:r w:rsidRPr="003A6781">
          <w:rPr>
            <w:rStyle w:val="Hyperlink"/>
          </w:rPr>
          <w:t>Table 6.1 Commonwealth Environmental Outcomes Framework for food webs and water quality, and key findings for 2023–24 and 2014–24</w:t>
        </w:r>
        <w:r>
          <w:rPr>
            <w:webHidden/>
          </w:rPr>
          <w:tab/>
        </w:r>
        <w:r>
          <w:rPr>
            <w:webHidden/>
          </w:rPr>
          <w:fldChar w:fldCharType="begin"/>
        </w:r>
        <w:r>
          <w:rPr>
            <w:webHidden/>
          </w:rPr>
          <w:instrText xml:space="preserve"> PAGEREF _Toc202187940 \h </w:instrText>
        </w:r>
        <w:r>
          <w:rPr>
            <w:webHidden/>
          </w:rPr>
        </w:r>
        <w:r>
          <w:rPr>
            <w:webHidden/>
          </w:rPr>
          <w:fldChar w:fldCharType="separate"/>
        </w:r>
        <w:r>
          <w:rPr>
            <w:webHidden/>
          </w:rPr>
          <w:t>32</w:t>
        </w:r>
        <w:r>
          <w:rPr>
            <w:webHidden/>
          </w:rPr>
          <w:fldChar w:fldCharType="end"/>
        </w:r>
      </w:hyperlink>
    </w:p>
    <w:p w14:paraId="4194F1CC" w14:textId="6ADB1036" w:rsidR="007A2703" w:rsidRPr="00C601A2" w:rsidRDefault="009959BB" w:rsidP="009611FC">
      <w:pPr>
        <w:pStyle w:val="TableofFigures"/>
      </w:pPr>
      <w:r w:rsidRPr="00C601A2">
        <w:rPr>
          <w:shd w:val="clear" w:color="auto" w:fill="E6E6E6"/>
        </w:rPr>
        <w:fldChar w:fldCharType="end"/>
      </w:r>
    </w:p>
    <w:p w14:paraId="29757FCE" w14:textId="55F65B87" w:rsidR="00647C20" w:rsidRPr="00C601A2" w:rsidRDefault="00647C20" w:rsidP="009611FC">
      <w:pPr>
        <w:pStyle w:val="TableofFigures"/>
      </w:pPr>
    </w:p>
    <w:p w14:paraId="7CCFED58" w14:textId="4FD13F48" w:rsidR="00647C20" w:rsidRPr="00C601A2" w:rsidRDefault="00647C20" w:rsidP="00647C20">
      <w:pPr>
        <w:pStyle w:val="BodyText"/>
        <w:sectPr w:rsidR="00647C20" w:rsidRPr="00C601A2" w:rsidSect="0083564C">
          <w:headerReference w:type="even" r:id="rId36"/>
          <w:headerReference w:type="default" r:id="rId37"/>
          <w:footerReference w:type="default" r:id="rId38"/>
          <w:headerReference w:type="first" r:id="rId39"/>
          <w:type w:val="oddPage"/>
          <w:pgSz w:w="11906" w:h="16838" w:code="9"/>
          <w:pgMar w:top="1134" w:right="1134" w:bottom="1134" w:left="1134" w:header="510" w:footer="510" w:gutter="0"/>
          <w:pgNumType w:fmt="lowerRoman"/>
          <w:cols w:space="284"/>
          <w:docGrid w:linePitch="360"/>
        </w:sectPr>
      </w:pPr>
    </w:p>
    <w:p w14:paraId="44A91759" w14:textId="37ABCE43" w:rsidR="00A943B2" w:rsidRPr="007F4885" w:rsidRDefault="00A943B2" w:rsidP="007F4885">
      <w:pPr>
        <w:pStyle w:val="Heading1"/>
      </w:pPr>
      <w:bookmarkStart w:id="60" w:name="_Toc71298432"/>
      <w:bookmarkStart w:id="61" w:name="_Toc169543859"/>
      <w:bookmarkStart w:id="62" w:name="_Toc202187840"/>
      <w:r w:rsidRPr="007F4885">
        <w:lastRenderedPageBreak/>
        <w:t>Introduction</w:t>
      </w:r>
      <w:bookmarkEnd w:id="60"/>
      <w:bookmarkEnd w:id="61"/>
      <w:bookmarkEnd w:id="62"/>
    </w:p>
    <w:p w14:paraId="64F82635" w14:textId="587D9465" w:rsidR="006724BC" w:rsidRPr="007A4418" w:rsidRDefault="006724BC" w:rsidP="007A4418">
      <w:pPr>
        <w:pStyle w:val="BodyText"/>
      </w:pPr>
      <w:bookmarkStart w:id="63" w:name="_Ref75968920"/>
      <w:bookmarkStart w:id="64" w:name="_Toc71298433"/>
      <w:bookmarkStart w:id="65" w:name="_Ref74845423"/>
      <w:bookmarkStart w:id="66" w:name="_Ref75361998"/>
      <w:r w:rsidRPr="004A4DBC">
        <w:rPr>
          <w:rStyle w:val="Italics"/>
          <w:i w:val="0"/>
        </w:rPr>
        <w:t xml:space="preserve">This chapter summarises the purpose of the </w:t>
      </w:r>
      <w:r w:rsidR="007B4325">
        <w:rPr>
          <w:rStyle w:val="Italics"/>
          <w:i w:val="0"/>
        </w:rPr>
        <w:t xml:space="preserve">Basin-scale </w:t>
      </w:r>
      <w:r w:rsidRPr="004A4DBC">
        <w:rPr>
          <w:rStyle w:val="Italics"/>
          <w:i w:val="0"/>
        </w:rPr>
        <w:t xml:space="preserve">evaluation, </w:t>
      </w:r>
      <w:r w:rsidR="00795211" w:rsidRPr="004A4DBC">
        <w:rPr>
          <w:rStyle w:val="Italics"/>
          <w:i w:val="0"/>
        </w:rPr>
        <w:t>its objectives and coverage</w:t>
      </w:r>
      <w:r w:rsidRPr="004A4DBC">
        <w:rPr>
          <w:rStyle w:val="Italics"/>
          <w:i w:val="0"/>
        </w:rPr>
        <w:t>, and the structure of this report.</w:t>
      </w:r>
    </w:p>
    <w:p w14:paraId="5F3944F2" w14:textId="6F76B193" w:rsidR="00F76F0F" w:rsidRPr="00C601A2" w:rsidRDefault="00F76F0F" w:rsidP="00F76F0F">
      <w:pPr>
        <w:pStyle w:val="Heading2"/>
      </w:pPr>
      <w:bookmarkStart w:id="67" w:name="_Toc169543860"/>
      <w:bookmarkStart w:id="68" w:name="_Toc202187841"/>
      <w:r w:rsidRPr="00C601A2">
        <w:t>Evaluation objectives</w:t>
      </w:r>
      <w:bookmarkEnd w:id="63"/>
      <w:bookmarkEnd w:id="67"/>
      <w:bookmarkEnd w:id="68"/>
    </w:p>
    <w:p w14:paraId="3316EF93" w14:textId="3EE11161" w:rsidR="00F76F0F" w:rsidRPr="00C601A2" w:rsidRDefault="00F76F0F" w:rsidP="005742A6">
      <w:pPr>
        <w:pStyle w:val="BodyText"/>
      </w:pPr>
      <w:r w:rsidRPr="00C601A2">
        <w:t xml:space="preserve">The </w:t>
      </w:r>
      <w:r w:rsidR="00147A6C">
        <w:t xml:space="preserve">Basin-scale </w:t>
      </w:r>
      <w:r w:rsidR="00FA4AAC" w:rsidRPr="00C601A2">
        <w:t xml:space="preserve">Food </w:t>
      </w:r>
      <w:r w:rsidR="002A5A1B" w:rsidRPr="00C601A2">
        <w:t>W</w:t>
      </w:r>
      <w:r w:rsidR="00FA4AAC" w:rsidRPr="00C601A2">
        <w:t xml:space="preserve">ebs and </w:t>
      </w:r>
      <w:r w:rsidR="00692842" w:rsidRPr="00C601A2">
        <w:t>W</w:t>
      </w:r>
      <w:r w:rsidR="00FA4AAC" w:rsidRPr="00C601A2">
        <w:t xml:space="preserve">ater </w:t>
      </w:r>
      <w:r w:rsidR="00692842" w:rsidRPr="00C601A2">
        <w:t>Q</w:t>
      </w:r>
      <w:r w:rsidR="00FA4AAC" w:rsidRPr="00C601A2">
        <w:t xml:space="preserve">uality </w:t>
      </w:r>
      <w:r w:rsidRPr="00C601A2">
        <w:t>Theme evaluates the contribution of Commonwealth environmental water</w:t>
      </w:r>
      <w:r w:rsidR="00E327F2">
        <w:t xml:space="preserve"> (CEW)</w:t>
      </w:r>
      <w:r w:rsidRPr="00C601A2">
        <w:t xml:space="preserve"> </w:t>
      </w:r>
      <w:r w:rsidR="001A7EBD" w:rsidRPr="00C601A2">
        <w:t>to stream metabolism</w:t>
      </w:r>
      <w:r w:rsidR="00B424AC">
        <w:t xml:space="preserve"> in the Murray–Darling Basin (the Basin)</w:t>
      </w:r>
      <w:r w:rsidRPr="00C601A2">
        <w:t xml:space="preserve">. </w:t>
      </w:r>
      <w:r w:rsidR="005947D1" w:rsidRPr="00C601A2">
        <w:t>This report</w:t>
      </w:r>
      <w:r w:rsidR="005947D1" w:rsidRPr="00C601A2">
        <w:rPr>
          <w:color w:val="auto"/>
        </w:rPr>
        <w:t xml:space="preserve"> </w:t>
      </w:r>
      <w:r w:rsidRPr="00C601A2">
        <w:rPr>
          <w:color w:val="auto"/>
        </w:rPr>
        <w:t>describes the most recent (</w:t>
      </w:r>
      <w:r w:rsidR="007856E4">
        <w:rPr>
          <w:color w:val="auto"/>
        </w:rPr>
        <w:t>one</w:t>
      </w:r>
      <w:r w:rsidR="0049338C">
        <w:rPr>
          <w:color w:val="auto"/>
        </w:rPr>
        <w:t>-</w:t>
      </w:r>
      <w:r w:rsidRPr="00C601A2">
        <w:rPr>
          <w:color w:val="auto"/>
        </w:rPr>
        <w:t>year) and longer term (</w:t>
      </w:r>
      <w:r w:rsidR="007856E4">
        <w:rPr>
          <w:color w:val="auto"/>
        </w:rPr>
        <w:t>10</w:t>
      </w:r>
      <w:r w:rsidR="0049338C">
        <w:rPr>
          <w:color w:val="auto"/>
        </w:rPr>
        <w:t>-</w:t>
      </w:r>
      <w:r w:rsidR="00547FF3">
        <w:rPr>
          <w:color w:val="auto"/>
        </w:rPr>
        <w:t>year</w:t>
      </w:r>
      <w:r w:rsidRPr="00C601A2">
        <w:rPr>
          <w:color w:val="auto"/>
        </w:rPr>
        <w:t>) evaluation</w:t>
      </w:r>
      <w:r w:rsidR="005947D1" w:rsidRPr="00C601A2">
        <w:rPr>
          <w:color w:val="auto"/>
        </w:rPr>
        <w:t xml:space="preserve">s, addressing </w:t>
      </w:r>
      <w:r w:rsidRPr="00C601A2">
        <w:t>4 Basin-scale evaluation questions (see</w:t>
      </w:r>
      <w:r w:rsidR="00B5375C">
        <w:t xml:space="preserve"> </w:t>
      </w:r>
      <w:r w:rsidR="00B5375C">
        <w:fldChar w:fldCharType="begin"/>
      </w:r>
      <w:r w:rsidR="00B5375C">
        <w:instrText xml:space="preserve"> REF _Ref165310630 \h </w:instrText>
      </w:r>
      <w:r w:rsidR="00B5375C">
        <w:fldChar w:fldCharType="separate"/>
      </w:r>
      <w:r w:rsidR="00492712">
        <w:t>Figure </w:t>
      </w:r>
      <w:r w:rsidR="00492712">
        <w:rPr>
          <w:noProof/>
        </w:rPr>
        <w:t>1</w:t>
      </w:r>
      <w:r w:rsidR="00492712">
        <w:t>.</w:t>
      </w:r>
      <w:r w:rsidR="00492712">
        <w:rPr>
          <w:noProof/>
        </w:rPr>
        <w:t>1</w:t>
      </w:r>
      <w:r w:rsidR="00B5375C">
        <w:fldChar w:fldCharType="end"/>
      </w:r>
      <w:r w:rsidRPr="00C601A2">
        <w:t>):</w:t>
      </w:r>
    </w:p>
    <w:p w14:paraId="11F1B751" w14:textId="77777777" w:rsidR="00F76F0F" w:rsidRPr="00C601A2" w:rsidRDefault="00F76F0F" w:rsidP="00D30D53">
      <w:pPr>
        <w:pStyle w:val="Boxedlistbulletblue"/>
      </w:pPr>
      <w:r w:rsidRPr="00C601A2">
        <w:t xml:space="preserve">What did Commonwealth environmental water contribute to patterns and rates of </w:t>
      </w:r>
      <w:r w:rsidRPr="00091221">
        <w:rPr>
          <w:rStyle w:val="Bold"/>
        </w:rPr>
        <w:t>ecosystem respiration</w:t>
      </w:r>
      <w:r w:rsidRPr="00C601A2">
        <w:t>?</w:t>
      </w:r>
    </w:p>
    <w:p w14:paraId="01125AE6" w14:textId="77777777" w:rsidR="00F76F0F" w:rsidRPr="00C601A2" w:rsidRDefault="00F76F0F" w:rsidP="00D30D53">
      <w:pPr>
        <w:pStyle w:val="Boxedlistbulletblue"/>
      </w:pPr>
      <w:r w:rsidRPr="00C601A2">
        <w:t xml:space="preserve">What did Commonwealth environmental water contribute to patterns and rates of </w:t>
      </w:r>
      <w:r w:rsidRPr="00091221">
        <w:rPr>
          <w:rStyle w:val="Bold"/>
        </w:rPr>
        <w:t>primary productivity</w:t>
      </w:r>
      <w:r w:rsidRPr="00C601A2">
        <w:t>?</w:t>
      </w:r>
    </w:p>
    <w:p w14:paraId="3835CD12" w14:textId="77777777" w:rsidR="00F76F0F" w:rsidRPr="00C601A2" w:rsidRDefault="00F76F0F" w:rsidP="00D30D53">
      <w:pPr>
        <w:pStyle w:val="Boxedlistbulletblue"/>
      </w:pPr>
      <w:r w:rsidRPr="00C601A2">
        <w:t xml:space="preserve">What did Commonwealth environmental water contribute to </w:t>
      </w:r>
      <w:r w:rsidRPr="00091221">
        <w:rPr>
          <w:rStyle w:val="Bold"/>
        </w:rPr>
        <w:t>dissolved oxygen</w:t>
      </w:r>
      <w:r w:rsidRPr="00C601A2">
        <w:t xml:space="preserve"> levels?</w:t>
      </w:r>
    </w:p>
    <w:p w14:paraId="03090921" w14:textId="77777777" w:rsidR="00F76F0F" w:rsidRPr="00C601A2" w:rsidRDefault="00F76F0F" w:rsidP="00D30D53">
      <w:pPr>
        <w:pStyle w:val="Boxedlistbulletblue"/>
      </w:pPr>
      <w:r w:rsidRPr="00C601A2">
        <w:t xml:space="preserve">What did Commonwealth environmental water contribute to </w:t>
      </w:r>
      <w:r w:rsidRPr="00091221">
        <w:rPr>
          <w:rStyle w:val="Bold"/>
        </w:rPr>
        <w:t>salinity</w:t>
      </w:r>
      <w:r w:rsidRPr="00C601A2">
        <w:t xml:space="preserve"> regimes?</w:t>
      </w:r>
    </w:p>
    <w:p w14:paraId="54B9DDC8" w14:textId="78C20BB4" w:rsidR="00F76F0F" w:rsidRPr="00C601A2" w:rsidRDefault="006C24BB" w:rsidP="00792094">
      <w:pPr>
        <w:pStyle w:val="CaptionWithNote"/>
      </w:pPr>
      <w:bookmarkStart w:id="69" w:name="_Ref165310630"/>
      <w:bookmarkStart w:id="70" w:name="_Toc193363429"/>
      <w:bookmarkStart w:id="71" w:name="_Toc194788945"/>
      <w:bookmarkStart w:id="72" w:name="_Toc202187878"/>
      <w:r>
        <w:t>Figure</w:t>
      </w:r>
      <w:r w:rsidR="00A535AD">
        <w:t> </w:t>
      </w:r>
      <w:r>
        <w:fldChar w:fldCharType="begin"/>
      </w:r>
      <w:r>
        <w:instrText>STYLEREF 1 \s</w:instrText>
      </w:r>
      <w:r>
        <w:fldChar w:fldCharType="separate"/>
      </w:r>
      <w:r w:rsidR="00492712">
        <w:rPr>
          <w:noProof/>
        </w:rPr>
        <w:t>1</w:t>
      </w:r>
      <w:r>
        <w:fldChar w:fldCharType="end"/>
      </w:r>
      <w:r w:rsidR="00505064">
        <w:t>.</w:t>
      </w:r>
      <w:r>
        <w:fldChar w:fldCharType="begin"/>
      </w:r>
      <w:r>
        <w:instrText>SEQ Figure \* ARABIC \s 1</w:instrText>
      </w:r>
      <w:r>
        <w:fldChar w:fldCharType="separate"/>
      </w:r>
      <w:r w:rsidR="00492712">
        <w:rPr>
          <w:noProof/>
        </w:rPr>
        <w:t>1</w:t>
      </w:r>
      <w:r>
        <w:fldChar w:fldCharType="end"/>
      </w:r>
      <w:bookmarkEnd w:id="69"/>
      <w:r w:rsidRPr="00C601A2">
        <w:t xml:space="preserve"> Schematic of key elements of stream metabolism and water quality indicators</w:t>
      </w:r>
      <w:bookmarkEnd w:id="70"/>
      <w:bookmarkEnd w:id="71"/>
      <w:bookmarkEnd w:id="72"/>
    </w:p>
    <w:p w14:paraId="2310A873" w14:textId="48C88D0C" w:rsidR="007C57DD" w:rsidRPr="00792094" w:rsidRDefault="00F76F0F" w:rsidP="007C57DD">
      <w:pPr>
        <w:pStyle w:val="CaptionNote"/>
      </w:pPr>
      <w:r w:rsidRPr="00C601A2">
        <w:t>LTIM = Long Term Intervention Monitoring Project; PAR = photosynthetically active radiation</w:t>
      </w:r>
      <w:r w:rsidR="00E03DAD">
        <w:t xml:space="preserve">. </w:t>
      </w:r>
      <w:r w:rsidR="007C57DD" w:rsidRPr="00F5002E">
        <w:t>Source: adapted from Hale et al. (2014)</w:t>
      </w:r>
      <w:r w:rsidR="00E03DAD">
        <w:t>.</w:t>
      </w:r>
    </w:p>
    <w:p w14:paraId="6BBE351C" w14:textId="77777777" w:rsidR="00D14928" w:rsidRPr="00792094" w:rsidRDefault="00D14928" w:rsidP="00FE4337">
      <w:pPr>
        <w:pStyle w:val="Figure"/>
        <w:spacing w:after="240"/>
      </w:pPr>
      <w:r w:rsidRPr="00C601A2">
        <w:rPr>
          <w:noProof/>
          <w:shd w:val="clear" w:color="auto" w:fill="E6E6E6"/>
        </w:rPr>
        <w:drawing>
          <wp:inline distT="0" distB="0" distL="0" distR="0" wp14:anchorId="35B7E5AA" wp14:editId="7979A47B">
            <wp:extent cx="6229349" cy="3032909"/>
            <wp:effectExtent l="0" t="0" r="635" b="0"/>
            <wp:docPr id="1555332428" name="Picture 1555332428" descr="Diagram showing how the key elements (field measurements, analysis, evaluation, reporting) link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howing how the key elements (field measurements, analysis, evaluation, reporting) link to each other"/>
                    <pic:cNvPicPr/>
                  </pic:nvPicPr>
                  <pic:blipFill rotWithShape="1">
                    <a:blip r:embed="rId40" cstate="print">
                      <a:extLst>
                        <a:ext uri="{28A0092B-C50C-407E-A947-70E740481C1C}">
                          <a14:useLocalDpi xmlns:a14="http://schemas.microsoft.com/office/drawing/2010/main"/>
                        </a:ext>
                      </a:extLst>
                    </a:blip>
                    <a:srcRect b="2625"/>
                    <a:stretch>
                      <a:fillRect/>
                    </a:stretch>
                  </pic:blipFill>
                  <pic:spPr bwMode="auto">
                    <a:xfrm>
                      <a:off x="0" y="0"/>
                      <a:ext cx="6236915" cy="3036593"/>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D447C77" w14:textId="77777777" w:rsidR="000B48A6" w:rsidRDefault="00F76F0F" w:rsidP="007113EE">
      <w:pPr>
        <w:pStyle w:val="BodyTextExtraSpaceBefore"/>
      </w:pPr>
      <w:r w:rsidRPr="00C601A2">
        <w:t xml:space="preserve">The </w:t>
      </w:r>
      <w:r w:rsidR="00C5348A">
        <w:t xml:space="preserve">Commonwealth’s (Murray–Darling) </w:t>
      </w:r>
      <w:r w:rsidRPr="00664394">
        <w:rPr>
          <w:i/>
          <w:iCs/>
        </w:rPr>
        <w:t>Basin Plan</w:t>
      </w:r>
      <w:r w:rsidR="00C5348A" w:rsidRPr="00664394">
        <w:rPr>
          <w:i/>
          <w:iCs/>
        </w:rPr>
        <w:t xml:space="preserve"> 2012</w:t>
      </w:r>
      <w:r w:rsidRPr="00C601A2">
        <w:t xml:space="preserve"> </w:t>
      </w:r>
      <w:r w:rsidR="00EA4671">
        <w:t xml:space="preserve">(the Basin Plan) </w:t>
      </w:r>
      <w:r w:rsidRPr="00C601A2">
        <w:t xml:space="preserve">lists food webs and water quality objectives in </w:t>
      </w:r>
      <w:r w:rsidR="009A7BBA">
        <w:t>sections</w:t>
      </w:r>
      <w:r w:rsidR="00F32CCE" w:rsidRPr="00C601A2">
        <w:t xml:space="preserve"> </w:t>
      </w:r>
      <w:r w:rsidRPr="00C601A2">
        <w:t>8 and 9. Many of these are qualitative</w:t>
      </w:r>
      <w:r w:rsidR="0049338C">
        <w:t> –</w:t>
      </w:r>
      <w:r w:rsidRPr="00C601A2">
        <w:t xml:space="preserve"> </w:t>
      </w:r>
      <w:r w:rsidR="00B02C1A" w:rsidRPr="00C601A2">
        <w:t>that is,</w:t>
      </w:r>
      <w:r w:rsidRPr="00C601A2">
        <w:t xml:space="preserve"> they refer to expected outcomes such as improved hydrological connectivity, more frequent opening of the Murray Mouth, improved water quality</w:t>
      </w:r>
      <w:r w:rsidR="00A04F8C">
        <w:t>,</w:t>
      </w:r>
      <w:r w:rsidRPr="00C601A2">
        <w:t xml:space="preserve"> and restoration of ecological community structures and food webs</w:t>
      </w:r>
      <w:r w:rsidR="0049338C">
        <w:t> –</w:t>
      </w:r>
      <w:r w:rsidRPr="00C601A2">
        <w:t xml:space="preserve"> rather than measurable targets. </w:t>
      </w:r>
    </w:p>
    <w:p w14:paraId="60580FE7" w14:textId="1D082A1E" w:rsidR="00F76F0F" w:rsidRPr="00C601A2" w:rsidRDefault="00F76F0F" w:rsidP="007113EE">
      <w:pPr>
        <w:pStyle w:val="BodyTextExtraSpaceBefore"/>
      </w:pPr>
      <w:r w:rsidRPr="00C601A2">
        <w:lastRenderedPageBreak/>
        <w:t>Three measurable targets relevant to th</w:t>
      </w:r>
      <w:r w:rsidR="00C5348A">
        <w:t xml:space="preserve">e </w:t>
      </w:r>
      <w:r w:rsidR="00313B5F">
        <w:t xml:space="preserve">Basin-scale </w:t>
      </w:r>
      <w:r w:rsidR="00C5348A">
        <w:t xml:space="preserve">Food Webs and Water Quality </w:t>
      </w:r>
      <w:r w:rsidR="00B02C1A" w:rsidRPr="00C601A2">
        <w:t>T</w:t>
      </w:r>
      <w:r w:rsidRPr="00C601A2">
        <w:t>heme are:</w:t>
      </w:r>
    </w:p>
    <w:p w14:paraId="2D66FF97" w14:textId="162C0E54" w:rsidR="00F76F0F" w:rsidRPr="00C601A2" w:rsidRDefault="00F76F0F" w:rsidP="00B5375C">
      <w:pPr>
        <w:pStyle w:val="ListBullet"/>
      </w:pPr>
      <w:r>
        <w:t xml:space="preserve">maintenance of (instream) dissolved oxygen </w:t>
      </w:r>
      <w:r w:rsidR="00B02C1A">
        <w:t xml:space="preserve">(DO) </w:t>
      </w:r>
      <w:r w:rsidR="0049338C">
        <w:t xml:space="preserve">of </w:t>
      </w:r>
      <w:r>
        <w:t xml:space="preserve">at </w:t>
      </w:r>
      <w:r w:rsidR="0049338C">
        <w:rPr>
          <w:rFonts w:cs="Calibri"/>
        </w:rPr>
        <w:t xml:space="preserve">least </w:t>
      </w:r>
      <w:r>
        <w:t>50% saturation</w:t>
      </w:r>
    </w:p>
    <w:p w14:paraId="63680232" w14:textId="332E579A" w:rsidR="00F76F0F" w:rsidRPr="00C601A2" w:rsidRDefault="00F76F0F" w:rsidP="00B5375C">
      <w:pPr>
        <w:pStyle w:val="ListBullet"/>
      </w:pPr>
      <w:r>
        <w:t>an average of 2 million tonnes of salt discharged into the Southern Ocean each water year</w:t>
      </w:r>
    </w:p>
    <w:p w14:paraId="282916CD" w14:textId="77777777" w:rsidR="00F76F0F" w:rsidRPr="00C601A2" w:rsidRDefault="00F76F0F" w:rsidP="00B5375C">
      <w:pPr>
        <w:pStyle w:val="ListBullet"/>
      </w:pPr>
      <w:r>
        <w:t>salinity levels at reporting sites not to exceed set targets 95% of the time (e.g. target of 830 µS/cm at Murray Bridge).</w:t>
      </w:r>
    </w:p>
    <w:p w14:paraId="7E215605" w14:textId="762E336B" w:rsidR="003C5A6B" w:rsidRPr="00C601A2" w:rsidRDefault="003C5A6B" w:rsidP="003C5A6B">
      <w:pPr>
        <w:pStyle w:val="BodyText"/>
      </w:pPr>
      <w:r>
        <w:t xml:space="preserve">Basin Plan objectives are fully listed in </w:t>
      </w:r>
      <w:r w:rsidR="00FE41AA">
        <w:fldChar w:fldCharType="begin"/>
      </w:r>
      <w:r w:rsidR="00FE41AA">
        <w:instrText xml:space="preserve"> REF _Ref202187941 \h </w:instrText>
      </w:r>
      <w:r w:rsidR="00FE41AA">
        <w:fldChar w:fldCharType="separate"/>
      </w:r>
      <w:r w:rsidR="00FE41AA" w:rsidRPr="00C601A2">
        <w:t xml:space="preserve">Table </w:t>
      </w:r>
      <w:r w:rsidR="00FE41AA">
        <w:rPr>
          <w:noProof/>
        </w:rPr>
        <w:t>6</w:t>
      </w:r>
      <w:r w:rsidR="00FE41AA">
        <w:t>.</w:t>
      </w:r>
      <w:r w:rsidR="00FE41AA">
        <w:rPr>
          <w:noProof/>
        </w:rPr>
        <w:t>1</w:t>
      </w:r>
      <w:r w:rsidR="00FE41AA">
        <w:fldChar w:fldCharType="end"/>
      </w:r>
      <w:r w:rsidR="00FE41AA">
        <w:t>.</w:t>
      </w:r>
    </w:p>
    <w:p w14:paraId="75E62316" w14:textId="39077E6E" w:rsidR="001510B5" w:rsidRDefault="00582BF2" w:rsidP="008D2E2B">
      <w:pPr>
        <w:pStyle w:val="Heading2"/>
      </w:pPr>
      <w:bookmarkStart w:id="73" w:name="_Toc169543861"/>
      <w:bookmarkStart w:id="74" w:name="_Toc202187842"/>
      <w:r w:rsidRPr="00C601A2">
        <w:t>Evaluation</w:t>
      </w:r>
      <w:r w:rsidR="00747EB0" w:rsidRPr="00C601A2">
        <w:t xml:space="preserve"> coverage</w:t>
      </w:r>
      <w:bookmarkEnd w:id="73"/>
      <w:bookmarkEnd w:id="74"/>
    </w:p>
    <w:p w14:paraId="09CA7455" w14:textId="2EA2911C" w:rsidR="0080749C" w:rsidRDefault="00731911" w:rsidP="00F14D93">
      <w:pPr>
        <w:pStyle w:val="BodyText"/>
      </w:pPr>
      <w:r w:rsidRPr="00C601A2">
        <w:t xml:space="preserve">This report uses the </w:t>
      </w:r>
      <w:r w:rsidR="00841486">
        <w:t>Stream Metabolism Category 1</w:t>
      </w:r>
      <w:r w:rsidR="00C5348A">
        <w:t> — gross primary production</w:t>
      </w:r>
      <w:r w:rsidR="00812F66">
        <w:t xml:space="preserve"> </w:t>
      </w:r>
      <w:r w:rsidR="00841486">
        <w:t>(</w:t>
      </w:r>
      <w:r w:rsidRPr="00C601A2">
        <w:t>GPP</w:t>
      </w:r>
      <w:r w:rsidR="00C5348A">
        <w:t>)</w:t>
      </w:r>
      <w:r w:rsidRPr="00C601A2">
        <w:t xml:space="preserve">, </w:t>
      </w:r>
      <w:r w:rsidR="00C5348A">
        <w:t>ecosystem respiration (</w:t>
      </w:r>
      <w:r w:rsidRPr="00C601A2">
        <w:t>ER</w:t>
      </w:r>
      <w:r w:rsidR="00C5348A">
        <w:t>)</w:t>
      </w:r>
      <w:r w:rsidRPr="00C601A2">
        <w:t xml:space="preserve"> and </w:t>
      </w:r>
      <w:r w:rsidR="00F86B4C">
        <w:t>dissolved oxygen (</w:t>
      </w:r>
      <w:r w:rsidRPr="00C601A2">
        <w:t>DO</w:t>
      </w:r>
      <w:r w:rsidR="00F86B4C">
        <w:t>)</w:t>
      </w:r>
      <w:r w:rsidR="00C5348A">
        <w:t> –</w:t>
      </w:r>
      <w:r w:rsidRPr="00C601A2">
        <w:t xml:space="preserve"> data collected by the Flow</w:t>
      </w:r>
      <w:r>
        <w:t>-</w:t>
      </w:r>
      <w:r w:rsidRPr="00C601A2">
        <w:t xml:space="preserve">MER Selected Area teams and </w:t>
      </w:r>
      <w:r w:rsidR="00C375DA">
        <w:t xml:space="preserve">stored in the CEWH’s Monitoring Data Management System (MDMS); and </w:t>
      </w:r>
      <w:r w:rsidRPr="00C601A2">
        <w:t>hydrologic</w:t>
      </w:r>
      <w:r>
        <w:t xml:space="preserve">al </w:t>
      </w:r>
      <w:r w:rsidRPr="00C601A2">
        <w:t xml:space="preserve">data provided by the </w:t>
      </w:r>
      <w:r w:rsidR="0061176C">
        <w:t xml:space="preserve">Basin-scale </w:t>
      </w:r>
      <w:r w:rsidRPr="00C601A2">
        <w:t>Hydrology Theme to assess riverine metabolic responses to flow</w:t>
      </w:r>
      <w:r w:rsidR="00C5348A">
        <w:t xml:space="preserve"> (</w:t>
      </w:r>
      <w:r w:rsidR="000C2214">
        <w:fldChar w:fldCharType="begin"/>
      </w:r>
      <w:r w:rsidR="000C2214">
        <w:instrText xml:space="preserve"> REF _Ref166616999 \h </w:instrText>
      </w:r>
      <w:r w:rsidR="000C2214">
        <w:fldChar w:fldCharType="separate"/>
      </w:r>
      <w:r w:rsidR="00492712" w:rsidRPr="00C601A2">
        <w:t>Table</w:t>
      </w:r>
      <w:r w:rsidR="00492712">
        <w:t> </w:t>
      </w:r>
      <w:r w:rsidR="00835C8B">
        <w:rPr>
          <w:noProof/>
        </w:rPr>
        <w:t>1</w:t>
      </w:r>
      <w:r w:rsidR="00492712">
        <w:t>.</w:t>
      </w:r>
      <w:r w:rsidR="00492712">
        <w:rPr>
          <w:noProof/>
        </w:rPr>
        <w:t>1</w:t>
      </w:r>
      <w:r w:rsidR="000C2214">
        <w:fldChar w:fldCharType="end"/>
      </w:r>
      <w:r w:rsidR="00C5348A">
        <w:t>)</w:t>
      </w:r>
      <w:r w:rsidR="0080749C">
        <w:t>.</w:t>
      </w:r>
    </w:p>
    <w:p w14:paraId="5794C6E1" w14:textId="2DB94CBC" w:rsidR="00F14D93" w:rsidRDefault="00620768" w:rsidP="00F14D93">
      <w:pPr>
        <w:pStyle w:val="BodyText"/>
        <w:rPr>
          <w:rFonts w:eastAsiaTheme="majorEastAsia" w:cs="Calibri"/>
        </w:rPr>
      </w:pPr>
      <w:r>
        <w:rPr>
          <w:rFonts w:eastAsiaTheme="majorEastAsia" w:cs="Calibri"/>
        </w:rPr>
        <w:t>For the 202</w:t>
      </w:r>
      <w:r w:rsidR="002F11D8">
        <w:rPr>
          <w:rFonts w:eastAsiaTheme="majorEastAsia" w:cs="Calibri"/>
        </w:rPr>
        <w:t>3</w:t>
      </w:r>
      <w:r>
        <w:rPr>
          <w:rFonts w:eastAsiaTheme="majorEastAsia" w:cs="Calibri"/>
        </w:rPr>
        <w:t>–2</w:t>
      </w:r>
      <w:r w:rsidR="002F11D8">
        <w:rPr>
          <w:rFonts w:eastAsiaTheme="majorEastAsia" w:cs="Calibri"/>
        </w:rPr>
        <w:t>4</w:t>
      </w:r>
      <w:r>
        <w:rPr>
          <w:rFonts w:eastAsiaTheme="majorEastAsia" w:cs="Calibri"/>
        </w:rPr>
        <w:t xml:space="preserve"> evaluation, </w:t>
      </w:r>
      <w:r w:rsidR="00F14D93" w:rsidRPr="00C601A2">
        <w:rPr>
          <w:rFonts w:eastAsiaTheme="majorEastAsia" w:cs="Calibri"/>
        </w:rPr>
        <w:t xml:space="preserve">Stream Metabolism Category 1 data were collected from </w:t>
      </w:r>
      <w:r w:rsidR="000E7452">
        <w:rPr>
          <w:rFonts w:eastAsiaTheme="majorEastAsia" w:cs="Calibri"/>
        </w:rPr>
        <w:t>2</w:t>
      </w:r>
      <w:r w:rsidR="008A6635">
        <w:rPr>
          <w:rFonts w:eastAsiaTheme="majorEastAsia" w:cs="Calibri"/>
        </w:rPr>
        <w:t>6</w:t>
      </w:r>
      <w:r w:rsidR="00F14D93" w:rsidRPr="00C601A2">
        <w:rPr>
          <w:rFonts w:eastAsiaTheme="majorEastAsia" w:cs="Calibri"/>
        </w:rPr>
        <w:t xml:space="preserve"> sites </w:t>
      </w:r>
      <w:r w:rsidR="00787EB7">
        <w:rPr>
          <w:rFonts w:eastAsiaTheme="majorEastAsia" w:cs="Calibri"/>
        </w:rPr>
        <w:t>from all</w:t>
      </w:r>
      <w:r w:rsidR="00F14D93" w:rsidRPr="00C601A2">
        <w:rPr>
          <w:rFonts w:eastAsiaTheme="majorEastAsia" w:cs="Calibri"/>
        </w:rPr>
        <w:t xml:space="preserve"> 7 Selected Areas: Lower Murray River, 3 sites; Goulburn River, </w:t>
      </w:r>
      <w:r w:rsidR="000017DD">
        <w:rPr>
          <w:rFonts w:eastAsiaTheme="majorEastAsia" w:cs="Calibri"/>
        </w:rPr>
        <w:t>4</w:t>
      </w:r>
      <w:r w:rsidR="00F14D93" w:rsidRPr="00C601A2">
        <w:rPr>
          <w:rFonts w:eastAsiaTheme="majorEastAsia" w:cs="Calibri"/>
        </w:rPr>
        <w:t xml:space="preserve"> sites; Edward/Kolety–Wakool river systems, 7 sites; Lachlan River System, </w:t>
      </w:r>
      <w:r w:rsidR="00567732">
        <w:rPr>
          <w:rFonts w:eastAsiaTheme="majorEastAsia" w:cs="Calibri"/>
        </w:rPr>
        <w:t>5</w:t>
      </w:r>
      <w:r w:rsidR="00F14D93" w:rsidRPr="00C601A2">
        <w:rPr>
          <w:rFonts w:eastAsiaTheme="majorEastAsia" w:cs="Calibri"/>
        </w:rPr>
        <w:t> site</w:t>
      </w:r>
      <w:r w:rsidR="00567732">
        <w:rPr>
          <w:rFonts w:eastAsiaTheme="majorEastAsia" w:cs="Calibri"/>
        </w:rPr>
        <w:t>s</w:t>
      </w:r>
      <w:r w:rsidR="00F14D93" w:rsidRPr="00C601A2">
        <w:rPr>
          <w:rFonts w:eastAsiaTheme="majorEastAsia" w:cs="Calibri"/>
        </w:rPr>
        <w:t xml:space="preserve">; Gwydir River System, </w:t>
      </w:r>
      <w:r w:rsidR="007D4F27">
        <w:rPr>
          <w:rFonts w:eastAsiaTheme="majorEastAsia" w:cs="Calibri"/>
        </w:rPr>
        <w:t>3</w:t>
      </w:r>
      <w:r w:rsidR="00F14D93" w:rsidRPr="00C601A2">
        <w:rPr>
          <w:rFonts w:eastAsiaTheme="majorEastAsia" w:cs="Calibri"/>
        </w:rPr>
        <w:t xml:space="preserve"> site</w:t>
      </w:r>
      <w:r w:rsidR="00711B3F">
        <w:rPr>
          <w:rFonts w:eastAsiaTheme="majorEastAsia" w:cs="Calibri"/>
        </w:rPr>
        <w:t>s</w:t>
      </w:r>
      <w:r w:rsidR="00F14D93" w:rsidRPr="00C601A2">
        <w:rPr>
          <w:rFonts w:eastAsiaTheme="majorEastAsia" w:cs="Calibri"/>
        </w:rPr>
        <w:t xml:space="preserve">; Junction of Warrego and Darling rivers, </w:t>
      </w:r>
      <w:r w:rsidR="008D45AC">
        <w:rPr>
          <w:rFonts w:eastAsiaTheme="majorEastAsia" w:cs="Calibri"/>
        </w:rPr>
        <w:t>3</w:t>
      </w:r>
      <w:r w:rsidR="00F14D93" w:rsidRPr="00C601A2">
        <w:rPr>
          <w:rFonts w:eastAsiaTheme="majorEastAsia" w:cs="Calibri"/>
        </w:rPr>
        <w:t xml:space="preserve"> sites</w:t>
      </w:r>
      <w:r w:rsidR="000F0B97">
        <w:rPr>
          <w:rFonts w:eastAsiaTheme="majorEastAsia" w:cs="Calibri"/>
        </w:rPr>
        <w:t xml:space="preserve"> and Murrumbidgee </w:t>
      </w:r>
      <w:r w:rsidR="00841B36">
        <w:rPr>
          <w:rFonts w:eastAsiaTheme="majorEastAsia" w:cs="Calibri"/>
        </w:rPr>
        <w:t>River</w:t>
      </w:r>
      <w:r w:rsidR="009B387D">
        <w:rPr>
          <w:rFonts w:eastAsiaTheme="majorEastAsia" w:cs="Calibri"/>
        </w:rPr>
        <w:t xml:space="preserve"> System</w:t>
      </w:r>
      <w:r w:rsidR="00841B36">
        <w:rPr>
          <w:rFonts w:eastAsiaTheme="majorEastAsia" w:cs="Calibri"/>
        </w:rPr>
        <w:t>, 1 site.</w:t>
      </w:r>
    </w:p>
    <w:p w14:paraId="63655CB3" w14:textId="10EE0DB0" w:rsidR="00D702F7" w:rsidRDefault="00D702F7" w:rsidP="00A53DE0">
      <w:pPr>
        <w:pStyle w:val="CaptionWithNote"/>
      </w:pPr>
      <w:bookmarkStart w:id="75" w:name="_Ref201937473"/>
      <w:bookmarkStart w:id="76" w:name="_Ref166616999"/>
      <w:bookmarkStart w:id="77" w:name="_Toc183533677"/>
      <w:bookmarkStart w:id="78" w:name="_Toc202187933"/>
      <w:r w:rsidRPr="00C601A2">
        <w:t>Table</w:t>
      </w:r>
      <w:r w:rsidR="00A535AD">
        <w:t> </w:t>
      </w:r>
      <w:fldSimple w:instr=" STYLEREF 1 \s ">
        <w:r w:rsidR="00835C8B">
          <w:rPr>
            <w:noProof/>
          </w:rPr>
          <w:t>1</w:t>
        </w:r>
      </w:fldSimple>
      <w:r w:rsidR="00F60AE8">
        <w:t>.</w:t>
      </w:r>
      <w:fldSimple w:instr=" SEQ Table \* ARABIC \s 1 ">
        <w:r w:rsidR="00492712">
          <w:rPr>
            <w:noProof/>
          </w:rPr>
          <w:t>1</w:t>
        </w:r>
      </w:fldSimple>
      <w:bookmarkEnd w:id="75"/>
      <w:bookmarkEnd w:id="76"/>
      <w:r w:rsidRPr="00C601A2">
        <w:t xml:space="preserve"> </w:t>
      </w:r>
      <w:r w:rsidR="00FF376A">
        <w:t>S</w:t>
      </w:r>
      <w:r w:rsidRPr="00C601A2">
        <w:t>ources of data used for analyses in this report</w:t>
      </w:r>
      <w:bookmarkEnd w:id="77"/>
      <w:bookmarkEnd w:id="78"/>
    </w:p>
    <w:p w14:paraId="33717654" w14:textId="2006B703" w:rsidR="003A2728" w:rsidRPr="00C601A2" w:rsidRDefault="003A2728" w:rsidP="005658AA">
      <w:pPr>
        <w:pStyle w:val="CaptionNote"/>
        <w:rPr>
          <w:rStyle w:val="Italics"/>
          <w:i w:val="0"/>
        </w:rPr>
      </w:pPr>
      <w:r>
        <w:t>Note: Dissolved oxygen (DO) data are logged at the Selected Areas. The Selected Areas then run these data through the Bayesian single-station estimation</w:t>
      </w:r>
      <w:r w:rsidR="006F3572">
        <w:t xml:space="preserve"> </w:t>
      </w:r>
      <w:r>
        <w:t>model to estimate gross primary production (GPP) and ecosystem respiration (ER). The raw DO data are uploaded to the CEWH’s Monitoring Data Monitoring System. DO is reported when or if it reaches critically low values at the Selected Area</w:t>
      </w:r>
      <w:r w:rsidR="00E03DAD">
        <w:t>.</w:t>
      </w:r>
    </w:p>
    <w:tbl>
      <w:tblPr>
        <w:tblStyle w:val="TableFlow-MER"/>
        <w:tblW w:w="9467" w:type="dxa"/>
        <w:tblLook w:val="04A0" w:firstRow="1" w:lastRow="0" w:firstColumn="1" w:lastColumn="0" w:noHBand="0" w:noVBand="1"/>
      </w:tblPr>
      <w:tblGrid>
        <w:gridCol w:w="3148"/>
        <w:gridCol w:w="3685"/>
        <w:gridCol w:w="2634"/>
      </w:tblGrid>
      <w:tr w:rsidR="00D702F7" w:rsidRPr="00C601A2" w14:paraId="577443EF" w14:textId="77777777" w:rsidTr="00F54A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48" w:type="dxa"/>
          </w:tcPr>
          <w:p w14:paraId="42A23770" w14:textId="2D81734A" w:rsidR="00D702F7" w:rsidRPr="00C601A2" w:rsidRDefault="009D6833">
            <w:pPr>
              <w:pStyle w:val="ColumnHeading"/>
            </w:pPr>
            <w:r>
              <w:t>Selected Area</w:t>
            </w:r>
          </w:p>
        </w:tc>
        <w:tc>
          <w:tcPr>
            <w:tcW w:w="3685" w:type="dxa"/>
          </w:tcPr>
          <w:p w14:paraId="6435A504" w14:textId="77777777" w:rsidR="00D702F7" w:rsidRPr="00C601A2" w:rsidRDefault="00D702F7">
            <w:pPr>
              <w:pStyle w:val="ColumnHeading"/>
              <w:cnfStyle w:val="100000000000" w:firstRow="1" w:lastRow="0" w:firstColumn="0" w:lastColumn="0" w:oddVBand="0" w:evenVBand="0" w:oddHBand="0" w:evenHBand="0" w:firstRowFirstColumn="0" w:firstRowLastColumn="0" w:lastRowFirstColumn="0" w:lastRowLastColumn="0"/>
            </w:pPr>
            <w:r w:rsidRPr="00C601A2">
              <w:t>Parameter</w:t>
            </w:r>
          </w:p>
        </w:tc>
        <w:tc>
          <w:tcPr>
            <w:tcW w:w="2634" w:type="dxa"/>
          </w:tcPr>
          <w:p w14:paraId="790888C7" w14:textId="77777777" w:rsidR="00D702F7" w:rsidRPr="00C601A2" w:rsidRDefault="00D702F7">
            <w:pPr>
              <w:pStyle w:val="ColumnHeading"/>
              <w:cnfStyle w:val="100000000000" w:firstRow="1" w:lastRow="0" w:firstColumn="0" w:lastColumn="0" w:oddVBand="0" w:evenVBand="0" w:oddHBand="0" w:evenHBand="0" w:firstRowFirstColumn="0" w:firstRowLastColumn="0" w:lastRowFirstColumn="0" w:lastRowLastColumn="0"/>
            </w:pPr>
            <w:r w:rsidRPr="00C601A2">
              <w:t>Source</w:t>
            </w:r>
          </w:p>
        </w:tc>
      </w:tr>
      <w:tr w:rsidR="00D702F7" w:rsidRPr="00C601A2" w14:paraId="07977A15" w14:textId="77777777" w:rsidTr="00F54A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225F1B97" w14:textId="77777777" w:rsidR="00D702F7" w:rsidRPr="00C601A2" w:rsidRDefault="00D702F7">
            <w:pPr>
              <w:pStyle w:val="TableText"/>
            </w:pPr>
            <w:r w:rsidRPr="00C601A2">
              <w:rPr>
                <w:rFonts w:eastAsiaTheme="majorEastAsia" w:cs="Calibri"/>
              </w:rPr>
              <w:t>Lower Murray River</w:t>
            </w:r>
          </w:p>
        </w:tc>
        <w:tc>
          <w:tcPr>
            <w:tcW w:w="3685" w:type="dxa"/>
          </w:tcPr>
          <w:p w14:paraId="35B23BAF" w14:textId="77777777"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11A87B86" w14:textId="52B2D236"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rsidR="00C5348A">
              <w:t>t</w:t>
            </w:r>
            <w:r w:rsidRPr="00C601A2">
              <w:t>eam</w:t>
            </w:r>
          </w:p>
        </w:tc>
      </w:tr>
      <w:tr w:rsidR="00D702F7" w:rsidRPr="00C601A2" w14:paraId="7F6E7DBE" w14:textId="77777777" w:rsidTr="00F54ABD">
        <w:tc>
          <w:tcPr>
            <w:cnfStyle w:val="001000000000" w:firstRow="0" w:lastRow="0" w:firstColumn="1" w:lastColumn="0" w:oddVBand="0" w:evenVBand="0" w:oddHBand="0" w:evenHBand="0" w:firstRowFirstColumn="0" w:firstRowLastColumn="0" w:lastRowFirstColumn="0" w:lastRowLastColumn="0"/>
            <w:tcW w:w="3148" w:type="dxa"/>
          </w:tcPr>
          <w:p w14:paraId="59332628" w14:textId="77777777" w:rsidR="00D702F7" w:rsidRPr="00C601A2" w:rsidRDefault="00D702F7">
            <w:pPr>
              <w:pStyle w:val="TableText"/>
            </w:pPr>
            <w:r w:rsidRPr="00C601A2">
              <w:rPr>
                <w:rFonts w:eastAsiaTheme="majorEastAsia" w:cs="Calibri"/>
              </w:rPr>
              <w:t>Goulburn River</w:t>
            </w:r>
          </w:p>
        </w:tc>
        <w:tc>
          <w:tcPr>
            <w:tcW w:w="3685" w:type="dxa"/>
          </w:tcPr>
          <w:p w14:paraId="1A4BC505" w14:textId="77777777"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 xml:space="preserve">Daily estimates of GPP and ER </w:t>
            </w:r>
          </w:p>
        </w:tc>
        <w:tc>
          <w:tcPr>
            <w:tcW w:w="2634" w:type="dxa"/>
          </w:tcPr>
          <w:p w14:paraId="67D2074A" w14:textId="3137328A"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 xml:space="preserve">Local Selected Area </w:t>
            </w:r>
            <w:r w:rsidR="00C5348A">
              <w:t>t</w:t>
            </w:r>
            <w:r w:rsidRPr="00C601A2">
              <w:t>eam</w:t>
            </w:r>
          </w:p>
        </w:tc>
      </w:tr>
      <w:tr w:rsidR="00D702F7" w:rsidRPr="00C601A2" w14:paraId="6A2BE096" w14:textId="77777777" w:rsidTr="00F54A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4CDAD663" w14:textId="77777777" w:rsidR="00D702F7" w:rsidRPr="00C601A2" w:rsidRDefault="00D702F7">
            <w:pPr>
              <w:pStyle w:val="TableText"/>
            </w:pPr>
            <w:r w:rsidRPr="00C601A2">
              <w:rPr>
                <w:rFonts w:eastAsiaTheme="majorEastAsia" w:cs="Calibri"/>
              </w:rPr>
              <w:t>Edward/Kolety–Wakool river systems</w:t>
            </w:r>
          </w:p>
        </w:tc>
        <w:tc>
          <w:tcPr>
            <w:tcW w:w="3685" w:type="dxa"/>
          </w:tcPr>
          <w:p w14:paraId="025F7141" w14:textId="77777777"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22888390" w14:textId="2D9AB891"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rsidR="00C5348A">
              <w:t>t</w:t>
            </w:r>
            <w:r w:rsidRPr="00C601A2">
              <w:t>eam</w:t>
            </w:r>
          </w:p>
        </w:tc>
      </w:tr>
      <w:tr w:rsidR="00D702F7" w:rsidRPr="00C601A2" w14:paraId="36A0D6B8" w14:textId="77777777" w:rsidTr="00F54ABD">
        <w:tc>
          <w:tcPr>
            <w:cnfStyle w:val="001000000000" w:firstRow="0" w:lastRow="0" w:firstColumn="1" w:lastColumn="0" w:oddVBand="0" w:evenVBand="0" w:oddHBand="0" w:evenHBand="0" w:firstRowFirstColumn="0" w:firstRowLastColumn="0" w:lastRowFirstColumn="0" w:lastRowLastColumn="0"/>
            <w:tcW w:w="3148" w:type="dxa"/>
          </w:tcPr>
          <w:p w14:paraId="3053D0F5" w14:textId="77777777" w:rsidR="00D702F7" w:rsidRPr="00C601A2" w:rsidRDefault="00D702F7">
            <w:pPr>
              <w:pStyle w:val="TableText"/>
            </w:pPr>
            <w:r w:rsidRPr="00C601A2">
              <w:rPr>
                <w:rFonts w:eastAsiaTheme="majorEastAsia" w:cs="Calibri"/>
              </w:rPr>
              <w:t xml:space="preserve">Lachlan River System </w:t>
            </w:r>
          </w:p>
        </w:tc>
        <w:tc>
          <w:tcPr>
            <w:tcW w:w="3685" w:type="dxa"/>
          </w:tcPr>
          <w:p w14:paraId="1A840127" w14:textId="77777777"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 xml:space="preserve">Daily estimates of GPP and ER </w:t>
            </w:r>
          </w:p>
        </w:tc>
        <w:tc>
          <w:tcPr>
            <w:tcW w:w="2634" w:type="dxa"/>
          </w:tcPr>
          <w:p w14:paraId="552CE6D8" w14:textId="23A763C0"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 xml:space="preserve">Local Selected Area </w:t>
            </w:r>
            <w:r w:rsidR="00C5348A">
              <w:t>t</w:t>
            </w:r>
            <w:r w:rsidRPr="00C601A2">
              <w:t>eam</w:t>
            </w:r>
          </w:p>
        </w:tc>
      </w:tr>
      <w:tr w:rsidR="00D702F7" w:rsidRPr="00C601A2" w14:paraId="6E583C00" w14:textId="77777777" w:rsidTr="00F54A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535A1A0C" w14:textId="77777777" w:rsidR="00D702F7" w:rsidRPr="00C601A2" w:rsidRDefault="00D702F7">
            <w:pPr>
              <w:pStyle w:val="TableText"/>
            </w:pPr>
            <w:r w:rsidRPr="00C601A2">
              <w:t>Murrumbidgee River System</w:t>
            </w:r>
          </w:p>
        </w:tc>
        <w:tc>
          <w:tcPr>
            <w:tcW w:w="3685" w:type="dxa"/>
          </w:tcPr>
          <w:p w14:paraId="42A629F5" w14:textId="77777777"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7BA46F8C" w14:textId="67AA84C1"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rsidR="00C5348A">
              <w:t>t</w:t>
            </w:r>
            <w:r w:rsidRPr="00C601A2">
              <w:t>eam</w:t>
            </w:r>
          </w:p>
        </w:tc>
      </w:tr>
      <w:tr w:rsidR="00D702F7" w:rsidRPr="00C601A2" w14:paraId="3F48C421" w14:textId="77777777" w:rsidTr="00F54ABD">
        <w:tc>
          <w:tcPr>
            <w:cnfStyle w:val="001000000000" w:firstRow="0" w:lastRow="0" w:firstColumn="1" w:lastColumn="0" w:oddVBand="0" w:evenVBand="0" w:oddHBand="0" w:evenHBand="0" w:firstRowFirstColumn="0" w:firstRowLastColumn="0" w:lastRowFirstColumn="0" w:lastRowLastColumn="0"/>
            <w:tcW w:w="3148" w:type="dxa"/>
          </w:tcPr>
          <w:p w14:paraId="4A02CCCD" w14:textId="77777777" w:rsidR="00D702F7" w:rsidRPr="00C601A2" w:rsidRDefault="00D702F7">
            <w:pPr>
              <w:pStyle w:val="TableText"/>
            </w:pPr>
            <w:r w:rsidRPr="00C601A2">
              <w:rPr>
                <w:rFonts w:eastAsiaTheme="majorEastAsia" w:cs="Calibri"/>
              </w:rPr>
              <w:t xml:space="preserve">Gwydir River System </w:t>
            </w:r>
          </w:p>
        </w:tc>
        <w:tc>
          <w:tcPr>
            <w:tcW w:w="3685" w:type="dxa"/>
          </w:tcPr>
          <w:p w14:paraId="6877B79A" w14:textId="77777777"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 xml:space="preserve">Daily estimates of GPP and ER </w:t>
            </w:r>
          </w:p>
        </w:tc>
        <w:tc>
          <w:tcPr>
            <w:tcW w:w="2634" w:type="dxa"/>
          </w:tcPr>
          <w:p w14:paraId="53CB74B2" w14:textId="13B3CF4F"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 xml:space="preserve">Local Selected Area </w:t>
            </w:r>
            <w:r w:rsidR="00C5348A">
              <w:t>t</w:t>
            </w:r>
            <w:r w:rsidRPr="00C601A2">
              <w:t>eam</w:t>
            </w:r>
          </w:p>
        </w:tc>
      </w:tr>
      <w:tr w:rsidR="00D702F7" w:rsidRPr="00C601A2" w14:paraId="0AC12137" w14:textId="77777777" w:rsidTr="00F54A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6598FC4E" w14:textId="77777777" w:rsidR="00D702F7" w:rsidRPr="00C601A2" w:rsidRDefault="00D702F7">
            <w:pPr>
              <w:pStyle w:val="TableText"/>
            </w:pPr>
            <w:r w:rsidRPr="00C601A2">
              <w:rPr>
                <w:rFonts w:eastAsiaTheme="majorEastAsia" w:cs="Calibri"/>
              </w:rPr>
              <w:t>Junction of Warrego and Darling rivers</w:t>
            </w:r>
          </w:p>
        </w:tc>
        <w:tc>
          <w:tcPr>
            <w:tcW w:w="3685" w:type="dxa"/>
          </w:tcPr>
          <w:p w14:paraId="39141FC4" w14:textId="77777777"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54137D77" w14:textId="7424D274"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rsidR="00C5348A">
              <w:t>t</w:t>
            </w:r>
            <w:r w:rsidRPr="00C601A2">
              <w:t>eam</w:t>
            </w:r>
          </w:p>
        </w:tc>
      </w:tr>
      <w:tr w:rsidR="00D702F7" w:rsidRPr="00C601A2" w14:paraId="7C8ED668" w14:textId="77777777" w:rsidTr="00F54ABD">
        <w:tc>
          <w:tcPr>
            <w:cnfStyle w:val="001000000000" w:firstRow="0" w:lastRow="0" w:firstColumn="1" w:lastColumn="0" w:oddVBand="0" w:evenVBand="0" w:oddHBand="0" w:evenHBand="0" w:firstRowFirstColumn="0" w:firstRowLastColumn="0" w:lastRowFirstColumn="0" w:lastRowLastColumn="0"/>
            <w:tcW w:w="3148" w:type="dxa"/>
          </w:tcPr>
          <w:p w14:paraId="2E23EC6F" w14:textId="77777777" w:rsidR="00D702F7" w:rsidRPr="00C601A2" w:rsidRDefault="00D702F7">
            <w:pPr>
              <w:pStyle w:val="TableText"/>
              <w:rPr>
                <w:rFonts w:eastAsiaTheme="majorEastAsia" w:cs="Calibri"/>
                <w:bCs w:val="0"/>
              </w:rPr>
            </w:pPr>
            <w:r w:rsidRPr="00C601A2">
              <w:rPr>
                <w:rFonts w:eastAsiaTheme="majorEastAsia" w:cs="Calibri"/>
              </w:rPr>
              <w:t>Basin</w:t>
            </w:r>
          </w:p>
        </w:tc>
        <w:tc>
          <w:tcPr>
            <w:tcW w:w="3685" w:type="dxa"/>
          </w:tcPr>
          <w:p w14:paraId="333233AB" w14:textId="58768B30"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Hydrologic</w:t>
            </w:r>
            <w:r w:rsidR="00486840">
              <w:t>al</w:t>
            </w:r>
            <w:r w:rsidRPr="00C601A2">
              <w:t xml:space="preserve"> data</w:t>
            </w:r>
          </w:p>
        </w:tc>
        <w:tc>
          <w:tcPr>
            <w:tcW w:w="2634" w:type="dxa"/>
          </w:tcPr>
          <w:p w14:paraId="27F4FCB1" w14:textId="3052397E"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rsidRPr="00C601A2">
              <w:t>Hydrology Theme</w:t>
            </w:r>
            <w:r w:rsidR="00C5348A">
              <w:t xml:space="preserve"> team</w:t>
            </w:r>
          </w:p>
        </w:tc>
      </w:tr>
      <w:tr w:rsidR="00D702F7" w:rsidRPr="00C601A2" w14:paraId="46519B14" w14:textId="77777777" w:rsidTr="00F54A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0EC45842" w14:textId="77777777" w:rsidR="00D702F7" w:rsidRPr="00C601A2" w:rsidRDefault="00D702F7">
            <w:pPr>
              <w:pStyle w:val="TableText"/>
              <w:rPr>
                <w:rFonts w:eastAsiaTheme="majorEastAsia" w:cs="Calibri"/>
                <w:bCs w:val="0"/>
              </w:rPr>
            </w:pPr>
            <w:r w:rsidRPr="00C601A2">
              <w:rPr>
                <w:rFonts w:eastAsiaTheme="majorEastAsia" w:cs="Calibri"/>
              </w:rPr>
              <w:t>Basin</w:t>
            </w:r>
          </w:p>
        </w:tc>
        <w:tc>
          <w:tcPr>
            <w:tcW w:w="3685" w:type="dxa"/>
          </w:tcPr>
          <w:p w14:paraId="1D7A94D9" w14:textId="77777777"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t>Rainfall data</w:t>
            </w:r>
          </w:p>
        </w:tc>
        <w:tc>
          <w:tcPr>
            <w:tcW w:w="2634" w:type="dxa"/>
          </w:tcPr>
          <w:p w14:paraId="02AD1D81" w14:textId="5D747149" w:rsidR="00D702F7" w:rsidRPr="00C601A2" w:rsidRDefault="00D702F7">
            <w:pPr>
              <w:pStyle w:val="TableText"/>
              <w:cnfStyle w:val="000000100000" w:firstRow="0" w:lastRow="0" w:firstColumn="0" w:lastColumn="0" w:oddVBand="0" w:evenVBand="0" w:oddHBand="1" w:evenHBand="0" w:firstRowFirstColumn="0" w:firstRowLastColumn="0" w:lastRowFirstColumn="0" w:lastRowLastColumn="0"/>
            </w:pPr>
            <w:r w:rsidRPr="00C601A2">
              <w:t>Hydrology Theme</w:t>
            </w:r>
            <w:r w:rsidR="00C5348A">
              <w:t xml:space="preserve"> team</w:t>
            </w:r>
          </w:p>
        </w:tc>
      </w:tr>
      <w:tr w:rsidR="00D702F7" w:rsidRPr="00C601A2" w14:paraId="74E45220" w14:textId="77777777" w:rsidTr="00F54ABD">
        <w:tc>
          <w:tcPr>
            <w:cnfStyle w:val="001000000000" w:firstRow="0" w:lastRow="0" w:firstColumn="1" w:lastColumn="0" w:oddVBand="0" w:evenVBand="0" w:oddHBand="0" w:evenHBand="0" w:firstRowFirstColumn="0" w:firstRowLastColumn="0" w:lastRowFirstColumn="0" w:lastRowLastColumn="0"/>
            <w:tcW w:w="3148" w:type="dxa"/>
          </w:tcPr>
          <w:p w14:paraId="43B73778" w14:textId="77777777" w:rsidR="00D702F7" w:rsidRPr="00C601A2" w:rsidRDefault="00D702F7">
            <w:pPr>
              <w:pStyle w:val="TableText"/>
              <w:rPr>
                <w:rFonts w:eastAsiaTheme="majorEastAsia" w:cs="Calibri"/>
                <w:bCs w:val="0"/>
              </w:rPr>
            </w:pPr>
            <w:r w:rsidRPr="00C601A2">
              <w:rPr>
                <w:rFonts w:eastAsiaTheme="majorEastAsia" w:cs="Calibri"/>
              </w:rPr>
              <w:t>Basin</w:t>
            </w:r>
          </w:p>
        </w:tc>
        <w:tc>
          <w:tcPr>
            <w:tcW w:w="3685" w:type="dxa"/>
          </w:tcPr>
          <w:p w14:paraId="66D7C1F8" w14:textId="77777777"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t>Commonwealth environmental watering actions</w:t>
            </w:r>
          </w:p>
        </w:tc>
        <w:tc>
          <w:tcPr>
            <w:tcW w:w="2634" w:type="dxa"/>
          </w:tcPr>
          <w:p w14:paraId="7E393CF4" w14:textId="4F38DE5F" w:rsidR="00D702F7" w:rsidRPr="00C601A2" w:rsidRDefault="00D702F7">
            <w:pPr>
              <w:pStyle w:val="TableText"/>
              <w:cnfStyle w:val="000000000000" w:firstRow="0" w:lastRow="0" w:firstColumn="0" w:lastColumn="0" w:oddVBand="0" w:evenVBand="0" w:oddHBand="0" w:evenHBand="0" w:firstRowFirstColumn="0" w:firstRowLastColumn="0" w:lastRowFirstColumn="0" w:lastRowLastColumn="0"/>
            </w:pPr>
            <w:r>
              <w:t>CEWH</w:t>
            </w:r>
            <w:r w:rsidR="00486840">
              <w:t xml:space="preserve"> Science section</w:t>
            </w:r>
            <w:r w:rsidR="000579CE">
              <w:t xml:space="preserve"> (CEWH 2024)</w:t>
            </w:r>
          </w:p>
        </w:tc>
      </w:tr>
    </w:tbl>
    <w:p w14:paraId="59C4897D" w14:textId="44F4CF07" w:rsidR="00747EB0" w:rsidRPr="00C601A2" w:rsidRDefault="00747EB0" w:rsidP="008D2E2B">
      <w:pPr>
        <w:pStyle w:val="Heading2"/>
      </w:pPr>
      <w:bookmarkStart w:id="79" w:name="_Toc169543862"/>
      <w:bookmarkStart w:id="80" w:name="_Toc202187843"/>
      <w:r w:rsidRPr="00C601A2">
        <w:t>About this report</w:t>
      </w:r>
      <w:bookmarkEnd w:id="79"/>
      <w:bookmarkEnd w:id="80"/>
    </w:p>
    <w:p w14:paraId="4C38BAC6" w14:textId="572AE78B" w:rsidR="00BF3B14" w:rsidRDefault="006E7AF6" w:rsidP="00A00B82">
      <w:pPr>
        <w:pStyle w:val="BodyText"/>
      </w:pPr>
      <w:r w:rsidRPr="00C601A2">
        <w:t>Th</w:t>
      </w:r>
      <w:r w:rsidR="00C5348A">
        <w:t>e</w:t>
      </w:r>
      <w:r w:rsidRPr="00C601A2">
        <w:t xml:space="preserve"> </w:t>
      </w:r>
      <w:r w:rsidR="0061176C">
        <w:t xml:space="preserve">Basin-scale </w:t>
      </w:r>
      <w:r w:rsidR="007E7A31" w:rsidRPr="00C601A2">
        <w:t xml:space="preserve">Food Webs and Water Quality Theme </w:t>
      </w:r>
      <w:r w:rsidRPr="00C601A2">
        <w:t xml:space="preserve">has been led by </w:t>
      </w:r>
      <w:r w:rsidR="007E7A31" w:rsidRPr="00C601A2">
        <w:t>CSIRO</w:t>
      </w:r>
      <w:r w:rsidR="00662027" w:rsidRPr="00C601A2">
        <w:t xml:space="preserve"> in partnership with</w:t>
      </w:r>
      <w:r w:rsidR="007E7A31" w:rsidRPr="00C601A2">
        <w:t xml:space="preserve"> </w:t>
      </w:r>
      <w:r w:rsidRPr="00C601A2">
        <w:t>the University of Canberra</w:t>
      </w:r>
      <w:r w:rsidR="00662027" w:rsidRPr="00C601A2">
        <w:t xml:space="preserve">. </w:t>
      </w:r>
      <w:r w:rsidRPr="00C601A2">
        <w:t xml:space="preserve">This report builds on previous </w:t>
      </w:r>
      <w:r w:rsidR="006D5634" w:rsidRPr="00C601A2">
        <w:t xml:space="preserve">reports </w:t>
      </w:r>
      <w:r w:rsidR="00266CD8" w:rsidRPr="00C601A2">
        <w:rPr>
          <w:noProof/>
        </w:rPr>
        <w:t>(Grace 2019, 2020</w:t>
      </w:r>
      <w:r w:rsidR="008F79F0">
        <w:rPr>
          <w:noProof/>
        </w:rPr>
        <w:t>; Mc</w:t>
      </w:r>
      <w:r w:rsidR="00533EAE">
        <w:rPr>
          <w:noProof/>
        </w:rPr>
        <w:t>I</w:t>
      </w:r>
      <w:r w:rsidR="008F79F0">
        <w:rPr>
          <w:noProof/>
        </w:rPr>
        <w:t>nerney et al. 2021, 2022</w:t>
      </w:r>
      <w:r w:rsidR="00D411F0">
        <w:rPr>
          <w:noProof/>
        </w:rPr>
        <w:t>, 2023</w:t>
      </w:r>
      <w:r w:rsidR="00266CD8" w:rsidRPr="00C601A2">
        <w:rPr>
          <w:noProof/>
        </w:rPr>
        <w:t>)</w:t>
      </w:r>
      <w:r w:rsidR="006D5634" w:rsidRPr="00C601A2">
        <w:t xml:space="preserve"> </w:t>
      </w:r>
      <w:r w:rsidRPr="00C601A2">
        <w:t xml:space="preserve">and reporting undertaken as part of the Long Term Intervention Monitoring Project (2014–19) </w:t>
      </w:r>
      <w:r w:rsidR="00290889">
        <w:t xml:space="preserve">and </w:t>
      </w:r>
      <w:r w:rsidR="00F10D2D">
        <w:t>Flow-MER (2019–</w:t>
      </w:r>
      <w:r w:rsidR="0018460A">
        <w:t>2</w:t>
      </w:r>
      <w:r w:rsidR="001B2A00">
        <w:t>4</w:t>
      </w:r>
      <w:r w:rsidR="00F10D2D">
        <w:t>).</w:t>
      </w:r>
      <w:r w:rsidR="00D86455">
        <w:t xml:space="preserve"> The approach and methods are fully described in companion </w:t>
      </w:r>
      <w:r w:rsidR="00D90C3B">
        <w:t>m</w:t>
      </w:r>
      <w:r w:rsidR="00DD42D3">
        <w:t xml:space="preserve">ethods </w:t>
      </w:r>
      <w:r w:rsidR="00D86455">
        <w:t xml:space="preserve">report </w:t>
      </w:r>
      <w:r w:rsidR="00DD42D3">
        <w:t>(O’Sullivan and Cuddy 202</w:t>
      </w:r>
      <w:r w:rsidR="0033391A">
        <w:t>5</w:t>
      </w:r>
      <w:r w:rsidR="00DD42D3">
        <w:t>)</w:t>
      </w:r>
      <w:r w:rsidR="00D86455">
        <w:t>.</w:t>
      </w:r>
    </w:p>
    <w:p w14:paraId="3C66E053" w14:textId="5DA2CC33" w:rsidR="00A943B2" w:rsidRDefault="003A0E8E" w:rsidP="00D1044D">
      <w:pPr>
        <w:pStyle w:val="Heading1"/>
      </w:pPr>
      <w:bookmarkStart w:id="81" w:name="_Toc105674294"/>
      <w:bookmarkStart w:id="82" w:name="_Toc105676386"/>
      <w:bookmarkStart w:id="83" w:name="_Toc105676450"/>
      <w:bookmarkStart w:id="84" w:name="_Toc105688337"/>
      <w:bookmarkStart w:id="85" w:name="_Toc71298437"/>
      <w:bookmarkStart w:id="86" w:name="_Ref139004794"/>
      <w:bookmarkStart w:id="87" w:name="_Toc169543863"/>
      <w:bookmarkStart w:id="88" w:name="_Toc202187844"/>
      <w:bookmarkEnd w:id="64"/>
      <w:bookmarkEnd w:id="65"/>
      <w:bookmarkEnd w:id="66"/>
      <w:bookmarkEnd w:id="81"/>
      <w:bookmarkEnd w:id="82"/>
      <w:bookmarkEnd w:id="83"/>
      <w:bookmarkEnd w:id="84"/>
      <w:r w:rsidRPr="00C601A2">
        <w:lastRenderedPageBreak/>
        <w:t xml:space="preserve">Overview of </w:t>
      </w:r>
      <w:r w:rsidR="00AD49C9">
        <w:t xml:space="preserve">evaluation </w:t>
      </w:r>
      <w:r w:rsidRPr="00C601A2">
        <w:t>a</w:t>
      </w:r>
      <w:r w:rsidR="00096922" w:rsidRPr="00C601A2">
        <w:t>pp</w:t>
      </w:r>
      <w:r w:rsidR="001172BE" w:rsidRPr="00C601A2">
        <w:t>roach</w:t>
      </w:r>
      <w:bookmarkEnd w:id="85"/>
      <w:bookmarkEnd w:id="86"/>
      <w:bookmarkEnd w:id="87"/>
      <w:bookmarkEnd w:id="88"/>
    </w:p>
    <w:p w14:paraId="3905E371" w14:textId="53D550E6" w:rsidR="006724BC" w:rsidRPr="009357ED" w:rsidRDefault="006724BC" w:rsidP="008A4467">
      <w:pPr>
        <w:pStyle w:val="BodyText"/>
        <w:rPr>
          <w:rStyle w:val="Italics"/>
        </w:rPr>
      </w:pPr>
      <w:r w:rsidRPr="009357ED">
        <w:rPr>
          <w:rStyle w:val="Italics"/>
        </w:rPr>
        <w:t>This chapter provides an overview of the approach adopted for the evaluation and its conceptual framing</w:t>
      </w:r>
      <w:r w:rsidR="00555758" w:rsidRPr="009357ED">
        <w:rPr>
          <w:rStyle w:val="Italics"/>
        </w:rPr>
        <w:t xml:space="preserve">. </w:t>
      </w:r>
      <w:r w:rsidR="00AD49C9" w:rsidRPr="009357ED">
        <w:rPr>
          <w:rStyle w:val="Italics"/>
        </w:rPr>
        <w:t>Methods are fully described in co</w:t>
      </w:r>
      <w:r w:rsidR="00555758" w:rsidRPr="009357ED">
        <w:rPr>
          <w:rStyle w:val="Italics"/>
        </w:rPr>
        <w:t xml:space="preserve">mpanion </w:t>
      </w:r>
      <w:r w:rsidR="00D90C3B" w:rsidRPr="009357ED">
        <w:rPr>
          <w:rStyle w:val="Italics"/>
        </w:rPr>
        <w:t>m</w:t>
      </w:r>
      <w:r w:rsidR="00FA4B83" w:rsidRPr="009357ED">
        <w:rPr>
          <w:rStyle w:val="Italics"/>
        </w:rPr>
        <w:t>ethods report (O’Sullivan and Cuddy 202</w:t>
      </w:r>
      <w:r w:rsidR="006F3572" w:rsidRPr="009357ED">
        <w:rPr>
          <w:rStyle w:val="Italics"/>
        </w:rPr>
        <w:t>5</w:t>
      </w:r>
      <w:r w:rsidR="00FA4B83" w:rsidRPr="009357ED">
        <w:rPr>
          <w:rStyle w:val="Italics"/>
        </w:rPr>
        <w:t>)</w:t>
      </w:r>
      <w:r w:rsidRPr="009357ED">
        <w:rPr>
          <w:rStyle w:val="Italics"/>
        </w:rPr>
        <w:t>.</w:t>
      </w:r>
    </w:p>
    <w:p w14:paraId="7C6B8D87" w14:textId="1D8A96FC" w:rsidR="00C203FD" w:rsidRPr="00B41939" w:rsidRDefault="00F074DF" w:rsidP="00B41939">
      <w:pPr>
        <w:pStyle w:val="Boxedtext"/>
      </w:pPr>
      <w:r w:rsidRPr="001B4152">
        <w:rPr>
          <w:rStyle w:val="Bold"/>
        </w:rPr>
        <w:t>Stream metabolism</w:t>
      </w:r>
      <w:r w:rsidRPr="00B41939">
        <w:t xml:space="preserve"> comprises </w:t>
      </w:r>
      <w:r w:rsidR="00901C4B" w:rsidRPr="00B41939">
        <w:t xml:space="preserve">2 </w:t>
      </w:r>
      <w:r w:rsidRPr="00B41939">
        <w:t>key ecological processes</w:t>
      </w:r>
      <w:r w:rsidR="006656CC" w:rsidRPr="00B41939">
        <w:t xml:space="preserve"> –</w:t>
      </w:r>
      <w:r w:rsidR="0074236C" w:rsidRPr="00B41939">
        <w:t xml:space="preserve"> </w:t>
      </w:r>
      <w:r w:rsidR="00551368">
        <w:rPr>
          <w:rStyle w:val="Bold"/>
        </w:rPr>
        <w:t>g</w:t>
      </w:r>
      <w:r w:rsidR="00B41939" w:rsidRPr="001B4152">
        <w:rPr>
          <w:rStyle w:val="Bold"/>
        </w:rPr>
        <w:t xml:space="preserve">ross </w:t>
      </w:r>
      <w:r w:rsidR="00551368">
        <w:rPr>
          <w:rStyle w:val="Bold"/>
        </w:rPr>
        <w:t>p</w:t>
      </w:r>
      <w:r w:rsidR="00B41939" w:rsidRPr="001B4152">
        <w:rPr>
          <w:rStyle w:val="Bold"/>
        </w:rPr>
        <w:t xml:space="preserve">rimary </w:t>
      </w:r>
      <w:r w:rsidR="00551368">
        <w:rPr>
          <w:rStyle w:val="Bold"/>
        </w:rPr>
        <w:t>p</w:t>
      </w:r>
      <w:r w:rsidR="00B41939" w:rsidRPr="001B4152">
        <w:rPr>
          <w:rStyle w:val="Bold"/>
        </w:rPr>
        <w:t>roductivity</w:t>
      </w:r>
      <w:r w:rsidR="00B41939" w:rsidRPr="00B41939">
        <w:t xml:space="preserve"> (GPP)</w:t>
      </w:r>
      <w:r w:rsidRPr="00B41939">
        <w:t xml:space="preserve"> and </w:t>
      </w:r>
      <w:r w:rsidR="00551368">
        <w:rPr>
          <w:rStyle w:val="Bold"/>
        </w:rPr>
        <w:t>e</w:t>
      </w:r>
      <w:r w:rsidR="00B41939" w:rsidRPr="001B4152">
        <w:rPr>
          <w:rStyle w:val="Bold"/>
        </w:rPr>
        <w:t xml:space="preserve">cosystem </w:t>
      </w:r>
      <w:r w:rsidR="00551368">
        <w:rPr>
          <w:rStyle w:val="Bold"/>
        </w:rPr>
        <w:t>r</w:t>
      </w:r>
      <w:r w:rsidR="00B41939" w:rsidRPr="001B4152">
        <w:rPr>
          <w:rStyle w:val="Bold"/>
        </w:rPr>
        <w:t>espiration</w:t>
      </w:r>
      <w:r w:rsidR="00B41939" w:rsidRPr="00B41939">
        <w:t xml:space="preserve"> (ER) </w:t>
      </w:r>
      <w:r w:rsidR="00B57FE3" w:rsidRPr="00B41939">
        <w:t>–</w:t>
      </w:r>
      <w:r w:rsidRPr="00B41939">
        <w:t xml:space="preserve"> which generate and recycle organic matter, respectively. Stream metabolism measurements estimate the instream rates of GPP and ER by measuring changes in DO. Net ecosystem production (NEP)</w:t>
      </w:r>
      <w:r w:rsidR="00C5348A" w:rsidRPr="00B41939">
        <w:t> </w:t>
      </w:r>
      <w:r w:rsidRPr="00B41939">
        <w:t>– the difference between GPP and ER</w:t>
      </w:r>
      <w:r w:rsidR="00C5348A" w:rsidRPr="00B41939">
        <w:t> </w:t>
      </w:r>
      <w:r w:rsidRPr="00B41939">
        <w:t>– determines whether carbon accumulates or is depleted within an ecosystem (Bernhardt et al. 2018). Volumetric GPP and ER rates represent the amount of carbon being fixed or respired per litre of water,</w:t>
      </w:r>
      <w:r w:rsidR="00E000E5" w:rsidRPr="00B41939">
        <w:t xml:space="preserve"> respectively,</w:t>
      </w:r>
      <w:r w:rsidRPr="00B41939">
        <w:t xml:space="preserve"> which is important for understanding food</w:t>
      </w:r>
      <w:r w:rsidR="00350E09" w:rsidRPr="00B41939">
        <w:t xml:space="preserve"> </w:t>
      </w:r>
      <w:r w:rsidRPr="00B41939">
        <w:t>web processes and assessing potential water</w:t>
      </w:r>
      <w:r w:rsidR="00350E09" w:rsidRPr="00B41939">
        <w:t xml:space="preserve"> </w:t>
      </w:r>
      <w:r w:rsidRPr="00B41939">
        <w:t xml:space="preserve">quality risks, such as algal blooms or hypoxia. Since GPP represents the fixing of carbon into organic matter and ER is the breakdown of this matter and remineralisation of the </w:t>
      </w:r>
      <w:r w:rsidR="002B05A2" w:rsidRPr="00B41939">
        <w:t xml:space="preserve">organic </w:t>
      </w:r>
      <w:r w:rsidRPr="00B41939">
        <w:t xml:space="preserve">carbon, high rates of both GPP </w:t>
      </w:r>
      <w:r w:rsidR="00CE2069" w:rsidRPr="00B41939">
        <w:t>and ER (i.e. with a GPP:ER close to 1) indicate rapid cycling or ‘</w:t>
      </w:r>
      <w:r w:rsidR="00452032" w:rsidRPr="001B4152">
        <w:rPr>
          <w:b/>
          <w:bCs/>
        </w:rPr>
        <w:t xml:space="preserve">metabolic </w:t>
      </w:r>
      <w:r w:rsidR="00CE2069" w:rsidRPr="001B4152">
        <w:rPr>
          <w:b/>
          <w:bCs/>
        </w:rPr>
        <w:t>throughput’</w:t>
      </w:r>
      <w:r w:rsidR="00CE2069" w:rsidRPr="00B41939">
        <w:t xml:space="preserve"> of carbon by aquatic organisms. </w:t>
      </w:r>
      <w:r w:rsidRPr="00B41939">
        <w:t>In contrast, low but balanced GPP and ER indicates slow cycling and low throughput</w:t>
      </w:r>
      <w:r w:rsidR="00AE7C32">
        <w:t>.</w:t>
      </w:r>
    </w:p>
    <w:p w14:paraId="0C46F575" w14:textId="5836EE4F" w:rsidR="00F074DF" w:rsidRPr="00C601A2" w:rsidRDefault="00F074DF" w:rsidP="004240E9">
      <w:pPr>
        <w:pStyle w:val="BodyText"/>
      </w:pPr>
      <w:r w:rsidRPr="00C601A2">
        <w:t>We do not expect metabolic responses to flow to be sensitive to the purpose of the flow (e.g. environment, irrigation supply</w:t>
      </w:r>
      <w:r w:rsidR="00415CAB">
        <w:t xml:space="preserve">) </w:t>
      </w:r>
      <w:r w:rsidR="00415CAB" w:rsidRPr="00415CAB">
        <w:t>but rather to the duration, timing and magnitude or spatial extent of watering events</w:t>
      </w:r>
      <w:r>
        <w:t>.</w:t>
      </w:r>
      <w:r w:rsidR="002B05A2">
        <w:t xml:space="preserve"> Therefore, to understand the </w:t>
      </w:r>
      <w:r w:rsidR="00546E27">
        <w:t xml:space="preserve">general </w:t>
      </w:r>
      <w:r w:rsidR="002B05A2">
        <w:t>flow</w:t>
      </w:r>
      <w:r w:rsidR="00B57FE3">
        <w:t>–</w:t>
      </w:r>
      <w:r w:rsidR="002B05A2">
        <w:t>ecology relationships</w:t>
      </w:r>
      <w:r w:rsidR="004439B8">
        <w:t>,</w:t>
      </w:r>
      <w:r w:rsidR="002B05A2">
        <w:t xml:space="preserve"> we focus most of our analyses on metabolic responses to the full </w:t>
      </w:r>
      <w:r w:rsidR="002B05A2" w:rsidRPr="00C601A2">
        <w:t>hydrological dataset</w:t>
      </w:r>
      <w:r w:rsidR="002B05A2">
        <w:t xml:space="preserve"> (i.e. total flow, not just C</w:t>
      </w:r>
      <w:r w:rsidR="0085203C">
        <w:t>ommonwealth environmental water (C</w:t>
      </w:r>
      <w:r w:rsidR="002B05A2">
        <w:t>EW</w:t>
      </w:r>
      <w:r w:rsidR="0085203C">
        <w:t>)</w:t>
      </w:r>
      <w:r w:rsidR="002B05A2">
        <w:t>. However, we also present a model that uses these flow</w:t>
      </w:r>
      <w:r w:rsidR="00B57FE3">
        <w:t>–</w:t>
      </w:r>
      <w:r w:rsidR="002B05A2">
        <w:t>ecology relationships to estimate the contribution of CEW to GPP by estimating a counterfactual scenario.</w:t>
      </w:r>
      <w:r w:rsidR="00BA3B97">
        <w:rPr>
          <w:rStyle w:val="FootnoteReference"/>
        </w:rPr>
        <w:footnoteReference w:id="8"/>
      </w:r>
    </w:p>
    <w:p w14:paraId="2058860C" w14:textId="146A4EF1" w:rsidR="00F074DF" w:rsidRPr="00C601A2" w:rsidRDefault="00F074DF" w:rsidP="00F074DF">
      <w:pPr>
        <w:pStyle w:val="BodyText"/>
      </w:pPr>
      <w:r w:rsidRPr="00C601A2">
        <w:t xml:space="preserve">Continuous water quality monitoring integrated into Flow-MER is restricted to temperature and DO, which are collected to calculate </w:t>
      </w:r>
      <w:r w:rsidR="00764DB4">
        <w:t>rates of</w:t>
      </w:r>
      <w:r w:rsidRPr="00C601A2">
        <w:t xml:space="preserve"> stream metabolism. Other water quality parameters </w:t>
      </w:r>
      <w:r w:rsidR="00EB48BC">
        <w:t>(e.g.</w:t>
      </w:r>
      <w:r w:rsidR="006206BF" w:rsidRPr="00C601A2">
        <w:t xml:space="preserve"> </w:t>
      </w:r>
      <w:r w:rsidRPr="00C601A2">
        <w:t>pH, turbidity</w:t>
      </w:r>
      <w:r w:rsidR="00EB48BC">
        <w:t>,</w:t>
      </w:r>
      <w:r w:rsidRPr="00C601A2">
        <w:t xml:space="preserve"> electrical conductivity</w:t>
      </w:r>
      <w:r w:rsidR="00F52B8E">
        <w:t>)</w:t>
      </w:r>
      <w:r w:rsidRPr="00C601A2">
        <w:t xml:space="preserve">, </w:t>
      </w:r>
      <w:r w:rsidR="00EB48BC">
        <w:t>and</w:t>
      </w:r>
      <w:r w:rsidRPr="00C601A2">
        <w:t xml:space="preserve"> water column nutrients </w:t>
      </w:r>
      <w:r w:rsidR="00EB48BC">
        <w:t>(e.g.</w:t>
      </w:r>
      <w:r w:rsidRPr="00C601A2">
        <w:t xml:space="preserve"> total and filterable nitrogen and phosphorus</w:t>
      </w:r>
      <w:r w:rsidR="00EB48BC">
        <w:t>)</w:t>
      </w:r>
      <w:r w:rsidRPr="00C601A2">
        <w:t xml:space="preserve"> are typically measured during visits to sites</w:t>
      </w:r>
      <w:r w:rsidR="00EB48BC">
        <w:t>.</w:t>
      </w:r>
      <w:r w:rsidRPr="00C601A2">
        <w:t xml:space="preserve"> </w:t>
      </w:r>
      <w:r w:rsidR="00EB48BC">
        <w:t>H</w:t>
      </w:r>
      <w:r w:rsidRPr="00C601A2">
        <w:t xml:space="preserve">ence, data often comprise single measurements made at intervals of a month or more. Spot measurements of water quality and nutrients provide useful information about riverine conditions at a single point in time, but values can vary widely between collection of samples and such measurements are not necessarily representative of conditions for the entire continuous logging period. Thus, we do not report these values when interpreting Basin-scale stream metabolism calculated from logged DO data. This </w:t>
      </w:r>
      <w:r w:rsidR="0094742D">
        <w:t xml:space="preserve">Basin </w:t>
      </w:r>
      <w:r w:rsidRPr="00C601A2">
        <w:t>Theme aims to understand and predict how flow influences water quality (nutrients, temperature, light</w:t>
      </w:r>
      <w:r w:rsidR="00F070A5">
        <w:t>,</w:t>
      </w:r>
      <w:r w:rsidR="006F3572">
        <w:t xml:space="preserve"> </w:t>
      </w:r>
      <w:r w:rsidRPr="00C601A2">
        <w:t>salinity) which, in turn, can regulate rates of stream metabolism and productivity (energy availability).</w:t>
      </w:r>
    </w:p>
    <w:p w14:paraId="2F58D886" w14:textId="7A65EF63" w:rsidR="00B25317" w:rsidRPr="00C601A2" w:rsidDel="00A3196D" w:rsidRDefault="00B25317" w:rsidP="009846ED">
      <w:pPr>
        <w:pStyle w:val="Heading2"/>
      </w:pPr>
      <w:bookmarkStart w:id="89" w:name="_Toc169543864"/>
      <w:bookmarkStart w:id="90" w:name="_Toc202187845"/>
      <w:r w:rsidRPr="00C601A2">
        <w:t>Conceptual model</w:t>
      </w:r>
      <w:bookmarkEnd w:id="89"/>
      <w:bookmarkEnd w:id="90"/>
    </w:p>
    <w:p w14:paraId="27B40F7D" w14:textId="1900FCBC" w:rsidR="0080749C" w:rsidRDefault="3FAE6754" w:rsidP="00F1129B">
      <w:pPr>
        <w:pStyle w:val="BodyText"/>
      </w:pPr>
      <w:r w:rsidRPr="00C601A2">
        <w:t xml:space="preserve">Conceptually, </w:t>
      </w:r>
      <w:r w:rsidR="00707B8B">
        <w:t xml:space="preserve">our </w:t>
      </w:r>
      <w:r w:rsidRPr="00C601A2">
        <w:t>approach bui</w:t>
      </w:r>
      <w:r w:rsidR="7B0FE79C" w:rsidRPr="00C601A2">
        <w:t xml:space="preserve">lds on work carried out in </w:t>
      </w:r>
      <w:r w:rsidR="102BA807" w:rsidRPr="00C601A2">
        <w:t xml:space="preserve">the </w:t>
      </w:r>
      <w:r w:rsidRPr="00C601A2">
        <w:t>preceding</w:t>
      </w:r>
      <w:r w:rsidR="102BA807" w:rsidRPr="00C601A2">
        <w:t xml:space="preserve"> </w:t>
      </w:r>
      <w:r w:rsidR="00C73C8A">
        <w:t>Environmental Water Knowledge and Research</w:t>
      </w:r>
      <w:r w:rsidR="00C73C8A" w:rsidRPr="00C601A2">
        <w:t xml:space="preserve"> </w:t>
      </w:r>
      <w:r w:rsidRPr="00C601A2">
        <w:t>and L</w:t>
      </w:r>
      <w:r w:rsidR="00C73C8A">
        <w:t>ong Term Intervention Monitoring</w:t>
      </w:r>
      <w:r w:rsidR="00707B8B">
        <w:t xml:space="preserve"> projects</w:t>
      </w:r>
      <w:r w:rsidRPr="00C601A2">
        <w:t xml:space="preserve">. </w:t>
      </w:r>
      <w:r w:rsidR="00ED27BA">
        <w:t>The</w:t>
      </w:r>
      <w:r w:rsidR="006F3572">
        <w:t xml:space="preserve"> </w:t>
      </w:r>
      <w:r w:rsidR="00C73C8A">
        <w:t xml:space="preserve">Environmental Water Knowledge and Research Project </w:t>
      </w:r>
      <w:r w:rsidRPr="00C601A2">
        <w:t>Fo</w:t>
      </w:r>
      <w:r w:rsidR="7B0FE79C" w:rsidRPr="00C601A2">
        <w:t xml:space="preserve">od </w:t>
      </w:r>
      <w:r w:rsidR="102BA807" w:rsidRPr="00C601A2">
        <w:t>W</w:t>
      </w:r>
      <w:r w:rsidR="7B0FE79C" w:rsidRPr="00C601A2">
        <w:t>eb T</w:t>
      </w:r>
      <w:r w:rsidRPr="00C601A2">
        <w:t xml:space="preserve">heme </w:t>
      </w:r>
      <w:r w:rsidR="1FC44E68" w:rsidRPr="00C601A2">
        <w:t xml:space="preserve">explored </w:t>
      </w:r>
      <w:r w:rsidRPr="00C601A2">
        <w:t>the conceptual link between the Waterbird, Fish and Vegetation themes</w:t>
      </w:r>
      <w:r w:rsidR="0DE0480A" w:rsidRPr="00C601A2">
        <w:t>, linking the production of resources to provision of food for consumers</w:t>
      </w:r>
      <w:r w:rsidR="2CA95F1C" w:rsidRPr="00C601A2">
        <w:t xml:space="preserve"> in response to environmental flows</w:t>
      </w:r>
      <w:r w:rsidR="0DE0480A" w:rsidRPr="00C601A2">
        <w:t>.</w:t>
      </w:r>
      <w:r w:rsidR="007245CD">
        <w:t xml:space="preserve"> W</w:t>
      </w:r>
      <w:r w:rsidR="00863346">
        <w:t xml:space="preserve">e have </w:t>
      </w:r>
      <w:r w:rsidR="57580DB6" w:rsidRPr="00C601A2">
        <w:t>extend</w:t>
      </w:r>
      <w:r w:rsidR="00863346">
        <w:t>ed</w:t>
      </w:r>
      <w:r w:rsidR="57580DB6" w:rsidRPr="00C601A2">
        <w:t xml:space="preserve"> </w:t>
      </w:r>
      <w:r w:rsidR="00D40652">
        <w:t>th</w:t>
      </w:r>
      <w:r w:rsidR="007245CD">
        <w:t xml:space="preserve">at </w:t>
      </w:r>
      <w:r w:rsidR="00D40652">
        <w:t xml:space="preserve">framework </w:t>
      </w:r>
      <w:r w:rsidR="57580DB6" w:rsidRPr="00C601A2">
        <w:t xml:space="preserve">to incorporate productivity responses of ecosystems to different </w:t>
      </w:r>
      <w:r w:rsidR="009D3962">
        <w:t>flow components</w:t>
      </w:r>
      <w:r w:rsidR="57580DB6" w:rsidRPr="00C601A2">
        <w:t xml:space="preserve"> (</w:t>
      </w:r>
      <w:r w:rsidR="00B66934" w:rsidRPr="00C601A2">
        <w:rPr>
          <w:color w:val="2B579A"/>
          <w:shd w:val="clear" w:color="auto" w:fill="E6E6E6"/>
        </w:rPr>
        <w:fldChar w:fldCharType="begin"/>
      </w:r>
      <w:r w:rsidR="00B66934" w:rsidRPr="00C601A2">
        <w:instrText xml:space="preserve"> REF _Ref68680429 \h </w:instrText>
      </w:r>
      <w:r w:rsidR="00AA77FA" w:rsidRPr="00C601A2">
        <w:instrText xml:space="preserve"> \* MERGEFORMAT </w:instrText>
      </w:r>
      <w:r w:rsidR="00B66934" w:rsidRPr="00C601A2">
        <w:rPr>
          <w:color w:val="2B579A"/>
          <w:shd w:val="clear" w:color="auto" w:fill="E6E6E6"/>
        </w:rPr>
      </w:r>
      <w:r w:rsidR="00B66934" w:rsidRPr="00C601A2">
        <w:rPr>
          <w:color w:val="2B579A"/>
          <w:shd w:val="clear" w:color="auto" w:fill="E6E6E6"/>
        </w:rPr>
        <w:fldChar w:fldCharType="separate"/>
      </w:r>
      <w:r w:rsidR="00492712" w:rsidRPr="00C601A2">
        <w:t>Figure</w:t>
      </w:r>
      <w:r w:rsidR="00492712">
        <w:t> </w:t>
      </w:r>
      <w:r w:rsidR="00835C8B">
        <w:t>2</w:t>
      </w:r>
      <w:r w:rsidR="00492712">
        <w:t>.1</w:t>
      </w:r>
      <w:r w:rsidR="00B66934" w:rsidRPr="00C601A2">
        <w:rPr>
          <w:color w:val="2B579A"/>
          <w:shd w:val="clear" w:color="auto" w:fill="E6E6E6"/>
        </w:rPr>
        <w:fldChar w:fldCharType="end"/>
      </w:r>
      <w:r w:rsidR="57580DB6" w:rsidRPr="00C601A2">
        <w:t>).</w:t>
      </w:r>
      <w:r w:rsidR="29BDC425" w:rsidRPr="00C601A2">
        <w:t xml:space="preserve"> </w:t>
      </w:r>
      <w:r w:rsidR="56F689BE" w:rsidRPr="00C601A2">
        <w:t xml:space="preserve">Rates of </w:t>
      </w:r>
      <w:r w:rsidR="1290A403" w:rsidRPr="00C601A2">
        <w:t>GPP</w:t>
      </w:r>
      <w:r w:rsidR="2F811E7C" w:rsidRPr="00C601A2">
        <w:t xml:space="preserve"> and ER </w:t>
      </w:r>
      <w:r w:rsidR="38355E49" w:rsidRPr="00C601A2">
        <w:t xml:space="preserve">can control and impose </w:t>
      </w:r>
      <w:r w:rsidR="2F811E7C" w:rsidRPr="00C601A2">
        <w:lastRenderedPageBreak/>
        <w:t>restrict</w:t>
      </w:r>
      <w:r w:rsidR="38355E49" w:rsidRPr="00C601A2">
        <w:t>ions on</w:t>
      </w:r>
      <w:r w:rsidR="2F811E7C" w:rsidRPr="00C601A2">
        <w:t xml:space="preserve"> energy supply and energy dispersal through food</w:t>
      </w:r>
      <w:r w:rsidR="0F7DECBA" w:rsidRPr="00C601A2">
        <w:t xml:space="preserve"> webs</w:t>
      </w:r>
      <w:r w:rsidR="262D0F00" w:rsidRPr="00C601A2">
        <w:t xml:space="preserve"> </w:t>
      </w:r>
      <w:r w:rsidR="340B7330" w:rsidRPr="00C601A2">
        <w:rPr>
          <w:noProof/>
        </w:rPr>
        <w:t>(Rüegg et al. 2021)</w:t>
      </w:r>
      <w:r w:rsidR="0F7DECBA" w:rsidRPr="00C601A2">
        <w:t>. T</w:t>
      </w:r>
      <w:r w:rsidR="2F811E7C" w:rsidRPr="00C601A2">
        <w:t xml:space="preserve">he balance of these </w:t>
      </w:r>
      <w:r w:rsidR="00DE0D4A">
        <w:t>2</w:t>
      </w:r>
      <w:r w:rsidR="00DE0D4A" w:rsidRPr="00C601A2">
        <w:t xml:space="preserve"> </w:t>
      </w:r>
      <w:r w:rsidR="2F811E7C" w:rsidRPr="00C601A2">
        <w:t>fluxes, measured as NEP</w:t>
      </w:r>
      <w:r w:rsidR="1BBC8C0B" w:rsidRPr="00C601A2">
        <w:t>,</w:t>
      </w:r>
      <w:r w:rsidR="2F811E7C" w:rsidRPr="00C601A2">
        <w:t xml:space="preserve"> determines whether carbon accumulates or </w:t>
      </w:r>
      <w:r w:rsidR="177EBF4F" w:rsidRPr="00C601A2">
        <w:t xml:space="preserve">decreases in </w:t>
      </w:r>
      <w:r w:rsidR="2F811E7C" w:rsidRPr="00C601A2">
        <w:t>an ecosystem</w:t>
      </w:r>
      <w:r w:rsidR="0080749C">
        <w:t>.</w:t>
      </w:r>
    </w:p>
    <w:p w14:paraId="6BCCC132" w14:textId="18CC790B" w:rsidR="001F50B9" w:rsidRPr="00C601A2" w:rsidRDefault="001F50B9" w:rsidP="006B1059">
      <w:pPr>
        <w:pStyle w:val="BodyText"/>
      </w:pPr>
      <w:r w:rsidRPr="00C601A2">
        <w:t xml:space="preserve">A significant challenge when interpreting responses of </w:t>
      </w:r>
      <w:r w:rsidR="005157A0" w:rsidRPr="00C601A2">
        <w:t>stream metabolism</w:t>
      </w:r>
      <w:r w:rsidRPr="00C601A2">
        <w:t xml:space="preserve"> to environmental </w:t>
      </w:r>
      <w:r w:rsidR="00D23BB5">
        <w:t xml:space="preserve">water </w:t>
      </w:r>
      <w:r w:rsidRPr="00C601A2">
        <w:t>is determining what</w:t>
      </w:r>
      <w:r w:rsidR="00F34D7C" w:rsidRPr="00C601A2">
        <w:t xml:space="preserve"> levels of</w:t>
      </w:r>
      <w:r w:rsidR="00214FB7" w:rsidRPr="00C601A2">
        <w:t xml:space="preserve"> productivity are</w:t>
      </w:r>
      <w:r w:rsidR="00C2415E" w:rsidRPr="00C601A2">
        <w:t xml:space="preserve"> </w:t>
      </w:r>
      <w:r w:rsidRPr="00C601A2">
        <w:t xml:space="preserve">‘desirable’ and ‘undesirable’. For example, a large overbank flow event has the potential to liberate substantial quantities of </w:t>
      </w:r>
      <w:r w:rsidR="00D01D85" w:rsidRPr="00C601A2">
        <w:t xml:space="preserve">organic </w:t>
      </w:r>
      <w:r w:rsidRPr="00C601A2">
        <w:t>carbon from floodplains</w:t>
      </w:r>
      <w:r w:rsidR="00211DB8">
        <w:t>,</w:t>
      </w:r>
      <w:r w:rsidRPr="00C601A2">
        <w:t xml:space="preserve"> </w:t>
      </w:r>
      <w:r w:rsidR="00211DB8">
        <w:t xml:space="preserve">which </w:t>
      </w:r>
      <w:r w:rsidRPr="00C601A2">
        <w:t>can generate significant increases in heterotrophic in-channel productivity (measured as</w:t>
      </w:r>
      <w:r w:rsidR="00F34D7C" w:rsidRPr="00C601A2">
        <w:t xml:space="preserve"> </w:t>
      </w:r>
      <w:r w:rsidRPr="00C601A2">
        <w:t xml:space="preserve">ER). However, such large productivity responses may be undesirable if they occur in concert with small GPP responses, potentially leading to blackwater events, where more oxygen is consumed from the water column than is produced, ultimately leading to hypoxia </w:t>
      </w:r>
      <w:r w:rsidR="00F34D7C" w:rsidRPr="00C601A2">
        <w:t xml:space="preserve">(acute lack of oxygen) </w:t>
      </w:r>
      <w:r w:rsidRPr="00C601A2">
        <w:t xml:space="preserve">for aquatic animals (large brown arrow </w:t>
      </w:r>
      <w:r w:rsidR="006E77A1">
        <w:t xml:space="preserve">in top ‘fingerprint’ </w:t>
      </w:r>
      <w:r w:rsidR="006D302E">
        <w:t>plot</w:t>
      </w:r>
      <w:r w:rsidR="006E77A1">
        <w:t xml:space="preserve"> </w:t>
      </w:r>
      <w:r w:rsidRPr="00C601A2">
        <w:t xml:space="preserve">in </w:t>
      </w:r>
      <w:r w:rsidRPr="00C601A2">
        <w:rPr>
          <w:color w:val="2B579A"/>
          <w:shd w:val="clear" w:color="auto" w:fill="E6E6E6"/>
        </w:rPr>
        <w:fldChar w:fldCharType="begin"/>
      </w:r>
      <w:r w:rsidRPr="00C601A2">
        <w:instrText xml:space="preserve"> REF _Ref68680429 \h </w:instrText>
      </w:r>
      <w:r w:rsidR="00D97B15" w:rsidRPr="00C601A2">
        <w:instrText xml:space="preserve"> \* MERGEFORMAT </w:instrText>
      </w:r>
      <w:r w:rsidRPr="00C601A2">
        <w:rPr>
          <w:color w:val="2B579A"/>
          <w:shd w:val="clear" w:color="auto" w:fill="E6E6E6"/>
        </w:rPr>
      </w:r>
      <w:r w:rsidRPr="00C601A2">
        <w:rPr>
          <w:color w:val="2B579A"/>
          <w:shd w:val="clear" w:color="auto" w:fill="E6E6E6"/>
        </w:rPr>
        <w:fldChar w:fldCharType="separate"/>
      </w:r>
      <w:r w:rsidR="00492712" w:rsidRPr="00C601A2">
        <w:t>Figure</w:t>
      </w:r>
      <w:r w:rsidR="00492712">
        <w:t> </w:t>
      </w:r>
      <w:r w:rsidR="00835C8B">
        <w:t>2</w:t>
      </w:r>
      <w:r w:rsidR="00492712">
        <w:t>.1</w:t>
      </w:r>
      <w:r w:rsidRPr="00C601A2">
        <w:rPr>
          <w:color w:val="2B579A"/>
          <w:shd w:val="clear" w:color="auto" w:fill="E6E6E6"/>
        </w:rPr>
        <w:fldChar w:fldCharType="end"/>
      </w:r>
      <w:r w:rsidRPr="00C601A2">
        <w:t>). Equally, at the other extreme</w:t>
      </w:r>
      <w:r w:rsidR="00F34D7C" w:rsidRPr="00C601A2">
        <w:t>,</w:t>
      </w:r>
      <w:r w:rsidRPr="00C601A2">
        <w:t xml:space="preserve"> a </w:t>
      </w:r>
      <w:r w:rsidR="00F5270D" w:rsidRPr="00C601A2">
        <w:t>c</w:t>
      </w:r>
      <w:r w:rsidRPr="00C601A2">
        <w:t>ease</w:t>
      </w:r>
      <w:r w:rsidR="00F5270D" w:rsidRPr="00C601A2">
        <w:t>-</w:t>
      </w:r>
      <w:r w:rsidRPr="00C601A2">
        <w:t>to</w:t>
      </w:r>
      <w:r w:rsidR="00F5270D" w:rsidRPr="00C601A2">
        <w:t>-</w:t>
      </w:r>
      <w:r w:rsidRPr="00C601A2">
        <w:t>flow</w:t>
      </w:r>
      <w:r w:rsidR="005B6903" w:rsidRPr="00C601A2">
        <w:t xml:space="preserve"> </w:t>
      </w:r>
      <w:r w:rsidR="00214FB7" w:rsidRPr="00C601A2">
        <w:t>or</w:t>
      </w:r>
      <w:r w:rsidR="005B6903" w:rsidRPr="00C601A2">
        <w:t xml:space="preserve"> </w:t>
      </w:r>
      <w:r w:rsidR="00F5270D" w:rsidRPr="00C601A2">
        <w:t>b</w:t>
      </w:r>
      <w:r w:rsidRPr="00C601A2">
        <w:t>ase flow event (depicted by the dark</w:t>
      </w:r>
      <w:r w:rsidR="006E77A1">
        <w:t>er</w:t>
      </w:r>
      <w:r w:rsidRPr="00C601A2">
        <w:t xml:space="preserve"> green arrow in</w:t>
      </w:r>
      <w:r w:rsidR="006E77A1">
        <w:t xml:space="preserve"> top fingerprint </w:t>
      </w:r>
      <w:r w:rsidR="006D302E">
        <w:t>plot</w:t>
      </w:r>
      <w:r w:rsidR="006E77A1">
        <w:t xml:space="preserve"> in</w:t>
      </w:r>
      <w:r w:rsidRPr="00C601A2">
        <w:t xml:space="preserve"> </w:t>
      </w:r>
      <w:r w:rsidRPr="00C601A2">
        <w:rPr>
          <w:color w:val="2B579A"/>
          <w:shd w:val="clear" w:color="auto" w:fill="E6E6E6"/>
        </w:rPr>
        <w:fldChar w:fldCharType="begin"/>
      </w:r>
      <w:r w:rsidRPr="00C601A2">
        <w:instrText xml:space="preserve"> REF _Ref68680429 \h </w:instrText>
      </w:r>
      <w:r w:rsidR="00D97B15" w:rsidRPr="00C601A2">
        <w:instrText xml:space="preserve"> \* MERGEFORMAT </w:instrText>
      </w:r>
      <w:r w:rsidRPr="00C601A2">
        <w:rPr>
          <w:color w:val="2B579A"/>
          <w:shd w:val="clear" w:color="auto" w:fill="E6E6E6"/>
        </w:rPr>
      </w:r>
      <w:r w:rsidRPr="00C601A2">
        <w:rPr>
          <w:color w:val="2B579A"/>
          <w:shd w:val="clear" w:color="auto" w:fill="E6E6E6"/>
        </w:rPr>
        <w:fldChar w:fldCharType="separate"/>
      </w:r>
      <w:r w:rsidR="00492712" w:rsidRPr="00C601A2">
        <w:t>Figure</w:t>
      </w:r>
      <w:r w:rsidR="00492712">
        <w:t> </w:t>
      </w:r>
      <w:r w:rsidR="00835C8B">
        <w:t>2</w:t>
      </w:r>
      <w:r w:rsidR="00492712">
        <w:t>.1</w:t>
      </w:r>
      <w:r w:rsidRPr="00C601A2">
        <w:rPr>
          <w:color w:val="2B579A"/>
          <w:shd w:val="clear" w:color="auto" w:fill="E6E6E6"/>
        </w:rPr>
        <w:fldChar w:fldCharType="end"/>
      </w:r>
      <w:r w:rsidRPr="00C601A2">
        <w:t xml:space="preserve">) coupled with high </w:t>
      </w:r>
      <w:r w:rsidR="00460263" w:rsidRPr="00C601A2">
        <w:t>sun</w:t>
      </w:r>
      <w:r w:rsidRPr="00C601A2">
        <w:t xml:space="preserve">light and high nutrient concentrations has the potential to generate </w:t>
      </w:r>
      <w:r w:rsidR="00D01D85" w:rsidRPr="00C601A2">
        <w:t xml:space="preserve">high rates of </w:t>
      </w:r>
      <w:r w:rsidRPr="00C601A2">
        <w:t>GPP</w:t>
      </w:r>
      <w:r w:rsidR="00D01D85" w:rsidRPr="00C601A2">
        <w:t xml:space="preserve"> during daylight hours and similarly high rates of ER overnight. </w:t>
      </w:r>
      <w:r w:rsidRPr="00C601A2">
        <w:t>However, if this occurs as a blue</w:t>
      </w:r>
      <w:r w:rsidR="00F5270D" w:rsidRPr="00C601A2">
        <w:t>-</w:t>
      </w:r>
      <w:r w:rsidRPr="00C601A2">
        <w:t>green alga</w:t>
      </w:r>
      <w:r w:rsidR="00F5270D" w:rsidRPr="00C601A2">
        <w:t>l</w:t>
      </w:r>
      <w:r w:rsidRPr="00C601A2">
        <w:t xml:space="preserve"> bloom</w:t>
      </w:r>
      <w:r w:rsidR="00F5270D" w:rsidRPr="00C601A2">
        <w:t>,</w:t>
      </w:r>
      <w:r w:rsidRPr="00C601A2">
        <w:t xml:space="preserve"> it is also </w:t>
      </w:r>
      <w:r w:rsidR="00214FB7" w:rsidRPr="00C601A2">
        <w:t>an undesirable</w:t>
      </w:r>
      <w:r w:rsidRPr="00C601A2">
        <w:t xml:space="preserve"> productivity response that </w:t>
      </w:r>
      <w:r w:rsidR="00D01D85" w:rsidRPr="00C601A2">
        <w:t>may be</w:t>
      </w:r>
      <w:r w:rsidRPr="00C601A2">
        <w:t xml:space="preserve"> harmful to aquatic animal</w:t>
      </w:r>
      <w:r w:rsidR="00D01D85" w:rsidRPr="00C601A2">
        <w:t xml:space="preserve"> and human health</w:t>
      </w:r>
      <w:r w:rsidRPr="00C601A2">
        <w:t>.</w:t>
      </w:r>
    </w:p>
    <w:p w14:paraId="36D1674B" w14:textId="77777777" w:rsidR="007E5D55" w:rsidRDefault="007551AB" w:rsidP="0023404E">
      <w:pPr>
        <w:pStyle w:val="BodyText"/>
      </w:pPr>
      <w:r w:rsidRPr="00C601A2">
        <w:t xml:space="preserve">Conceptually, we are addressing whether metabolism at a particular place and time is inside the bounds of </w:t>
      </w:r>
      <w:r w:rsidR="00311A72">
        <w:t xml:space="preserve">expected </w:t>
      </w:r>
      <w:r w:rsidRPr="00C601A2">
        <w:t xml:space="preserve">productivity conditions, by generating metabolic fingerprints for each Selected Area. </w:t>
      </w:r>
    </w:p>
    <w:p w14:paraId="2B6678DB" w14:textId="62A3B09A" w:rsidR="00A5032E" w:rsidRDefault="00A5032E" w:rsidP="007C23FE">
      <w:pPr>
        <w:pStyle w:val="Heading2"/>
        <w:rPr>
          <w:rStyle w:val="Bold"/>
          <w:b w:val="0"/>
          <w:bCs w:val="0"/>
        </w:rPr>
      </w:pPr>
      <w:bookmarkStart w:id="91" w:name="_Toc169543865"/>
      <w:bookmarkStart w:id="92" w:name="_Toc202187846"/>
      <w:r>
        <w:rPr>
          <w:rStyle w:val="Bold"/>
          <w:b w:val="0"/>
          <w:bCs w:val="0"/>
        </w:rPr>
        <w:t>Metabolic fingerprints</w:t>
      </w:r>
      <w:bookmarkEnd w:id="91"/>
      <w:bookmarkEnd w:id="92"/>
    </w:p>
    <w:p w14:paraId="41C30973" w14:textId="30C79152" w:rsidR="0080749C" w:rsidRDefault="007551AB" w:rsidP="0023404E">
      <w:pPr>
        <w:pStyle w:val="BodyText"/>
      </w:pPr>
      <w:r w:rsidRPr="0041476C">
        <w:rPr>
          <w:rStyle w:val="Bold"/>
          <w:b w:val="0"/>
          <w:bCs/>
        </w:rPr>
        <w:t>Metabolic fingerprints</w:t>
      </w:r>
      <w:r w:rsidRPr="00C601A2">
        <w:t xml:space="preserve"> are a visualisation tool for contrasting annual patterns of metabolism across rivers or across years for the same river </w:t>
      </w:r>
      <w:r w:rsidRPr="00C601A2">
        <w:rPr>
          <w:noProof/>
        </w:rPr>
        <w:t>(Bernhardt et al. 2018)</w:t>
      </w:r>
      <w:r w:rsidRPr="00C601A2">
        <w:t>. The metabolic fingerprint depicts the dominant metabolic regime at a site, presented as a kernel</w:t>
      </w:r>
      <w:r w:rsidR="00017DD2">
        <w:t>-</w:t>
      </w:r>
      <w:r w:rsidRPr="00C601A2">
        <w:t>density plot of all daily estimates of GPP and ER rates (</w:t>
      </w:r>
      <w:r w:rsidRPr="00C601A2">
        <w:rPr>
          <w:color w:val="2B579A"/>
          <w:shd w:val="clear" w:color="auto" w:fill="E6E6E6"/>
        </w:rPr>
        <w:fldChar w:fldCharType="begin"/>
      </w:r>
      <w:r w:rsidRPr="00C601A2">
        <w:instrText xml:space="preserve"> REF _Ref68680429 \h  \* MERGEFORMAT </w:instrText>
      </w:r>
      <w:r w:rsidRPr="00C601A2">
        <w:rPr>
          <w:color w:val="2B579A"/>
          <w:shd w:val="clear" w:color="auto" w:fill="E6E6E6"/>
        </w:rPr>
      </w:r>
      <w:r w:rsidRPr="00C601A2">
        <w:rPr>
          <w:color w:val="2B579A"/>
          <w:shd w:val="clear" w:color="auto" w:fill="E6E6E6"/>
        </w:rPr>
        <w:fldChar w:fldCharType="separate"/>
      </w:r>
      <w:r w:rsidR="00492712" w:rsidRPr="00C601A2">
        <w:t>Figure</w:t>
      </w:r>
      <w:r w:rsidR="00492712">
        <w:t> </w:t>
      </w:r>
      <w:r w:rsidR="00835C8B">
        <w:t>2</w:t>
      </w:r>
      <w:r w:rsidR="00492712">
        <w:t>.1</w:t>
      </w:r>
      <w:r w:rsidRPr="00C601A2">
        <w:rPr>
          <w:color w:val="2B579A"/>
          <w:shd w:val="clear" w:color="auto" w:fill="E6E6E6"/>
        </w:rPr>
        <w:fldChar w:fldCharType="end"/>
      </w:r>
      <w:r w:rsidRPr="00C601A2">
        <w:t xml:space="preserve">). Importantly, a metabolic fingerprint displays the dispersion of both GPP and ER in a single plot, allowing an integrated examination of </w:t>
      </w:r>
      <w:r w:rsidR="33D20881" w:rsidRPr="00C601A2">
        <w:t xml:space="preserve">organic </w:t>
      </w:r>
      <w:r w:rsidRPr="00C601A2">
        <w:t>carbon generation and consumption.</w:t>
      </w:r>
      <w:r w:rsidR="008B4129">
        <w:t xml:space="preserve"> </w:t>
      </w:r>
      <w:r w:rsidR="00F41D60">
        <w:t>T</w:t>
      </w:r>
      <w:r w:rsidR="008B4129">
        <w:t>his plotting approach can be used to assess the degre</w:t>
      </w:r>
      <w:r w:rsidR="00F41D60">
        <w:t>e</w:t>
      </w:r>
      <w:r w:rsidR="008B4129">
        <w:t xml:space="preserve"> </w:t>
      </w:r>
      <w:r w:rsidR="00F41D60">
        <w:t xml:space="preserve">to </w:t>
      </w:r>
      <w:r w:rsidR="008B4129">
        <w:t>which a site satisfies certain metabolic conditions (</w:t>
      </w:r>
      <w:r w:rsidR="00F41D60">
        <w:t xml:space="preserve">e.g. </w:t>
      </w:r>
      <w:r w:rsidR="008B4129">
        <w:t>target ranges</w:t>
      </w:r>
      <w:r w:rsidR="006D302E">
        <w:t xml:space="preserve"> or </w:t>
      </w:r>
      <w:r w:rsidR="008B4129">
        <w:t>states)</w:t>
      </w:r>
      <w:r w:rsidR="00AE6661">
        <w:t xml:space="preserve"> and can be</w:t>
      </w:r>
      <w:r w:rsidR="00AE6661" w:rsidRPr="00AE6661">
        <w:t xml:space="preserve"> linked to</w:t>
      </w:r>
      <w:r w:rsidR="00AE6661">
        <w:t xml:space="preserve"> </w:t>
      </w:r>
      <w:r w:rsidR="00AE6661" w:rsidRPr="00AE6661">
        <w:t>evaluat</w:t>
      </w:r>
      <w:r w:rsidR="00AE6661">
        <w:t>ion</w:t>
      </w:r>
      <w:r w:rsidR="00AE6661" w:rsidRPr="00AE6661">
        <w:t xml:space="preserve"> against expected outcomes</w:t>
      </w:r>
      <w:r w:rsidR="007564A0">
        <w:t xml:space="preserve"> </w:t>
      </w:r>
      <w:r w:rsidR="00B57FE3">
        <w:t>–</w:t>
      </w:r>
      <w:r w:rsidR="00930A53">
        <w:t xml:space="preserve"> for example,</w:t>
      </w:r>
      <w:r w:rsidR="008E6CBA">
        <w:t xml:space="preserve"> </w:t>
      </w:r>
      <w:r w:rsidR="008E6CBA" w:rsidRPr="008E6CBA">
        <w:t xml:space="preserve">under a future metabolism component in the </w:t>
      </w:r>
      <w:r w:rsidR="00A35918" w:rsidRPr="00C601A2">
        <w:rPr>
          <w:rStyle w:val="Italics"/>
        </w:rPr>
        <w:t>Basin-wide environmental watering strategy</w:t>
      </w:r>
      <w:r w:rsidR="00A35918" w:rsidRPr="00C601A2">
        <w:t xml:space="preserve"> (the Strategy)</w:t>
      </w:r>
      <w:r w:rsidR="00930A53">
        <w:t xml:space="preserve"> (MDBA 2019</w:t>
      </w:r>
      <w:r w:rsidR="00583FA8">
        <w:t>)</w:t>
      </w:r>
      <w:r w:rsidR="008B4129">
        <w:t xml:space="preserve">. </w:t>
      </w:r>
      <w:r w:rsidR="005D6054">
        <w:t>T</w:t>
      </w:r>
      <w:r w:rsidR="00455C28">
        <w:t xml:space="preserve">he </w:t>
      </w:r>
      <w:r w:rsidR="008B4129">
        <w:t>approach can</w:t>
      </w:r>
      <w:r w:rsidR="00D1039B">
        <w:t xml:space="preserve"> also</w:t>
      </w:r>
      <w:r w:rsidR="008B4129">
        <w:t xml:space="preserve"> be extended beyond plotting and </w:t>
      </w:r>
      <w:r w:rsidR="0023404E">
        <w:t>used</w:t>
      </w:r>
      <w:r w:rsidR="008E5D7F">
        <w:t xml:space="preserve"> to establish statistical patterns in metabolic responses to flow</w:t>
      </w:r>
      <w:r w:rsidR="005D6054">
        <w:t xml:space="preserve"> (see</w:t>
      </w:r>
      <w:r w:rsidR="00BB71E8">
        <w:t xml:space="preserve"> </w:t>
      </w:r>
      <w:r w:rsidR="00A35918">
        <w:t>S</w:t>
      </w:r>
      <w:r w:rsidR="00BB71E8">
        <w:t>ection</w:t>
      </w:r>
      <w:r w:rsidR="00271720">
        <w:t xml:space="preserve"> </w:t>
      </w:r>
      <w:r w:rsidR="00271720">
        <w:fldChar w:fldCharType="begin"/>
      </w:r>
      <w:r w:rsidR="00271720">
        <w:instrText xml:space="preserve"> REF _Ref183534301 \r \h </w:instrText>
      </w:r>
      <w:r w:rsidR="00271720">
        <w:fldChar w:fldCharType="separate"/>
      </w:r>
      <w:r w:rsidR="00835C8B">
        <w:t>4.</w:t>
      </w:r>
      <w:r w:rsidR="00492712">
        <w:t>4.2</w:t>
      </w:r>
      <w:r w:rsidR="00271720">
        <w:fldChar w:fldCharType="end"/>
      </w:r>
      <w:r w:rsidR="00BB71E8">
        <w:t>)</w:t>
      </w:r>
      <w:r w:rsidR="0080749C">
        <w:t>.</w:t>
      </w:r>
    </w:p>
    <w:p w14:paraId="1D60A23A" w14:textId="77777777" w:rsidR="00661D1A" w:rsidRDefault="00661D1A" w:rsidP="0023404E">
      <w:pPr>
        <w:pStyle w:val="BodyText"/>
      </w:pPr>
    </w:p>
    <w:p w14:paraId="3A42DE90" w14:textId="526BFFAE" w:rsidR="00661D1A" w:rsidRPr="00C601A2" w:rsidRDefault="00661D1A" w:rsidP="0023404E">
      <w:pPr>
        <w:pStyle w:val="BodyText"/>
        <w:sectPr w:rsidR="00661D1A" w:rsidRPr="00C601A2" w:rsidSect="0083564C">
          <w:footerReference w:type="default" r:id="rId41"/>
          <w:type w:val="oddPage"/>
          <w:pgSz w:w="11906" w:h="16838" w:code="9"/>
          <w:pgMar w:top="1134" w:right="1134" w:bottom="1134" w:left="1134" w:header="510" w:footer="510" w:gutter="0"/>
          <w:pgNumType w:start="1"/>
          <w:cols w:space="284"/>
          <w:docGrid w:linePitch="360"/>
        </w:sectPr>
      </w:pPr>
    </w:p>
    <w:p w14:paraId="2885D843" w14:textId="6C0A1BFF" w:rsidR="00511507" w:rsidRPr="00C601A2" w:rsidRDefault="005F763D" w:rsidP="00B847D7">
      <w:pPr>
        <w:pStyle w:val="CaptionWithNote"/>
      </w:pPr>
      <w:bookmarkStart w:id="93" w:name="_Ref68680429"/>
      <w:bookmarkStart w:id="94" w:name="_Toc193363430"/>
      <w:bookmarkStart w:id="95" w:name="_Toc194788946"/>
      <w:bookmarkStart w:id="96" w:name="_Toc202187879"/>
      <w:r w:rsidRPr="00C601A2">
        <w:lastRenderedPageBreak/>
        <w:t>Figure</w:t>
      </w:r>
      <w:r w:rsidR="00A535AD">
        <w:t> </w:t>
      </w:r>
      <w:r>
        <w:fldChar w:fldCharType="begin"/>
      </w:r>
      <w:r>
        <w:instrText>STYLEREF 1 \s</w:instrText>
      </w:r>
      <w:r>
        <w:fldChar w:fldCharType="separate"/>
      </w:r>
      <w:r w:rsidR="00835C8B">
        <w:rPr>
          <w:noProof/>
        </w:rPr>
        <w:t>2</w:t>
      </w:r>
      <w:r>
        <w:fldChar w:fldCharType="end"/>
      </w:r>
      <w:r w:rsidR="00505064">
        <w:t>.</w:t>
      </w:r>
      <w:r>
        <w:fldChar w:fldCharType="begin"/>
      </w:r>
      <w:r>
        <w:instrText>SEQ Figure \* ARABIC \s 1</w:instrText>
      </w:r>
      <w:r>
        <w:fldChar w:fldCharType="separate"/>
      </w:r>
      <w:r w:rsidR="00492712">
        <w:rPr>
          <w:noProof/>
        </w:rPr>
        <w:t>1</w:t>
      </w:r>
      <w:r>
        <w:fldChar w:fldCharType="end"/>
      </w:r>
      <w:bookmarkEnd w:id="93"/>
      <w:r w:rsidR="00BB48EA" w:rsidRPr="00C601A2">
        <w:t xml:space="preserve"> </w:t>
      </w:r>
      <w:r w:rsidR="00F20357" w:rsidRPr="00C601A2">
        <w:t xml:space="preserve">Conceptual model of the </w:t>
      </w:r>
      <w:r w:rsidR="00CB18C8" w:rsidRPr="00C601A2">
        <w:t xml:space="preserve">approach </w:t>
      </w:r>
      <w:r w:rsidR="00AB6DFA" w:rsidRPr="00C601A2">
        <w:t xml:space="preserve">within </w:t>
      </w:r>
      <w:r w:rsidR="00CB18C8" w:rsidRPr="00C601A2">
        <w:t xml:space="preserve">the </w:t>
      </w:r>
      <w:r w:rsidR="00F20357" w:rsidRPr="00C601A2">
        <w:t>Flow</w:t>
      </w:r>
      <w:r w:rsidR="00CB18C8" w:rsidRPr="00C601A2">
        <w:t>-</w:t>
      </w:r>
      <w:r w:rsidR="00F20357" w:rsidRPr="00C601A2">
        <w:t xml:space="preserve">MER </w:t>
      </w:r>
      <w:r w:rsidR="000B59E1">
        <w:t xml:space="preserve">Basin-scale </w:t>
      </w:r>
      <w:r w:rsidR="00684D2A" w:rsidRPr="00C601A2">
        <w:t>F</w:t>
      </w:r>
      <w:r w:rsidR="00CB18C8" w:rsidRPr="00C601A2">
        <w:t xml:space="preserve">ood </w:t>
      </w:r>
      <w:r w:rsidR="00684D2A" w:rsidRPr="00C601A2">
        <w:t>W</w:t>
      </w:r>
      <w:r w:rsidR="00CB18C8" w:rsidRPr="00C601A2">
        <w:t>eb</w:t>
      </w:r>
      <w:r w:rsidR="00D3141E" w:rsidRPr="00C601A2">
        <w:t>s</w:t>
      </w:r>
      <w:r w:rsidR="00CB18C8" w:rsidRPr="00C601A2">
        <w:t xml:space="preserve"> and </w:t>
      </w:r>
      <w:r w:rsidR="00F20357" w:rsidRPr="00C601A2">
        <w:t xml:space="preserve">Water Quality </w:t>
      </w:r>
      <w:r w:rsidR="00684D2A" w:rsidRPr="00C601A2">
        <w:t>T</w:t>
      </w:r>
      <w:r w:rsidR="00F20357" w:rsidRPr="00C601A2">
        <w:t xml:space="preserve">heme </w:t>
      </w:r>
      <w:r w:rsidR="00AB6DFA" w:rsidRPr="00C601A2">
        <w:t xml:space="preserve">evaluation </w:t>
      </w:r>
      <w:r w:rsidR="00F20357" w:rsidRPr="00C601A2">
        <w:t xml:space="preserve">to measuring metabolic responses to Commonwealth </w:t>
      </w:r>
      <w:r w:rsidR="00CB18C8" w:rsidRPr="00C601A2">
        <w:t>e</w:t>
      </w:r>
      <w:r w:rsidR="00F20357" w:rsidRPr="00C601A2">
        <w:t xml:space="preserve">nvironmental </w:t>
      </w:r>
      <w:r w:rsidR="00CB18C8" w:rsidRPr="00C601A2">
        <w:t>w</w:t>
      </w:r>
      <w:r w:rsidR="00F20357" w:rsidRPr="00C601A2">
        <w:t>ater</w:t>
      </w:r>
      <w:bookmarkEnd w:id="94"/>
      <w:bookmarkEnd w:id="95"/>
      <w:bookmarkEnd w:id="96"/>
    </w:p>
    <w:p w14:paraId="36AC60A1" w14:textId="3846AAEE" w:rsidR="006505CF" w:rsidRPr="00C601A2" w:rsidRDefault="00F20357" w:rsidP="007E149F">
      <w:pPr>
        <w:pStyle w:val="CaptionNote"/>
      </w:pPr>
      <w:r w:rsidRPr="00C601A2">
        <w:t>We use a metabolic fingerprinting approach</w:t>
      </w:r>
      <w:r w:rsidR="002E4119" w:rsidRPr="00C601A2">
        <w:t xml:space="preserve"> </w:t>
      </w:r>
      <w:r w:rsidR="00EC6DE3" w:rsidRPr="00C601A2">
        <w:rPr>
          <w:noProof/>
        </w:rPr>
        <w:t>(Bernhardt et al. 2018)</w:t>
      </w:r>
      <w:r w:rsidRPr="00C601A2">
        <w:t xml:space="preserve">, an emerging tool for visualising and diagnosing change in </w:t>
      </w:r>
      <w:r w:rsidR="005157A0" w:rsidRPr="00C601A2">
        <w:t>stream metabolism</w:t>
      </w:r>
      <w:r w:rsidRPr="00C601A2">
        <w:t xml:space="preserve"> across time or space and in response to hypothesised drivers. The method enables us </w:t>
      </w:r>
      <w:r w:rsidR="00502E5E" w:rsidRPr="00C601A2">
        <w:t xml:space="preserve">to </w:t>
      </w:r>
      <w:r w:rsidRPr="00C601A2">
        <w:t xml:space="preserve">identify whether metabolic responses to a flow condition are within the typical metabolic regime of a site or represent atypical conditions at that site. Atypical metabolic conditions may indicate a desirable state (e.g. high </w:t>
      </w:r>
      <w:r w:rsidR="00CB18C8" w:rsidRPr="00C601A2">
        <w:t>gross primary producti</w:t>
      </w:r>
      <w:r w:rsidR="00C81F52" w:rsidRPr="00C601A2">
        <w:t>on</w:t>
      </w:r>
      <w:r w:rsidR="00CB18C8" w:rsidRPr="00C601A2">
        <w:t xml:space="preserve"> </w:t>
      </w:r>
      <w:r w:rsidR="00010A86">
        <w:t>[</w:t>
      </w:r>
      <w:r w:rsidRPr="00C601A2">
        <w:t>GPP</w:t>
      </w:r>
      <w:r w:rsidR="00010A86">
        <w:t>]</w:t>
      </w:r>
      <w:r w:rsidRPr="00C601A2">
        <w:t xml:space="preserve"> and </w:t>
      </w:r>
      <w:r w:rsidR="00CB18C8" w:rsidRPr="00C601A2">
        <w:t xml:space="preserve">ecosystem respiration </w:t>
      </w:r>
      <w:r w:rsidR="00010A86">
        <w:t>[</w:t>
      </w:r>
      <w:r w:rsidRPr="00C601A2">
        <w:t>ER</w:t>
      </w:r>
      <w:r w:rsidR="00010A86">
        <w:t>]</w:t>
      </w:r>
      <w:r w:rsidR="007323E0">
        <w:t>,</w:t>
      </w:r>
      <w:r w:rsidRPr="00C601A2">
        <w:t xml:space="preserve"> high system throughput) or an undesirable state (e.g. algal blooms, </w:t>
      </w:r>
      <w:r w:rsidR="00126820">
        <w:t xml:space="preserve">hypoxic </w:t>
      </w:r>
      <w:r w:rsidRPr="00C601A2">
        <w:t xml:space="preserve">blackwater), providing an indication of how different flow types can provide carbon and nutrients for food webs. The approach can be scaled spatially (e.g. valley responses, northern </w:t>
      </w:r>
      <w:r w:rsidR="00F5270D" w:rsidRPr="00C601A2">
        <w:t>or</w:t>
      </w:r>
      <w:r w:rsidRPr="00C601A2">
        <w:t xml:space="preserve"> southern </w:t>
      </w:r>
      <w:r w:rsidR="008A434A" w:rsidRPr="00C601A2">
        <w:t>Basin</w:t>
      </w:r>
      <w:r w:rsidRPr="00C601A2">
        <w:t xml:space="preserve">) and temporally (e.g. fingerprints overlaid through time with multiple flows) to improve our understanding of </w:t>
      </w:r>
      <w:r w:rsidR="007323E0">
        <w:t xml:space="preserve">the relationships between </w:t>
      </w:r>
      <w:r w:rsidRPr="00C601A2">
        <w:t>environmental water</w:t>
      </w:r>
      <w:r w:rsidR="0094742D">
        <w:t> </w:t>
      </w:r>
      <w:r w:rsidR="007323E0">
        <w:t>and</w:t>
      </w:r>
      <w:r w:rsidR="00F5270D" w:rsidRPr="00C601A2">
        <w:t xml:space="preserve"> </w:t>
      </w:r>
      <w:r w:rsidRPr="00C601A2">
        <w:t>productivity</w:t>
      </w:r>
      <w:r w:rsidR="008F7C0C" w:rsidRPr="00C601A2">
        <w:t>.</w:t>
      </w:r>
      <w:r w:rsidR="00C0403E">
        <w:t xml:space="preserve"> </w:t>
      </w:r>
      <w:r w:rsidR="00484161" w:rsidRPr="00C601A2">
        <w:t>OM = organic matter</w:t>
      </w:r>
      <w:r w:rsidR="00C0403E">
        <w:t>.</w:t>
      </w:r>
    </w:p>
    <w:p w14:paraId="4689A478" w14:textId="77777777" w:rsidR="00812F66" w:rsidRPr="00C601A2" w:rsidRDefault="00812F66" w:rsidP="00812F66">
      <w:pPr>
        <w:pStyle w:val="Figure"/>
        <w:rPr>
          <w:sz w:val="18"/>
        </w:rPr>
      </w:pPr>
      <w:r w:rsidRPr="00C601A2">
        <w:rPr>
          <w:noProof/>
          <w:color w:val="2B579A"/>
          <w:sz w:val="18"/>
          <w:shd w:val="clear" w:color="auto" w:fill="E6E6E6"/>
        </w:rPr>
        <w:drawing>
          <wp:inline distT="0" distB="0" distL="0" distR="0" wp14:anchorId="4EF04533" wp14:editId="3091D562">
            <wp:extent cx="9802800" cy="4989600"/>
            <wp:effectExtent l="0" t="0" r="8255" b="1905"/>
            <wp:docPr id="1047164208" name="Picture 1047164208" descr="A complex visualisation of riverine productivity. For a detailed description, contact the auth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complex visualisation of riverine productivity. For a detailed description, contact the authors"/>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9802800" cy="4989600"/>
                    </a:xfrm>
                    <a:prstGeom prst="rect">
                      <a:avLst/>
                    </a:prstGeom>
                    <a:ln>
                      <a:noFill/>
                    </a:ln>
                    <a:extLst>
                      <a:ext uri="{53640926-AAD7-44D8-BBD7-CCE9431645EC}">
                        <a14:shadowObscured xmlns:a14="http://schemas.microsoft.com/office/drawing/2010/main"/>
                      </a:ext>
                    </a:extLst>
                  </pic:spPr>
                </pic:pic>
              </a:graphicData>
            </a:graphic>
          </wp:inline>
        </w:drawing>
      </w:r>
    </w:p>
    <w:p w14:paraId="0E03D8D5" w14:textId="77777777" w:rsidR="006505CF" w:rsidRPr="00C601A2" w:rsidRDefault="006505CF" w:rsidP="007E149F">
      <w:pPr>
        <w:pStyle w:val="CaptionNote"/>
        <w:sectPr w:rsidR="006505CF" w:rsidRPr="00C601A2" w:rsidSect="0083564C">
          <w:pgSz w:w="16838" w:h="11906" w:orient="landscape" w:code="9"/>
          <w:pgMar w:top="720" w:right="720" w:bottom="720" w:left="720" w:header="510" w:footer="510" w:gutter="0"/>
          <w:cols w:space="284"/>
          <w:docGrid w:linePitch="360"/>
        </w:sectPr>
      </w:pPr>
    </w:p>
    <w:p w14:paraId="1C48C2C3" w14:textId="020254F0" w:rsidR="001172BE" w:rsidRPr="00C601A2" w:rsidRDefault="00DC2C13" w:rsidP="001172BE">
      <w:pPr>
        <w:pStyle w:val="Heading1"/>
      </w:pPr>
      <w:bookmarkStart w:id="97" w:name="_Toc71298441"/>
      <w:bookmarkStart w:id="98" w:name="_Ref139004805"/>
      <w:bookmarkStart w:id="99" w:name="_Toc169543866"/>
      <w:bookmarkStart w:id="100" w:name="_Toc202187847"/>
      <w:r>
        <w:lastRenderedPageBreak/>
        <w:t xml:space="preserve">Basin-scale evaluation </w:t>
      </w:r>
      <w:bookmarkEnd w:id="97"/>
      <w:r w:rsidR="00682D38">
        <w:t>202</w:t>
      </w:r>
      <w:r w:rsidR="00623EFB">
        <w:t>3</w:t>
      </w:r>
      <w:r w:rsidR="00682D38">
        <w:t>–2</w:t>
      </w:r>
      <w:r w:rsidR="00623EFB">
        <w:t>4</w:t>
      </w:r>
      <w:bookmarkEnd w:id="98"/>
      <w:bookmarkEnd w:id="99"/>
      <w:bookmarkEnd w:id="100"/>
    </w:p>
    <w:p w14:paraId="60139F2F" w14:textId="77777777" w:rsidR="00501A65" w:rsidRPr="00D41D08" w:rsidRDefault="007E296C" w:rsidP="002E768A">
      <w:pPr>
        <w:pStyle w:val="BodyText"/>
        <w:rPr>
          <w:rStyle w:val="Italics"/>
        </w:rPr>
      </w:pPr>
      <w:r w:rsidRPr="00D41D08">
        <w:rPr>
          <w:rStyle w:val="Italics"/>
        </w:rPr>
        <w:t xml:space="preserve">This chapter describes </w:t>
      </w:r>
      <w:r w:rsidR="00262AA2" w:rsidRPr="00D41D08">
        <w:rPr>
          <w:rStyle w:val="Italics"/>
        </w:rPr>
        <w:t xml:space="preserve">water quality and metabolic parameters </w:t>
      </w:r>
      <w:r w:rsidRPr="00D41D08">
        <w:rPr>
          <w:rStyle w:val="Italics"/>
        </w:rPr>
        <w:t xml:space="preserve">recorded across all monitoring locations </w:t>
      </w:r>
      <w:r w:rsidR="00A0276E" w:rsidRPr="00D41D08">
        <w:rPr>
          <w:rStyle w:val="Italics"/>
        </w:rPr>
        <w:t>in</w:t>
      </w:r>
      <w:r w:rsidRPr="00D41D08">
        <w:rPr>
          <w:rStyle w:val="Italics"/>
        </w:rPr>
        <w:t xml:space="preserve"> </w:t>
      </w:r>
      <w:r w:rsidR="00DC2C13" w:rsidRPr="00D41D08">
        <w:rPr>
          <w:rStyle w:val="Italics"/>
        </w:rPr>
        <w:t xml:space="preserve">water year </w:t>
      </w:r>
      <w:r w:rsidR="00682D38" w:rsidRPr="00D41D08">
        <w:rPr>
          <w:rStyle w:val="Italics"/>
        </w:rPr>
        <w:t>202</w:t>
      </w:r>
      <w:r w:rsidR="002D3A33" w:rsidRPr="00D41D08">
        <w:rPr>
          <w:rStyle w:val="Italics"/>
        </w:rPr>
        <w:t>3</w:t>
      </w:r>
      <w:r w:rsidR="00682D38" w:rsidRPr="00D41D08">
        <w:rPr>
          <w:rStyle w:val="Italics"/>
        </w:rPr>
        <w:t>–2</w:t>
      </w:r>
      <w:r w:rsidR="002D3A33" w:rsidRPr="00D41D08">
        <w:rPr>
          <w:rStyle w:val="Italics"/>
        </w:rPr>
        <w:t>4</w:t>
      </w:r>
      <w:r w:rsidR="00436810" w:rsidRPr="00D41D08">
        <w:rPr>
          <w:rStyle w:val="Italics"/>
        </w:rPr>
        <w:t>, analyses metabolic responses to flow</w:t>
      </w:r>
      <w:r w:rsidR="005B5FF0" w:rsidRPr="00D41D08">
        <w:rPr>
          <w:rStyle w:val="Italics"/>
        </w:rPr>
        <w:t>,</w:t>
      </w:r>
      <w:r w:rsidR="00436810" w:rsidRPr="00D41D08">
        <w:rPr>
          <w:rStyle w:val="Italics"/>
        </w:rPr>
        <w:t xml:space="preserve"> and relates outcomes to </w:t>
      </w:r>
      <w:r w:rsidR="00422FA0" w:rsidRPr="00D41D08">
        <w:rPr>
          <w:rStyle w:val="Italics"/>
        </w:rPr>
        <w:t xml:space="preserve">the </w:t>
      </w:r>
      <w:r w:rsidR="00436810" w:rsidRPr="00D41D08">
        <w:rPr>
          <w:rStyle w:val="Italics"/>
        </w:rPr>
        <w:t>Basin-scale evaluation questio</w:t>
      </w:r>
      <w:r w:rsidR="00422FA0" w:rsidRPr="00D41D08">
        <w:rPr>
          <w:rStyle w:val="Italics"/>
        </w:rPr>
        <w:t>ns</w:t>
      </w:r>
      <w:r w:rsidR="00262AA2" w:rsidRPr="00D41D08">
        <w:rPr>
          <w:rStyle w:val="Italics"/>
        </w:rPr>
        <w:t>.</w:t>
      </w:r>
      <w:r w:rsidR="00EB7F8E" w:rsidRPr="00D41D08">
        <w:rPr>
          <w:rStyle w:val="Italics"/>
        </w:rPr>
        <w:t xml:space="preserve"> </w:t>
      </w:r>
    </w:p>
    <w:p w14:paraId="02D7F523" w14:textId="404988D8" w:rsidR="007E296C" w:rsidRPr="004A4DBC" w:rsidRDefault="00EB7F8E" w:rsidP="002E768A">
      <w:pPr>
        <w:pStyle w:val="BodyText"/>
      </w:pPr>
      <w:r w:rsidRPr="004A4DBC">
        <w:rPr>
          <w:rStyle w:val="Italics"/>
          <w:i w:val="0"/>
        </w:rPr>
        <w:t xml:space="preserve">Due to the relatively small contribution of </w:t>
      </w:r>
      <w:r w:rsidR="005B5FF0">
        <w:rPr>
          <w:rStyle w:val="Italics"/>
          <w:i w:val="0"/>
        </w:rPr>
        <w:t xml:space="preserve">CEW </w:t>
      </w:r>
      <w:r w:rsidRPr="004A4DBC">
        <w:rPr>
          <w:rStyle w:val="Italics"/>
          <w:i w:val="0"/>
        </w:rPr>
        <w:t xml:space="preserve">to total flow volumes, </w:t>
      </w:r>
      <w:r w:rsidR="000E36B7" w:rsidRPr="004A4DBC">
        <w:rPr>
          <w:rStyle w:val="Italics"/>
          <w:i w:val="0"/>
        </w:rPr>
        <w:t xml:space="preserve">outcomes are reported </w:t>
      </w:r>
      <w:r w:rsidR="00EB54F3" w:rsidRPr="004A4DBC">
        <w:rPr>
          <w:rStyle w:val="Italics"/>
          <w:i w:val="0"/>
        </w:rPr>
        <w:t xml:space="preserve">for the </w:t>
      </w:r>
      <w:r w:rsidR="00555201" w:rsidRPr="004A4DBC">
        <w:rPr>
          <w:rStyle w:val="Italics"/>
          <w:i w:val="0"/>
        </w:rPr>
        <w:t xml:space="preserve">full </w:t>
      </w:r>
      <w:r w:rsidR="00EB54F3" w:rsidRPr="004A4DBC">
        <w:rPr>
          <w:rStyle w:val="Italics"/>
          <w:i w:val="0"/>
        </w:rPr>
        <w:t>202</w:t>
      </w:r>
      <w:r w:rsidR="002D3A33" w:rsidRPr="004A4DBC">
        <w:rPr>
          <w:rStyle w:val="Italics"/>
          <w:i w:val="0"/>
        </w:rPr>
        <w:t>3</w:t>
      </w:r>
      <w:r w:rsidRPr="004A4DBC">
        <w:rPr>
          <w:rStyle w:val="Italics"/>
          <w:i w:val="0"/>
        </w:rPr>
        <w:t>–2</w:t>
      </w:r>
      <w:r w:rsidR="002D3A33" w:rsidRPr="004A4DBC">
        <w:rPr>
          <w:rStyle w:val="Italics"/>
          <w:i w:val="0"/>
        </w:rPr>
        <w:t>4</w:t>
      </w:r>
      <w:r w:rsidRPr="004A4DBC">
        <w:rPr>
          <w:rStyle w:val="Italics"/>
          <w:i w:val="0"/>
        </w:rPr>
        <w:t xml:space="preserve"> hydrological dataset</w:t>
      </w:r>
      <w:r w:rsidR="00EB54F3" w:rsidRPr="004A4DBC">
        <w:rPr>
          <w:rStyle w:val="Italics"/>
          <w:i w:val="0"/>
        </w:rPr>
        <w:t xml:space="preserve">, </w:t>
      </w:r>
      <w:r w:rsidR="008E2FC7" w:rsidRPr="004A4DBC">
        <w:rPr>
          <w:rStyle w:val="Italics"/>
          <w:i w:val="0"/>
        </w:rPr>
        <w:t xml:space="preserve">i.e. </w:t>
      </w:r>
      <w:r w:rsidR="00EB54F3" w:rsidRPr="004A4DBC">
        <w:rPr>
          <w:rStyle w:val="Italics"/>
          <w:i w:val="0"/>
        </w:rPr>
        <w:t xml:space="preserve">not </w:t>
      </w:r>
      <w:r w:rsidR="004F42CF" w:rsidRPr="004A4DBC">
        <w:rPr>
          <w:rStyle w:val="Italics"/>
          <w:i w:val="0"/>
        </w:rPr>
        <w:t>specific</w:t>
      </w:r>
      <w:r w:rsidR="00C65354" w:rsidRPr="004A4DBC">
        <w:rPr>
          <w:rStyle w:val="Italics"/>
          <w:i w:val="0"/>
        </w:rPr>
        <w:t xml:space="preserve"> </w:t>
      </w:r>
      <w:r w:rsidR="008E2FC7" w:rsidRPr="004A4DBC">
        <w:rPr>
          <w:rStyle w:val="Italics"/>
          <w:i w:val="0"/>
        </w:rPr>
        <w:t xml:space="preserve">to </w:t>
      </w:r>
      <w:r w:rsidR="00301CFC" w:rsidRPr="004A4DBC">
        <w:rPr>
          <w:rStyle w:val="Italics"/>
          <w:i w:val="0"/>
        </w:rPr>
        <w:t>Commonwealth environmental watering actions.</w:t>
      </w:r>
    </w:p>
    <w:p w14:paraId="4125F467" w14:textId="57FD261E" w:rsidR="003101B5" w:rsidRPr="00C601A2" w:rsidRDefault="00562FA6" w:rsidP="003101B5">
      <w:pPr>
        <w:pStyle w:val="Heading2"/>
      </w:pPr>
      <w:bookmarkStart w:id="101" w:name="_Ref142290162"/>
      <w:bookmarkStart w:id="102" w:name="_Toc169543867"/>
      <w:bookmarkStart w:id="103" w:name="_Toc202187848"/>
      <w:r w:rsidRPr="00C601A2">
        <w:t>Key findings</w:t>
      </w:r>
      <w:bookmarkEnd w:id="101"/>
      <w:bookmarkEnd w:id="102"/>
      <w:bookmarkEnd w:id="103"/>
    </w:p>
    <w:p w14:paraId="181968A5" w14:textId="184E98A8" w:rsidR="00415514" w:rsidRPr="00D41D08" w:rsidRDefault="00B46BB8" w:rsidP="004E16A4">
      <w:pPr>
        <w:pStyle w:val="Boxedlistbulletgreen"/>
      </w:pPr>
      <w:r w:rsidRPr="00D41D08">
        <w:t xml:space="preserve">In </w:t>
      </w:r>
      <w:r w:rsidR="00682D38" w:rsidRPr="00D41D08">
        <w:t>202</w:t>
      </w:r>
      <w:r w:rsidR="0002495C" w:rsidRPr="00D41D08">
        <w:t>3</w:t>
      </w:r>
      <w:r w:rsidR="00682D38" w:rsidRPr="00D41D08">
        <w:t>–2</w:t>
      </w:r>
      <w:r w:rsidR="0002495C" w:rsidRPr="00D41D08">
        <w:t>4</w:t>
      </w:r>
      <w:r w:rsidR="009802A5" w:rsidRPr="00D41D08">
        <w:t>,</w:t>
      </w:r>
      <w:r w:rsidRPr="00D41D08">
        <w:t xml:space="preserve"> </w:t>
      </w:r>
      <w:r w:rsidR="0002495C" w:rsidRPr="00D41D08">
        <w:t>6 of the</w:t>
      </w:r>
      <w:r w:rsidRPr="00D41D08">
        <w:t xml:space="preserve"> </w:t>
      </w:r>
      <w:r w:rsidR="00FC3494" w:rsidRPr="00D41D08">
        <w:t>7</w:t>
      </w:r>
      <w:r w:rsidR="008C23D7" w:rsidRPr="00D41D08">
        <w:t xml:space="preserve"> monitored </w:t>
      </w:r>
      <w:r w:rsidRPr="00D41D08">
        <w:t>Selected Areas were net heterotrophic</w:t>
      </w:r>
      <w:r w:rsidR="00437C0F" w:rsidRPr="00D41D08">
        <w:t xml:space="preserve"> (ecosys</w:t>
      </w:r>
      <w:r w:rsidR="000C40D1" w:rsidRPr="00D41D08">
        <w:t xml:space="preserve">tems were </w:t>
      </w:r>
      <w:r w:rsidR="00793799" w:rsidRPr="00D41D08">
        <w:t>respiring</w:t>
      </w:r>
      <w:r w:rsidR="00BE30E7" w:rsidRPr="00D41D08">
        <w:t xml:space="preserve"> more</w:t>
      </w:r>
      <w:r w:rsidR="000C40D1" w:rsidRPr="00D41D08">
        <w:t xml:space="preserve"> carbon</w:t>
      </w:r>
      <w:r w:rsidR="00BE30E7" w:rsidRPr="00D41D08">
        <w:t xml:space="preserve"> than they were fixing via GPP)</w:t>
      </w:r>
      <w:r w:rsidR="00150F27" w:rsidRPr="00D41D08">
        <w:t>.</w:t>
      </w:r>
    </w:p>
    <w:p w14:paraId="3498F809" w14:textId="448B68A1" w:rsidR="00F00C12" w:rsidRPr="00D41D08" w:rsidRDefault="00F00C12" w:rsidP="004E16A4">
      <w:pPr>
        <w:pStyle w:val="Boxedlistbulletgreen"/>
      </w:pPr>
      <w:r w:rsidRPr="00D41D08">
        <w:t xml:space="preserve">The results highlight the importance of terrestrial organic carbon from channel and floodplain connectivity as a major energy source in these </w:t>
      </w:r>
      <w:r w:rsidR="003C3E7D" w:rsidRPr="00D41D08">
        <w:t>eco</w:t>
      </w:r>
      <w:r w:rsidRPr="00D41D08">
        <w:t>systems</w:t>
      </w:r>
      <w:r w:rsidR="008C518E" w:rsidRPr="00D41D08">
        <w:t>.</w:t>
      </w:r>
    </w:p>
    <w:p w14:paraId="2D23F0BA" w14:textId="5945516F" w:rsidR="000B317C" w:rsidRPr="00D41D08" w:rsidRDefault="00036384" w:rsidP="004E16A4">
      <w:pPr>
        <w:pStyle w:val="Boxedlistbulletgreen"/>
      </w:pPr>
      <w:r w:rsidRPr="00D41D08">
        <w:t xml:space="preserve">In </w:t>
      </w:r>
      <w:r w:rsidR="000B317C" w:rsidRPr="00D41D08">
        <w:t>2023</w:t>
      </w:r>
      <w:r w:rsidR="00B57FE3" w:rsidRPr="00D41D08">
        <w:t>–</w:t>
      </w:r>
      <w:r w:rsidR="000B317C" w:rsidRPr="00D41D08">
        <w:t>24</w:t>
      </w:r>
      <w:r w:rsidR="00E329CF" w:rsidRPr="00D41D08">
        <w:t>,</w:t>
      </w:r>
      <w:r w:rsidR="000B317C" w:rsidRPr="00D41D08">
        <w:t xml:space="preserve"> </w:t>
      </w:r>
      <w:r w:rsidRPr="00D41D08">
        <w:t>the Lower Murray River was strongly autotrophic</w:t>
      </w:r>
      <w:r w:rsidR="000B317C" w:rsidRPr="00D41D08">
        <w:t>, reflecting a shift to more le</w:t>
      </w:r>
      <w:r w:rsidR="00B244DA" w:rsidRPr="00D41D08">
        <w:t>ntic conditions at these sites</w:t>
      </w:r>
      <w:r w:rsidRPr="00D41D08">
        <w:t xml:space="preserve"> </w:t>
      </w:r>
      <w:r w:rsidR="00B244DA" w:rsidRPr="00D41D08">
        <w:t>than the lotic conditions</w:t>
      </w:r>
      <w:r w:rsidR="00A06CE1" w:rsidRPr="00D41D08">
        <w:t xml:space="preserve"> seen</w:t>
      </w:r>
      <w:r w:rsidR="00B244DA" w:rsidRPr="00D41D08">
        <w:t xml:space="preserve"> in 20</w:t>
      </w:r>
      <w:r w:rsidR="008C518E" w:rsidRPr="00D41D08">
        <w:t>22</w:t>
      </w:r>
      <w:r w:rsidR="00B57FE3" w:rsidRPr="00D41D08">
        <w:t>–</w:t>
      </w:r>
      <w:r w:rsidR="008C518E" w:rsidRPr="00D41D08">
        <w:t>23.</w:t>
      </w:r>
    </w:p>
    <w:p w14:paraId="36B08464" w14:textId="6DCDCD05" w:rsidR="002F4D0B" w:rsidRPr="00D41D08" w:rsidRDefault="002F4D0B" w:rsidP="004E16A4">
      <w:pPr>
        <w:pStyle w:val="Boxedlistbulletgreen"/>
      </w:pPr>
      <w:r w:rsidRPr="00D41D08">
        <w:t xml:space="preserve">The </w:t>
      </w:r>
      <w:r w:rsidR="009F18FA" w:rsidRPr="00D41D08">
        <w:t>Murrumbidgee River</w:t>
      </w:r>
      <w:r w:rsidRPr="00D41D08">
        <w:t xml:space="preserve"> </w:t>
      </w:r>
      <w:r w:rsidR="003301FB" w:rsidRPr="00D41D08">
        <w:t xml:space="preserve">System </w:t>
      </w:r>
      <w:r w:rsidR="006076D5" w:rsidRPr="00D41D08">
        <w:t xml:space="preserve">had </w:t>
      </w:r>
      <w:r w:rsidR="009053C1" w:rsidRPr="00D41D08">
        <w:t xml:space="preserve">a </w:t>
      </w:r>
      <w:r w:rsidR="0005765B" w:rsidRPr="00D41D08">
        <w:t xml:space="preserve">comparatively smaller </w:t>
      </w:r>
      <w:r w:rsidR="009053C1" w:rsidRPr="00D41D08">
        <w:t>range of</w:t>
      </w:r>
      <w:r w:rsidRPr="00D41D08">
        <w:t xml:space="preserve"> metabolic throughput</w:t>
      </w:r>
      <w:r w:rsidR="0005765B" w:rsidRPr="00D41D08">
        <w:t xml:space="preserve"> t</w:t>
      </w:r>
      <w:r w:rsidR="003301FB" w:rsidRPr="00D41D08">
        <w:t>han</w:t>
      </w:r>
      <w:r w:rsidR="0005765B" w:rsidRPr="00D41D08">
        <w:t xml:space="preserve"> all other Selected Areas</w:t>
      </w:r>
      <w:r w:rsidR="00426C81" w:rsidRPr="00D41D08">
        <w:t>,</w:t>
      </w:r>
      <w:r w:rsidR="009053C1" w:rsidRPr="00D41D08">
        <w:t xml:space="preserve"> signifying</w:t>
      </w:r>
      <w:r w:rsidRPr="00D41D08">
        <w:t xml:space="preserve"> </w:t>
      </w:r>
      <w:r w:rsidR="00914722" w:rsidRPr="00D41D08">
        <w:t xml:space="preserve">low and </w:t>
      </w:r>
      <w:r w:rsidR="0005765B" w:rsidRPr="00D41D08">
        <w:t>uniform</w:t>
      </w:r>
      <w:r w:rsidRPr="00D41D08">
        <w:t xml:space="preserve"> rates of both ER and GPP.</w:t>
      </w:r>
    </w:p>
    <w:p w14:paraId="46E908D5" w14:textId="171C567D" w:rsidR="00BA0E57" w:rsidRPr="00D41D08" w:rsidRDefault="007C5B4C" w:rsidP="004E16A4">
      <w:pPr>
        <w:pStyle w:val="Boxedlistbulletgreen"/>
      </w:pPr>
      <w:r w:rsidRPr="00D41D08">
        <w:t xml:space="preserve">Commonwealth environmental water </w:t>
      </w:r>
      <w:r w:rsidR="00A116CD" w:rsidRPr="00D41D08">
        <w:t xml:space="preserve">contributed to </w:t>
      </w:r>
      <w:r w:rsidRPr="00D41D08">
        <w:t xml:space="preserve">the export of </w:t>
      </w:r>
      <w:r w:rsidR="00B77A43" w:rsidRPr="00D41D08">
        <w:t>221,272</w:t>
      </w:r>
      <w:r w:rsidR="00ED4C8D">
        <w:t xml:space="preserve"> </w:t>
      </w:r>
      <w:r w:rsidRPr="00D41D08">
        <w:t>tonnes of salt (</w:t>
      </w:r>
      <w:r w:rsidR="00B77A43" w:rsidRPr="00D41D08">
        <w:t>17.8</w:t>
      </w:r>
      <w:r w:rsidRPr="00D41D08">
        <w:t>% of total salt exported) through the barrage</w:t>
      </w:r>
      <w:r w:rsidR="000E37BB" w:rsidRPr="00D41D08">
        <w:t xml:space="preserve">s, and </w:t>
      </w:r>
      <w:r w:rsidRPr="00D41D08">
        <w:t xml:space="preserve">decreased salt import at the Murray Mouth by approximately </w:t>
      </w:r>
      <w:r w:rsidR="00B77A43" w:rsidRPr="00D41D08">
        <w:rPr>
          <w:rStyle w:val="Bold"/>
          <w:b w:val="0"/>
        </w:rPr>
        <w:t>2,854,965</w:t>
      </w:r>
      <w:r w:rsidR="00ED4C8D">
        <w:rPr>
          <w:rStyle w:val="Bold"/>
          <w:b w:val="0"/>
        </w:rPr>
        <w:t xml:space="preserve"> </w:t>
      </w:r>
      <w:r w:rsidRPr="00D41D08">
        <w:t>tonnes</w:t>
      </w:r>
      <w:r w:rsidR="000E37BB" w:rsidRPr="00D41D08">
        <w:t>.</w:t>
      </w:r>
    </w:p>
    <w:p w14:paraId="2FE3BE41" w14:textId="12BE7CCA" w:rsidR="00542D9E" w:rsidRDefault="00542D9E" w:rsidP="00781DD8">
      <w:pPr>
        <w:pStyle w:val="Heading2"/>
      </w:pPr>
      <w:bookmarkStart w:id="104" w:name="_Toc169543868"/>
      <w:bookmarkStart w:id="105" w:name="_Toc202187849"/>
      <w:r>
        <w:t>Rainfall</w:t>
      </w:r>
      <w:bookmarkEnd w:id="104"/>
      <w:bookmarkEnd w:id="105"/>
    </w:p>
    <w:p w14:paraId="501A6A4D" w14:textId="1D8B96AC" w:rsidR="006B3049" w:rsidRDefault="00D86D19" w:rsidP="00C67671">
      <w:pPr>
        <w:pStyle w:val="BodyText"/>
      </w:pPr>
      <w:r w:rsidRPr="004D5EE5">
        <w:t>Wet conditi</w:t>
      </w:r>
      <w:bookmarkStart w:id="106" w:name="_Toc196307483"/>
      <w:bookmarkStart w:id="107" w:name="_Toc196387580"/>
      <w:bookmarkEnd w:id="106"/>
      <w:bookmarkEnd w:id="107"/>
      <w:r w:rsidRPr="004D5EE5">
        <w:t>ons contracted to the central areas of the Basin in 2023</w:t>
      </w:r>
      <w:r w:rsidRPr="004D5EE5">
        <w:rPr>
          <w:rFonts w:cs="Calibri"/>
        </w:rPr>
        <w:t>–</w:t>
      </w:r>
      <w:r w:rsidRPr="004D5EE5">
        <w:t>24. Parts of the southern Basin became increasingly dry, including both the headwaters and the South Australian sections of the River Murray</w:t>
      </w:r>
      <w:r>
        <w:t xml:space="preserve"> changing</w:t>
      </w:r>
      <w:r w:rsidRPr="004D5EE5">
        <w:t xml:space="preserve"> from conditions that were very much above average rainfall in 2022</w:t>
      </w:r>
      <w:r w:rsidRPr="004D5EE5">
        <w:rPr>
          <w:rFonts w:cs="Calibri"/>
        </w:rPr>
        <w:t>–</w:t>
      </w:r>
      <w:r w:rsidRPr="004D5EE5">
        <w:t>23 to very much below average rainfall in 2023</w:t>
      </w:r>
      <w:r w:rsidRPr="004D5EE5">
        <w:rPr>
          <w:rFonts w:cs="Calibri"/>
        </w:rPr>
        <w:t>–</w:t>
      </w:r>
      <w:r w:rsidRPr="004D5EE5">
        <w:t>24.</w:t>
      </w:r>
      <w:r w:rsidR="00011022">
        <w:t xml:space="preserve"> </w:t>
      </w:r>
      <w:r w:rsidR="00090685">
        <w:t xml:space="preserve">Conditions across the </w:t>
      </w:r>
      <w:r w:rsidR="00BB1613">
        <w:t>Basin vall</w:t>
      </w:r>
      <w:r w:rsidR="00090685">
        <w:t xml:space="preserve">eys </w:t>
      </w:r>
      <w:r w:rsidR="00BB1613">
        <w:t>are</w:t>
      </w:r>
      <w:r w:rsidR="00090685">
        <w:t xml:space="preserve"> listed in </w:t>
      </w:r>
      <w:r w:rsidR="00090685">
        <w:fldChar w:fldCharType="begin"/>
      </w:r>
      <w:r w:rsidR="00090685">
        <w:instrText xml:space="preserve"> REF _Ref168426353 \h </w:instrText>
      </w:r>
      <w:r w:rsidR="00090685">
        <w:fldChar w:fldCharType="separate"/>
      </w:r>
      <w:r w:rsidR="00492712">
        <w:t>Table </w:t>
      </w:r>
      <w:r w:rsidR="00835C8B">
        <w:rPr>
          <w:noProof/>
        </w:rPr>
        <w:t>3</w:t>
      </w:r>
      <w:r w:rsidR="00492712">
        <w:t>.</w:t>
      </w:r>
      <w:r w:rsidR="00492712">
        <w:rPr>
          <w:noProof/>
        </w:rPr>
        <w:t>1</w:t>
      </w:r>
      <w:r w:rsidR="00090685">
        <w:fldChar w:fldCharType="end"/>
      </w:r>
      <w:r w:rsidR="00090685">
        <w:t xml:space="preserve"> a</w:t>
      </w:r>
      <w:r w:rsidR="00BB1613">
        <w:t xml:space="preserve">nd visualised in </w:t>
      </w:r>
      <w:r w:rsidR="00E54541">
        <w:fldChar w:fldCharType="begin"/>
      </w:r>
      <w:r w:rsidR="00E54541">
        <w:instrText xml:space="preserve"> REF _Ref158125401 \h </w:instrText>
      </w:r>
      <w:r w:rsidR="00E54541">
        <w:fldChar w:fldCharType="separate"/>
      </w:r>
      <w:r w:rsidR="00492712">
        <w:t>Figure </w:t>
      </w:r>
      <w:r w:rsidR="00835C8B">
        <w:rPr>
          <w:noProof/>
        </w:rPr>
        <w:t>4</w:t>
      </w:r>
      <w:r w:rsidR="00492712">
        <w:t>.</w:t>
      </w:r>
      <w:r w:rsidR="00492712">
        <w:rPr>
          <w:noProof/>
        </w:rPr>
        <w:t>1</w:t>
      </w:r>
      <w:r w:rsidR="00E54541">
        <w:fldChar w:fldCharType="end"/>
      </w:r>
      <w:r w:rsidR="00E54541">
        <w:t>.</w:t>
      </w:r>
    </w:p>
    <w:p w14:paraId="5B777D69" w14:textId="0C79F4E3" w:rsidR="00090685" w:rsidRDefault="00090685" w:rsidP="00090685">
      <w:pPr>
        <w:pStyle w:val="CaptionWithNote"/>
      </w:pPr>
      <w:bookmarkStart w:id="108" w:name="_Ref168426353"/>
      <w:bookmarkStart w:id="109" w:name="_Toc201748156"/>
      <w:bookmarkStart w:id="110" w:name="_Toc202187934"/>
      <w:r>
        <w:t>Table </w:t>
      </w:r>
      <w:fldSimple w:instr=" STYLEREF 1 \s ">
        <w:r w:rsidR="00835C8B">
          <w:rPr>
            <w:noProof/>
          </w:rPr>
          <w:t>3</w:t>
        </w:r>
      </w:fldSimple>
      <w:r>
        <w:t>.</w:t>
      </w:r>
      <w:fldSimple w:instr=" SEQ Table \* ARABIC \s 1 ">
        <w:r w:rsidR="00492712">
          <w:rPr>
            <w:noProof/>
          </w:rPr>
          <w:t>1</w:t>
        </w:r>
      </w:fldSimple>
      <w:bookmarkEnd w:id="108"/>
      <w:r>
        <w:t xml:space="preserve"> </w:t>
      </w:r>
      <w:r w:rsidRPr="00620651">
        <w:t xml:space="preserve">Annual rainfall conditions by valley, </w:t>
      </w:r>
      <w:r>
        <w:t>2023–24</w:t>
      </w:r>
      <w:bookmarkEnd w:id="109"/>
      <w:bookmarkEnd w:id="110"/>
    </w:p>
    <w:p w14:paraId="12131DB5" w14:textId="7EFB0FD3" w:rsidR="00090685" w:rsidRPr="00620651" w:rsidRDefault="00090685" w:rsidP="00090685">
      <w:pPr>
        <w:pStyle w:val="CaptionNote"/>
      </w:pPr>
      <w:r>
        <w:t xml:space="preserve">Includes the 19 valleys in scope for the Flow-MER evaluation. Condition extracted from </w:t>
      </w:r>
      <w:r w:rsidR="001F5E94">
        <w:fldChar w:fldCharType="begin"/>
      </w:r>
      <w:r w:rsidR="001F5E94">
        <w:instrText xml:space="preserve"> REF _Ref158125401 \h </w:instrText>
      </w:r>
      <w:r w:rsidR="001F5E94">
        <w:fldChar w:fldCharType="separate"/>
      </w:r>
      <w:r w:rsidR="00492712">
        <w:t>Figure </w:t>
      </w:r>
      <w:r w:rsidR="00835C8B">
        <w:rPr>
          <w:noProof/>
        </w:rPr>
        <w:t>4</w:t>
      </w:r>
      <w:r w:rsidR="00492712">
        <w:t>.</w:t>
      </w:r>
      <w:r w:rsidR="00492712">
        <w:rPr>
          <w:noProof/>
        </w:rPr>
        <w:t>1</w:t>
      </w:r>
      <w:r w:rsidR="001F5E94">
        <w:fldChar w:fldCharType="end"/>
      </w:r>
      <w:r w:rsidR="001F5E94">
        <w:t>.</w:t>
      </w:r>
    </w:p>
    <w:tbl>
      <w:tblPr>
        <w:tblStyle w:val="TableFlow-Mer0"/>
        <w:tblW w:w="9385" w:type="dxa"/>
        <w:tblLook w:val="0420" w:firstRow="1" w:lastRow="0" w:firstColumn="0" w:lastColumn="0" w:noHBand="0" w:noVBand="1"/>
      </w:tblPr>
      <w:tblGrid>
        <w:gridCol w:w="2014"/>
        <w:gridCol w:w="7371"/>
      </w:tblGrid>
      <w:tr w:rsidR="00090685" w:rsidRPr="00E5462C" w14:paraId="49AD89A9" w14:textId="77777777">
        <w:trPr>
          <w:cnfStyle w:val="100000000000" w:firstRow="1" w:lastRow="0" w:firstColumn="0" w:lastColumn="0" w:oddVBand="0" w:evenVBand="0" w:oddHBand="0" w:evenHBand="0" w:firstRowFirstColumn="0" w:firstRowLastColumn="0" w:lastRowFirstColumn="0" w:lastRowLastColumn="0"/>
          <w:trHeight w:val="285"/>
          <w:tblHeader/>
        </w:trPr>
        <w:tc>
          <w:tcPr>
            <w:tcW w:w="2014" w:type="dxa"/>
            <w:hideMark/>
          </w:tcPr>
          <w:p w14:paraId="02676633" w14:textId="77777777" w:rsidR="00090685" w:rsidRPr="00E5462C" w:rsidRDefault="00090685">
            <w:pPr>
              <w:pStyle w:val="ColumnHeading"/>
            </w:pPr>
            <w:r w:rsidRPr="00E5462C">
              <w:t>Valley</w:t>
            </w:r>
          </w:p>
        </w:tc>
        <w:tc>
          <w:tcPr>
            <w:tcW w:w="7371" w:type="dxa"/>
            <w:hideMark/>
          </w:tcPr>
          <w:p w14:paraId="53C863E7" w14:textId="77777777" w:rsidR="00090685" w:rsidRPr="00E5462C" w:rsidRDefault="00090685">
            <w:pPr>
              <w:pStyle w:val="ColumnHeading"/>
            </w:pPr>
            <w:r w:rsidRPr="00E5462C">
              <w:t>Rainfall condition</w:t>
            </w:r>
          </w:p>
        </w:tc>
      </w:tr>
      <w:tr w:rsidR="00090685" w:rsidRPr="008D1422" w14:paraId="05736A9F"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shd w:val="clear" w:color="auto" w:fill="D0EAFF" w:themeFill="accent2" w:themeFillTint="1A"/>
            <w:hideMark/>
          </w:tcPr>
          <w:p w14:paraId="2186E2BA" w14:textId="77777777" w:rsidR="00090685" w:rsidRPr="00CF4E1D" w:rsidRDefault="00090685">
            <w:pPr>
              <w:pStyle w:val="RowHeading"/>
            </w:pPr>
            <w:r w:rsidRPr="008D1422">
              <w:t>Northern Basin</w:t>
            </w:r>
          </w:p>
        </w:tc>
        <w:tc>
          <w:tcPr>
            <w:tcW w:w="7371" w:type="dxa"/>
            <w:shd w:val="clear" w:color="auto" w:fill="D0EAFF" w:themeFill="accent2" w:themeFillTint="1A"/>
            <w:hideMark/>
          </w:tcPr>
          <w:p w14:paraId="4EB4B43D" w14:textId="77777777" w:rsidR="00090685" w:rsidRPr="00CF4E1D" w:rsidRDefault="00090685">
            <w:pPr>
              <w:pStyle w:val="RowHeading"/>
            </w:pPr>
            <w:r w:rsidRPr="00CF4E1D">
              <w:t> </w:t>
            </w:r>
          </w:p>
        </w:tc>
      </w:tr>
      <w:tr w:rsidR="00090685" w:rsidRPr="00CF4E1D" w14:paraId="57462CEB" w14:textId="77777777">
        <w:trPr>
          <w:trHeight w:val="285"/>
        </w:trPr>
        <w:tc>
          <w:tcPr>
            <w:tcW w:w="2014" w:type="dxa"/>
            <w:hideMark/>
          </w:tcPr>
          <w:p w14:paraId="37CDFCCD" w14:textId="77777777" w:rsidR="00090685" w:rsidRPr="00CF4E1D" w:rsidRDefault="00090685">
            <w:pPr>
              <w:pStyle w:val="TableText"/>
            </w:pPr>
            <w:r w:rsidRPr="00CF4E1D">
              <w:t>Barwon Darling</w:t>
            </w:r>
          </w:p>
        </w:tc>
        <w:tc>
          <w:tcPr>
            <w:tcW w:w="7371" w:type="dxa"/>
            <w:hideMark/>
          </w:tcPr>
          <w:p w14:paraId="7468104C" w14:textId="77777777" w:rsidR="00090685" w:rsidRPr="00CF4E1D" w:rsidRDefault="00090685">
            <w:pPr>
              <w:pStyle w:val="TableText"/>
            </w:pPr>
            <w:r>
              <w:t>A</w:t>
            </w:r>
            <w:r w:rsidRPr="00CF4E1D">
              <w:t>verage to above average</w:t>
            </w:r>
          </w:p>
        </w:tc>
      </w:tr>
      <w:tr w:rsidR="00090685" w:rsidRPr="00CF4E1D" w14:paraId="165055E7"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3A361035" w14:textId="77777777" w:rsidR="00090685" w:rsidRPr="00CF4E1D" w:rsidRDefault="00090685">
            <w:pPr>
              <w:pStyle w:val="TableText"/>
            </w:pPr>
            <w:r w:rsidRPr="00CF4E1D">
              <w:t>Border Rivers</w:t>
            </w:r>
          </w:p>
        </w:tc>
        <w:tc>
          <w:tcPr>
            <w:tcW w:w="7371" w:type="dxa"/>
            <w:hideMark/>
          </w:tcPr>
          <w:p w14:paraId="47189D1E" w14:textId="77777777" w:rsidR="00090685" w:rsidRPr="00CF4E1D" w:rsidRDefault="00090685">
            <w:pPr>
              <w:pStyle w:val="TableText"/>
            </w:pPr>
            <w:r>
              <w:t>Mainly average with some areas below average and some above average</w:t>
            </w:r>
          </w:p>
        </w:tc>
      </w:tr>
      <w:tr w:rsidR="00090685" w:rsidRPr="00CF4E1D" w14:paraId="73C84C40" w14:textId="77777777">
        <w:trPr>
          <w:trHeight w:val="285"/>
        </w:trPr>
        <w:tc>
          <w:tcPr>
            <w:tcW w:w="2014" w:type="dxa"/>
            <w:hideMark/>
          </w:tcPr>
          <w:p w14:paraId="22FC35C5" w14:textId="77777777" w:rsidR="00090685" w:rsidRPr="00CF4E1D" w:rsidRDefault="00090685">
            <w:pPr>
              <w:pStyle w:val="TableText"/>
            </w:pPr>
            <w:r w:rsidRPr="00CF4E1D">
              <w:t>Condamine Balonne</w:t>
            </w:r>
          </w:p>
        </w:tc>
        <w:tc>
          <w:tcPr>
            <w:tcW w:w="7371" w:type="dxa"/>
            <w:hideMark/>
          </w:tcPr>
          <w:p w14:paraId="40A7788B" w14:textId="77777777" w:rsidR="00090685" w:rsidRPr="00CF4E1D" w:rsidRDefault="00090685">
            <w:pPr>
              <w:pStyle w:val="TableText"/>
            </w:pPr>
            <w:r>
              <w:t>Average to above average, some areas in the east below average</w:t>
            </w:r>
          </w:p>
        </w:tc>
      </w:tr>
      <w:tr w:rsidR="00090685" w:rsidRPr="00CF4E1D" w14:paraId="157B6B2C"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662238B2" w14:textId="77777777" w:rsidR="00090685" w:rsidRPr="00CF4E1D" w:rsidRDefault="00090685">
            <w:pPr>
              <w:pStyle w:val="TableText"/>
            </w:pPr>
            <w:r w:rsidRPr="00CF4E1D">
              <w:t>Gwydir</w:t>
            </w:r>
          </w:p>
        </w:tc>
        <w:tc>
          <w:tcPr>
            <w:tcW w:w="7371" w:type="dxa"/>
            <w:hideMark/>
          </w:tcPr>
          <w:p w14:paraId="49E5F1D6" w14:textId="77777777" w:rsidR="00090685" w:rsidRPr="00CF4E1D" w:rsidRDefault="00090685">
            <w:pPr>
              <w:pStyle w:val="TableText"/>
            </w:pPr>
            <w:r>
              <w:t>Mainly average with some areas in the east below average</w:t>
            </w:r>
          </w:p>
        </w:tc>
      </w:tr>
      <w:tr w:rsidR="00090685" w:rsidRPr="00CF4E1D" w14:paraId="483DEA37" w14:textId="77777777">
        <w:trPr>
          <w:trHeight w:val="285"/>
        </w:trPr>
        <w:tc>
          <w:tcPr>
            <w:tcW w:w="2014" w:type="dxa"/>
            <w:hideMark/>
          </w:tcPr>
          <w:p w14:paraId="3ACB34F3" w14:textId="77777777" w:rsidR="00090685" w:rsidRPr="00CF4E1D" w:rsidRDefault="00090685">
            <w:pPr>
              <w:pStyle w:val="TableText"/>
            </w:pPr>
            <w:r w:rsidRPr="00CF4E1D">
              <w:t>Macquarie</w:t>
            </w:r>
          </w:p>
        </w:tc>
        <w:tc>
          <w:tcPr>
            <w:tcW w:w="7371" w:type="dxa"/>
            <w:hideMark/>
          </w:tcPr>
          <w:p w14:paraId="20BB3070" w14:textId="77777777" w:rsidR="00090685" w:rsidRPr="00CF4E1D" w:rsidRDefault="00090685">
            <w:pPr>
              <w:pStyle w:val="TableText"/>
            </w:pPr>
            <w:r>
              <w:t>Average to a</w:t>
            </w:r>
            <w:r w:rsidRPr="00CF4E1D">
              <w:t>bove average</w:t>
            </w:r>
          </w:p>
        </w:tc>
      </w:tr>
      <w:tr w:rsidR="00090685" w:rsidRPr="00CF4E1D" w14:paraId="68C18325"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0A4F1C4C" w14:textId="77777777" w:rsidR="00090685" w:rsidRPr="00CF4E1D" w:rsidRDefault="00090685">
            <w:pPr>
              <w:pStyle w:val="TableText"/>
            </w:pPr>
            <w:r w:rsidRPr="00CF4E1D">
              <w:t>Namoi</w:t>
            </w:r>
          </w:p>
        </w:tc>
        <w:tc>
          <w:tcPr>
            <w:tcW w:w="7371" w:type="dxa"/>
            <w:hideMark/>
          </w:tcPr>
          <w:p w14:paraId="17FD3AB2" w14:textId="77777777" w:rsidR="00090685" w:rsidRPr="00CF4E1D" w:rsidRDefault="00090685">
            <w:pPr>
              <w:pStyle w:val="TableText"/>
            </w:pPr>
            <w:r>
              <w:t>Average to above average</w:t>
            </w:r>
          </w:p>
        </w:tc>
      </w:tr>
      <w:tr w:rsidR="00090685" w:rsidRPr="00CF4E1D" w14:paraId="3377B455" w14:textId="77777777">
        <w:trPr>
          <w:trHeight w:val="285"/>
        </w:trPr>
        <w:tc>
          <w:tcPr>
            <w:tcW w:w="2014" w:type="dxa"/>
          </w:tcPr>
          <w:p w14:paraId="62D12364" w14:textId="77777777" w:rsidR="00090685" w:rsidRPr="00CF4E1D" w:rsidRDefault="00090685">
            <w:pPr>
              <w:pStyle w:val="TableText"/>
            </w:pPr>
            <w:r w:rsidRPr="00CF4E1D">
              <w:t>Warrego</w:t>
            </w:r>
          </w:p>
        </w:tc>
        <w:tc>
          <w:tcPr>
            <w:tcW w:w="7371" w:type="dxa"/>
          </w:tcPr>
          <w:p w14:paraId="0C47A453" w14:textId="77777777" w:rsidR="00090685" w:rsidRPr="00CF4E1D" w:rsidRDefault="00090685">
            <w:pPr>
              <w:pStyle w:val="TableText"/>
            </w:pPr>
            <w:r w:rsidRPr="00CF4E1D">
              <w:t>Average to above average</w:t>
            </w:r>
          </w:p>
        </w:tc>
      </w:tr>
      <w:tr w:rsidR="00090685" w:rsidRPr="00620651" w14:paraId="338ED0D3"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shd w:val="clear" w:color="auto" w:fill="D0EAFF" w:themeFill="accent2" w:themeFillTint="1A"/>
            <w:hideMark/>
          </w:tcPr>
          <w:p w14:paraId="124DF2DB" w14:textId="77777777" w:rsidR="00090685" w:rsidRPr="00625A3A" w:rsidRDefault="00090685" w:rsidP="00E54541">
            <w:pPr>
              <w:pStyle w:val="RowHeading"/>
              <w:keepNext/>
              <w:rPr>
                <w:sz w:val="24"/>
                <w:szCs w:val="24"/>
              </w:rPr>
            </w:pPr>
            <w:r>
              <w:lastRenderedPageBreak/>
              <w:t>Southern</w:t>
            </w:r>
            <w:r w:rsidRPr="00625A3A">
              <w:t xml:space="preserve"> Basin</w:t>
            </w:r>
          </w:p>
        </w:tc>
        <w:tc>
          <w:tcPr>
            <w:tcW w:w="7371" w:type="dxa"/>
            <w:shd w:val="clear" w:color="auto" w:fill="D0EAFF" w:themeFill="accent2" w:themeFillTint="1A"/>
            <w:hideMark/>
          </w:tcPr>
          <w:p w14:paraId="536A6418" w14:textId="77777777" w:rsidR="00090685" w:rsidRPr="00625A3A" w:rsidRDefault="00090685" w:rsidP="00E54541">
            <w:pPr>
              <w:pStyle w:val="RowHeading"/>
              <w:keepNext/>
              <w:rPr>
                <w:sz w:val="24"/>
                <w:szCs w:val="24"/>
              </w:rPr>
            </w:pPr>
            <w:r w:rsidRPr="00625A3A">
              <w:rPr>
                <w:rFonts w:ascii="Arial" w:hAnsi="Arial"/>
              </w:rPr>
              <w:t> </w:t>
            </w:r>
          </w:p>
        </w:tc>
      </w:tr>
      <w:tr w:rsidR="00090685" w:rsidRPr="000F5413" w14:paraId="02CAC02D" w14:textId="77777777">
        <w:trPr>
          <w:trHeight w:val="285"/>
        </w:trPr>
        <w:tc>
          <w:tcPr>
            <w:tcW w:w="2014" w:type="dxa"/>
            <w:hideMark/>
          </w:tcPr>
          <w:p w14:paraId="08EDFBE8" w14:textId="77777777" w:rsidR="00090685" w:rsidRPr="008E2F8C" w:rsidRDefault="00090685">
            <w:pPr>
              <w:pStyle w:val="TableText"/>
            </w:pPr>
            <w:r w:rsidRPr="000F5413">
              <w:t>Broken</w:t>
            </w:r>
          </w:p>
        </w:tc>
        <w:tc>
          <w:tcPr>
            <w:tcW w:w="7371" w:type="dxa"/>
            <w:hideMark/>
          </w:tcPr>
          <w:p w14:paraId="2CE5B12C" w14:textId="77777777" w:rsidR="00090685" w:rsidRPr="008E2F8C" w:rsidRDefault="00090685">
            <w:pPr>
              <w:pStyle w:val="TableText"/>
            </w:pPr>
            <w:r>
              <w:t>Average</w:t>
            </w:r>
          </w:p>
        </w:tc>
      </w:tr>
      <w:tr w:rsidR="00090685" w:rsidRPr="000F5413" w14:paraId="307E8860"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373B33FF" w14:textId="77777777" w:rsidR="00090685" w:rsidRPr="008E2F8C" w:rsidRDefault="00090685">
            <w:pPr>
              <w:pStyle w:val="TableText"/>
            </w:pPr>
            <w:r w:rsidRPr="000F5413">
              <w:t>Campaspe</w:t>
            </w:r>
          </w:p>
        </w:tc>
        <w:tc>
          <w:tcPr>
            <w:tcW w:w="7371" w:type="dxa"/>
            <w:hideMark/>
          </w:tcPr>
          <w:p w14:paraId="75469993" w14:textId="77777777" w:rsidR="00090685" w:rsidRPr="008E2F8C" w:rsidRDefault="00090685">
            <w:pPr>
              <w:pStyle w:val="TableText"/>
            </w:pPr>
            <w:r>
              <w:t>Average</w:t>
            </w:r>
          </w:p>
        </w:tc>
      </w:tr>
      <w:tr w:rsidR="00090685" w:rsidRPr="000F5413" w14:paraId="7E8A35C5" w14:textId="77777777">
        <w:trPr>
          <w:trHeight w:val="285"/>
        </w:trPr>
        <w:tc>
          <w:tcPr>
            <w:tcW w:w="2014" w:type="dxa"/>
            <w:hideMark/>
          </w:tcPr>
          <w:p w14:paraId="01429AFA" w14:textId="77777777" w:rsidR="00090685" w:rsidRPr="008E2F8C" w:rsidRDefault="00090685">
            <w:pPr>
              <w:pStyle w:val="TableText"/>
            </w:pPr>
            <w:r w:rsidRPr="000F5413">
              <w:t>Central Murray</w:t>
            </w:r>
          </w:p>
        </w:tc>
        <w:tc>
          <w:tcPr>
            <w:tcW w:w="7371" w:type="dxa"/>
            <w:hideMark/>
          </w:tcPr>
          <w:p w14:paraId="734022F6" w14:textId="77777777" w:rsidR="00090685" w:rsidRPr="008E2F8C" w:rsidRDefault="00090685">
            <w:pPr>
              <w:pStyle w:val="TableText"/>
            </w:pPr>
            <w:r>
              <w:t>Below average to average</w:t>
            </w:r>
          </w:p>
        </w:tc>
      </w:tr>
      <w:tr w:rsidR="00090685" w:rsidRPr="000F5413" w14:paraId="651DD982"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173DBC6E" w14:textId="77777777" w:rsidR="00090685" w:rsidRPr="008E2F8C" w:rsidRDefault="00090685">
            <w:pPr>
              <w:pStyle w:val="TableText"/>
            </w:pPr>
            <w:r w:rsidRPr="008E2F8C">
              <w:t>Edward/Kolety–Wakool</w:t>
            </w:r>
          </w:p>
        </w:tc>
        <w:tc>
          <w:tcPr>
            <w:tcW w:w="7371" w:type="dxa"/>
            <w:hideMark/>
          </w:tcPr>
          <w:p w14:paraId="36729729" w14:textId="77777777" w:rsidR="00090685" w:rsidRPr="008E2F8C" w:rsidRDefault="00090685">
            <w:pPr>
              <w:pStyle w:val="TableText"/>
            </w:pPr>
            <w:r>
              <w:t>Average to above average</w:t>
            </w:r>
          </w:p>
        </w:tc>
      </w:tr>
      <w:tr w:rsidR="00090685" w:rsidRPr="000F5413" w14:paraId="5DEC6BAA" w14:textId="77777777">
        <w:trPr>
          <w:trHeight w:val="285"/>
        </w:trPr>
        <w:tc>
          <w:tcPr>
            <w:tcW w:w="2014" w:type="dxa"/>
            <w:hideMark/>
          </w:tcPr>
          <w:p w14:paraId="452E335B" w14:textId="77777777" w:rsidR="00090685" w:rsidRPr="008E2F8C" w:rsidRDefault="00090685">
            <w:pPr>
              <w:pStyle w:val="TableText"/>
            </w:pPr>
            <w:r w:rsidRPr="008E2F8C">
              <w:t>Goulburn</w:t>
            </w:r>
          </w:p>
        </w:tc>
        <w:tc>
          <w:tcPr>
            <w:tcW w:w="7371" w:type="dxa"/>
            <w:hideMark/>
          </w:tcPr>
          <w:p w14:paraId="18750FD0" w14:textId="77777777" w:rsidR="00090685" w:rsidRPr="008E2F8C" w:rsidRDefault="00090685">
            <w:pPr>
              <w:pStyle w:val="TableText"/>
            </w:pPr>
            <w:r>
              <w:t xml:space="preserve">Below </w:t>
            </w:r>
            <w:r w:rsidRPr="000F5413">
              <w:t>average</w:t>
            </w:r>
            <w:r>
              <w:t xml:space="preserve"> to above average</w:t>
            </w:r>
          </w:p>
        </w:tc>
      </w:tr>
      <w:tr w:rsidR="00090685" w:rsidRPr="00CF4E1D" w14:paraId="4A13CB24"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51EB2F13" w14:textId="77777777" w:rsidR="00090685" w:rsidRPr="00CF4E1D" w:rsidRDefault="00090685">
            <w:pPr>
              <w:pStyle w:val="TableText"/>
            </w:pPr>
            <w:r w:rsidRPr="00CF4E1D">
              <w:t>Lachlan</w:t>
            </w:r>
          </w:p>
        </w:tc>
        <w:tc>
          <w:tcPr>
            <w:tcW w:w="7371" w:type="dxa"/>
            <w:hideMark/>
          </w:tcPr>
          <w:p w14:paraId="4679CF55" w14:textId="77777777" w:rsidR="00090685" w:rsidRPr="00CF4E1D" w:rsidRDefault="00090685">
            <w:pPr>
              <w:pStyle w:val="TableText"/>
            </w:pPr>
            <w:r>
              <w:t>Average to v</w:t>
            </w:r>
            <w:r w:rsidRPr="00CF4E1D">
              <w:t>ery much above average</w:t>
            </w:r>
          </w:p>
        </w:tc>
      </w:tr>
      <w:tr w:rsidR="00090685" w:rsidRPr="00CF4E1D" w14:paraId="5F79E00B" w14:textId="77777777">
        <w:trPr>
          <w:trHeight w:val="285"/>
        </w:trPr>
        <w:tc>
          <w:tcPr>
            <w:tcW w:w="2014" w:type="dxa"/>
          </w:tcPr>
          <w:p w14:paraId="7465070E" w14:textId="77777777" w:rsidR="00090685" w:rsidRPr="00CF4E1D" w:rsidRDefault="00090685">
            <w:pPr>
              <w:pStyle w:val="TableText"/>
            </w:pPr>
            <w:r w:rsidRPr="00CF4E1D">
              <w:t>Loddon</w:t>
            </w:r>
          </w:p>
        </w:tc>
        <w:tc>
          <w:tcPr>
            <w:tcW w:w="7371" w:type="dxa"/>
          </w:tcPr>
          <w:p w14:paraId="62CCA243" w14:textId="77777777" w:rsidR="00090685" w:rsidRPr="00CF4E1D" w:rsidRDefault="00090685">
            <w:pPr>
              <w:pStyle w:val="TableText"/>
            </w:pPr>
            <w:r>
              <w:t>V</w:t>
            </w:r>
            <w:r w:rsidRPr="000F5413">
              <w:t xml:space="preserve">ery much </w:t>
            </w:r>
            <w:r>
              <w:t xml:space="preserve">below </w:t>
            </w:r>
            <w:r w:rsidRPr="000F5413">
              <w:t>average</w:t>
            </w:r>
            <w:r>
              <w:t xml:space="preserve"> to above average</w:t>
            </w:r>
          </w:p>
        </w:tc>
      </w:tr>
      <w:tr w:rsidR="00090685" w:rsidRPr="000F5413" w14:paraId="0AC97E27"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619501ED" w14:textId="77777777" w:rsidR="00090685" w:rsidRPr="008E2F8C" w:rsidRDefault="00090685">
            <w:pPr>
              <w:pStyle w:val="TableText"/>
            </w:pPr>
            <w:r w:rsidRPr="008E2F8C">
              <w:t>Lower Darling</w:t>
            </w:r>
            <w:r>
              <w:t>/Baaka</w:t>
            </w:r>
          </w:p>
        </w:tc>
        <w:tc>
          <w:tcPr>
            <w:tcW w:w="7371" w:type="dxa"/>
            <w:hideMark/>
          </w:tcPr>
          <w:p w14:paraId="2C77CB93" w14:textId="77777777" w:rsidR="00090685" w:rsidRPr="008E2F8C" w:rsidRDefault="00090685">
            <w:pPr>
              <w:pStyle w:val="TableText"/>
            </w:pPr>
            <w:r>
              <w:t>Below average to above average</w:t>
            </w:r>
          </w:p>
        </w:tc>
      </w:tr>
      <w:tr w:rsidR="00090685" w:rsidRPr="000F5413" w14:paraId="2FC540B4" w14:textId="77777777">
        <w:trPr>
          <w:trHeight w:val="285"/>
        </w:trPr>
        <w:tc>
          <w:tcPr>
            <w:tcW w:w="2014" w:type="dxa"/>
            <w:hideMark/>
          </w:tcPr>
          <w:p w14:paraId="6EF95709" w14:textId="77777777" w:rsidR="00090685" w:rsidRPr="008E2F8C" w:rsidRDefault="00090685">
            <w:pPr>
              <w:pStyle w:val="TableText"/>
            </w:pPr>
            <w:r w:rsidRPr="008E2F8C">
              <w:t>Lower Murray</w:t>
            </w:r>
          </w:p>
        </w:tc>
        <w:tc>
          <w:tcPr>
            <w:tcW w:w="7371" w:type="dxa"/>
            <w:hideMark/>
          </w:tcPr>
          <w:p w14:paraId="6E8CEF4D" w14:textId="77777777" w:rsidR="00090685" w:rsidRPr="008E2F8C" w:rsidRDefault="00090685">
            <w:pPr>
              <w:pStyle w:val="TableText"/>
            </w:pPr>
            <w:r>
              <w:t>Very much below average to average</w:t>
            </w:r>
          </w:p>
        </w:tc>
      </w:tr>
      <w:tr w:rsidR="00090685" w:rsidRPr="000F5413" w14:paraId="66E99251"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hideMark/>
          </w:tcPr>
          <w:p w14:paraId="3D500A3D" w14:textId="77777777" w:rsidR="00090685" w:rsidRPr="008E2F8C" w:rsidRDefault="00090685">
            <w:pPr>
              <w:pStyle w:val="TableText"/>
            </w:pPr>
            <w:r w:rsidRPr="008E2F8C">
              <w:t>Murrumbidgee</w:t>
            </w:r>
          </w:p>
        </w:tc>
        <w:tc>
          <w:tcPr>
            <w:tcW w:w="7371" w:type="dxa"/>
          </w:tcPr>
          <w:p w14:paraId="42A59FA0" w14:textId="77777777" w:rsidR="00090685" w:rsidRPr="008E2F8C" w:rsidRDefault="00090685">
            <w:pPr>
              <w:pStyle w:val="TableText"/>
            </w:pPr>
            <w:r>
              <w:t>Below average to above average</w:t>
            </w:r>
          </w:p>
        </w:tc>
      </w:tr>
      <w:tr w:rsidR="00090685" w:rsidRPr="000F5413" w14:paraId="0BC7B9DB" w14:textId="77777777">
        <w:trPr>
          <w:trHeight w:val="285"/>
        </w:trPr>
        <w:tc>
          <w:tcPr>
            <w:tcW w:w="2014" w:type="dxa"/>
            <w:hideMark/>
          </w:tcPr>
          <w:p w14:paraId="299F1B6C" w14:textId="77777777" w:rsidR="00090685" w:rsidRPr="008E2F8C" w:rsidRDefault="00090685">
            <w:pPr>
              <w:pStyle w:val="TableText"/>
            </w:pPr>
            <w:r w:rsidRPr="008E2F8C">
              <w:t>Ovens</w:t>
            </w:r>
          </w:p>
        </w:tc>
        <w:tc>
          <w:tcPr>
            <w:tcW w:w="7371" w:type="dxa"/>
            <w:hideMark/>
          </w:tcPr>
          <w:p w14:paraId="57EBCA96" w14:textId="77777777" w:rsidR="00090685" w:rsidRPr="008E2F8C" w:rsidRDefault="00090685">
            <w:pPr>
              <w:pStyle w:val="TableText"/>
            </w:pPr>
            <w:r>
              <w:t>Average</w:t>
            </w:r>
          </w:p>
        </w:tc>
      </w:tr>
      <w:tr w:rsidR="00090685" w:rsidRPr="000F5413" w14:paraId="7697ECCA" w14:textId="77777777">
        <w:trPr>
          <w:cnfStyle w:val="000000100000" w:firstRow="0" w:lastRow="0" w:firstColumn="0" w:lastColumn="0" w:oddVBand="0" w:evenVBand="0" w:oddHBand="1" w:evenHBand="0" w:firstRowFirstColumn="0" w:firstRowLastColumn="0" w:lastRowFirstColumn="0" w:lastRowLastColumn="0"/>
          <w:trHeight w:val="285"/>
        </w:trPr>
        <w:tc>
          <w:tcPr>
            <w:tcW w:w="2014" w:type="dxa"/>
          </w:tcPr>
          <w:p w14:paraId="0831C67A" w14:textId="77777777" w:rsidR="00090685" w:rsidRPr="008E2F8C" w:rsidRDefault="00090685">
            <w:pPr>
              <w:pStyle w:val="TableText"/>
            </w:pPr>
            <w:r>
              <w:t>Wimmera</w:t>
            </w:r>
          </w:p>
        </w:tc>
        <w:tc>
          <w:tcPr>
            <w:tcW w:w="7371" w:type="dxa"/>
          </w:tcPr>
          <w:p w14:paraId="7897E778" w14:textId="77777777" w:rsidR="00090685" w:rsidRDefault="00090685">
            <w:pPr>
              <w:pStyle w:val="TableText"/>
            </w:pPr>
            <w:r>
              <w:t>Very much below average to average</w:t>
            </w:r>
          </w:p>
        </w:tc>
      </w:tr>
    </w:tbl>
    <w:p w14:paraId="5E90B98C" w14:textId="0C7BF77B" w:rsidR="005D3A4B" w:rsidRDefault="005D3A4B" w:rsidP="006D7580">
      <w:pPr>
        <w:pStyle w:val="Heading2"/>
      </w:pPr>
      <w:bookmarkStart w:id="111" w:name="_Toc202041715"/>
      <w:bookmarkStart w:id="112" w:name="_Toc202041763"/>
      <w:bookmarkStart w:id="113" w:name="_Toc202041811"/>
      <w:bookmarkStart w:id="114" w:name="_Toc202041859"/>
      <w:bookmarkStart w:id="115" w:name="_Toc202041907"/>
      <w:bookmarkStart w:id="116" w:name="_Toc202041957"/>
      <w:bookmarkStart w:id="117" w:name="_Toc202042005"/>
      <w:bookmarkStart w:id="118" w:name="_Toc202089499"/>
      <w:bookmarkStart w:id="119" w:name="_Toc169543869"/>
      <w:bookmarkStart w:id="120" w:name="_Toc202187850"/>
      <w:bookmarkEnd w:id="111"/>
      <w:bookmarkEnd w:id="112"/>
      <w:bookmarkEnd w:id="113"/>
      <w:bookmarkEnd w:id="114"/>
      <w:bookmarkEnd w:id="115"/>
      <w:bookmarkEnd w:id="116"/>
      <w:bookmarkEnd w:id="117"/>
      <w:bookmarkEnd w:id="118"/>
      <w:r>
        <w:t>Environmental water delivery 202</w:t>
      </w:r>
      <w:r w:rsidR="00623EFB">
        <w:t>3</w:t>
      </w:r>
      <w:r>
        <w:t>–2</w:t>
      </w:r>
      <w:r w:rsidR="00623EFB">
        <w:t>4</w:t>
      </w:r>
      <w:bookmarkEnd w:id="119"/>
      <w:bookmarkEnd w:id="120"/>
    </w:p>
    <w:p w14:paraId="3B204552" w14:textId="3C1A9754" w:rsidR="00EF103C" w:rsidRDefault="00391F88" w:rsidP="00B41939">
      <w:pPr>
        <w:pStyle w:val="Boxedtextorange"/>
      </w:pPr>
      <w:r>
        <w:t xml:space="preserve">Of the 114 Commonwealth environmental watering actions in 2023–24, 38 (2,160 GL) </w:t>
      </w:r>
      <w:r w:rsidRPr="00C601A2">
        <w:t>had expected outcomes linked to water quality and</w:t>
      </w:r>
      <w:r w:rsidR="000B240B">
        <w:t>/or</w:t>
      </w:r>
      <w:r w:rsidRPr="00C601A2">
        <w:t xml:space="preserve"> ecosystem process</w:t>
      </w:r>
      <w:r>
        <w:t xml:space="preserve"> or f</w:t>
      </w:r>
      <w:r w:rsidRPr="00C601A2">
        <w:t>ood webs</w:t>
      </w:r>
      <w:r w:rsidR="000B240B">
        <w:t xml:space="preserve">, and </w:t>
      </w:r>
      <w:r>
        <w:t xml:space="preserve">21 (1,955 GL) </w:t>
      </w:r>
      <w:r w:rsidR="000B240B">
        <w:t xml:space="preserve">of these actions </w:t>
      </w:r>
      <w:r w:rsidRPr="00C601A2">
        <w:t xml:space="preserve">occurred within </w:t>
      </w:r>
      <w:r>
        <w:t>6</w:t>
      </w:r>
      <w:r w:rsidRPr="00C601A2">
        <w:t xml:space="preserve"> of the 7 </w:t>
      </w:r>
      <w:r>
        <w:t>S</w:t>
      </w:r>
      <w:r w:rsidRPr="00C601A2">
        <w:t>elected Areas</w:t>
      </w:r>
      <w:r w:rsidR="000B240B">
        <w:t xml:space="preserve">. These are listed in </w:t>
      </w:r>
      <w:r w:rsidR="000B240B">
        <w:fldChar w:fldCharType="begin"/>
      </w:r>
      <w:r w:rsidR="000B240B">
        <w:instrText xml:space="preserve"> REF _Ref165320040 \h </w:instrText>
      </w:r>
      <w:r w:rsidR="000B240B">
        <w:fldChar w:fldCharType="separate"/>
      </w:r>
      <w:r w:rsidR="00492712">
        <w:t>Table </w:t>
      </w:r>
      <w:r w:rsidR="00835C8B">
        <w:rPr>
          <w:noProof/>
        </w:rPr>
        <w:t>3</w:t>
      </w:r>
      <w:r w:rsidR="00492712">
        <w:t>.</w:t>
      </w:r>
      <w:r w:rsidR="00492712">
        <w:rPr>
          <w:noProof/>
        </w:rPr>
        <w:t>2</w:t>
      </w:r>
      <w:r w:rsidR="000B240B">
        <w:fldChar w:fldCharType="end"/>
      </w:r>
      <w:r w:rsidR="000B240B">
        <w:t>.</w:t>
      </w:r>
      <w:r w:rsidRPr="00C601A2">
        <w:t xml:space="preserve"> </w:t>
      </w:r>
      <w:r w:rsidR="000B240B">
        <w:t>Of the 33 watering actions linked to water quality,</w:t>
      </w:r>
      <w:r w:rsidR="00FA27A3">
        <w:t xml:space="preserve"> 19</w:t>
      </w:r>
      <w:r w:rsidR="000B240B">
        <w:t xml:space="preserve"> (1,848</w:t>
      </w:r>
      <w:r w:rsidR="00FA27A3">
        <w:t xml:space="preserve"> GL</w:t>
      </w:r>
      <w:r w:rsidR="000B240B">
        <w:t xml:space="preserve">) </w:t>
      </w:r>
      <w:r w:rsidR="000B240B" w:rsidRPr="00C601A2">
        <w:t xml:space="preserve">occurred within </w:t>
      </w:r>
      <w:r w:rsidR="000B240B">
        <w:t>6</w:t>
      </w:r>
      <w:r w:rsidR="000B240B" w:rsidRPr="00C601A2">
        <w:t xml:space="preserve"> of the 7 </w:t>
      </w:r>
      <w:r w:rsidR="000B240B">
        <w:t>S</w:t>
      </w:r>
      <w:r w:rsidR="000B240B" w:rsidRPr="00C601A2">
        <w:t>elected Areas</w:t>
      </w:r>
      <w:r w:rsidR="000B240B">
        <w:t xml:space="preserve">. </w:t>
      </w:r>
      <w:r w:rsidRPr="00C601A2">
        <w:t xml:space="preserve">Of the </w:t>
      </w:r>
      <w:r>
        <w:t>10</w:t>
      </w:r>
      <w:r w:rsidRPr="00C601A2">
        <w:t xml:space="preserve"> water</w:t>
      </w:r>
      <w:r>
        <w:t>ing</w:t>
      </w:r>
      <w:r w:rsidRPr="00C601A2">
        <w:t xml:space="preserve"> actions linked to ecosystem process</w:t>
      </w:r>
      <w:r w:rsidR="002B208E">
        <w:t xml:space="preserve"> or </w:t>
      </w:r>
      <w:r w:rsidRPr="00C601A2">
        <w:t xml:space="preserve">food webs, </w:t>
      </w:r>
      <w:r>
        <w:t>6 (1,492 GL)</w:t>
      </w:r>
      <w:r w:rsidRPr="00C601A2">
        <w:t xml:space="preserve"> occurred within </w:t>
      </w:r>
      <w:r>
        <w:t>2</w:t>
      </w:r>
      <w:r w:rsidRPr="00C601A2">
        <w:t xml:space="preserve"> of the 7 Selected Areas</w:t>
      </w:r>
      <w:r w:rsidR="00463FAB">
        <w:t xml:space="preserve"> </w:t>
      </w:r>
    </w:p>
    <w:p w14:paraId="6010203F" w14:textId="03890389" w:rsidR="00463FAB" w:rsidRDefault="00463FAB" w:rsidP="00007A55">
      <w:pPr>
        <w:pStyle w:val="CaptionWithNote"/>
        <w:ind w:right="3401"/>
      </w:pPr>
      <w:bookmarkStart w:id="121" w:name="_Ref165320040"/>
      <w:bookmarkStart w:id="122" w:name="_Toc183533679"/>
      <w:bookmarkStart w:id="123" w:name="_Toc202187935"/>
      <w:r>
        <w:t>Table</w:t>
      </w:r>
      <w:r w:rsidR="00A535AD">
        <w:t> </w:t>
      </w:r>
      <w:fldSimple w:instr=" STYLEREF 1 \s ">
        <w:r w:rsidR="00835C8B">
          <w:rPr>
            <w:noProof/>
          </w:rPr>
          <w:t>3</w:t>
        </w:r>
      </w:fldSimple>
      <w:r w:rsidR="00F60AE8">
        <w:t>.</w:t>
      </w:r>
      <w:fldSimple w:instr=" SEQ Table \* ARABIC \s 1 ">
        <w:r w:rsidR="00492712">
          <w:rPr>
            <w:noProof/>
          </w:rPr>
          <w:t>2</w:t>
        </w:r>
      </w:fldSimple>
      <w:bookmarkEnd w:id="121"/>
      <w:r>
        <w:t xml:space="preserve"> Commonwealth environmental watering </w:t>
      </w:r>
      <w:r w:rsidRPr="00A74B2B">
        <w:t xml:space="preserve">actions with </w:t>
      </w:r>
      <w:r w:rsidR="00545E24">
        <w:t xml:space="preserve">objectives </w:t>
      </w:r>
      <w:r w:rsidR="00545E24" w:rsidRPr="00C601A2">
        <w:t>linked to water quality and ecosystem process</w:t>
      </w:r>
      <w:r w:rsidR="00545E24">
        <w:t xml:space="preserve"> or f</w:t>
      </w:r>
      <w:r w:rsidR="00545E24" w:rsidRPr="00C601A2">
        <w:t>ood webs</w:t>
      </w:r>
      <w:r w:rsidR="00E822D2">
        <w:t>,</w:t>
      </w:r>
      <w:r w:rsidR="008744A9">
        <w:t xml:space="preserve"> by valley</w:t>
      </w:r>
      <w:r w:rsidR="001F7EBE">
        <w:t xml:space="preserve">, </w:t>
      </w:r>
      <w:r w:rsidR="00391F88">
        <w:t>2023</w:t>
      </w:r>
      <w:r>
        <w:t>–</w:t>
      </w:r>
      <w:r w:rsidR="00391F88">
        <w:t>24</w:t>
      </w:r>
      <w:bookmarkEnd w:id="122"/>
      <w:bookmarkEnd w:id="123"/>
    </w:p>
    <w:p w14:paraId="22DFEE31" w14:textId="6D954D7A" w:rsidR="00312130" w:rsidRDefault="00312130" w:rsidP="00253F4B">
      <w:pPr>
        <w:pStyle w:val="CaptionNote"/>
        <w:ind w:right="3259"/>
      </w:pPr>
      <w:r w:rsidRPr="001E08D2">
        <w:t xml:space="preserve">* </w:t>
      </w:r>
      <w:r>
        <w:t>c</w:t>
      </w:r>
      <w:r w:rsidRPr="001E08D2">
        <w:t xml:space="preserve">ontains </w:t>
      </w:r>
      <w:r>
        <w:t xml:space="preserve">a </w:t>
      </w:r>
      <w:r w:rsidRPr="001E08D2">
        <w:t>Selected Area</w:t>
      </w:r>
      <w:r>
        <w:t xml:space="preserve">, </w:t>
      </w:r>
      <w:r w:rsidR="006B6660">
        <w:t>Dash (</w:t>
      </w:r>
      <w:r>
        <w:rPr>
          <w:rFonts w:cs="Calibri"/>
        </w:rPr>
        <w:t>–</w:t>
      </w:r>
      <w:r w:rsidR="006B6660">
        <w:rPr>
          <w:rFonts w:cs="Calibri"/>
        </w:rPr>
        <w:t>)</w:t>
      </w:r>
      <w:r>
        <w:t xml:space="preserve"> indicates no watering actions </w:t>
      </w:r>
      <w:r w:rsidR="00253F4B">
        <w:t xml:space="preserve">in that Valley </w:t>
      </w:r>
      <w:r>
        <w:t xml:space="preserve">for this </w:t>
      </w:r>
      <w:r w:rsidR="00DD5318">
        <w:t>T</w:t>
      </w:r>
      <w:r>
        <w:t>heme</w:t>
      </w:r>
      <w:r w:rsidR="00D3561D">
        <w:t>.</w:t>
      </w:r>
    </w:p>
    <w:tbl>
      <w:tblPr>
        <w:tblStyle w:val="TableFlow-MER"/>
        <w:tblW w:w="6055" w:type="dxa"/>
        <w:tblLook w:val="04E0" w:firstRow="1" w:lastRow="1" w:firstColumn="1" w:lastColumn="0" w:noHBand="0" w:noVBand="1"/>
      </w:tblPr>
      <w:tblGrid>
        <w:gridCol w:w="2439"/>
        <w:gridCol w:w="1915"/>
        <w:gridCol w:w="1701"/>
      </w:tblGrid>
      <w:tr w:rsidR="005A2EFF" w:rsidRPr="005A2EFF" w14:paraId="38080FD9" w14:textId="77777777" w:rsidTr="000877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9" w:type="dxa"/>
          </w:tcPr>
          <w:p w14:paraId="379A64C5" w14:textId="76E1F6A7" w:rsidR="005A2EFF" w:rsidRPr="005A2EFF" w:rsidRDefault="005A2EFF" w:rsidP="003569C4">
            <w:pPr>
              <w:pStyle w:val="ColumnHeading"/>
              <w:keepNext/>
              <w:keepLines/>
            </w:pPr>
            <w:r w:rsidRPr="005A2EFF">
              <w:t>Valley</w:t>
            </w:r>
          </w:p>
        </w:tc>
        <w:tc>
          <w:tcPr>
            <w:tcW w:w="1915" w:type="dxa"/>
            <w:tcMar>
              <w:right w:w="454" w:type="dxa"/>
            </w:tcMar>
          </w:tcPr>
          <w:p w14:paraId="3918A000" w14:textId="1010DC9E" w:rsidR="005A2EFF" w:rsidRPr="005A2EFF" w:rsidRDefault="005A2EFF" w:rsidP="003569C4">
            <w:pPr>
              <w:pStyle w:val="ColumnHeading"/>
              <w:keepNext/>
              <w:keepLines/>
              <w:cnfStyle w:val="100000000000" w:firstRow="1" w:lastRow="0" w:firstColumn="0" w:lastColumn="0" w:oddVBand="0" w:evenVBand="0" w:oddHBand="0" w:evenHBand="0" w:firstRowFirstColumn="0" w:firstRowLastColumn="0" w:lastRowFirstColumn="0" w:lastRowLastColumn="0"/>
            </w:pPr>
            <w:r w:rsidRPr="005A2EFF">
              <w:t>Volume (ML)</w:t>
            </w:r>
          </w:p>
        </w:tc>
        <w:tc>
          <w:tcPr>
            <w:tcW w:w="1701" w:type="dxa"/>
          </w:tcPr>
          <w:p w14:paraId="00BEEFF4" w14:textId="57DD5697" w:rsidR="005A2EFF" w:rsidRPr="005A2EFF" w:rsidRDefault="005A2EFF" w:rsidP="003569C4">
            <w:pPr>
              <w:pStyle w:val="ColumnHeading"/>
              <w:keepNext/>
              <w:keepLines/>
              <w:cnfStyle w:val="100000000000" w:firstRow="1" w:lastRow="0" w:firstColumn="0" w:lastColumn="0" w:oddVBand="0" w:evenVBand="0" w:oddHBand="0" w:evenHBand="0" w:firstRowFirstColumn="0" w:firstRowLastColumn="0" w:lastRowFirstColumn="0" w:lastRowLastColumn="0"/>
            </w:pPr>
            <w:r w:rsidRPr="00FF5E23">
              <w:t>Number</w:t>
            </w:r>
            <w:r w:rsidRPr="005A2EFF">
              <w:t xml:space="preserve"> of actions</w:t>
            </w:r>
          </w:p>
        </w:tc>
      </w:tr>
      <w:tr w:rsidR="000575DB" w14:paraId="6C3E400E" w14:textId="77777777" w:rsidTr="00CD0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shd w:val="clear" w:color="auto" w:fill="B5E0FE" w:themeFill="accent1" w:themeFillTint="33"/>
            <w:vAlign w:val="center"/>
          </w:tcPr>
          <w:p w14:paraId="4799DDCA" w14:textId="6830803E" w:rsidR="000575DB" w:rsidRPr="00BF4E57" w:rsidRDefault="000575DB" w:rsidP="000575DB">
            <w:pPr>
              <w:pStyle w:val="RowHeading"/>
            </w:pPr>
            <w:r>
              <w:t>Northern Basin</w:t>
            </w:r>
          </w:p>
        </w:tc>
        <w:tc>
          <w:tcPr>
            <w:tcW w:w="1915" w:type="dxa"/>
            <w:shd w:val="clear" w:color="auto" w:fill="B5E0FE" w:themeFill="accent1" w:themeFillTint="33"/>
            <w:tcMar>
              <w:right w:w="454" w:type="dxa"/>
            </w:tcMar>
          </w:tcPr>
          <w:p w14:paraId="74DE5AF5" w14:textId="77777777" w:rsidR="000575DB" w:rsidRPr="004C6ED4" w:rsidRDefault="000575DB" w:rsidP="000575DB">
            <w:pPr>
              <w:pStyle w:val="RowHeading"/>
              <w:cnfStyle w:val="000000100000" w:firstRow="0" w:lastRow="0" w:firstColumn="0" w:lastColumn="0" w:oddVBand="0" w:evenVBand="0" w:oddHBand="1" w:evenHBand="0" w:firstRowFirstColumn="0" w:firstRowLastColumn="0" w:lastRowFirstColumn="0" w:lastRowLastColumn="0"/>
            </w:pPr>
          </w:p>
        </w:tc>
        <w:tc>
          <w:tcPr>
            <w:tcW w:w="1701" w:type="dxa"/>
            <w:shd w:val="clear" w:color="auto" w:fill="B5E0FE" w:themeFill="accent1" w:themeFillTint="33"/>
            <w:vAlign w:val="bottom"/>
          </w:tcPr>
          <w:p w14:paraId="11545B46" w14:textId="77777777" w:rsidR="000575DB" w:rsidRPr="004C6ED4" w:rsidRDefault="000575DB" w:rsidP="000575DB">
            <w:pPr>
              <w:pStyle w:val="RowHeading"/>
              <w:cnfStyle w:val="000000100000" w:firstRow="0" w:lastRow="0" w:firstColumn="0" w:lastColumn="0" w:oddVBand="0" w:evenVBand="0" w:oddHBand="1" w:evenHBand="0" w:firstRowFirstColumn="0" w:firstRowLastColumn="0" w:lastRowFirstColumn="0" w:lastRowLastColumn="0"/>
            </w:pPr>
          </w:p>
        </w:tc>
      </w:tr>
      <w:tr w:rsidR="00463FAB" w14:paraId="6CEB6C89" w14:textId="77777777" w:rsidTr="000877EB">
        <w:tc>
          <w:tcPr>
            <w:cnfStyle w:val="001000000000" w:firstRow="0" w:lastRow="0" w:firstColumn="1" w:lastColumn="0" w:oddVBand="0" w:evenVBand="0" w:oddHBand="0" w:evenHBand="0" w:firstRowFirstColumn="0" w:firstRowLastColumn="0" w:lastRowFirstColumn="0" w:lastRowLastColumn="0"/>
            <w:tcW w:w="2439" w:type="dxa"/>
            <w:vAlign w:val="center"/>
          </w:tcPr>
          <w:p w14:paraId="6CC9D380" w14:textId="77777777" w:rsidR="00463FAB" w:rsidRDefault="00463FAB" w:rsidP="00CD0C78">
            <w:pPr>
              <w:pStyle w:val="TableText"/>
            </w:pPr>
            <w:r w:rsidRPr="00BF4E57">
              <w:rPr>
                <w:rFonts w:eastAsia="Times New Roman" w:cs="Calibri"/>
                <w:szCs w:val="18"/>
              </w:rPr>
              <w:t>Barwon Darling</w:t>
            </w:r>
          </w:p>
        </w:tc>
        <w:tc>
          <w:tcPr>
            <w:tcW w:w="1915" w:type="dxa"/>
            <w:tcMar>
              <w:right w:w="454" w:type="dxa"/>
            </w:tcMar>
          </w:tcPr>
          <w:p w14:paraId="15C3D1F5" w14:textId="7C363E5E" w:rsidR="00463FAB" w:rsidRDefault="00391F88" w:rsidP="00CD0C78">
            <w:pPr>
              <w:pStyle w:val="TableText"/>
              <w:ind w:right="200"/>
              <w:jc w:val="right"/>
              <w:cnfStyle w:val="000000000000" w:firstRow="0" w:lastRow="0" w:firstColumn="0" w:lastColumn="0" w:oddVBand="0" w:evenVBand="0" w:oddHBand="0" w:evenHBand="0" w:firstRowFirstColumn="0" w:firstRowLastColumn="0" w:lastRowFirstColumn="0" w:lastRowLastColumn="0"/>
            </w:pPr>
            <w:r w:rsidRPr="004C6ED4">
              <w:t xml:space="preserve"> </w:t>
            </w:r>
            <w:r w:rsidR="004C2A75">
              <w:t>–</w:t>
            </w:r>
          </w:p>
        </w:tc>
        <w:tc>
          <w:tcPr>
            <w:tcW w:w="1701" w:type="dxa"/>
            <w:vAlign w:val="bottom"/>
          </w:tcPr>
          <w:p w14:paraId="145A729B" w14:textId="48039768" w:rsidR="00463FAB" w:rsidRPr="00024717" w:rsidRDefault="00391F88" w:rsidP="00CD0C7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rsidRPr="004C6ED4">
              <w:t xml:space="preserve"> </w:t>
            </w:r>
            <w:r w:rsidR="004C2A75">
              <w:t>–</w:t>
            </w:r>
          </w:p>
        </w:tc>
      </w:tr>
      <w:tr w:rsidR="00463FAB" w14:paraId="0CB84BE7" w14:textId="77777777" w:rsidTr="0008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1EAFC7DF" w14:textId="77777777" w:rsidR="00463FAB" w:rsidRDefault="00463FAB" w:rsidP="00CD0C78">
            <w:pPr>
              <w:pStyle w:val="TableText"/>
            </w:pPr>
            <w:r w:rsidRPr="00BF4E57">
              <w:rPr>
                <w:rFonts w:eastAsia="Times New Roman" w:cs="Calibri"/>
                <w:szCs w:val="18"/>
              </w:rPr>
              <w:t>Border Rivers</w:t>
            </w:r>
          </w:p>
        </w:tc>
        <w:tc>
          <w:tcPr>
            <w:tcW w:w="1915" w:type="dxa"/>
            <w:tcMar>
              <w:right w:w="454" w:type="dxa"/>
            </w:tcMar>
          </w:tcPr>
          <w:p w14:paraId="5893727A" w14:textId="4CD442FA" w:rsidR="00463FAB" w:rsidRDefault="00391F88" w:rsidP="00CD0C78">
            <w:pPr>
              <w:pStyle w:val="TableText"/>
              <w:ind w:right="200"/>
              <w:jc w:val="right"/>
              <w:cnfStyle w:val="000000100000" w:firstRow="0" w:lastRow="0" w:firstColumn="0" w:lastColumn="0" w:oddVBand="0" w:evenVBand="0" w:oddHBand="1" w:evenHBand="0" w:firstRowFirstColumn="0" w:firstRowLastColumn="0" w:lastRowFirstColumn="0" w:lastRowLastColumn="0"/>
            </w:pPr>
            <w:r w:rsidRPr="004C6ED4">
              <w:t xml:space="preserve"> </w:t>
            </w:r>
            <w:r w:rsidR="004C2A75">
              <w:t>–</w:t>
            </w:r>
          </w:p>
        </w:tc>
        <w:tc>
          <w:tcPr>
            <w:tcW w:w="1701" w:type="dxa"/>
            <w:vAlign w:val="bottom"/>
          </w:tcPr>
          <w:p w14:paraId="2B9BA291" w14:textId="061A54A1" w:rsidR="00463FAB" w:rsidRPr="00024717" w:rsidRDefault="00391F88" w:rsidP="00CD0C78">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sidRPr="004C6ED4">
              <w:t xml:space="preserve"> </w:t>
            </w:r>
            <w:r w:rsidR="004C2A75">
              <w:t>–</w:t>
            </w:r>
          </w:p>
        </w:tc>
      </w:tr>
      <w:tr w:rsidR="00CD0C78" w14:paraId="653699CA" w14:textId="77777777">
        <w:tc>
          <w:tcPr>
            <w:cnfStyle w:val="001000000000" w:firstRow="0" w:lastRow="0" w:firstColumn="1" w:lastColumn="0" w:oddVBand="0" w:evenVBand="0" w:oddHBand="0" w:evenHBand="0" w:firstRowFirstColumn="0" w:firstRowLastColumn="0" w:lastRowFirstColumn="0" w:lastRowLastColumn="0"/>
            <w:tcW w:w="2439" w:type="dxa"/>
            <w:vAlign w:val="center"/>
          </w:tcPr>
          <w:p w14:paraId="01D54156" w14:textId="77777777" w:rsidR="00CD0C78" w:rsidRDefault="00CD0C78">
            <w:pPr>
              <w:pStyle w:val="TableText"/>
            </w:pPr>
            <w:r w:rsidRPr="00BF4E57">
              <w:rPr>
                <w:rFonts w:eastAsia="Times New Roman" w:cs="Calibri"/>
                <w:szCs w:val="18"/>
              </w:rPr>
              <w:t>Condamine Balonne</w:t>
            </w:r>
          </w:p>
        </w:tc>
        <w:tc>
          <w:tcPr>
            <w:tcW w:w="1915" w:type="dxa"/>
            <w:tcMar>
              <w:right w:w="454" w:type="dxa"/>
            </w:tcMar>
          </w:tcPr>
          <w:p w14:paraId="6D382721" w14:textId="3B2D55DE" w:rsidR="00CD0C78" w:rsidRDefault="00CD0C78">
            <w:pPr>
              <w:pStyle w:val="TableText"/>
              <w:ind w:right="200"/>
              <w:jc w:val="right"/>
              <w:cnfStyle w:val="000000000000" w:firstRow="0" w:lastRow="0" w:firstColumn="0" w:lastColumn="0" w:oddVBand="0" w:evenVBand="0" w:oddHBand="0" w:evenHBand="0" w:firstRowFirstColumn="0" w:firstRowLastColumn="0" w:lastRowFirstColumn="0" w:lastRowLastColumn="0"/>
            </w:pPr>
            <w:r>
              <w:t>–</w:t>
            </w:r>
          </w:p>
        </w:tc>
        <w:tc>
          <w:tcPr>
            <w:tcW w:w="1701" w:type="dxa"/>
            <w:vAlign w:val="bottom"/>
          </w:tcPr>
          <w:p w14:paraId="1E42013F" w14:textId="5543F406" w:rsidR="00CD0C78" w:rsidRPr="00024717" w:rsidRDefault="00CD0C7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t>–</w:t>
            </w:r>
          </w:p>
        </w:tc>
      </w:tr>
      <w:tr w:rsidR="00D5421E" w14:paraId="2CBE15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68A09BB1" w14:textId="77777777" w:rsidR="00D5421E" w:rsidRPr="00BF4E57" w:rsidRDefault="00D5421E">
            <w:pPr>
              <w:pStyle w:val="TableText"/>
              <w:rPr>
                <w:rFonts w:eastAsia="Times New Roman" w:cs="Calibri"/>
                <w:szCs w:val="18"/>
              </w:rPr>
            </w:pPr>
            <w:r w:rsidRPr="00BF4E57">
              <w:rPr>
                <w:rFonts w:eastAsia="Times New Roman" w:cs="Calibri"/>
                <w:szCs w:val="18"/>
              </w:rPr>
              <w:t>Gwydir*</w:t>
            </w:r>
          </w:p>
        </w:tc>
        <w:tc>
          <w:tcPr>
            <w:tcW w:w="1915" w:type="dxa"/>
            <w:tcMar>
              <w:right w:w="454" w:type="dxa"/>
            </w:tcMar>
          </w:tcPr>
          <w:p w14:paraId="7481B2A9" w14:textId="2AF563DF" w:rsidR="00D5421E" w:rsidRPr="00BF4E57" w:rsidRDefault="00D5421E">
            <w:pPr>
              <w:pStyle w:val="TableText"/>
              <w:ind w:right="200"/>
              <w:jc w:val="right"/>
              <w:cnfStyle w:val="000000100000" w:firstRow="0" w:lastRow="0" w:firstColumn="0" w:lastColumn="0" w:oddVBand="0" w:evenVBand="0" w:oddHBand="1" w:evenHBand="0" w:firstRowFirstColumn="0" w:firstRowLastColumn="0" w:lastRowFirstColumn="0" w:lastRowLastColumn="0"/>
              <w:rPr>
                <w:rFonts w:eastAsia="Times New Roman" w:cs="Calibri"/>
                <w:szCs w:val="18"/>
              </w:rPr>
            </w:pPr>
            <w:r>
              <w:t>2,000</w:t>
            </w:r>
          </w:p>
        </w:tc>
        <w:tc>
          <w:tcPr>
            <w:tcW w:w="1701" w:type="dxa"/>
            <w:vAlign w:val="bottom"/>
          </w:tcPr>
          <w:p w14:paraId="2EAFE3AC" w14:textId="230525C0" w:rsidR="00D5421E" w:rsidRPr="00024717" w:rsidRDefault="00D5421E">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Pr>
                <w:rFonts w:cs="Calibri"/>
                <w:szCs w:val="18"/>
              </w:rPr>
              <w:t>1</w:t>
            </w:r>
          </w:p>
        </w:tc>
      </w:tr>
      <w:tr w:rsidR="00D5421E" w14:paraId="08B0676D" w14:textId="77777777">
        <w:tc>
          <w:tcPr>
            <w:cnfStyle w:val="001000000000" w:firstRow="0" w:lastRow="0" w:firstColumn="1" w:lastColumn="0" w:oddVBand="0" w:evenVBand="0" w:oddHBand="0" w:evenHBand="0" w:firstRowFirstColumn="0" w:firstRowLastColumn="0" w:lastRowFirstColumn="0" w:lastRowLastColumn="0"/>
            <w:tcW w:w="2439" w:type="dxa"/>
            <w:vAlign w:val="center"/>
          </w:tcPr>
          <w:p w14:paraId="15FCBAE3" w14:textId="77777777" w:rsidR="00D5421E" w:rsidRPr="00BF4E57" w:rsidRDefault="00D5421E">
            <w:pPr>
              <w:pStyle w:val="TableText"/>
              <w:rPr>
                <w:rFonts w:eastAsia="Times New Roman" w:cs="Calibri"/>
                <w:szCs w:val="18"/>
              </w:rPr>
            </w:pPr>
            <w:r w:rsidRPr="00BF4E57">
              <w:rPr>
                <w:rFonts w:eastAsia="Times New Roman" w:cs="Calibri"/>
                <w:szCs w:val="18"/>
              </w:rPr>
              <w:t>Macquarie</w:t>
            </w:r>
          </w:p>
        </w:tc>
        <w:tc>
          <w:tcPr>
            <w:tcW w:w="1915" w:type="dxa"/>
            <w:tcMar>
              <w:right w:w="454" w:type="dxa"/>
            </w:tcMar>
          </w:tcPr>
          <w:p w14:paraId="1B9A65D1" w14:textId="1785F205" w:rsidR="00D5421E" w:rsidRPr="00BF4E57" w:rsidRDefault="00D5421E">
            <w:pPr>
              <w:pStyle w:val="TableText"/>
              <w:ind w:right="200"/>
              <w:jc w:val="right"/>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t>56,046</w:t>
            </w:r>
          </w:p>
        </w:tc>
        <w:tc>
          <w:tcPr>
            <w:tcW w:w="1701" w:type="dxa"/>
            <w:vAlign w:val="bottom"/>
          </w:tcPr>
          <w:p w14:paraId="0D40C41E" w14:textId="77777777" w:rsidR="00D5421E" w:rsidRPr="00024717" w:rsidRDefault="00D5421E">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rsidRPr="003C7CF7">
              <w:rPr>
                <w:rFonts w:cs="Calibri"/>
                <w:szCs w:val="18"/>
              </w:rPr>
              <w:t>1</w:t>
            </w:r>
          </w:p>
        </w:tc>
      </w:tr>
      <w:tr w:rsidR="004904A8" w14:paraId="0B39DE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0549A3A0" w14:textId="77777777" w:rsidR="004904A8" w:rsidRPr="00BF4E57" w:rsidRDefault="004904A8">
            <w:pPr>
              <w:pStyle w:val="TableText"/>
              <w:rPr>
                <w:rFonts w:eastAsia="Times New Roman" w:cs="Calibri"/>
                <w:szCs w:val="18"/>
              </w:rPr>
            </w:pPr>
            <w:r w:rsidRPr="00BF4E57">
              <w:rPr>
                <w:rFonts w:eastAsia="Times New Roman" w:cs="Calibri"/>
                <w:szCs w:val="18"/>
              </w:rPr>
              <w:t>Namoi</w:t>
            </w:r>
          </w:p>
        </w:tc>
        <w:tc>
          <w:tcPr>
            <w:tcW w:w="1915" w:type="dxa"/>
            <w:tcMar>
              <w:right w:w="454" w:type="dxa"/>
            </w:tcMar>
          </w:tcPr>
          <w:p w14:paraId="7516E559" w14:textId="08A2774C" w:rsidR="004904A8" w:rsidRPr="00BF4E57" w:rsidRDefault="004904A8">
            <w:pPr>
              <w:pStyle w:val="TableText"/>
              <w:ind w:right="200"/>
              <w:jc w:val="right"/>
              <w:cnfStyle w:val="000000100000" w:firstRow="0" w:lastRow="0" w:firstColumn="0" w:lastColumn="0" w:oddVBand="0" w:evenVBand="0" w:oddHBand="1" w:evenHBand="0" w:firstRowFirstColumn="0" w:firstRowLastColumn="0" w:lastRowFirstColumn="0" w:lastRowLastColumn="0"/>
              <w:rPr>
                <w:rFonts w:eastAsia="Times New Roman" w:cs="Calibri"/>
                <w:szCs w:val="18"/>
              </w:rPr>
            </w:pPr>
            <w:r>
              <w:t>9,279</w:t>
            </w:r>
          </w:p>
        </w:tc>
        <w:tc>
          <w:tcPr>
            <w:tcW w:w="1701" w:type="dxa"/>
            <w:vAlign w:val="bottom"/>
          </w:tcPr>
          <w:p w14:paraId="0A697854" w14:textId="5BC74B0A" w:rsidR="004904A8" w:rsidRPr="00024717" w:rsidRDefault="004904A8">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Pr>
                <w:rFonts w:cs="Calibri"/>
                <w:szCs w:val="18"/>
              </w:rPr>
              <w:t>2</w:t>
            </w:r>
          </w:p>
        </w:tc>
      </w:tr>
      <w:tr w:rsidR="004904A8" w14:paraId="69969B7A" w14:textId="77777777">
        <w:tc>
          <w:tcPr>
            <w:cnfStyle w:val="001000000000" w:firstRow="0" w:lastRow="0" w:firstColumn="1" w:lastColumn="0" w:oddVBand="0" w:evenVBand="0" w:oddHBand="0" w:evenHBand="0" w:firstRowFirstColumn="0" w:firstRowLastColumn="0" w:lastRowFirstColumn="0" w:lastRowLastColumn="0"/>
            <w:tcW w:w="2439" w:type="dxa"/>
            <w:vAlign w:val="center"/>
          </w:tcPr>
          <w:p w14:paraId="19B27D48" w14:textId="77777777" w:rsidR="004904A8" w:rsidRPr="00BF4E57" w:rsidRDefault="004904A8" w:rsidP="004904A8">
            <w:pPr>
              <w:pStyle w:val="TableText"/>
              <w:rPr>
                <w:rFonts w:eastAsia="Times New Roman" w:cs="Calibri"/>
                <w:szCs w:val="18"/>
              </w:rPr>
            </w:pPr>
            <w:r w:rsidRPr="00BF4E57">
              <w:rPr>
                <w:rFonts w:eastAsia="Times New Roman" w:cs="Calibri"/>
                <w:szCs w:val="18"/>
              </w:rPr>
              <w:t>Warrego*</w:t>
            </w:r>
          </w:p>
        </w:tc>
        <w:tc>
          <w:tcPr>
            <w:tcW w:w="1915" w:type="dxa"/>
            <w:tcMar>
              <w:right w:w="454" w:type="dxa"/>
            </w:tcMar>
          </w:tcPr>
          <w:p w14:paraId="6F7CE9C7" w14:textId="0796B3D3" w:rsidR="004904A8" w:rsidRPr="00BF4E57" w:rsidRDefault="004904A8" w:rsidP="004904A8">
            <w:pPr>
              <w:pStyle w:val="TableText"/>
              <w:ind w:right="200"/>
              <w:jc w:val="right"/>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t>–</w:t>
            </w:r>
          </w:p>
        </w:tc>
        <w:tc>
          <w:tcPr>
            <w:tcW w:w="1701" w:type="dxa"/>
            <w:vAlign w:val="bottom"/>
          </w:tcPr>
          <w:p w14:paraId="26216118" w14:textId="3B7D5C6D" w:rsidR="004904A8" w:rsidRPr="00024717" w:rsidRDefault="004904A8" w:rsidP="004904A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t>–</w:t>
            </w:r>
          </w:p>
        </w:tc>
      </w:tr>
      <w:tr w:rsidR="004904A8" w14:paraId="3D3F5943" w14:textId="77777777" w:rsidTr="004904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shd w:val="clear" w:color="auto" w:fill="B5E0FE" w:themeFill="accent1" w:themeFillTint="33"/>
            <w:vAlign w:val="center"/>
          </w:tcPr>
          <w:p w14:paraId="5E8EC98C" w14:textId="50B966DA" w:rsidR="004904A8" w:rsidRPr="00BF4E57" w:rsidRDefault="004904A8" w:rsidP="004904A8">
            <w:pPr>
              <w:pStyle w:val="RowHeading"/>
            </w:pPr>
            <w:r>
              <w:t>Southern Basin</w:t>
            </w:r>
          </w:p>
        </w:tc>
        <w:tc>
          <w:tcPr>
            <w:tcW w:w="1915" w:type="dxa"/>
            <w:shd w:val="clear" w:color="auto" w:fill="B5E0FE" w:themeFill="accent1" w:themeFillTint="33"/>
            <w:tcMar>
              <w:right w:w="454" w:type="dxa"/>
            </w:tcMar>
          </w:tcPr>
          <w:p w14:paraId="26D6DC8C" w14:textId="77777777" w:rsidR="004904A8" w:rsidDel="00186BA5" w:rsidRDefault="004904A8" w:rsidP="004904A8">
            <w:pPr>
              <w:pStyle w:val="RowHeading"/>
              <w:cnfStyle w:val="000000100000" w:firstRow="0" w:lastRow="0" w:firstColumn="0" w:lastColumn="0" w:oddVBand="0" w:evenVBand="0" w:oddHBand="1" w:evenHBand="0" w:firstRowFirstColumn="0" w:firstRowLastColumn="0" w:lastRowFirstColumn="0" w:lastRowLastColumn="0"/>
            </w:pPr>
          </w:p>
        </w:tc>
        <w:tc>
          <w:tcPr>
            <w:tcW w:w="1701" w:type="dxa"/>
            <w:shd w:val="clear" w:color="auto" w:fill="B5E0FE" w:themeFill="accent1" w:themeFillTint="33"/>
            <w:vAlign w:val="bottom"/>
          </w:tcPr>
          <w:p w14:paraId="1BD7B4CA" w14:textId="77777777" w:rsidR="004904A8" w:rsidRPr="003C7CF7" w:rsidRDefault="004904A8" w:rsidP="004904A8">
            <w:pPr>
              <w:pStyle w:val="RowHeading"/>
              <w:cnfStyle w:val="000000100000" w:firstRow="0" w:lastRow="0" w:firstColumn="0" w:lastColumn="0" w:oddVBand="0" w:evenVBand="0" w:oddHBand="1" w:evenHBand="0" w:firstRowFirstColumn="0" w:firstRowLastColumn="0" w:lastRowFirstColumn="0" w:lastRowLastColumn="0"/>
            </w:pPr>
          </w:p>
        </w:tc>
      </w:tr>
      <w:tr w:rsidR="00463FAB" w14:paraId="3398F7FD" w14:textId="77777777" w:rsidTr="000877EB">
        <w:tc>
          <w:tcPr>
            <w:cnfStyle w:val="001000000000" w:firstRow="0" w:lastRow="0" w:firstColumn="1" w:lastColumn="0" w:oddVBand="0" w:evenVBand="0" w:oddHBand="0" w:evenHBand="0" w:firstRowFirstColumn="0" w:firstRowLastColumn="0" w:lastRowFirstColumn="0" w:lastRowLastColumn="0"/>
            <w:tcW w:w="2439" w:type="dxa"/>
            <w:vAlign w:val="center"/>
          </w:tcPr>
          <w:p w14:paraId="15448B60" w14:textId="77777777" w:rsidR="00463FAB" w:rsidRDefault="00463FAB" w:rsidP="00CD0C78">
            <w:pPr>
              <w:pStyle w:val="TableText"/>
            </w:pPr>
            <w:r w:rsidRPr="00BF4E57">
              <w:rPr>
                <w:rFonts w:eastAsia="Times New Roman" w:cs="Calibri"/>
                <w:szCs w:val="18"/>
              </w:rPr>
              <w:t>Broken</w:t>
            </w:r>
          </w:p>
        </w:tc>
        <w:tc>
          <w:tcPr>
            <w:tcW w:w="1915" w:type="dxa"/>
            <w:tcMar>
              <w:right w:w="454" w:type="dxa"/>
            </w:tcMar>
          </w:tcPr>
          <w:p w14:paraId="01A3AD08" w14:textId="534F92F8" w:rsidR="00463FAB" w:rsidRDefault="00391F88" w:rsidP="00CD0C78">
            <w:pPr>
              <w:pStyle w:val="TableText"/>
              <w:ind w:right="200"/>
              <w:jc w:val="right"/>
              <w:cnfStyle w:val="000000000000" w:firstRow="0" w:lastRow="0" w:firstColumn="0" w:lastColumn="0" w:oddVBand="0" w:evenVBand="0" w:oddHBand="0" w:evenHBand="0" w:firstRowFirstColumn="0" w:firstRowLastColumn="0" w:lastRowFirstColumn="0" w:lastRowLastColumn="0"/>
            </w:pPr>
            <w:r>
              <w:t>1,637</w:t>
            </w:r>
          </w:p>
        </w:tc>
        <w:tc>
          <w:tcPr>
            <w:tcW w:w="1701" w:type="dxa"/>
            <w:vAlign w:val="bottom"/>
          </w:tcPr>
          <w:p w14:paraId="7F31C67F" w14:textId="77777777" w:rsidR="00463FAB" w:rsidRPr="00024717" w:rsidRDefault="00463FAB" w:rsidP="00CD0C7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rsidRPr="003C7CF7">
              <w:rPr>
                <w:rFonts w:cs="Calibri"/>
                <w:szCs w:val="18"/>
              </w:rPr>
              <w:t>5</w:t>
            </w:r>
          </w:p>
        </w:tc>
      </w:tr>
      <w:tr w:rsidR="00463FAB" w14:paraId="7AB97E45" w14:textId="77777777" w:rsidTr="0008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0E6E820D" w14:textId="77777777" w:rsidR="00463FAB" w:rsidRDefault="00463FAB" w:rsidP="00CD0C78">
            <w:pPr>
              <w:pStyle w:val="TableText"/>
            </w:pPr>
            <w:r w:rsidRPr="00BF4E57">
              <w:rPr>
                <w:rFonts w:eastAsia="Times New Roman" w:cs="Calibri"/>
                <w:szCs w:val="18"/>
              </w:rPr>
              <w:t>Campaspe</w:t>
            </w:r>
          </w:p>
        </w:tc>
        <w:tc>
          <w:tcPr>
            <w:tcW w:w="1915" w:type="dxa"/>
            <w:tcMar>
              <w:right w:w="454" w:type="dxa"/>
            </w:tcMar>
          </w:tcPr>
          <w:p w14:paraId="407FD7BB" w14:textId="792D6511" w:rsidR="00463FAB" w:rsidRDefault="00391F88" w:rsidP="00CD0C78">
            <w:pPr>
              <w:pStyle w:val="TableText"/>
              <w:ind w:right="200"/>
              <w:jc w:val="right"/>
              <w:cnfStyle w:val="000000100000" w:firstRow="0" w:lastRow="0" w:firstColumn="0" w:lastColumn="0" w:oddVBand="0" w:evenVBand="0" w:oddHBand="1" w:evenHBand="0" w:firstRowFirstColumn="0" w:firstRowLastColumn="0" w:lastRowFirstColumn="0" w:lastRowLastColumn="0"/>
            </w:pPr>
            <w:r>
              <w:t>1,114</w:t>
            </w:r>
          </w:p>
        </w:tc>
        <w:tc>
          <w:tcPr>
            <w:tcW w:w="1701" w:type="dxa"/>
            <w:vAlign w:val="bottom"/>
          </w:tcPr>
          <w:p w14:paraId="038404D1" w14:textId="2EC617F9" w:rsidR="00463FAB" w:rsidRPr="00024717" w:rsidRDefault="00391F88" w:rsidP="00CD0C78">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Pr>
                <w:rFonts w:cs="Calibri"/>
                <w:szCs w:val="18"/>
              </w:rPr>
              <w:t>1</w:t>
            </w:r>
          </w:p>
        </w:tc>
      </w:tr>
      <w:tr w:rsidR="00463FAB" w14:paraId="1715F5AA" w14:textId="77777777" w:rsidTr="000877EB">
        <w:tc>
          <w:tcPr>
            <w:cnfStyle w:val="001000000000" w:firstRow="0" w:lastRow="0" w:firstColumn="1" w:lastColumn="0" w:oddVBand="0" w:evenVBand="0" w:oddHBand="0" w:evenHBand="0" w:firstRowFirstColumn="0" w:firstRowLastColumn="0" w:lastRowFirstColumn="0" w:lastRowLastColumn="0"/>
            <w:tcW w:w="2439" w:type="dxa"/>
            <w:vAlign w:val="center"/>
          </w:tcPr>
          <w:p w14:paraId="392E0DAF" w14:textId="77777777" w:rsidR="00463FAB" w:rsidRDefault="00463FAB" w:rsidP="00CD0C78">
            <w:pPr>
              <w:pStyle w:val="TableText"/>
            </w:pPr>
            <w:r w:rsidRPr="00BF4E57">
              <w:rPr>
                <w:rFonts w:eastAsia="Times New Roman" w:cs="Calibri"/>
                <w:szCs w:val="18"/>
              </w:rPr>
              <w:t>Central Murray</w:t>
            </w:r>
          </w:p>
        </w:tc>
        <w:tc>
          <w:tcPr>
            <w:tcW w:w="1915" w:type="dxa"/>
            <w:tcMar>
              <w:right w:w="454" w:type="dxa"/>
            </w:tcMar>
          </w:tcPr>
          <w:p w14:paraId="36CFCCB7" w14:textId="00928A2C" w:rsidR="00463FAB" w:rsidRDefault="00391F88" w:rsidP="00CD0C78">
            <w:pPr>
              <w:pStyle w:val="TableText"/>
              <w:ind w:right="200"/>
              <w:jc w:val="right"/>
              <w:cnfStyle w:val="000000000000" w:firstRow="0" w:lastRow="0" w:firstColumn="0" w:lastColumn="0" w:oddVBand="0" w:evenVBand="0" w:oddHBand="0" w:evenHBand="0" w:firstRowFirstColumn="0" w:firstRowLastColumn="0" w:lastRowFirstColumn="0" w:lastRowLastColumn="0"/>
            </w:pPr>
            <w:r>
              <w:t>19,497</w:t>
            </w:r>
          </w:p>
        </w:tc>
        <w:tc>
          <w:tcPr>
            <w:tcW w:w="1701" w:type="dxa"/>
            <w:vAlign w:val="bottom"/>
          </w:tcPr>
          <w:p w14:paraId="5CED4FA9" w14:textId="77777777" w:rsidR="00463FAB" w:rsidRPr="00024717" w:rsidRDefault="00463FAB" w:rsidP="00CD0C7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rsidRPr="003C7CF7">
              <w:rPr>
                <w:rFonts w:cs="Calibri"/>
                <w:szCs w:val="18"/>
              </w:rPr>
              <w:t>1</w:t>
            </w:r>
          </w:p>
        </w:tc>
      </w:tr>
      <w:tr w:rsidR="00463FAB" w14:paraId="58A42456" w14:textId="77777777" w:rsidTr="0008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544F5BCB" w14:textId="77777777" w:rsidR="00463FAB" w:rsidRPr="00BF4E57" w:rsidRDefault="00463FAB" w:rsidP="00CD0C78">
            <w:pPr>
              <w:pStyle w:val="TableText"/>
              <w:rPr>
                <w:rFonts w:eastAsia="Times New Roman" w:cs="Calibri"/>
                <w:szCs w:val="18"/>
              </w:rPr>
            </w:pPr>
            <w:r w:rsidRPr="00BF4E57">
              <w:rPr>
                <w:rFonts w:eastAsia="Times New Roman" w:cs="Calibri"/>
                <w:szCs w:val="18"/>
              </w:rPr>
              <w:lastRenderedPageBreak/>
              <w:t>Edward/Kolety–Wakool*</w:t>
            </w:r>
          </w:p>
        </w:tc>
        <w:tc>
          <w:tcPr>
            <w:tcW w:w="1915" w:type="dxa"/>
            <w:tcMar>
              <w:right w:w="454" w:type="dxa"/>
            </w:tcMar>
          </w:tcPr>
          <w:p w14:paraId="03815A49" w14:textId="10CB5DE1" w:rsidR="00463FAB" w:rsidRPr="00BF4E57" w:rsidRDefault="00391F88" w:rsidP="00CD0C78">
            <w:pPr>
              <w:pStyle w:val="TableText"/>
              <w:ind w:right="200"/>
              <w:jc w:val="right"/>
              <w:cnfStyle w:val="000000100000" w:firstRow="0" w:lastRow="0" w:firstColumn="0" w:lastColumn="0" w:oddVBand="0" w:evenVBand="0" w:oddHBand="1" w:evenHBand="0" w:firstRowFirstColumn="0" w:firstRowLastColumn="0" w:lastRowFirstColumn="0" w:lastRowLastColumn="0"/>
              <w:rPr>
                <w:rFonts w:eastAsia="Times New Roman" w:cs="Calibri"/>
                <w:szCs w:val="18"/>
              </w:rPr>
            </w:pPr>
            <w:r>
              <w:t>148,504</w:t>
            </w:r>
          </w:p>
        </w:tc>
        <w:tc>
          <w:tcPr>
            <w:tcW w:w="1701" w:type="dxa"/>
            <w:vAlign w:val="bottom"/>
          </w:tcPr>
          <w:p w14:paraId="14714657" w14:textId="64DD3470" w:rsidR="00463FAB" w:rsidRPr="00024717" w:rsidRDefault="00391F88" w:rsidP="00CD0C78">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Pr>
                <w:rFonts w:cs="Calibri"/>
                <w:szCs w:val="18"/>
              </w:rPr>
              <w:t>9</w:t>
            </w:r>
          </w:p>
        </w:tc>
      </w:tr>
      <w:tr w:rsidR="00463FAB" w14:paraId="1C4536C9" w14:textId="77777777" w:rsidTr="000877EB">
        <w:tc>
          <w:tcPr>
            <w:cnfStyle w:val="001000000000" w:firstRow="0" w:lastRow="0" w:firstColumn="1" w:lastColumn="0" w:oddVBand="0" w:evenVBand="0" w:oddHBand="0" w:evenHBand="0" w:firstRowFirstColumn="0" w:firstRowLastColumn="0" w:lastRowFirstColumn="0" w:lastRowLastColumn="0"/>
            <w:tcW w:w="2439" w:type="dxa"/>
            <w:vAlign w:val="center"/>
          </w:tcPr>
          <w:p w14:paraId="2C12E1F1" w14:textId="77777777" w:rsidR="00463FAB" w:rsidRPr="00BF4E57" w:rsidRDefault="00463FAB" w:rsidP="00CD0C78">
            <w:pPr>
              <w:pStyle w:val="TableText"/>
              <w:rPr>
                <w:rFonts w:eastAsia="Times New Roman" w:cs="Calibri"/>
                <w:szCs w:val="18"/>
              </w:rPr>
            </w:pPr>
            <w:r w:rsidRPr="00BF4E57">
              <w:rPr>
                <w:rFonts w:eastAsia="Times New Roman" w:cs="Calibri"/>
                <w:szCs w:val="18"/>
              </w:rPr>
              <w:t>Goulburn*</w:t>
            </w:r>
          </w:p>
        </w:tc>
        <w:tc>
          <w:tcPr>
            <w:tcW w:w="1915" w:type="dxa"/>
            <w:tcMar>
              <w:right w:w="454" w:type="dxa"/>
            </w:tcMar>
          </w:tcPr>
          <w:p w14:paraId="6B72A733" w14:textId="15319EC5" w:rsidR="00463FAB" w:rsidRPr="00BF4E57" w:rsidRDefault="00391F88" w:rsidP="00CD0C78">
            <w:pPr>
              <w:pStyle w:val="TableText"/>
              <w:ind w:right="200"/>
              <w:jc w:val="right"/>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t>216,335</w:t>
            </w:r>
          </w:p>
        </w:tc>
        <w:tc>
          <w:tcPr>
            <w:tcW w:w="1701" w:type="dxa"/>
            <w:vAlign w:val="bottom"/>
          </w:tcPr>
          <w:p w14:paraId="288548C3" w14:textId="2BA4A0EB" w:rsidR="00463FAB" w:rsidRPr="00024717" w:rsidRDefault="00391F88" w:rsidP="00CD0C7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rPr>
                <w:rFonts w:cs="Calibri"/>
                <w:szCs w:val="18"/>
              </w:rPr>
              <w:t>5</w:t>
            </w:r>
          </w:p>
        </w:tc>
      </w:tr>
      <w:tr w:rsidR="00463FAB" w14:paraId="24B6CE5E" w14:textId="77777777" w:rsidTr="0008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3C0978F5" w14:textId="77777777" w:rsidR="00463FAB" w:rsidRPr="00BF4E57" w:rsidRDefault="00463FAB" w:rsidP="00CD0C78">
            <w:pPr>
              <w:pStyle w:val="TableText"/>
              <w:rPr>
                <w:rFonts w:eastAsia="Times New Roman" w:cs="Calibri"/>
                <w:szCs w:val="18"/>
              </w:rPr>
            </w:pPr>
            <w:r w:rsidRPr="00BF4E57">
              <w:rPr>
                <w:rFonts w:eastAsia="Times New Roman" w:cs="Calibri"/>
                <w:szCs w:val="18"/>
              </w:rPr>
              <w:t>Lachlan*</w:t>
            </w:r>
          </w:p>
        </w:tc>
        <w:tc>
          <w:tcPr>
            <w:tcW w:w="1915" w:type="dxa"/>
            <w:tcMar>
              <w:right w:w="454" w:type="dxa"/>
            </w:tcMar>
          </w:tcPr>
          <w:p w14:paraId="52721B35" w14:textId="68B3B5D5" w:rsidR="00463FAB" w:rsidRPr="00BF4E57" w:rsidRDefault="00391F88" w:rsidP="00CD0C78">
            <w:pPr>
              <w:pStyle w:val="TableText"/>
              <w:ind w:right="200"/>
              <w:jc w:val="right"/>
              <w:cnfStyle w:val="000000100000" w:firstRow="0" w:lastRow="0" w:firstColumn="0" w:lastColumn="0" w:oddVBand="0" w:evenVBand="0" w:oddHBand="1" w:evenHBand="0" w:firstRowFirstColumn="0" w:firstRowLastColumn="0" w:lastRowFirstColumn="0" w:lastRowLastColumn="0"/>
              <w:rPr>
                <w:rFonts w:eastAsia="Times New Roman" w:cs="Calibri"/>
                <w:szCs w:val="18"/>
              </w:rPr>
            </w:pPr>
            <w:r>
              <w:t>1,213</w:t>
            </w:r>
          </w:p>
        </w:tc>
        <w:tc>
          <w:tcPr>
            <w:tcW w:w="1701" w:type="dxa"/>
            <w:vAlign w:val="bottom"/>
          </w:tcPr>
          <w:p w14:paraId="7E8A8FAD" w14:textId="65BE176F" w:rsidR="00463FAB" w:rsidRPr="00024717" w:rsidRDefault="00391F88" w:rsidP="00CD0C78">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Pr>
                <w:rFonts w:cs="Calibri"/>
                <w:szCs w:val="18"/>
              </w:rPr>
              <w:t>1</w:t>
            </w:r>
          </w:p>
        </w:tc>
      </w:tr>
      <w:tr w:rsidR="00D72218" w14:paraId="2E5E2522" w14:textId="77777777">
        <w:tc>
          <w:tcPr>
            <w:cnfStyle w:val="001000000000" w:firstRow="0" w:lastRow="0" w:firstColumn="1" w:lastColumn="0" w:oddVBand="0" w:evenVBand="0" w:oddHBand="0" w:evenHBand="0" w:firstRowFirstColumn="0" w:firstRowLastColumn="0" w:lastRowFirstColumn="0" w:lastRowLastColumn="0"/>
            <w:tcW w:w="2439" w:type="dxa"/>
            <w:vAlign w:val="center"/>
          </w:tcPr>
          <w:p w14:paraId="3325C654" w14:textId="77777777" w:rsidR="00D72218" w:rsidRPr="00BF4E57" w:rsidRDefault="00D72218">
            <w:pPr>
              <w:pStyle w:val="TableText"/>
              <w:rPr>
                <w:rFonts w:eastAsia="Times New Roman" w:cs="Calibri"/>
                <w:szCs w:val="18"/>
              </w:rPr>
            </w:pPr>
            <w:r w:rsidRPr="00BF4E57">
              <w:rPr>
                <w:rFonts w:eastAsia="Times New Roman" w:cs="Calibri"/>
                <w:szCs w:val="18"/>
              </w:rPr>
              <w:t>Loddon</w:t>
            </w:r>
          </w:p>
        </w:tc>
        <w:tc>
          <w:tcPr>
            <w:tcW w:w="1915" w:type="dxa"/>
            <w:tcMar>
              <w:right w:w="454" w:type="dxa"/>
            </w:tcMar>
          </w:tcPr>
          <w:p w14:paraId="4B365643" w14:textId="77777777" w:rsidR="00D72218" w:rsidRPr="00BF4E57" w:rsidRDefault="00D72218">
            <w:pPr>
              <w:pStyle w:val="TableText"/>
              <w:ind w:right="200"/>
              <w:jc w:val="right"/>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t>3,762</w:t>
            </w:r>
          </w:p>
        </w:tc>
        <w:tc>
          <w:tcPr>
            <w:tcW w:w="1701" w:type="dxa"/>
            <w:vAlign w:val="bottom"/>
          </w:tcPr>
          <w:p w14:paraId="7E9828B2" w14:textId="4895E2C7" w:rsidR="00D72218" w:rsidRPr="00024717" w:rsidRDefault="00D7221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rPr>
                <w:rFonts w:cs="Calibri"/>
                <w:szCs w:val="18"/>
              </w:rPr>
              <w:t>3</w:t>
            </w:r>
          </w:p>
        </w:tc>
      </w:tr>
      <w:tr w:rsidR="00463FAB" w14:paraId="54EC3981" w14:textId="77777777" w:rsidTr="0008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1417C2FE" w14:textId="04CB3364" w:rsidR="00463FAB" w:rsidRPr="00BF4E57" w:rsidRDefault="00463FAB" w:rsidP="00CD0C78">
            <w:pPr>
              <w:pStyle w:val="TableText"/>
              <w:rPr>
                <w:rFonts w:eastAsia="Times New Roman" w:cs="Calibri"/>
                <w:szCs w:val="18"/>
              </w:rPr>
            </w:pPr>
            <w:r w:rsidRPr="00BF4E57">
              <w:rPr>
                <w:rFonts w:eastAsia="Times New Roman" w:cs="Calibri"/>
                <w:szCs w:val="18"/>
              </w:rPr>
              <w:t>Lower Darling</w:t>
            </w:r>
            <w:r w:rsidR="00D72218">
              <w:rPr>
                <w:rFonts w:eastAsia="Times New Roman" w:cs="Calibri"/>
                <w:szCs w:val="18"/>
              </w:rPr>
              <w:t>/Baaka</w:t>
            </w:r>
          </w:p>
        </w:tc>
        <w:tc>
          <w:tcPr>
            <w:tcW w:w="1915" w:type="dxa"/>
            <w:tcMar>
              <w:right w:w="454" w:type="dxa"/>
            </w:tcMar>
          </w:tcPr>
          <w:p w14:paraId="6EA051C1" w14:textId="3929C3E3" w:rsidR="00463FAB" w:rsidRPr="00BF4E57" w:rsidRDefault="00391F88" w:rsidP="00CD0C78">
            <w:pPr>
              <w:pStyle w:val="TableText"/>
              <w:ind w:right="200"/>
              <w:jc w:val="right"/>
              <w:cnfStyle w:val="000000100000" w:firstRow="0" w:lastRow="0" w:firstColumn="0" w:lastColumn="0" w:oddVBand="0" w:evenVBand="0" w:oddHBand="1" w:evenHBand="0" w:firstRowFirstColumn="0" w:firstRowLastColumn="0" w:lastRowFirstColumn="0" w:lastRowLastColumn="0"/>
              <w:rPr>
                <w:rFonts w:eastAsia="Times New Roman" w:cs="Calibri"/>
                <w:szCs w:val="18"/>
              </w:rPr>
            </w:pPr>
            <w:r>
              <w:t>110,834</w:t>
            </w:r>
          </w:p>
        </w:tc>
        <w:tc>
          <w:tcPr>
            <w:tcW w:w="1701" w:type="dxa"/>
            <w:vAlign w:val="bottom"/>
          </w:tcPr>
          <w:p w14:paraId="176D3DE5" w14:textId="0A0522B7" w:rsidR="00463FAB" w:rsidRPr="00024717" w:rsidRDefault="00391F88" w:rsidP="00CD0C78">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Pr>
                <w:rFonts w:cs="Calibri"/>
                <w:szCs w:val="18"/>
              </w:rPr>
              <w:t>2</w:t>
            </w:r>
          </w:p>
        </w:tc>
      </w:tr>
      <w:tr w:rsidR="00463FAB" w14:paraId="3BE49906" w14:textId="77777777" w:rsidTr="000877EB">
        <w:tc>
          <w:tcPr>
            <w:cnfStyle w:val="001000000000" w:firstRow="0" w:lastRow="0" w:firstColumn="1" w:lastColumn="0" w:oddVBand="0" w:evenVBand="0" w:oddHBand="0" w:evenHBand="0" w:firstRowFirstColumn="0" w:firstRowLastColumn="0" w:lastRowFirstColumn="0" w:lastRowLastColumn="0"/>
            <w:tcW w:w="2439" w:type="dxa"/>
            <w:vAlign w:val="center"/>
          </w:tcPr>
          <w:p w14:paraId="11E31B89" w14:textId="77777777" w:rsidR="00463FAB" w:rsidRPr="00BF4E57" w:rsidRDefault="00463FAB" w:rsidP="00CD0C78">
            <w:pPr>
              <w:pStyle w:val="TableText"/>
              <w:rPr>
                <w:rFonts w:eastAsia="Times New Roman" w:cs="Calibri"/>
                <w:szCs w:val="18"/>
              </w:rPr>
            </w:pPr>
            <w:r w:rsidRPr="00BF4E57">
              <w:rPr>
                <w:rFonts w:eastAsia="Times New Roman" w:cs="Calibri"/>
                <w:szCs w:val="18"/>
              </w:rPr>
              <w:t>Lower Murray*</w:t>
            </w:r>
          </w:p>
        </w:tc>
        <w:tc>
          <w:tcPr>
            <w:tcW w:w="1915" w:type="dxa"/>
            <w:tcMar>
              <w:right w:w="454" w:type="dxa"/>
            </w:tcMar>
          </w:tcPr>
          <w:p w14:paraId="50A40659" w14:textId="124C9BE8" w:rsidR="00463FAB" w:rsidRPr="00BF4E57" w:rsidRDefault="00391F88" w:rsidP="00CD0C78">
            <w:pPr>
              <w:pStyle w:val="TableText"/>
              <w:ind w:right="200"/>
              <w:jc w:val="right"/>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t>1,384,021</w:t>
            </w:r>
          </w:p>
        </w:tc>
        <w:tc>
          <w:tcPr>
            <w:tcW w:w="1701" w:type="dxa"/>
            <w:vAlign w:val="bottom"/>
          </w:tcPr>
          <w:p w14:paraId="3F946B49" w14:textId="2005CEDA" w:rsidR="00463FAB" w:rsidRPr="00024717" w:rsidRDefault="00391F88" w:rsidP="00CD0C78">
            <w:pPr>
              <w:pStyle w:val="TableText"/>
              <w:ind w:right="720"/>
              <w:jc w:val="right"/>
              <w:cnfStyle w:val="000000000000" w:firstRow="0" w:lastRow="0" w:firstColumn="0" w:lastColumn="0" w:oddVBand="0" w:evenVBand="0" w:oddHBand="0" w:evenHBand="0" w:firstRowFirstColumn="0" w:firstRowLastColumn="0" w:lastRowFirstColumn="0" w:lastRowLastColumn="0"/>
              <w:rPr>
                <w:szCs w:val="18"/>
              </w:rPr>
            </w:pPr>
            <w:r>
              <w:rPr>
                <w:rFonts w:cs="Calibri"/>
                <w:szCs w:val="18"/>
              </w:rPr>
              <w:t>4</w:t>
            </w:r>
          </w:p>
        </w:tc>
      </w:tr>
      <w:tr w:rsidR="00463FAB" w14:paraId="5AAF3084" w14:textId="77777777" w:rsidTr="0008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4BCF5C49" w14:textId="77777777" w:rsidR="00463FAB" w:rsidRPr="00BF4E57" w:rsidRDefault="00463FAB" w:rsidP="00CD0C78">
            <w:pPr>
              <w:pStyle w:val="TableText"/>
              <w:rPr>
                <w:rFonts w:eastAsia="Times New Roman" w:cs="Calibri"/>
                <w:szCs w:val="18"/>
              </w:rPr>
            </w:pPr>
            <w:r w:rsidRPr="00BF4E57">
              <w:rPr>
                <w:rFonts w:eastAsia="Times New Roman" w:cs="Calibri"/>
                <w:szCs w:val="18"/>
              </w:rPr>
              <w:t>Murrumbidgee*</w:t>
            </w:r>
          </w:p>
        </w:tc>
        <w:tc>
          <w:tcPr>
            <w:tcW w:w="1915" w:type="dxa"/>
            <w:tcMar>
              <w:right w:w="454" w:type="dxa"/>
            </w:tcMar>
          </w:tcPr>
          <w:p w14:paraId="6D1445F1" w14:textId="19DD442F" w:rsidR="00463FAB" w:rsidRPr="00BF4E57" w:rsidRDefault="00391F88" w:rsidP="00CD0C78">
            <w:pPr>
              <w:pStyle w:val="TableText"/>
              <w:ind w:right="200"/>
              <w:jc w:val="right"/>
              <w:cnfStyle w:val="000000100000" w:firstRow="0" w:lastRow="0" w:firstColumn="0" w:lastColumn="0" w:oddVBand="0" w:evenVBand="0" w:oddHBand="1" w:evenHBand="0" w:firstRowFirstColumn="0" w:firstRowLastColumn="0" w:lastRowFirstColumn="0" w:lastRowLastColumn="0"/>
              <w:rPr>
                <w:rFonts w:eastAsia="Times New Roman" w:cs="Calibri"/>
                <w:szCs w:val="18"/>
              </w:rPr>
            </w:pPr>
            <w:r>
              <w:t>203,235</w:t>
            </w:r>
          </w:p>
        </w:tc>
        <w:tc>
          <w:tcPr>
            <w:tcW w:w="1701" w:type="dxa"/>
            <w:vAlign w:val="bottom"/>
          </w:tcPr>
          <w:p w14:paraId="3DCC1E32" w14:textId="77777777" w:rsidR="00463FAB" w:rsidRPr="00024717" w:rsidRDefault="00463FAB" w:rsidP="00CD0C78">
            <w:pPr>
              <w:pStyle w:val="TableText"/>
              <w:ind w:right="720"/>
              <w:jc w:val="right"/>
              <w:cnfStyle w:val="000000100000" w:firstRow="0" w:lastRow="0" w:firstColumn="0" w:lastColumn="0" w:oddVBand="0" w:evenVBand="0" w:oddHBand="1" w:evenHBand="0" w:firstRowFirstColumn="0" w:firstRowLastColumn="0" w:lastRowFirstColumn="0" w:lastRowLastColumn="0"/>
              <w:rPr>
                <w:szCs w:val="18"/>
              </w:rPr>
            </w:pPr>
            <w:r w:rsidRPr="003C7CF7">
              <w:rPr>
                <w:rFonts w:cs="Calibri"/>
                <w:szCs w:val="18"/>
              </w:rPr>
              <w:t>1</w:t>
            </w:r>
          </w:p>
        </w:tc>
      </w:tr>
      <w:tr w:rsidR="00463FAB" w14:paraId="74C02C0E" w14:textId="77777777" w:rsidTr="000877EB">
        <w:tc>
          <w:tcPr>
            <w:cnfStyle w:val="001000000000" w:firstRow="0" w:lastRow="0" w:firstColumn="1" w:lastColumn="0" w:oddVBand="0" w:evenVBand="0" w:oddHBand="0" w:evenHBand="0" w:firstRowFirstColumn="0" w:firstRowLastColumn="0" w:lastRowFirstColumn="0" w:lastRowLastColumn="0"/>
            <w:tcW w:w="2439" w:type="dxa"/>
            <w:vAlign w:val="center"/>
          </w:tcPr>
          <w:p w14:paraId="317739CE" w14:textId="77777777" w:rsidR="00463FAB" w:rsidRPr="00BF4E57" w:rsidRDefault="00463FAB" w:rsidP="003569C4">
            <w:pPr>
              <w:pStyle w:val="TableText"/>
              <w:keepNext/>
              <w:keepLines/>
              <w:rPr>
                <w:rFonts w:eastAsia="Times New Roman" w:cs="Calibri"/>
                <w:szCs w:val="18"/>
              </w:rPr>
            </w:pPr>
            <w:r w:rsidRPr="00BF4E57">
              <w:rPr>
                <w:rFonts w:eastAsia="Times New Roman" w:cs="Calibri"/>
                <w:szCs w:val="18"/>
              </w:rPr>
              <w:t>Ovens</w:t>
            </w:r>
          </w:p>
        </w:tc>
        <w:tc>
          <w:tcPr>
            <w:tcW w:w="1915" w:type="dxa"/>
            <w:tcMar>
              <w:right w:w="454" w:type="dxa"/>
            </w:tcMar>
          </w:tcPr>
          <w:p w14:paraId="45F1606A" w14:textId="588D8162" w:rsidR="00463FAB" w:rsidRPr="00BF4E57" w:rsidRDefault="004C2A75" w:rsidP="003569C4">
            <w:pPr>
              <w:pStyle w:val="TableText"/>
              <w:keepNext/>
              <w:keepLines/>
              <w:ind w:right="200"/>
              <w:jc w:val="right"/>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t>–</w:t>
            </w:r>
          </w:p>
        </w:tc>
        <w:tc>
          <w:tcPr>
            <w:tcW w:w="1701" w:type="dxa"/>
            <w:vAlign w:val="bottom"/>
          </w:tcPr>
          <w:p w14:paraId="580C8E69" w14:textId="47A9834A" w:rsidR="00463FAB" w:rsidRPr="00024717" w:rsidRDefault="004C2A75" w:rsidP="003569C4">
            <w:pPr>
              <w:pStyle w:val="TableText"/>
              <w:keepNext/>
              <w:keepLines/>
              <w:ind w:right="720"/>
              <w:jc w:val="right"/>
              <w:cnfStyle w:val="000000000000" w:firstRow="0" w:lastRow="0" w:firstColumn="0" w:lastColumn="0" w:oddVBand="0" w:evenVBand="0" w:oddHBand="0" w:evenHBand="0" w:firstRowFirstColumn="0" w:firstRowLastColumn="0" w:lastRowFirstColumn="0" w:lastRowLastColumn="0"/>
              <w:rPr>
                <w:szCs w:val="18"/>
              </w:rPr>
            </w:pPr>
            <w:r>
              <w:t>–</w:t>
            </w:r>
          </w:p>
        </w:tc>
      </w:tr>
      <w:tr w:rsidR="00463FAB" w14:paraId="5551DCB1" w14:textId="77777777" w:rsidTr="0008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0B671418" w14:textId="77777777" w:rsidR="00463FAB" w:rsidRPr="00BF4E57" w:rsidRDefault="00463FAB" w:rsidP="003569C4">
            <w:pPr>
              <w:pStyle w:val="TableText"/>
              <w:keepNext/>
              <w:keepLines/>
              <w:rPr>
                <w:rFonts w:eastAsia="Times New Roman" w:cs="Calibri"/>
                <w:szCs w:val="18"/>
              </w:rPr>
            </w:pPr>
            <w:r w:rsidRPr="00BF4E57">
              <w:rPr>
                <w:rFonts w:eastAsia="Times New Roman" w:cs="Calibri"/>
                <w:szCs w:val="18"/>
              </w:rPr>
              <w:t>Wimmera</w:t>
            </w:r>
          </w:p>
        </w:tc>
        <w:tc>
          <w:tcPr>
            <w:tcW w:w="1915" w:type="dxa"/>
            <w:tcMar>
              <w:right w:w="454" w:type="dxa"/>
            </w:tcMar>
          </w:tcPr>
          <w:p w14:paraId="0C7A8BB4" w14:textId="59F8F663" w:rsidR="00463FAB" w:rsidRPr="00BF4E57" w:rsidRDefault="00391F88" w:rsidP="003569C4">
            <w:pPr>
              <w:pStyle w:val="TableText"/>
              <w:keepNext/>
              <w:keepLines/>
              <w:ind w:right="200"/>
              <w:jc w:val="right"/>
              <w:cnfStyle w:val="000000100000" w:firstRow="0" w:lastRow="0" w:firstColumn="0" w:lastColumn="0" w:oddVBand="0" w:evenVBand="0" w:oddHBand="1" w:evenHBand="0" w:firstRowFirstColumn="0" w:firstRowLastColumn="0" w:lastRowFirstColumn="0" w:lastRowLastColumn="0"/>
              <w:rPr>
                <w:rFonts w:eastAsia="Times New Roman" w:cs="Calibri"/>
                <w:szCs w:val="18"/>
              </w:rPr>
            </w:pPr>
            <w:r>
              <w:t>2,762</w:t>
            </w:r>
          </w:p>
        </w:tc>
        <w:tc>
          <w:tcPr>
            <w:tcW w:w="1701" w:type="dxa"/>
            <w:vAlign w:val="bottom"/>
          </w:tcPr>
          <w:p w14:paraId="544E2798" w14:textId="4D1E7CEF" w:rsidR="00463FAB" w:rsidRPr="00024717" w:rsidRDefault="00391F88" w:rsidP="003569C4">
            <w:pPr>
              <w:pStyle w:val="TableText"/>
              <w:keepNext/>
              <w:keepLines/>
              <w:ind w:right="720"/>
              <w:jc w:val="right"/>
              <w:cnfStyle w:val="000000100000" w:firstRow="0" w:lastRow="0" w:firstColumn="0" w:lastColumn="0" w:oddVBand="0" w:evenVBand="0" w:oddHBand="1" w:evenHBand="0" w:firstRowFirstColumn="0" w:firstRowLastColumn="0" w:lastRowFirstColumn="0" w:lastRowLastColumn="0"/>
              <w:rPr>
                <w:szCs w:val="18"/>
              </w:rPr>
            </w:pPr>
            <w:r>
              <w:rPr>
                <w:rFonts w:cs="Calibri"/>
                <w:szCs w:val="18"/>
              </w:rPr>
              <w:t>2</w:t>
            </w:r>
          </w:p>
        </w:tc>
      </w:tr>
      <w:tr w:rsidR="00463FAB" w14:paraId="7D6F08F9" w14:textId="77777777" w:rsidTr="000877EB">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vAlign w:val="center"/>
          </w:tcPr>
          <w:p w14:paraId="35D0E81F" w14:textId="77777777" w:rsidR="00463FAB" w:rsidRPr="00BF4E57" w:rsidRDefault="00463FAB" w:rsidP="003569C4">
            <w:pPr>
              <w:pStyle w:val="TableText"/>
              <w:keepNext/>
              <w:keepLines/>
              <w:rPr>
                <w:rFonts w:eastAsia="Times New Roman" w:cs="Calibri"/>
                <w:szCs w:val="18"/>
              </w:rPr>
            </w:pPr>
            <w:r w:rsidRPr="00BF4E57">
              <w:rPr>
                <w:rFonts w:eastAsia="Times New Roman" w:cs="Calibri"/>
                <w:szCs w:val="18"/>
              </w:rPr>
              <w:t>Total</w:t>
            </w:r>
          </w:p>
        </w:tc>
        <w:tc>
          <w:tcPr>
            <w:tcW w:w="1915" w:type="dxa"/>
            <w:tcMar>
              <w:right w:w="454" w:type="dxa"/>
            </w:tcMar>
            <w:vAlign w:val="bottom"/>
          </w:tcPr>
          <w:p w14:paraId="2A65C800" w14:textId="25ABA881" w:rsidR="00463FAB" w:rsidRPr="00BF4E57" w:rsidRDefault="00391F88" w:rsidP="003569C4">
            <w:pPr>
              <w:pStyle w:val="TableText"/>
              <w:keepNext/>
              <w:keepLines/>
              <w:ind w:right="200"/>
              <w:jc w:val="right"/>
              <w:cnfStyle w:val="010000000000" w:firstRow="0" w:lastRow="1" w:firstColumn="0" w:lastColumn="0" w:oddVBand="0" w:evenVBand="0" w:oddHBand="0" w:evenHBand="0" w:firstRowFirstColumn="0" w:firstRowLastColumn="0" w:lastRowFirstColumn="0" w:lastRowLastColumn="0"/>
              <w:rPr>
                <w:rFonts w:eastAsia="Times New Roman" w:cs="Calibri"/>
                <w:szCs w:val="18"/>
              </w:rPr>
            </w:pPr>
            <w:r>
              <w:rPr>
                <w:rFonts w:eastAsia="Times New Roman" w:cs="Calibri"/>
                <w:szCs w:val="18"/>
              </w:rPr>
              <w:t>2,160,239</w:t>
            </w:r>
          </w:p>
        </w:tc>
        <w:tc>
          <w:tcPr>
            <w:tcW w:w="1701" w:type="dxa"/>
            <w:vAlign w:val="center"/>
          </w:tcPr>
          <w:p w14:paraId="1DB68091" w14:textId="456C21DF" w:rsidR="00463FAB" w:rsidRDefault="00391F88" w:rsidP="003569C4">
            <w:pPr>
              <w:pStyle w:val="TableText"/>
              <w:keepNext/>
              <w:keepLines/>
              <w:ind w:right="720"/>
              <w:jc w:val="right"/>
              <w:cnfStyle w:val="010000000000" w:firstRow="0" w:lastRow="1" w:firstColumn="0" w:lastColumn="0" w:oddVBand="0" w:evenVBand="0" w:oddHBand="0" w:evenHBand="0" w:firstRowFirstColumn="0" w:firstRowLastColumn="0" w:lastRowFirstColumn="0" w:lastRowLastColumn="0"/>
            </w:pPr>
            <w:r>
              <w:t>38</w:t>
            </w:r>
          </w:p>
        </w:tc>
      </w:tr>
    </w:tbl>
    <w:p w14:paraId="291EEBEA" w14:textId="6111DE0C" w:rsidR="00A47E3A" w:rsidRDefault="00755FC6" w:rsidP="00781DD8">
      <w:pPr>
        <w:pStyle w:val="Heading2"/>
      </w:pPr>
      <w:bookmarkStart w:id="124" w:name="_Toc169543870"/>
      <w:bookmarkStart w:id="125" w:name="_Toc202187851"/>
      <w:r w:rsidRPr="00C601A2">
        <w:t>O</w:t>
      </w:r>
      <w:r w:rsidR="00415514" w:rsidRPr="00C601A2">
        <w:t>utcomes</w:t>
      </w:r>
      <w:bookmarkEnd w:id="124"/>
      <w:bookmarkEnd w:id="125"/>
    </w:p>
    <w:p w14:paraId="4E0564AE" w14:textId="0202468A" w:rsidR="005850B4" w:rsidRPr="00C601A2" w:rsidRDefault="005850B4" w:rsidP="005850B4">
      <w:pPr>
        <w:pStyle w:val="Heading3"/>
      </w:pPr>
      <w:r w:rsidRPr="00C601A2">
        <w:t>Metabolic responses to flow</w:t>
      </w:r>
      <w:r w:rsidR="005A6495">
        <w:t>s</w:t>
      </w:r>
      <w:r w:rsidRPr="00C601A2">
        <w:t xml:space="preserve"> at Selected Areas</w:t>
      </w:r>
    </w:p>
    <w:p w14:paraId="62047BEE" w14:textId="605C4D03" w:rsidR="00684736" w:rsidRPr="00C601A2" w:rsidRDefault="00684736" w:rsidP="005742A6">
      <w:pPr>
        <w:pStyle w:val="BodyText"/>
      </w:pPr>
      <w:r w:rsidRPr="00C601A2">
        <w:t xml:space="preserve">Rates of data that met output acceptance criteria from the </w:t>
      </w:r>
      <w:r w:rsidR="00174242">
        <w:t>Bayesian single-station estimation</w:t>
      </w:r>
      <w:r w:rsidRPr="00C601A2">
        <w:t xml:space="preserve"> routine remained very low in some Selected Areas</w:t>
      </w:r>
      <w:r w:rsidR="000D4ABE">
        <w:t>.</w:t>
      </w:r>
      <w:r w:rsidR="0036393F">
        <w:rPr>
          <w:rStyle w:val="FootnoteReference"/>
        </w:rPr>
        <w:footnoteReference w:id="9"/>
      </w:r>
      <w:r w:rsidRPr="00C601A2">
        <w:t xml:space="preserve"> </w:t>
      </w:r>
      <w:r w:rsidR="004747A8">
        <w:t xml:space="preserve">Within the metabolic rate data, </w:t>
      </w:r>
      <w:r w:rsidR="0008217B">
        <w:t>3</w:t>
      </w:r>
      <w:r w:rsidR="009558F5">
        <w:t>,</w:t>
      </w:r>
      <w:r w:rsidR="0008217B">
        <w:t>027</w:t>
      </w:r>
      <w:r w:rsidR="00861578">
        <w:t xml:space="preserve"> records </w:t>
      </w:r>
      <w:r w:rsidR="00861578" w:rsidRPr="00C601A2">
        <w:t>(daily GPP and ER measured as mg/L/day)</w:t>
      </w:r>
      <w:r w:rsidR="00861578">
        <w:t xml:space="preserve"> met acceptance rates</w:t>
      </w:r>
      <w:r w:rsidR="008868E0">
        <w:t>:</w:t>
      </w:r>
    </w:p>
    <w:p w14:paraId="61135431" w14:textId="2B98788A" w:rsidR="00684736" w:rsidRPr="00C601A2" w:rsidRDefault="00684736" w:rsidP="00B5375C">
      <w:pPr>
        <w:pStyle w:val="ListBullet"/>
      </w:pPr>
      <w:r>
        <w:t xml:space="preserve">Lower Murray River – </w:t>
      </w:r>
      <w:r w:rsidR="00AA45BD">
        <w:t>59</w:t>
      </w:r>
      <w:r>
        <w:t>% (2</w:t>
      </w:r>
      <w:r w:rsidR="00AA45BD">
        <w:t>61</w:t>
      </w:r>
      <w:r>
        <w:t xml:space="preserve"> daily records included)</w:t>
      </w:r>
    </w:p>
    <w:p w14:paraId="3D91C9DF" w14:textId="25DE5734" w:rsidR="00684736" w:rsidRPr="00C601A2" w:rsidRDefault="00684736" w:rsidP="00B5375C">
      <w:pPr>
        <w:pStyle w:val="ListBullet"/>
      </w:pPr>
      <w:r>
        <w:t xml:space="preserve">Goulburn River – </w:t>
      </w:r>
      <w:r w:rsidR="003A08C3">
        <w:t>2</w:t>
      </w:r>
      <w:r w:rsidR="006106EE">
        <w:t>5</w:t>
      </w:r>
      <w:r>
        <w:t>% (</w:t>
      </w:r>
      <w:r w:rsidR="00D21B81">
        <w:t>27</w:t>
      </w:r>
      <w:r w:rsidR="006106EE">
        <w:t>2</w:t>
      </w:r>
      <w:r>
        <w:t xml:space="preserve"> daily records included)</w:t>
      </w:r>
    </w:p>
    <w:p w14:paraId="1CFA4356" w14:textId="1B583A44" w:rsidR="00684736" w:rsidRPr="00C601A2" w:rsidRDefault="00684736" w:rsidP="00B5375C">
      <w:pPr>
        <w:pStyle w:val="ListBullet"/>
      </w:pPr>
      <w:r>
        <w:t xml:space="preserve">Edward/Kolety–Wakool river systems – </w:t>
      </w:r>
      <w:r w:rsidR="006106EE">
        <w:t>52</w:t>
      </w:r>
      <w:r>
        <w:t>% (</w:t>
      </w:r>
      <w:r w:rsidR="006106EE">
        <w:t>1</w:t>
      </w:r>
      <w:r w:rsidR="00F40591">
        <w:t>,</w:t>
      </w:r>
      <w:r w:rsidR="006106EE">
        <w:t>2</w:t>
      </w:r>
      <w:r w:rsidR="00892643">
        <w:t>36</w:t>
      </w:r>
      <w:r>
        <w:t xml:space="preserve"> daily records included)</w:t>
      </w:r>
    </w:p>
    <w:p w14:paraId="40967E8D" w14:textId="60FBFC26" w:rsidR="00684736" w:rsidRPr="00C601A2" w:rsidRDefault="00684736" w:rsidP="00B5375C">
      <w:pPr>
        <w:pStyle w:val="ListBullet"/>
      </w:pPr>
      <w:r>
        <w:t xml:space="preserve">Lachlan River System – </w:t>
      </w:r>
      <w:r w:rsidR="00A265F4">
        <w:t>58</w:t>
      </w:r>
      <w:r>
        <w:t>% (</w:t>
      </w:r>
      <w:r w:rsidR="00A265F4">
        <w:t>856</w:t>
      </w:r>
      <w:r>
        <w:t xml:space="preserve"> daily records included)</w:t>
      </w:r>
    </w:p>
    <w:p w14:paraId="6881BB37" w14:textId="5EB1BE6D" w:rsidR="00684736" w:rsidRPr="00C601A2" w:rsidRDefault="00684736" w:rsidP="00B5375C">
      <w:pPr>
        <w:pStyle w:val="ListBullet"/>
      </w:pPr>
      <w:r>
        <w:t xml:space="preserve">Gwydir River System – </w:t>
      </w:r>
      <w:r w:rsidR="00A265F4">
        <w:t>47</w:t>
      </w:r>
      <w:r>
        <w:t>% (</w:t>
      </w:r>
      <w:r w:rsidR="00A265F4">
        <w:t>246</w:t>
      </w:r>
      <w:r>
        <w:t xml:space="preserve"> daily records included)</w:t>
      </w:r>
    </w:p>
    <w:p w14:paraId="233828E8" w14:textId="604FFCF9" w:rsidR="00906DFD" w:rsidRPr="00906DFD" w:rsidRDefault="00684736" w:rsidP="00B5375C">
      <w:pPr>
        <w:pStyle w:val="ListBullet"/>
        <w:rPr>
          <w:rFonts w:cs="Calibri"/>
        </w:rPr>
      </w:pPr>
      <w:r>
        <w:t xml:space="preserve">Junction of Warrego and Darling rivers – </w:t>
      </w:r>
      <w:r w:rsidR="00155270">
        <w:t>14</w:t>
      </w:r>
      <w:r>
        <w:t>% (</w:t>
      </w:r>
      <w:r w:rsidR="00155270">
        <w:t>84</w:t>
      </w:r>
      <w:r>
        <w:t xml:space="preserve"> daily records included)</w:t>
      </w:r>
    </w:p>
    <w:p w14:paraId="4265B1A7" w14:textId="10236EE7" w:rsidR="007A274A" w:rsidRPr="00C601A2" w:rsidRDefault="001417BD" w:rsidP="00B5375C">
      <w:pPr>
        <w:pStyle w:val="ListBullet"/>
        <w:rPr>
          <w:rFonts w:cs="Calibri"/>
        </w:rPr>
      </w:pPr>
      <w:r>
        <w:t xml:space="preserve">Murrumbidgee River </w:t>
      </w:r>
      <w:r w:rsidR="00FE3C35">
        <w:t>System</w:t>
      </w:r>
      <w:r>
        <w:t xml:space="preserve"> – </w:t>
      </w:r>
      <w:r w:rsidR="00155270">
        <w:t>32</w:t>
      </w:r>
      <w:r>
        <w:t>% (</w:t>
      </w:r>
      <w:r w:rsidR="00B551D5">
        <w:t>72</w:t>
      </w:r>
      <w:r>
        <w:t xml:space="preserve"> daily records included)</w:t>
      </w:r>
      <w:r w:rsidR="00684736">
        <w:t>.</w:t>
      </w:r>
    </w:p>
    <w:p w14:paraId="70B9AEF6" w14:textId="38C75ABF" w:rsidR="00684736" w:rsidRPr="00C601A2" w:rsidRDefault="00684736" w:rsidP="005742A6">
      <w:pPr>
        <w:pStyle w:val="BodyText"/>
      </w:pPr>
      <w:r w:rsidRPr="00C601A2">
        <w:t xml:space="preserve">Poor model fit </w:t>
      </w:r>
      <w:r w:rsidR="00271A22">
        <w:t>(</w:t>
      </w:r>
      <w:r w:rsidRPr="00C601A2">
        <w:t>leading to low R</w:t>
      </w:r>
      <w:r w:rsidRPr="00C601A2">
        <w:rPr>
          <w:vertAlign w:val="superscript"/>
        </w:rPr>
        <w:t>2</w:t>
      </w:r>
      <w:r w:rsidRPr="00C601A2">
        <w:t xml:space="preserve"> values</w:t>
      </w:r>
      <w:r w:rsidR="00271A22">
        <w:t>)</w:t>
      </w:r>
      <w:r w:rsidRPr="00C601A2">
        <w:t xml:space="preserve"> and </w:t>
      </w:r>
      <w:r w:rsidR="0A2CC8BD" w:rsidRPr="00C601A2">
        <w:t xml:space="preserve">model estimation of unrealistic </w:t>
      </w:r>
      <w:r w:rsidRPr="00C601A2">
        <w:t>K (reaeration coefficient) constants arising from slow-moving water (e.g. locks of the Lower Murray River, cease-to-flow events in the northern Basin) were leading causes of low data acceptance rates. Improving flexibility in criteria for K and R</w:t>
      </w:r>
      <w:r w:rsidRPr="00C601A2">
        <w:rPr>
          <w:vertAlign w:val="superscript"/>
        </w:rPr>
        <w:t>2</w:t>
      </w:r>
      <w:r w:rsidRPr="00C601A2">
        <w:t xml:space="preserve"> model fits is essential to improve data acceptance, particularly for slow</w:t>
      </w:r>
      <w:r w:rsidR="0010482D">
        <w:t xml:space="preserve"> </w:t>
      </w:r>
      <w:r w:rsidRPr="00C601A2">
        <w:t>flow conditions.</w:t>
      </w:r>
      <w:r w:rsidR="0010482D">
        <w:t xml:space="preserve"> </w:t>
      </w:r>
      <w:r w:rsidR="38964004" w:rsidRPr="00C601A2">
        <w:t xml:space="preserve">Under such conditions, the water column may not be well mixed vertically or laterally, meaning that </w:t>
      </w:r>
      <w:r w:rsidR="6CE32AFA" w:rsidRPr="00C601A2">
        <w:t xml:space="preserve">mixing driven by </w:t>
      </w:r>
      <w:r w:rsidR="38964004" w:rsidRPr="00C601A2">
        <w:t>w</w:t>
      </w:r>
      <w:r w:rsidR="7081A6A7" w:rsidRPr="00C601A2">
        <w:t>ind</w:t>
      </w:r>
      <w:r w:rsidR="43350829" w:rsidRPr="00C601A2">
        <w:t xml:space="preserve"> or </w:t>
      </w:r>
      <w:r w:rsidR="00CB20D6">
        <w:t xml:space="preserve">daily </w:t>
      </w:r>
      <w:r w:rsidR="43350829" w:rsidRPr="00C601A2">
        <w:t xml:space="preserve">variation in temperature may be influencing the </w:t>
      </w:r>
      <w:r w:rsidR="00470348" w:rsidRPr="00C601A2">
        <w:t>DO</w:t>
      </w:r>
      <w:r w:rsidR="43350829" w:rsidRPr="00C601A2">
        <w:t xml:space="preserve"> concentration measured by loggers, reducing certainty in estimates of metabolic processes.</w:t>
      </w:r>
    </w:p>
    <w:p w14:paraId="724E4EDA" w14:textId="07F4D5C5" w:rsidR="0080749C" w:rsidRDefault="00684736" w:rsidP="005742A6">
      <w:pPr>
        <w:pStyle w:val="BodyText"/>
      </w:pPr>
      <w:r w:rsidRPr="00C601A2">
        <w:t xml:space="preserve">Despite these limitations, seasonality was found to be the primary driver of rates of stream metabolism </w:t>
      </w:r>
      <w:r w:rsidR="00AD147D">
        <w:t>–</w:t>
      </w:r>
      <w:r w:rsidRPr="00C601A2">
        <w:t xml:space="preserve"> </w:t>
      </w:r>
      <w:r w:rsidR="00AD147D">
        <w:t xml:space="preserve">the </w:t>
      </w:r>
      <w:r w:rsidRPr="00C601A2">
        <w:t xml:space="preserve">highest daily rates of GPP and ER </w:t>
      </w:r>
      <w:r w:rsidR="00AD147D">
        <w:t xml:space="preserve">were </w:t>
      </w:r>
      <w:r w:rsidRPr="00C601A2">
        <w:t xml:space="preserve">consistently recorded in summer (see </w:t>
      </w:r>
      <w:r w:rsidR="00701520">
        <w:t>plots in Appendix A)</w:t>
      </w:r>
      <w:r w:rsidR="1AD99BE4" w:rsidRPr="00C601A2">
        <w:t>, as expected based on the fundamental effect of temperature on biochemical reactions</w:t>
      </w:r>
      <w:r w:rsidR="0080749C">
        <w:t>.</w:t>
      </w:r>
    </w:p>
    <w:p w14:paraId="0EA81642" w14:textId="50036699" w:rsidR="00201467" w:rsidRDefault="00240FE9" w:rsidP="005742A6">
      <w:pPr>
        <w:pStyle w:val="BodyText"/>
        <w:rPr>
          <w:rFonts w:eastAsiaTheme="majorEastAsia" w:cs="Calibri"/>
        </w:rPr>
      </w:pPr>
      <w:r>
        <w:rPr>
          <w:rFonts w:eastAsiaTheme="majorEastAsia" w:cs="Calibri"/>
        </w:rPr>
        <w:t>In 2023</w:t>
      </w:r>
      <w:r w:rsidR="00B57FE3">
        <w:rPr>
          <w:rFonts w:eastAsiaTheme="majorEastAsia" w:cs="Calibri"/>
        </w:rPr>
        <w:t>–</w:t>
      </w:r>
      <w:r>
        <w:rPr>
          <w:rFonts w:eastAsiaTheme="majorEastAsia" w:cs="Calibri"/>
        </w:rPr>
        <w:t>24</w:t>
      </w:r>
      <w:r w:rsidR="003256AE">
        <w:rPr>
          <w:rFonts w:eastAsiaTheme="majorEastAsia" w:cs="Calibri"/>
        </w:rPr>
        <w:t>,</w:t>
      </w:r>
      <w:r w:rsidR="008F25E2" w:rsidRPr="00C601A2">
        <w:rPr>
          <w:rFonts w:eastAsiaTheme="majorEastAsia" w:cs="Calibri"/>
        </w:rPr>
        <w:t xml:space="preserve"> </w:t>
      </w:r>
      <w:r w:rsidR="009F5B4A" w:rsidRPr="00C601A2">
        <w:rPr>
          <w:rFonts w:eastAsiaTheme="majorEastAsia" w:cs="Calibri"/>
        </w:rPr>
        <w:t>all Selected Area</w:t>
      </w:r>
      <w:r w:rsidR="00D008A1" w:rsidRPr="00C601A2">
        <w:rPr>
          <w:rFonts w:eastAsiaTheme="majorEastAsia" w:cs="Calibri"/>
        </w:rPr>
        <w:t>s</w:t>
      </w:r>
      <w:r w:rsidR="009F5B4A" w:rsidRPr="00C601A2">
        <w:rPr>
          <w:rFonts w:eastAsiaTheme="majorEastAsia" w:cs="Calibri"/>
        </w:rPr>
        <w:t xml:space="preserve"> were </w:t>
      </w:r>
      <w:r w:rsidR="0052644F" w:rsidRPr="00C601A2">
        <w:rPr>
          <w:rFonts w:eastAsiaTheme="majorEastAsia" w:cs="Calibri"/>
        </w:rPr>
        <w:t>n</w:t>
      </w:r>
      <w:r w:rsidR="009F5B4A" w:rsidRPr="00C601A2">
        <w:rPr>
          <w:rFonts w:eastAsiaTheme="majorEastAsia" w:cs="Calibri"/>
        </w:rPr>
        <w:t>et</w:t>
      </w:r>
      <w:r w:rsidR="0052644F" w:rsidRPr="00C601A2">
        <w:rPr>
          <w:rFonts w:eastAsiaTheme="majorEastAsia" w:cs="Calibri"/>
        </w:rPr>
        <w:t xml:space="preserve"> heterotrophic</w:t>
      </w:r>
      <w:r w:rsidR="007C4183">
        <w:rPr>
          <w:rFonts w:eastAsiaTheme="majorEastAsia" w:cs="Calibri"/>
        </w:rPr>
        <w:t>,</w:t>
      </w:r>
      <w:r w:rsidR="00325CE5">
        <w:rPr>
          <w:rFonts w:eastAsiaTheme="majorEastAsia" w:cs="Calibri"/>
        </w:rPr>
        <w:t xml:space="preserve"> except for the</w:t>
      </w:r>
      <w:r w:rsidR="00574571" w:rsidRPr="00574571">
        <w:rPr>
          <w:rFonts w:eastAsiaTheme="majorEastAsia" w:cs="Calibri"/>
        </w:rPr>
        <w:t xml:space="preserve"> </w:t>
      </w:r>
      <w:r w:rsidR="00574571" w:rsidRPr="00C601A2">
        <w:rPr>
          <w:rFonts w:eastAsiaTheme="majorEastAsia" w:cs="Calibri"/>
        </w:rPr>
        <w:t>Lower Murray River</w:t>
      </w:r>
      <w:r w:rsidR="00971A73">
        <w:rPr>
          <w:rFonts w:eastAsiaTheme="majorEastAsia" w:cs="Calibri"/>
        </w:rPr>
        <w:t>,</w:t>
      </w:r>
      <w:r w:rsidR="00931D95">
        <w:rPr>
          <w:rFonts w:eastAsiaTheme="majorEastAsia" w:cs="Calibri"/>
        </w:rPr>
        <w:t xml:space="preserve"> which was strongly autotrophic:</w:t>
      </w:r>
      <w:r w:rsidR="00962EF3" w:rsidRPr="00C601A2">
        <w:rPr>
          <w:rFonts w:eastAsiaTheme="majorEastAsia" w:cs="Calibri"/>
        </w:rPr>
        <w:t xml:space="preserve"> </w:t>
      </w:r>
    </w:p>
    <w:p w14:paraId="37E59971" w14:textId="77777777" w:rsidR="00201467" w:rsidRDefault="00684736" w:rsidP="00201467">
      <w:pPr>
        <w:pStyle w:val="ListBullet"/>
      </w:pPr>
      <w:r w:rsidRPr="00C601A2">
        <w:t xml:space="preserve">Lower Murray River (mean GPP:ER </w:t>
      </w:r>
      <w:r w:rsidR="00240FE9">
        <w:t>1.40</w:t>
      </w:r>
      <w:r w:rsidRPr="00C601A2">
        <w:t>)</w:t>
      </w:r>
    </w:p>
    <w:p w14:paraId="756991D0" w14:textId="2FF8555D" w:rsidR="00201467" w:rsidRDefault="00684736" w:rsidP="00201467">
      <w:pPr>
        <w:pStyle w:val="ListBullet"/>
      </w:pPr>
      <w:r w:rsidRPr="00C601A2">
        <w:lastRenderedPageBreak/>
        <w:t>Goulburn River (mean GPP:ER 0.</w:t>
      </w:r>
      <w:r w:rsidR="004A4FB2" w:rsidRPr="00C601A2">
        <w:t>4</w:t>
      </w:r>
      <w:r w:rsidR="003626B8">
        <w:t>0</w:t>
      </w:r>
      <w:r w:rsidRPr="00C601A2">
        <w:t>)</w:t>
      </w:r>
    </w:p>
    <w:p w14:paraId="67EF2EE3" w14:textId="77777777" w:rsidR="00201467" w:rsidRDefault="00684736" w:rsidP="00201467">
      <w:pPr>
        <w:pStyle w:val="ListBullet"/>
      </w:pPr>
      <w:r w:rsidRPr="00C601A2">
        <w:t>Edward/Kolety–Wakool river systems (mean GPP:ER 0.</w:t>
      </w:r>
      <w:r w:rsidR="003626B8">
        <w:t>52</w:t>
      </w:r>
      <w:r w:rsidRPr="00C601A2">
        <w:t>)</w:t>
      </w:r>
    </w:p>
    <w:p w14:paraId="3A08CD85" w14:textId="64EF9B0A" w:rsidR="00201467" w:rsidRDefault="00684736" w:rsidP="00201467">
      <w:pPr>
        <w:pStyle w:val="ListBullet"/>
      </w:pPr>
      <w:r w:rsidRPr="00C601A2">
        <w:t>Lachlan River System (mean GPP:ER 0.</w:t>
      </w:r>
      <w:r w:rsidR="00240FE9">
        <w:t>41</w:t>
      </w:r>
      <w:r w:rsidRPr="00C601A2">
        <w:t>)</w:t>
      </w:r>
    </w:p>
    <w:p w14:paraId="7A8254A5" w14:textId="571BA8B2" w:rsidR="00201467" w:rsidRDefault="00684736" w:rsidP="00201467">
      <w:pPr>
        <w:pStyle w:val="ListBullet"/>
      </w:pPr>
      <w:r w:rsidRPr="00C601A2">
        <w:t>Gwydir River System (mean GPP:ER 0.</w:t>
      </w:r>
      <w:r w:rsidR="005A453A">
        <w:t>4</w:t>
      </w:r>
      <w:r w:rsidR="003626B8">
        <w:t>9</w:t>
      </w:r>
      <w:r w:rsidRPr="00C601A2">
        <w:t>)</w:t>
      </w:r>
    </w:p>
    <w:p w14:paraId="32923F7D" w14:textId="0007668E" w:rsidR="00201467" w:rsidRDefault="00684736" w:rsidP="00201467">
      <w:pPr>
        <w:pStyle w:val="ListBullet"/>
      </w:pPr>
      <w:r w:rsidRPr="00C601A2">
        <w:t>Junction of Warrego and Darling rivers (mean GPP:ER 0.</w:t>
      </w:r>
      <w:r w:rsidR="005A453A">
        <w:t>4</w:t>
      </w:r>
      <w:r w:rsidR="00240FE9">
        <w:t>9</w:t>
      </w:r>
      <w:r w:rsidRPr="00C601A2">
        <w:t>)</w:t>
      </w:r>
    </w:p>
    <w:p w14:paraId="6D66FCA3" w14:textId="36F5FE93" w:rsidR="00201467" w:rsidRDefault="005A453A" w:rsidP="004A4DBC">
      <w:pPr>
        <w:pStyle w:val="ListBullet"/>
      </w:pPr>
      <w:r>
        <w:t xml:space="preserve">Murrumbidgee River </w:t>
      </w:r>
      <w:r w:rsidRPr="00C601A2">
        <w:t>(mean GPP:ER 0.</w:t>
      </w:r>
      <w:r w:rsidR="00240FE9">
        <w:t>8</w:t>
      </w:r>
      <w:r w:rsidR="0008365D">
        <w:t>5</w:t>
      </w:r>
      <w:r w:rsidRPr="00C601A2">
        <w:t>)</w:t>
      </w:r>
      <w:r w:rsidR="00332050" w:rsidRPr="00C601A2">
        <w:t>.</w:t>
      </w:r>
      <w:r w:rsidR="004C13AB">
        <w:t xml:space="preserve"> </w:t>
      </w:r>
    </w:p>
    <w:p w14:paraId="32BC7171" w14:textId="2B0B5920" w:rsidR="00A15702" w:rsidRPr="00C601A2" w:rsidRDefault="004C13AB" w:rsidP="005742A6">
      <w:pPr>
        <w:pStyle w:val="BodyText"/>
        <w:rPr>
          <w:rFonts w:eastAsiaTheme="majorEastAsia" w:cs="Calibri"/>
        </w:rPr>
      </w:pPr>
      <w:r>
        <w:rPr>
          <w:rFonts w:eastAsiaTheme="majorEastAsia" w:cs="Calibri"/>
        </w:rPr>
        <w:t>T</w:t>
      </w:r>
      <w:r w:rsidRPr="00C601A2">
        <w:rPr>
          <w:rFonts w:eastAsiaTheme="majorEastAsia" w:cs="Calibri"/>
        </w:rPr>
        <w:t xml:space="preserve">he Lower Murray River </w:t>
      </w:r>
      <w:r>
        <w:rPr>
          <w:rFonts w:eastAsiaTheme="majorEastAsia" w:cs="Calibri"/>
        </w:rPr>
        <w:t>is</w:t>
      </w:r>
      <w:r w:rsidRPr="00C601A2">
        <w:rPr>
          <w:rFonts w:eastAsiaTheme="majorEastAsia" w:cs="Calibri"/>
        </w:rPr>
        <w:t xml:space="preserve"> typically net autotrophic</w:t>
      </w:r>
      <w:r>
        <w:rPr>
          <w:rFonts w:eastAsiaTheme="majorEastAsia" w:cs="Calibri"/>
        </w:rPr>
        <w:t xml:space="preserve">, </w:t>
      </w:r>
      <w:r w:rsidRPr="00C601A2">
        <w:rPr>
          <w:rFonts w:eastAsiaTheme="majorEastAsia" w:cs="Calibri"/>
        </w:rPr>
        <w:t>likely a product of the lentic character of sites within this Selected Area that support phytoplankton</w:t>
      </w:r>
      <w:r>
        <w:rPr>
          <w:rFonts w:eastAsiaTheme="majorEastAsia" w:cs="Calibri"/>
        </w:rPr>
        <w:t>. R</w:t>
      </w:r>
      <w:r w:rsidR="00DA427D" w:rsidRPr="00C601A2">
        <w:rPr>
          <w:rFonts w:eastAsiaTheme="majorEastAsia" w:cs="Calibri"/>
        </w:rPr>
        <w:t>esults</w:t>
      </w:r>
      <w:r>
        <w:rPr>
          <w:rFonts w:eastAsiaTheme="majorEastAsia" w:cs="Calibri"/>
        </w:rPr>
        <w:t xml:space="preserve"> for the remaining </w:t>
      </w:r>
      <w:r w:rsidR="00946070">
        <w:rPr>
          <w:rFonts w:eastAsiaTheme="majorEastAsia" w:cs="Calibri"/>
        </w:rPr>
        <w:t>Selected Areas</w:t>
      </w:r>
      <w:r w:rsidR="00DA427D" w:rsidRPr="00C601A2">
        <w:rPr>
          <w:rFonts w:eastAsiaTheme="majorEastAsia" w:cs="Calibri"/>
        </w:rPr>
        <w:t xml:space="preserve"> highlight the</w:t>
      </w:r>
      <w:r w:rsidR="00684736" w:rsidRPr="00C601A2">
        <w:rPr>
          <w:rFonts w:eastAsiaTheme="majorEastAsia" w:cs="Calibri"/>
        </w:rPr>
        <w:t xml:space="preserve"> importance of terrestrial organic carbon from channel and floodplain connectivity as a major energy source in </w:t>
      </w:r>
      <w:r w:rsidR="000F0690">
        <w:rPr>
          <w:rFonts w:eastAsiaTheme="majorEastAsia" w:cs="Calibri"/>
        </w:rPr>
        <w:t>rivers.</w:t>
      </w:r>
    </w:p>
    <w:p w14:paraId="51BC5166" w14:textId="760D4E6B" w:rsidR="00BD538F" w:rsidRPr="00C601A2" w:rsidRDefault="00684736" w:rsidP="005742A6">
      <w:pPr>
        <w:pStyle w:val="BodyText"/>
        <w:rPr>
          <w:rFonts w:eastAsiaTheme="majorEastAsia" w:cs="Calibri"/>
        </w:rPr>
      </w:pPr>
      <w:r w:rsidRPr="00C601A2">
        <w:rPr>
          <w:rFonts w:eastAsiaTheme="majorEastAsia" w:cs="Calibri"/>
        </w:rPr>
        <w:t xml:space="preserve">Metabolic fingerprints for the </w:t>
      </w:r>
      <w:r w:rsidR="00EB3D9C">
        <w:rPr>
          <w:rFonts w:eastAsiaTheme="majorEastAsia" w:cs="Calibri"/>
        </w:rPr>
        <w:t>7</w:t>
      </w:r>
      <w:r w:rsidRPr="00C601A2">
        <w:rPr>
          <w:rFonts w:eastAsiaTheme="majorEastAsia" w:cs="Calibri"/>
        </w:rPr>
        <w:t xml:space="preserve"> Selected Areas are presented in </w:t>
      </w:r>
      <w:r w:rsidR="003A5D1C" w:rsidRPr="00C601A2">
        <w:rPr>
          <w:rFonts w:eastAsiaTheme="majorEastAsia" w:cs="Calibri"/>
        </w:rPr>
        <w:fldChar w:fldCharType="begin"/>
      </w:r>
      <w:r w:rsidR="003A5D1C" w:rsidRPr="00C601A2">
        <w:rPr>
          <w:rFonts w:eastAsiaTheme="majorEastAsia" w:cs="Calibri"/>
        </w:rPr>
        <w:instrText xml:space="preserve"> REF _Ref132487105 \h </w:instrText>
      </w:r>
      <w:r w:rsidR="00C601A2">
        <w:rPr>
          <w:rFonts w:eastAsiaTheme="majorEastAsia" w:cs="Calibri"/>
        </w:rPr>
        <w:instrText xml:space="preserve"> \* MERGEFORMAT </w:instrText>
      </w:r>
      <w:r w:rsidR="003A5D1C" w:rsidRPr="00C601A2">
        <w:rPr>
          <w:rFonts w:eastAsiaTheme="majorEastAsia" w:cs="Calibri"/>
        </w:rPr>
      </w:r>
      <w:r w:rsidR="003A5D1C" w:rsidRPr="00C601A2">
        <w:rPr>
          <w:rFonts w:eastAsiaTheme="majorEastAsia" w:cs="Calibri"/>
        </w:rPr>
        <w:fldChar w:fldCharType="separate"/>
      </w:r>
      <w:r w:rsidR="00492712" w:rsidRPr="00C601A2">
        <w:t>Figure</w:t>
      </w:r>
      <w:r w:rsidR="00492712">
        <w:t> </w:t>
      </w:r>
      <w:r w:rsidR="00835C8B">
        <w:t>3</w:t>
      </w:r>
      <w:r w:rsidR="00492712">
        <w:t>.1</w:t>
      </w:r>
      <w:r w:rsidR="003A5D1C" w:rsidRPr="00C601A2">
        <w:rPr>
          <w:rFonts w:eastAsiaTheme="majorEastAsia" w:cs="Calibri"/>
        </w:rPr>
        <w:fldChar w:fldCharType="end"/>
      </w:r>
      <w:r w:rsidR="00292FBE" w:rsidRPr="00C601A2">
        <w:rPr>
          <w:rFonts w:eastAsiaTheme="majorEastAsia" w:cs="Calibri"/>
        </w:rPr>
        <w:t>.</w:t>
      </w:r>
      <w:r w:rsidRPr="00C601A2">
        <w:rPr>
          <w:rFonts w:eastAsiaTheme="majorEastAsia" w:cs="Calibri"/>
        </w:rPr>
        <w:t xml:space="preserve"> The 75% kernel</w:t>
      </w:r>
      <w:r w:rsidR="00017DD2">
        <w:rPr>
          <w:rFonts w:eastAsiaTheme="majorEastAsia" w:cs="Calibri"/>
        </w:rPr>
        <w:t>-</w:t>
      </w:r>
      <w:r w:rsidRPr="00C601A2">
        <w:rPr>
          <w:rFonts w:eastAsiaTheme="majorEastAsia" w:cs="Calibri"/>
        </w:rPr>
        <w:t xml:space="preserve">density regions (or area containing the top 75% of data points) for </w:t>
      </w:r>
      <w:r w:rsidR="007A2CA9" w:rsidRPr="00C601A2">
        <w:rPr>
          <w:rFonts w:eastAsiaTheme="majorEastAsia" w:cs="Calibri"/>
        </w:rPr>
        <w:t xml:space="preserve">all </w:t>
      </w:r>
      <w:r w:rsidR="001C01E6">
        <w:rPr>
          <w:rFonts w:eastAsiaTheme="majorEastAsia" w:cs="Calibri"/>
        </w:rPr>
        <w:t>S</w:t>
      </w:r>
      <w:r w:rsidR="007A2CA9" w:rsidRPr="00C601A2">
        <w:rPr>
          <w:rFonts w:eastAsiaTheme="majorEastAsia" w:cs="Calibri"/>
        </w:rPr>
        <w:t xml:space="preserve">elected </w:t>
      </w:r>
      <w:r w:rsidR="001C01E6">
        <w:rPr>
          <w:rFonts w:eastAsiaTheme="majorEastAsia" w:cs="Calibri"/>
        </w:rPr>
        <w:t>A</w:t>
      </w:r>
      <w:r w:rsidR="007A2CA9" w:rsidRPr="00C601A2">
        <w:rPr>
          <w:rFonts w:eastAsiaTheme="majorEastAsia" w:cs="Calibri"/>
        </w:rPr>
        <w:t>reas reside predominantly above</w:t>
      </w:r>
      <w:r w:rsidRPr="00C601A2">
        <w:rPr>
          <w:rFonts w:eastAsiaTheme="majorEastAsia" w:cs="Calibri"/>
        </w:rPr>
        <w:t xml:space="preserve"> the 1:1 line, </w:t>
      </w:r>
      <w:r w:rsidR="591903AD" w:rsidRPr="00C601A2">
        <w:rPr>
          <w:rFonts w:eastAsiaTheme="majorEastAsia" w:cs="Calibri"/>
        </w:rPr>
        <w:t>reflecting the net heterotrophy</w:t>
      </w:r>
      <w:r w:rsidRPr="00C601A2">
        <w:rPr>
          <w:rFonts w:eastAsiaTheme="majorEastAsia" w:cs="Calibri"/>
        </w:rPr>
        <w:t>.</w:t>
      </w:r>
    </w:p>
    <w:p w14:paraId="030428B8" w14:textId="42DD70E7" w:rsidR="00516310" w:rsidRPr="00C601A2" w:rsidRDefault="00EE21A3" w:rsidP="005742A6">
      <w:pPr>
        <w:pStyle w:val="BodyText"/>
        <w:rPr>
          <w:rFonts w:eastAsiaTheme="majorEastAsia" w:cs="Calibri"/>
        </w:rPr>
      </w:pPr>
      <w:r w:rsidRPr="00C601A2">
        <w:rPr>
          <w:rFonts w:eastAsiaTheme="majorEastAsia" w:cs="Calibri"/>
        </w:rPr>
        <w:t xml:space="preserve">The </w:t>
      </w:r>
      <w:r w:rsidR="0019475E">
        <w:rPr>
          <w:rFonts w:eastAsiaTheme="majorEastAsia" w:cs="Calibri"/>
        </w:rPr>
        <w:t>Murrumbidgee River</w:t>
      </w:r>
      <w:r w:rsidR="004C7A43">
        <w:rPr>
          <w:rFonts w:eastAsiaTheme="majorEastAsia" w:cs="Calibri"/>
        </w:rPr>
        <w:t xml:space="preserve"> </w:t>
      </w:r>
      <w:r w:rsidR="00CA67B3">
        <w:rPr>
          <w:rFonts w:eastAsiaTheme="majorEastAsia" w:cs="Calibri"/>
        </w:rPr>
        <w:t xml:space="preserve">System </w:t>
      </w:r>
      <w:r w:rsidR="004C7A43">
        <w:rPr>
          <w:rFonts w:eastAsiaTheme="majorEastAsia" w:cs="Calibri"/>
        </w:rPr>
        <w:t>was</w:t>
      </w:r>
      <w:r w:rsidRPr="00C601A2">
        <w:rPr>
          <w:rFonts w:eastAsiaTheme="majorEastAsia" w:cs="Calibri"/>
        </w:rPr>
        <w:t xml:space="preserve"> </w:t>
      </w:r>
      <w:r w:rsidR="008D0C3B">
        <w:rPr>
          <w:rFonts w:eastAsiaTheme="majorEastAsia" w:cs="Calibri"/>
        </w:rPr>
        <w:t>not</w:t>
      </w:r>
      <w:r w:rsidR="006B563E">
        <w:rPr>
          <w:rFonts w:eastAsiaTheme="majorEastAsia" w:cs="Calibri"/>
        </w:rPr>
        <w:t xml:space="preserve">able </w:t>
      </w:r>
      <w:r w:rsidR="03C6CE62" w:rsidRPr="00C601A2">
        <w:rPr>
          <w:rFonts w:eastAsiaTheme="majorEastAsia" w:cs="Calibri"/>
        </w:rPr>
        <w:t xml:space="preserve">for </w:t>
      </w:r>
      <w:r w:rsidR="00454B7F" w:rsidRPr="00C601A2">
        <w:rPr>
          <w:rFonts w:eastAsiaTheme="majorEastAsia" w:cs="Calibri"/>
        </w:rPr>
        <w:t xml:space="preserve">its </w:t>
      </w:r>
      <w:r w:rsidR="004C7A43">
        <w:rPr>
          <w:rFonts w:eastAsiaTheme="majorEastAsia" w:cs="Calibri"/>
        </w:rPr>
        <w:t>narrow</w:t>
      </w:r>
      <w:r w:rsidR="006F5A24" w:rsidRPr="00C601A2">
        <w:rPr>
          <w:rFonts w:eastAsiaTheme="majorEastAsia" w:cs="Calibri"/>
        </w:rPr>
        <w:t xml:space="preserve"> range</w:t>
      </w:r>
      <w:r w:rsidR="00454B7F" w:rsidRPr="00C601A2">
        <w:rPr>
          <w:rFonts w:eastAsiaTheme="majorEastAsia" w:cs="Calibri"/>
        </w:rPr>
        <w:t xml:space="preserve"> of metabolic throughput</w:t>
      </w:r>
      <w:r w:rsidR="71A4A061" w:rsidRPr="00C601A2">
        <w:rPr>
          <w:rFonts w:eastAsiaTheme="majorEastAsia" w:cs="Calibri"/>
        </w:rPr>
        <w:t xml:space="preserve">, shown by </w:t>
      </w:r>
      <w:r w:rsidR="0008436C" w:rsidRPr="00C601A2">
        <w:rPr>
          <w:rFonts w:eastAsiaTheme="majorEastAsia" w:cs="Calibri"/>
        </w:rPr>
        <w:t>the</w:t>
      </w:r>
      <w:r w:rsidR="006F5A24" w:rsidRPr="00C601A2">
        <w:rPr>
          <w:rFonts w:eastAsiaTheme="majorEastAsia" w:cs="Calibri"/>
        </w:rPr>
        <w:t xml:space="preserve"> metabolic fingerprint</w:t>
      </w:r>
      <w:r w:rsidR="0008436C" w:rsidRPr="00C601A2">
        <w:rPr>
          <w:rFonts w:eastAsiaTheme="majorEastAsia" w:cs="Calibri"/>
        </w:rPr>
        <w:t xml:space="preserve"> </w:t>
      </w:r>
      <w:r w:rsidR="0008080B">
        <w:rPr>
          <w:rFonts w:eastAsiaTheme="majorEastAsia" w:cs="Calibri"/>
        </w:rPr>
        <w:t xml:space="preserve">being constrained </w:t>
      </w:r>
      <w:r w:rsidR="005C443C">
        <w:rPr>
          <w:rFonts w:eastAsiaTheme="majorEastAsia" w:cs="Calibri"/>
        </w:rPr>
        <w:t xml:space="preserve">in a small region close to the </w:t>
      </w:r>
      <w:r w:rsidR="00DB122A" w:rsidRPr="00C601A2">
        <w:rPr>
          <w:rFonts w:eastAsiaTheme="majorEastAsia" w:cs="Calibri"/>
        </w:rPr>
        <w:t>diagonal 1:1</w:t>
      </w:r>
      <w:r w:rsidR="4861FD79" w:rsidRPr="00C601A2">
        <w:rPr>
          <w:rFonts w:eastAsiaTheme="majorEastAsia" w:cs="Calibri"/>
        </w:rPr>
        <w:t xml:space="preserve"> </w:t>
      </w:r>
      <w:r w:rsidR="00425139" w:rsidRPr="00C601A2">
        <w:rPr>
          <w:rFonts w:eastAsiaTheme="majorEastAsia" w:cs="Calibri"/>
        </w:rPr>
        <w:t>because of</w:t>
      </w:r>
      <w:r w:rsidR="4861FD79" w:rsidRPr="00C601A2">
        <w:rPr>
          <w:rFonts w:eastAsiaTheme="majorEastAsia" w:cs="Calibri"/>
        </w:rPr>
        <w:t xml:space="preserve"> </w:t>
      </w:r>
      <w:r w:rsidR="009C780F" w:rsidRPr="00C601A2">
        <w:rPr>
          <w:rFonts w:eastAsiaTheme="majorEastAsia" w:cs="Calibri"/>
        </w:rPr>
        <w:t xml:space="preserve">highly </w:t>
      </w:r>
      <w:r w:rsidR="005C443C">
        <w:rPr>
          <w:rFonts w:eastAsiaTheme="majorEastAsia" w:cs="Calibri"/>
        </w:rPr>
        <w:t xml:space="preserve">uniform </w:t>
      </w:r>
      <w:r w:rsidR="0011254A">
        <w:rPr>
          <w:rFonts w:eastAsiaTheme="majorEastAsia" w:cs="Calibri"/>
        </w:rPr>
        <w:t xml:space="preserve">and stable </w:t>
      </w:r>
      <w:r w:rsidR="009C780F" w:rsidRPr="00C601A2">
        <w:rPr>
          <w:rFonts w:eastAsiaTheme="majorEastAsia" w:cs="Calibri"/>
        </w:rPr>
        <w:t>rates of both ER and GPP. In contrast</w:t>
      </w:r>
      <w:r w:rsidR="00606DDB" w:rsidRPr="00C601A2">
        <w:rPr>
          <w:rFonts w:eastAsiaTheme="majorEastAsia" w:cs="Calibri"/>
        </w:rPr>
        <w:t xml:space="preserve">, </w:t>
      </w:r>
      <w:r w:rsidR="0011254A">
        <w:rPr>
          <w:rFonts w:eastAsiaTheme="majorEastAsia" w:cs="Calibri"/>
        </w:rPr>
        <w:t xml:space="preserve">all other </w:t>
      </w:r>
      <w:r w:rsidR="0063291B">
        <w:rPr>
          <w:rFonts w:eastAsiaTheme="majorEastAsia" w:cs="Calibri"/>
        </w:rPr>
        <w:t>Selected Areas were stretched across a wide range along the 1:1 line</w:t>
      </w:r>
      <w:r w:rsidR="005D1B7A">
        <w:rPr>
          <w:rFonts w:eastAsiaTheme="majorEastAsia" w:cs="Calibri"/>
        </w:rPr>
        <w:t>,</w:t>
      </w:r>
      <w:r w:rsidR="00842A9E" w:rsidRPr="00C601A2">
        <w:rPr>
          <w:rFonts w:eastAsiaTheme="majorEastAsia" w:cs="Calibri"/>
        </w:rPr>
        <w:t xml:space="preserve"> reflecting </w:t>
      </w:r>
      <w:r w:rsidR="005D1B7A">
        <w:rPr>
          <w:rFonts w:eastAsiaTheme="majorEastAsia" w:cs="Calibri"/>
        </w:rPr>
        <w:t>more variable metabolic</w:t>
      </w:r>
      <w:r w:rsidR="00842A9E" w:rsidRPr="00C601A2">
        <w:rPr>
          <w:rFonts w:eastAsiaTheme="majorEastAsia" w:cs="Calibri"/>
        </w:rPr>
        <w:t xml:space="preserve"> rates.</w:t>
      </w:r>
      <w:r w:rsidR="005868BD">
        <w:rPr>
          <w:rFonts w:eastAsiaTheme="majorEastAsia" w:cs="Calibri"/>
        </w:rPr>
        <w:t xml:space="preserve"> In 2023</w:t>
      </w:r>
      <w:r w:rsidR="00B57FE3">
        <w:rPr>
          <w:rFonts w:eastAsiaTheme="majorEastAsia" w:cs="Calibri"/>
        </w:rPr>
        <w:t>–</w:t>
      </w:r>
      <w:r w:rsidR="005868BD">
        <w:rPr>
          <w:rFonts w:eastAsiaTheme="majorEastAsia" w:cs="Calibri"/>
        </w:rPr>
        <w:t>24</w:t>
      </w:r>
      <w:r w:rsidR="003256AE">
        <w:rPr>
          <w:rFonts w:eastAsiaTheme="majorEastAsia" w:cs="Calibri"/>
        </w:rPr>
        <w:t>,</w:t>
      </w:r>
      <w:r w:rsidR="005868BD">
        <w:rPr>
          <w:rFonts w:eastAsiaTheme="majorEastAsia" w:cs="Calibri"/>
        </w:rPr>
        <w:t xml:space="preserve"> </w:t>
      </w:r>
      <w:r w:rsidR="001A67DC">
        <w:rPr>
          <w:rFonts w:eastAsiaTheme="majorEastAsia" w:cs="Calibri"/>
        </w:rPr>
        <w:t>the Lachlan River system was dominated by relatively high metabolic throughput</w:t>
      </w:r>
      <w:r w:rsidR="001B4F75">
        <w:rPr>
          <w:rFonts w:eastAsiaTheme="majorEastAsia" w:cs="Calibri"/>
        </w:rPr>
        <w:t xml:space="preserve"> </w:t>
      </w:r>
      <w:r w:rsidR="00B57FE3">
        <w:rPr>
          <w:rFonts w:eastAsiaTheme="majorEastAsia" w:cs="Calibri"/>
        </w:rPr>
        <w:t>–</w:t>
      </w:r>
      <w:r w:rsidR="001B4F75">
        <w:rPr>
          <w:rFonts w:eastAsiaTheme="majorEastAsia" w:cs="Calibri"/>
        </w:rPr>
        <w:t xml:space="preserve"> the 10% </w:t>
      </w:r>
      <w:r w:rsidR="000C55D2">
        <w:rPr>
          <w:rFonts w:eastAsiaTheme="majorEastAsia" w:cs="Calibri"/>
        </w:rPr>
        <w:t>kernel</w:t>
      </w:r>
      <w:r w:rsidR="00017DD2">
        <w:rPr>
          <w:rFonts w:eastAsiaTheme="majorEastAsia" w:cs="Calibri"/>
        </w:rPr>
        <w:t>-</w:t>
      </w:r>
      <w:r w:rsidR="000C55D2">
        <w:rPr>
          <w:rFonts w:eastAsiaTheme="majorEastAsia" w:cs="Calibri"/>
        </w:rPr>
        <w:t>density area resid</w:t>
      </w:r>
      <w:r w:rsidR="00AD147D">
        <w:rPr>
          <w:rFonts w:eastAsiaTheme="majorEastAsia" w:cs="Calibri"/>
        </w:rPr>
        <w:t>ed</w:t>
      </w:r>
      <w:r w:rsidR="000C55D2">
        <w:rPr>
          <w:rFonts w:eastAsiaTheme="majorEastAsia" w:cs="Calibri"/>
        </w:rPr>
        <w:t xml:space="preserve"> relatively high up the 1:1 line.</w:t>
      </w:r>
      <w:r w:rsidR="00C44294" w:rsidRPr="00C601A2">
        <w:rPr>
          <w:rFonts w:eastAsiaTheme="majorEastAsia" w:cs="Calibri"/>
        </w:rPr>
        <w:t xml:space="preserve"> </w:t>
      </w:r>
      <w:r w:rsidR="00684736" w:rsidRPr="00C601A2">
        <w:rPr>
          <w:rFonts w:eastAsiaTheme="majorEastAsia" w:cs="Calibri"/>
        </w:rPr>
        <w:t>Stream metabolism evaluation questions and answers relating to Commonwealth environmental water and</w:t>
      </w:r>
      <w:r w:rsidR="00CA67B3">
        <w:rPr>
          <w:rFonts w:eastAsiaTheme="majorEastAsia" w:cs="Calibri"/>
        </w:rPr>
        <w:t xml:space="preserve"> Commonwealth</w:t>
      </w:r>
      <w:r w:rsidR="00684736" w:rsidRPr="00C601A2">
        <w:rPr>
          <w:rFonts w:eastAsiaTheme="majorEastAsia" w:cs="Calibri"/>
        </w:rPr>
        <w:t xml:space="preserve"> environmental watering actions are provided in</w:t>
      </w:r>
      <w:r w:rsidR="00460FB0" w:rsidRPr="00C601A2">
        <w:rPr>
          <w:rFonts w:eastAsiaTheme="majorEastAsia" w:cs="Calibri"/>
        </w:rPr>
        <w:t xml:space="preserve"> </w:t>
      </w:r>
      <w:r w:rsidR="00460FB0" w:rsidRPr="00C601A2">
        <w:rPr>
          <w:rFonts w:eastAsiaTheme="majorEastAsia" w:cs="Calibri"/>
        </w:rPr>
        <w:fldChar w:fldCharType="begin"/>
      </w:r>
      <w:r w:rsidR="00460FB0" w:rsidRPr="00C601A2">
        <w:rPr>
          <w:rFonts w:eastAsiaTheme="majorEastAsia" w:cs="Calibri"/>
        </w:rPr>
        <w:instrText xml:space="preserve"> REF _Ref71212598 \h </w:instrText>
      </w:r>
      <w:r w:rsidR="00C601A2">
        <w:rPr>
          <w:rFonts w:eastAsiaTheme="majorEastAsia" w:cs="Calibri"/>
        </w:rPr>
        <w:instrText xml:space="preserve"> \* MERGEFORMAT </w:instrText>
      </w:r>
      <w:r w:rsidR="00460FB0" w:rsidRPr="00C601A2">
        <w:rPr>
          <w:rFonts w:eastAsiaTheme="majorEastAsia" w:cs="Calibri"/>
        </w:rPr>
      </w:r>
      <w:r w:rsidR="00460FB0" w:rsidRPr="00C601A2">
        <w:rPr>
          <w:rFonts w:eastAsiaTheme="majorEastAsia" w:cs="Calibri"/>
        </w:rPr>
        <w:fldChar w:fldCharType="separate"/>
      </w:r>
      <w:r w:rsidR="00492712" w:rsidRPr="00C601A2">
        <w:t>Table</w:t>
      </w:r>
      <w:r w:rsidR="00492712">
        <w:t> </w:t>
      </w:r>
      <w:r w:rsidR="00835C8B">
        <w:t>3</w:t>
      </w:r>
      <w:r w:rsidR="00492712">
        <w:t>.3</w:t>
      </w:r>
      <w:r w:rsidR="00460FB0" w:rsidRPr="00C601A2">
        <w:rPr>
          <w:rFonts w:eastAsiaTheme="majorEastAsia" w:cs="Calibri"/>
        </w:rPr>
        <w:fldChar w:fldCharType="end"/>
      </w:r>
      <w:r w:rsidR="00B92E9F" w:rsidRPr="00C601A2">
        <w:rPr>
          <w:rFonts w:eastAsiaTheme="majorEastAsia" w:cs="Calibri"/>
        </w:rPr>
        <w:t>.</w:t>
      </w:r>
    </w:p>
    <w:p w14:paraId="7592AF31" w14:textId="568A4CD7" w:rsidR="00F55231" w:rsidRPr="00C601A2" w:rsidRDefault="00470348" w:rsidP="00296632">
      <w:pPr>
        <w:pStyle w:val="CaptionWithNote"/>
      </w:pPr>
      <w:bookmarkStart w:id="126" w:name="_Ref132487105"/>
      <w:bookmarkStart w:id="127" w:name="_Ref132487096"/>
      <w:bookmarkStart w:id="128" w:name="_Toc193363431"/>
      <w:bookmarkStart w:id="129" w:name="_Toc194788947"/>
      <w:bookmarkStart w:id="130" w:name="_Toc202187880"/>
      <w:r w:rsidRPr="00C601A2">
        <w:lastRenderedPageBreak/>
        <w:t>Figure</w:t>
      </w:r>
      <w:r w:rsidR="00A535AD">
        <w:t> </w:t>
      </w:r>
      <w:r>
        <w:fldChar w:fldCharType="begin"/>
      </w:r>
      <w:r>
        <w:instrText>STYLEREF 1 \s</w:instrText>
      </w:r>
      <w:r>
        <w:fldChar w:fldCharType="separate"/>
      </w:r>
      <w:r w:rsidR="00835C8B">
        <w:rPr>
          <w:noProof/>
        </w:rPr>
        <w:t>3</w:t>
      </w:r>
      <w:r>
        <w:fldChar w:fldCharType="end"/>
      </w:r>
      <w:r w:rsidR="00505064">
        <w:t>.</w:t>
      </w:r>
      <w:r>
        <w:fldChar w:fldCharType="begin"/>
      </w:r>
      <w:r>
        <w:instrText>SEQ Figure \* ARABIC \s 1</w:instrText>
      </w:r>
      <w:r>
        <w:fldChar w:fldCharType="separate"/>
      </w:r>
      <w:r w:rsidR="00492712">
        <w:rPr>
          <w:noProof/>
        </w:rPr>
        <w:t>1</w:t>
      </w:r>
      <w:r>
        <w:fldChar w:fldCharType="end"/>
      </w:r>
      <w:bookmarkEnd w:id="126"/>
      <w:r w:rsidR="00F55231" w:rsidRPr="00C601A2">
        <w:t xml:space="preserve"> Variation in metabolic fingerprints across </w:t>
      </w:r>
      <w:r w:rsidR="00B807DB">
        <w:t xml:space="preserve">the 7 </w:t>
      </w:r>
      <w:r w:rsidR="00F55231" w:rsidRPr="00C601A2">
        <w:t>Selected Areas</w:t>
      </w:r>
      <w:r w:rsidR="00CE7C50">
        <w:t>,</w:t>
      </w:r>
      <w:r w:rsidR="00F55231" w:rsidRPr="00C601A2">
        <w:t xml:space="preserve"> </w:t>
      </w:r>
      <w:r w:rsidR="00682D38">
        <w:t>202</w:t>
      </w:r>
      <w:r w:rsidR="00075B35">
        <w:t>3</w:t>
      </w:r>
      <w:r w:rsidR="00682D38">
        <w:t>–2</w:t>
      </w:r>
      <w:bookmarkEnd w:id="127"/>
      <w:r w:rsidR="00075B35">
        <w:t>4</w:t>
      </w:r>
      <w:bookmarkEnd w:id="128"/>
      <w:bookmarkEnd w:id="129"/>
      <w:bookmarkEnd w:id="130"/>
    </w:p>
    <w:p w14:paraId="07FD87A5" w14:textId="56A6BDDD" w:rsidR="00470348" w:rsidRDefault="00F55231" w:rsidP="006835E5">
      <w:pPr>
        <w:pStyle w:val="CaptionNote"/>
      </w:pPr>
      <w:r w:rsidRPr="00C601A2">
        <w:t>Lower Murray River (2</w:t>
      </w:r>
      <w:r w:rsidR="002150B0">
        <w:t>61</w:t>
      </w:r>
      <w:r w:rsidRPr="00C601A2">
        <w:t xml:space="preserve"> daily records); Goulburn River (</w:t>
      </w:r>
      <w:r w:rsidR="00510ED1">
        <w:t>27</w:t>
      </w:r>
      <w:r w:rsidR="00246929">
        <w:t>2</w:t>
      </w:r>
      <w:r w:rsidRPr="00C601A2">
        <w:t xml:space="preserve"> daily records); Edward/Kolety–Wakool river systems (</w:t>
      </w:r>
      <w:r w:rsidR="00246929">
        <w:t>1</w:t>
      </w:r>
      <w:r w:rsidR="00331E84">
        <w:t>,</w:t>
      </w:r>
      <w:r w:rsidR="00246929">
        <w:t>226</w:t>
      </w:r>
      <w:r w:rsidRPr="00C601A2">
        <w:t xml:space="preserve"> daily records); Lachlan River System (</w:t>
      </w:r>
      <w:r w:rsidR="00246929">
        <w:t>856</w:t>
      </w:r>
      <w:r w:rsidRPr="00C601A2">
        <w:t xml:space="preserve"> daily records); Gwydir River System (</w:t>
      </w:r>
      <w:r w:rsidR="00930A29">
        <w:t>246</w:t>
      </w:r>
      <w:r w:rsidRPr="00C601A2">
        <w:t xml:space="preserve"> daily records); Junction of Warrego and Darling rivers (</w:t>
      </w:r>
      <w:r w:rsidR="00AB4098">
        <w:t>8</w:t>
      </w:r>
      <w:r w:rsidR="00930A29">
        <w:t>4</w:t>
      </w:r>
      <w:r w:rsidRPr="00C601A2">
        <w:t xml:space="preserve"> daily records)</w:t>
      </w:r>
      <w:r w:rsidR="000F4430">
        <w:t xml:space="preserve">; </w:t>
      </w:r>
      <w:r w:rsidR="009A10B5">
        <w:t>Murrumbidgee River</w:t>
      </w:r>
      <w:r w:rsidR="00CA67B3">
        <w:t xml:space="preserve"> System</w:t>
      </w:r>
      <w:r w:rsidR="009A10B5">
        <w:t xml:space="preserve"> (</w:t>
      </w:r>
      <w:r w:rsidR="00C70B95">
        <w:t>72</w:t>
      </w:r>
      <w:r w:rsidR="009A10B5">
        <w:t xml:space="preserve"> daily records)</w:t>
      </w:r>
      <w:r w:rsidRPr="00C601A2">
        <w:t xml:space="preserve">. </w:t>
      </w:r>
      <w:r w:rsidR="008E710E">
        <w:t xml:space="preserve">ER = ecosystem respiration, GPP = gross primary production. </w:t>
      </w:r>
      <w:r w:rsidRPr="00C601A2">
        <w:t xml:space="preserve">Note </w:t>
      </w:r>
      <w:r w:rsidR="003B5377">
        <w:t xml:space="preserve">the </w:t>
      </w:r>
      <w:r w:rsidRPr="00C601A2">
        <w:t>log scale</w:t>
      </w:r>
      <w:r w:rsidR="009905AF">
        <w:t xml:space="preserve"> on</w:t>
      </w:r>
      <w:r w:rsidR="003B5377">
        <w:t xml:space="preserve"> the</w:t>
      </w:r>
      <w:r w:rsidR="009905AF">
        <w:t xml:space="preserve"> x-</w:t>
      </w:r>
      <w:r w:rsidR="003B5377">
        <w:t>axis</w:t>
      </w:r>
      <w:r w:rsidR="009905AF">
        <w:t xml:space="preserve"> and y-ax</w:t>
      </w:r>
      <w:r w:rsidR="003B5377">
        <w:t>i</w:t>
      </w:r>
      <w:r w:rsidR="009905AF">
        <w:t>s</w:t>
      </w:r>
      <w:r w:rsidRPr="00C601A2">
        <w:t>.</w:t>
      </w:r>
    </w:p>
    <w:p w14:paraId="50A37A19" w14:textId="4A9BB19C" w:rsidR="00550A2F" w:rsidRPr="00C601A2" w:rsidRDefault="007A2907" w:rsidP="00550A2F">
      <w:pPr>
        <w:pStyle w:val="Figure"/>
      </w:pPr>
      <w:r>
        <w:rPr>
          <w:noProof/>
        </w:rPr>
        <w:drawing>
          <wp:inline distT="0" distB="0" distL="0" distR="0" wp14:anchorId="03CEDB7E" wp14:editId="29AB392D">
            <wp:extent cx="6120130" cy="6018530"/>
            <wp:effectExtent l="0" t="0" r="0" b="1270"/>
            <wp:docPr id="1534693384" name="Picture 17" descr="7 fingerprint plots, for the 7 Selected Areas, with colour bands 10%, 25%, 50%, 75%,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93384" name="Picture 17" descr="7 fingerprint plots, for the 7 Selected Areas, with colour bands 10%, 25%, 50%, 75%, 90%"/>
                    <pic:cNvPicPr/>
                  </pic:nvPicPr>
                  <pic:blipFill>
                    <a:blip r:embed="rId43"/>
                    <a:stretch>
                      <a:fillRect/>
                    </a:stretch>
                  </pic:blipFill>
                  <pic:spPr>
                    <a:xfrm>
                      <a:off x="0" y="0"/>
                      <a:ext cx="6120130" cy="6018530"/>
                    </a:xfrm>
                    <a:prstGeom prst="rect">
                      <a:avLst/>
                    </a:prstGeom>
                  </pic:spPr>
                </pic:pic>
              </a:graphicData>
            </a:graphic>
          </wp:inline>
        </w:drawing>
      </w:r>
    </w:p>
    <w:p w14:paraId="262CBF40" w14:textId="77777777" w:rsidR="00BC498A" w:rsidRPr="00BC498A" w:rsidRDefault="00BC498A" w:rsidP="00BC498A">
      <w:pPr>
        <w:pStyle w:val="BodyText"/>
      </w:pPr>
    </w:p>
    <w:p w14:paraId="7A220C3A" w14:textId="5DBF1E62" w:rsidR="003850F5" w:rsidRPr="00C601A2" w:rsidRDefault="003850F5" w:rsidP="006835E5">
      <w:pPr>
        <w:pStyle w:val="BodyText"/>
        <w:sectPr w:rsidR="003850F5" w:rsidRPr="00C601A2" w:rsidSect="000E21A8">
          <w:pgSz w:w="11906" w:h="16838" w:code="9"/>
          <w:pgMar w:top="1134" w:right="1134" w:bottom="1134" w:left="1134" w:header="510" w:footer="510" w:gutter="0"/>
          <w:cols w:space="284"/>
          <w:docGrid w:linePitch="360"/>
        </w:sectPr>
      </w:pPr>
    </w:p>
    <w:p w14:paraId="238302E0" w14:textId="4B117237" w:rsidR="00684736" w:rsidRPr="00C601A2" w:rsidRDefault="00684736" w:rsidP="00296632">
      <w:pPr>
        <w:pStyle w:val="CaptionWithNote"/>
      </w:pPr>
      <w:bookmarkStart w:id="131" w:name="_Ref71212598"/>
      <w:bookmarkStart w:id="132" w:name="_Toc183533680"/>
      <w:bookmarkStart w:id="133" w:name="_Toc202187936"/>
      <w:r w:rsidRPr="00C601A2">
        <w:lastRenderedPageBreak/>
        <w:t>Table</w:t>
      </w:r>
      <w:r w:rsidR="00A535AD">
        <w:t> </w:t>
      </w:r>
      <w:fldSimple w:instr=" STYLEREF 1 \s ">
        <w:r w:rsidR="00835C8B">
          <w:rPr>
            <w:noProof/>
          </w:rPr>
          <w:t>3</w:t>
        </w:r>
      </w:fldSimple>
      <w:r w:rsidR="00F60AE8">
        <w:t>.</w:t>
      </w:r>
      <w:fldSimple w:instr=" SEQ Table \* ARABIC \s 1 ">
        <w:r w:rsidR="00492712">
          <w:rPr>
            <w:noProof/>
          </w:rPr>
          <w:t>3</w:t>
        </w:r>
      </w:fldSimple>
      <w:bookmarkEnd w:id="131"/>
      <w:r w:rsidRPr="00C601A2">
        <w:t xml:space="preserve"> Stream metabolism evaluation questions and </w:t>
      </w:r>
      <w:r w:rsidR="003F0AA2">
        <w:t>responses</w:t>
      </w:r>
      <w:r w:rsidR="003F0AA2" w:rsidRPr="00C601A2">
        <w:t xml:space="preserve"> </w:t>
      </w:r>
      <w:r w:rsidRPr="00C601A2">
        <w:t xml:space="preserve">relating to </w:t>
      </w:r>
      <w:r w:rsidR="00682D38">
        <w:t>202</w:t>
      </w:r>
      <w:r w:rsidR="00B87DD0">
        <w:t>3</w:t>
      </w:r>
      <w:r w:rsidR="00682D38">
        <w:t>–2</w:t>
      </w:r>
      <w:r w:rsidR="00B87DD0">
        <w:t>4</w:t>
      </w:r>
      <w:r w:rsidRPr="00C601A2">
        <w:t xml:space="preserve"> Commonwealth environmental water, </w:t>
      </w:r>
      <w:r w:rsidR="003F0AA2">
        <w:t>extracted f</w:t>
      </w:r>
      <w:r w:rsidRPr="00C601A2">
        <w:t xml:space="preserve">rom </w:t>
      </w:r>
      <w:r w:rsidR="00C51245">
        <w:t>202</w:t>
      </w:r>
      <w:r w:rsidR="006E5C2B">
        <w:t>3</w:t>
      </w:r>
      <w:r w:rsidR="00C51245">
        <w:t>–2</w:t>
      </w:r>
      <w:r w:rsidR="006E5C2B">
        <w:t>4</w:t>
      </w:r>
      <w:r w:rsidR="00C51245">
        <w:t xml:space="preserve"> </w:t>
      </w:r>
      <w:r w:rsidRPr="00C601A2">
        <w:t>Selected Area reports</w:t>
      </w:r>
      <w:bookmarkEnd w:id="132"/>
      <w:bookmarkEnd w:id="133"/>
      <w:r w:rsidR="00DF2B5A" w:rsidRPr="00DF2B5A">
        <w:rPr>
          <w:vertAlign w:val="superscript"/>
        </w:rPr>
        <w:t>*</w:t>
      </w:r>
    </w:p>
    <w:p w14:paraId="74120777" w14:textId="2AFE595A" w:rsidR="00684736" w:rsidRPr="00C601A2" w:rsidRDefault="00DF2B5A" w:rsidP="00DF2B5A">
      <w:pPr>
        <w:pStyle w:val="CaptionNote"/>
      </w:pPr>
      <w:r w:rsidRPr="00DF2B5A">
        <w:rPr>
          <w:vertAlign w:val="superscript"/>
        </w:rPr>
        <w:t>*</w:t>
      </w:r>
      <w:r>
        <w:t xml:space="preserve">with minor edits for readability. </w:t>
      </w:r>
      <w:proofErr w:type="spellStart"/>
      <w:r w:rsidR="005B4E1C">
        <w:t>Note</w:t>
      </w:r>
      <w:proofErr w:type="spellEnd"/>
      <w:r w:rsidR="005B4E1C">
        <w:t xml:space="preserve"> that the </w:t>
      </w:r>
      <w:r w:rsidR="00761180">
        <w:t>Lower Murray River report</w:t>
      </w:r>
      <w:r w:rsidR="00684736" w:rsidRPr="00C601A2">
        <w:t xml:space="preserve"> </w:t>
      </w:r>
      <w:r w:rsidR="00421F2B">
        <w:t>refers to both</w:t>
      </w:r>
      <w:r w:rsidR="00684736" w:rsidRPr="00C601A2">
        <w:t xml:space="preserve"> </w:t>
      </w:r>
      <w:r w:rsidR="009A7D96">
        <w:t>‘</w:t>
      </w:r>
      <w:r w:rsidR="00684736" w:rsidRPr="00C601A2">
        <w:t>environmental water</w:t>
      </w:r>
      <w:r w:rsidR="009A7D96">
        <w:t>’</w:t>
      </w:r>
      <w:r w:rsidR="00684736" w:rsidRPr="00C601A2">
        <w:t xml:space="preserve"> and </w:t>
      </w:r>
      <w:r w:rsidR="005B4E1C">
        <w:t>‘</w:t>
      </w:r>
      <w:r w:rsidR="00684736" w:rsidRPr="00C601A2">
        <w:t>Commonwealth environment</w:t>
      </w:r>
      <w:r w:rsidR="00761180">
        <w:t>al</w:t>
      </w:r>
      <w:r w:rsidR="00684736" w:rsidRPr="00C601A2">
        <w:t xml:space="preserve"> water</w:t>
      </w:r>
      <w:r w:rsidR="000F6815">
        <w:t xml:space="preserve"> (CEW)</w:t>
      </w:r>
      <w:r w:rsidR="00E54F4F" w:rsidRPr="00E54F4F">
        <w:t xml:space="preserve"> </w:t>
      </w:r>
      <w:r w:rsidR="00E54F4F">
        <w:t>’</w:t>
      </w:r>
      <w:r w:rsidR="00421F2B">
        <w:t>.</w:t>
      </w:r>
    </w:p>
    <w:tbl>
      <w:tblPr>
        <w:tblStyle w:val="TableFlow-MER"/>
        <w:tblW w:w="5115" w:type="pct"/>
        <w:tblLayout w:type="fixed"/>
        <w:tblLook w:val="04A0" w:firstRow="1" w:lastRow="0" w:firstColumn="1" w:lastColumn="0" w:noHBand="0" w:noVBand="1"/>
      </w:tblPr>
      <w:tblGrid>
        <w:gridCol w:w="3726"/>
        <w:gridCol w:w="3726"/>
        <w:gridCol w:w="3726"/>
        <w:gridCol w:w="3727"/>
      </w:tblGrid>
      <w:tr w:rsidR="006D2558" w:rsidRPr="00C601A2" w14:paraId="12DBC52A" w14:textId="77777777" w:rsidTr="001B41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26" w:type="dxa"/>
          </w:tcPr>
          <w:p w14:paraId="339DB476" w14:textId="6613CC2B" w:rsidR="009009F8" w:rsidRPr="00C601A2" w:rsidRDefault="009009F8" w:rsidP="009009F8">
            <w:pPr>
              <w:pStyle w:val="ColumnHeading"/>
            </w:pPr>
            <w:r w:rsidRPr="00C601A2">
              <w:t>Selected Area</w:t>
            </w:r>
            <w:r w:rsidR="00AE1913">
              <w:t xml:space="preserve"> report</w:t>
            </w:r>
          </w:p>
        </w:tc>
        <w:tc>
          <w:tcPr>
            <w:tcW w:w="3726" w:type="dxa"/>
          </w:tcPr>
          <w:p w14:paraId="72B553FE" w14:textId="6D7EC6CE" w:rsidR="009009F8" w:rsidRPr="00C601A2" w:rsidRDefault="009009F8" w:rsidP="009009F8">
            <w:pPr>
              <w:pStyle w:val="ColumnHeading"/>
              <w:cnfStyle w:val="100000000000" w:firstRow="1" w:lastRow="0" w:firstColumn="0" w:lastColumn="0" w:oddVBand="0" w:evenVBand="0" w:oddHBand="0" w:evenHBand="0" w:firstRowFirstColumn="0" w:firstRowLastColumn="0" w:lastRowFirstColumn="0" w:lastRowLastColumn="0"/>
            </w:pPr>
            <w:r w:rsidRPr="00C601A2">
              <w:t>What did Commonwealth environmental water contribute to patterns and rates of ecosystem respiration?</w:t>
            </w:r>
          </w:p>
        </w:tc>
        <w:tc>
          <w:tcPr>
            <w:tcW w:w="3726" w:type="dxa"/>
          </w:tcPr>
          <w:p w14:paraId="3164298A" w14:textId="77777777" w:rsidR="009009F8" w:rsidRPr="00C601A2" w:rsidRDefault="009009F8" w:rsidP="009009F8">
            <w:pPr>
              <w:pStyle w:val="ColumnHeading"/>
              <w:cnfStyle w:val="100000000000" w:firstRow="1" w:lastRow="0" w:firstColumn="0" w:lastColumn="0" w:oddVBand="0" w:evenVBand="0" w:oddHBand="0" w:evenHBand="0" w:firstRowFirstColumn="0" w:firstRowLastColumn="0" w:lastRowFirstColumn="0" w:lastRowLastColumn="0"/>
            </w:pPr>
            <w:r w:rsidRPr="00C601A2">
              <w:t>What did Commonwealth environmental water contribute to patterns and rates of primary productivity?</w:t>
            </w:r>
          </w:p>
        </w:tc>
        <w:tc>
          <w:tcPr>
            <w:tcW w:w="3727" w:type="dxa"/>
          </w:tcPr>
          <w:p w14:paraId="6A9A6D1F" w14:textId="264450CF" w:rsidR="009009F8" w:rsidRPr="00C601A2" w:rsidRDefault="009009F8" w:rsidP="009009F8">
            <w:pPr>
              <w:pStyle w:val="ColumnHeading"/>
              <w:cnfStyle w:val="100000000000" w:firstRow="1" w:lastRow="0" w:firstColumn="0" w:lastColumn="0" w:oddVBand="0" w:evenVBand="0" w:oddHBand="0" w:evenHBand="0" w:firstRowFirstColumn="0" w:firstRowLastColumn="0" w:lastRowFirstColumn="0" w:lastRowLastColumn="0"/>
            </w:pPr>
            <w:r w:rsidRPr="00C601A2">
              <w:t>What did Commonwealth environmental water contribute to dissolved oxygen levels?</w:t>
            </w:r>
          </w:p>
        </w:tc>
      </w:tr>
      <w:tr w:rsidR="006D2558" w:rsidRPr="00C601A2" w14:paraId="095C528B" w14:textId="77777777" w:rsidTr="001B41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6" w:type="dxa"/>
          </w:tcPr>
          <w:p w14:paraId="1E1E0EDC" w14:textId="763FDCBD" w:rsidR="009009F8" w:rsidRDefault="009009F8" w:rsidP="001E6F48">
            <w:pPr>
              <w:pStyle w:val="TableText"/>
              <w:rPr>
                <w:bCs w:val="0"/>
              </w:rPr>
            </w:pPr>
            <w:r w:rsidRPr="00C601A2">
              <w:t>Lower Murray River</w:t>
            </w:r>
          </w:p>
          <w:p w14:paraId="5D201908" w14:textId="23F2E126" w:rsidR="009009F8" w:rsidRPr="00C601A2" w:rsidRDefault="00210E0C" w:rsidP="00D60896">
            <w:pPr>
              <w:pStyle w:val="TableText"/>
            </w:pPr>
            <w:r>
              <w:t>(Ye et al. 2025)</w:t>
            </w:r>
          </w:p>
        </w:tc>
        <w:tc>
          <w:tcPr>
            <w:tcW w:w="3726" w:type="dxa"/>
          </w:tcPr>
          <w:p w14:paraId="75A0C977" w14:textId="63C5CAD3" w:rsidR="00E12151" w:rsidRDefault="00E12151" w:rsidP="00E12151">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B26D47">
              <w:rPr>
                <w:color w:val="auto"/>
                <w:szCs w:val="18"/>
              </w:rPr>
              <w:t xml:space="preserve">Bacterial respiration (BCR), a measure of decomposition, was directly related to DOC concentrations. As it was assumed that daily DOC concentrations were the same with and without </w:t>
            </w:r>
            <w:r w:rsidR="00A54B58">
              <w:rPr>
                <w:color w:val="auto"/>
                <w:szCs w:val="18"/>
              </w:rPr>
              <w:t>EW</w:t>
            </w:r>
            <w:r w:rsidRPr="00B26D47">
              <w:rPr>
                <w:color w:val="auto"/>
                <w:szCs w:val="18"/>
              </w:rPr>
              <w:t>, volumetric BCR was unaffected by flow.</w:t>
            </w:r>
          </w:p>
          <w:p w14:paraId="345DDACF" w14:textId="3602E535" w:rsidR="00E12151" w:rsidRDefault="00E12151" w:rsidP="00E12151">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B26D47">
              <w:rPr>
                <w:color w:val="auto"/>
                <w:szCs w:val="18"/>
              </w:rPr>
              <w:t xml:space="preserve">Evaluation was based on the average percentage change in river cross-sectional BCR due to the addition of </w:t>
            </w:r>
            <w:r w:rsidR="00A54B58">
              <w:rPr>
                <w:color w:val="auto"/>
                <w:szCs w:val="18"/>
              </w:rPr>
              <w:t>EW</w:t>
            </w:r>
            <w:r w:rsidRPr="00B26D47">
              <w:rPr>
                <w:color w:val="auto"/>
                <w:szCs w:val="18"/>
              </w:rPr>
              <w:t>/CEW and determined from the average change in cross-sectional area.</w:t>
            </w:r>
          </w:p>
          <w:p w14:paraId="4B2123B8" w14:textId="281FF2F4" w:rsidR="009009F8" w:rsidRPr="00F90E0C" w:rsidRDefault="00E12151" w:rsidP="009009F8">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1E22E0">
              <w:rPr>
                <w:bCs/>
                <w:szCs w:val="18"/>
              </w:rPr>
              <w:t>In 2023-24, sustained high water levels due to</w:t>
            </w:r>
            <w:r w:rsidR="00DD7F78">
              <w:rPr>
                <w:bCs/>
                <w:szCs w:val="18"/>
              </w:rPr>
              <w:t xml:space="preserve"> EW</w:t>
            </w:r>
            <w:r w:rsidRPr="001E22E0">
              <w:rPr>
                <w:bCs/>
                <w:szCs w:val="18"/>
              </w:rPr>
              <w:t>/CEW resulted in moderate increases.</w:t>
            </w:r>
          </w:p>
        </w:tc>
        <w:tc>
          <w:tcPr>
            <w:tcW w:w="3726" w:type="dxa"/>
          </w:tcPr>
          <w:p w14:paraId="3F19CF25" w14:textId="6CB8462A" w:rsidR="0007150A" w:rsidRPr="0007150A" w:rsidRDefault="0007150A" w:rsidP="0007150A">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07150A">
              <w:rPr>
                <w:color w:val="auto"/>
                <w:szCs w:val="18"/>
              </w:rPr>
              <w:t xml:space="preserve">Increased </w:t>
            </w:r>
            <w:r w:rsidR="00A54B58">
              <w:rPr>
                <w:color w:val="auto"/>
                <w:szCs w:val="18"/>
              </w:rPr>
              <w:t>EW</w:t>
            </w:r>
            <w:r w:rsidRPr="0007150A">
              <w:rPr>
                <w:color w:val="auto"/>
                <w:szCs w:val="18"/>
              </w:rPr>
              <w:t xml:space="preserve"> delivery generally reduced the volumetric rate of primary production but increased the cross-sectional rate. This increased the overall “carrying capacity” of the river, although the implications of changes in the ratios of these two measures are unknown. </w:t>
            </w:r>
          </w:p>
          <w:p w14:paraId="33DB4EAE" w14:textId="7468BD0E" w:rsidR="009009F8" w:rsidRPr="00F90E0C" w:rsidRDefault="0007150A" w:rsidP="009009F8">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07150A">
              <w:rPr>
                <w:color w:val="auto"/>
                <w:szCs w:val="18"/>
              </w:rPr>
              <w:t xml:space="preserve">The estimated average percentage change in cross-sectional GPP due to environmental flows over a monitoring period was used to assess primary productivity. In 2023-24, despite relatively large increases in cross-sections, small positive changes in cross-sectional GPP were predicted in response to </w:t>
            </w:r>
            <w:r w:rsidR="00DD7F78">
              <w:rPr>
                <w:color w:val="auto"/>
                <w:szCs w:val="18"/>
              </w:rPr>
              <w:t>EW</w:t>
            </w:r>
            <w:r w:rsidRPr="0007150A">
              <w:rPr>
                <w:color w:val="auto"/>
                <w:szCs w:val="18"/>
              </w:rPr>
              <w:t>/CEW delivery below Locks 6 and 1, with small negative changes below Lock 4.</w:t>
            </w:r>
          </w:p>
        </w:tc>
        <w:tc>
          <w:tcPr>
            <w:tcW w:w="3727" w:type="dxa"/>
          </w:tcPr>
          <w:p w14:paraId="0E63FB36" w14:textId="5DF75E79" w:rsidR="009009F8" w:rsidRPr="00F90E0C" w:rsidRDefault="002C0755" w:rsidP="009009F8">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2C0755">
              <w:rPr>
                <w:color w:val="auto"/>
                <w:szCs w:val="18"/>
              </w:rPr>
              <w:t xml:space="preserve">Contributions of </w:t>
            </w:r>
            <w:r w:rsidR="00DF4FD5">
              <w:rPr>
                <w:color w:val="auto"/>
                <w:szCs w:val="18"/>
              </w:rPr>
              <w:t>EW</w:t>
            </w:r>
            <w:r w:rsidRPr="002C0755">
              <w:rPr>
                <w:color w:val="auto"/>
                <w:szCs w:val="18"/>
              </w:rPr>
              <w:t xml:space="preserve"> and CEW can help decrease the likelihood of low DO during low flow periods by increasing water mixing and oxygen exchange at the surface. This was assessed as the extra days per year with water velocities &gt;0.18 m/s due to </w:t>
            </w:r>
            <w:proofErr w:type="spellStart"/>
            <w:r w:rsidRPr="002C0755">
              <w:rPr>
                <w:color w:val="auto"/>
                <w:szCs w:val="18"/>
              </w:rPr>
              <w:t>eWater</w:t>
            </w:r>
            <w:proofErr w:type="spellEnd"/>
            <w:r w:rsidRPr="002C0755">
              <w:rPr>
                <w:color w:val="auto"/>
                <w:szCs w:val="18"/>
              </w:rPr>
              <w:t xml:space="preserve">, and then the further increase due to CEW, and the total for all </w:t>
            </w:r>
            <w:r w:rsidR="00142D76">
              <w:rPr>
                <w:color w:val="auto"/>
                <w:szCs w:val="18"/>
              </w:rPr>
              <w:t>EW</w:t>
            </w:r>
            <w:r w:rsidRPr="002C0755">
              <w:rPr>
                <w:color w:val="auto"/>
                <w:szCs w:val="18"/>
              </w:rPr>
              <w:t xml:space="preserve">. In 2023-24, CEW contributed 29 days of flow that moved velocities above 0.18 m/s, while All </w:t>
            </w:r>
            <w:r w:rsidR="00142D76">
              <w:rPr>
                <w:color w:val="auto"/>
                <w:szCs w:val="18"/>
              </w:rPr>
              <w:t>EW</w:t>
            </w:r>
            <w:r w:rsidRPr="002C0755">
              <w:rPr>
                <w:color w:val="auto"/>
                <w:szCs w:val="18"/>
              </w:rPr>
              <w:t xml:space="preserve"> supported 45 days were above 0.18 m/s.</w:t>
            </w:r>
          </w:p>
        </w:tc>
      </w:tr>
      <w:tr w:rsidR="006D2558" w:rsidRPr="00C601A2" w14:paraId="635E7DE0" w14:textId="77777777" w:rsidTr="001B4152">
        <w:tc>
          <w:tcPr>
            <w:cnfStyle w:val="001000000000" w:firstRow="0" w:lastRow="0" w:firstColumn="1" w:lastColumn="0" w:oddVBand="0" w:evenVBand="0" w:oddHBand="0" w:evenHBand="0" w:firstRowFirstColumn="0" w:firstRowLastColumn="0" w:lastRowFirstColumn="0" w:lastRowLastColumn="0"/>
            <w:tcW w:w="3726" w:type="dxa"/>
          </w:tcPr>
          <w:p w14:paraId="7713323F" w14:textId="77777777" w:rsidR="007C24C3" w:rsidRDefault="009009F8" w:rsidP="00D60896">
            <w:pPr>
              <w:pStyle w:val="TableText"/>
              <w:rPr>
                <w:bCs w:val="0"/>
              </w:rPr>
            </w:pPr>
            <w:r w:rsidRPr="00C601A2">
              <w:t>Goulburn River</w:t>
            </w:r>
          </w:p>
          <w:p w14:paraId="1BCC66F4" w14:textId="37D6D84C" w:rsidR="009009F8" w:rsidRPr="00925A92" w:rsidRDefault="00A94D50" w:rsidP="00D60896">
            <w:pPr>
              <w:pStyle w:val="TableText"/>
              <w:rPr>
                <w:rFonts w:cs="Calibri"/>
                <w:szCs w:val="18"/>
                <w:shd w:val="clear" w:color="auto" w:fill="FFFFFF"/>
              </w:rPr>
            </w:pPr>
            <w:r>
              <w:t>(</w:t>
            </w:r>
            <w:r w:rsidR="009630DD">
              <w:t>Tread</w:t>
            </w:r>
            <w:r w:rsidR="002D643A">
              <w:t xml:space="preserve">well </w:t>
            </w:r>
            <w:r>
              <w:t>et al. 202</w:t>
            </w:r>
            <w:r w:rsidR="002D643A">
              <w:t>4</w:t>
            </w:r>
            <w:r>
              <w:t>)</w:t>
            </w:r>
          </w:p>
        </w:tc>
        <w:tc>
          <w:tcPr>
            <w:tcW w:w="3726" w:type="dxa"/>
          </w:tcPr>
          <w:p w14:paraId="3C4F0204" w14:textId="1A166C39" w:rsidR="00A03476" w:rsidRDefault="00A03476" w:rsidP="009009F8">
            <w:pPr>
              <w:pStyle w:val="TableBullet"/>
              <w:cnfStyle w:val="000000000000" w:firstRow="0" w:lastRow="0" w:firstColumn="0" w:lastColumn="0" w:oddVBand="0" w:evenVBand="0" w:oddHBand="0" w:evenHBand="0" w:firstRowFirstColumn="0" w:firstRowLastColumn="0" w:lastRowFirstColumn="0" w:lastRowLastColumn="0"/>
              <w:rPr>
                <w:rFonts w:cs="Calibri"/>
                <w:color w:val="auto"/>
                <w:szCs w:val="18"/>
                <w:shd w:val="clear" w:color="auto" w:fill="FFFFFF"/>
              </w:rPr>
            </w:pPr>
            <w:r w:rsidRPr="00A03476">
              <w:rPr>
                <w:rFonts w:cs="Calibri"/>
                <w:color w:val="auto"/>
                <w:szCs w:val="18"/>
                <w:shd w:val="clear" w:color="auto" w:fill="FFFFFF"/>
              </w:rPr>
              <w:t>Apart from the initial dilution effect (as seen in all previous years), there was no consistent long</w:t>
            </w:r>
            <w:r w:rsidR="003A23B4">
              <w:rPr>
                <w:rFonts w:cs="Calibri"/>
                <w:color w:val="auto"/>
                <w:szCs w:val="18"/>
                <w:shd w:val="clear" w:color="auto" w:fill="FFFFFF"/>
              </w:rPr>
              <w:t>-</w:t>
            </w:r>
            <w:r w:rsidRPr="00A03476">
              <w:rPr>
                <w:rFonts w:cs="Calibri"/>
                <w:color w:val="auto"/>
                <w:szCs w:val="18"/>
                <w:shd w:val="clear" w:color="auto" w:fill="FFFFFF"/>
              </w:rPr>
              <w:t>term (months, seasons) effect of flow increases (including those from delivery</w:t>
            </w:r>
            <w:r w:rsidR="0056215E">
              <w:rPr>
                <w:rFonts w:cs="Calibri"/>
                <w:color w:val="auto"/>
                <w:szCs w:val="18"/>
                <w:shd w:val="clear" w:color="auto" w:fill="FFFFFF"/>
              </w:rPr>
              <w:t xml:space="preserve"> of CEW</w:t>
            </w:r>
            <w:r w:rsidRPr="00A03476">
              <w:rPr>
                <w:rFonts w:cs="Calibri"/>
                <w:color w:val="auto"/>
                <w:szCs w:val="18"/>
                <w:shd w:val="clear" w:color="auto" w:fill="FFFFFF"/>
              </w:rPr>
              <w:t>) on ER (mg O</w:t>
            </w:r>
            <w:r w:rsidRPr="008C08C0">
              <w:rPr>
                <w:rFonts w:cs="Calibri"/>
                <w:color w:val="auto"/>
                <w:szCs w:val="18"/>
                <w:shd w:val="clear" w:color="auto" w:fill="FFFFFF"/>
                <w:vertAlign w:val="subscript"/>
              </w:rPr>
              <w:t>2</w:t>
            </w:r>
            <w:r w:rsidRPr="00A03476">
              <w:rPr>
                <w:rFonts w:cs="Calibri"/>
                <w:color w:val="auto"/>
                <w:szCs w:val="18"/>
                <w:shd w:val="clear" w:color="auto" w:fill="FFFFFF"/>
              </w:rPr>
              <w:t>/L/</w:t>
            </w:r>
            <w:r w:rsidR="00F22FEB">
              <w:rPr>
                <w:rFonts w:cs="Calibri"/>
                <w:color w:val="auto"/>
                <w:szCs w:val="18"/>
                <w:shd w:val="clear" w:color="auto" w:fill="FFFFFF"/>
              </w:rPr>
              <w:t>d</w:t>
            </w:r>
            <w:r w:rsidRPr="00A03476">
              <w:rPr>
                <w:rFonts w:cs="Calibri"/>
                <w:color w:val="auto"/>
                <w:szCs w:val="18"/>
                <w:shd w:val="clear" w:color="auto" w:fill="FFFFFF"/>
              </w:rPr>
              <w:t>ay)</w:t>
            </w:r>
            <w:r w:rsidR="00F22FEB" w:rsidRPr="00A03476">
              <w:rPr>
                <w:rFonts w:cs="Calibri"/>
                <w:color w:val="auto"/>
                <w:szCs w:val="18"/>
                <w:shd w:val="clear" w:color="auto" w:fill="FFFFFF"/>
              </w:rPr>
              <w:t xml:space="preserve"> across the 4 sites</w:t>
            </w:r>
            <w:r w:rsidRPr="00A03476">
              <w:rPr>
                <w:rFonts w:cs="Calibri"/>
                <w:color w:val="auto"/>
                <w:szCs w:val="18"/>
                <w:shd w:val="clear" w:color="auto" w:fill="FFFFFF"/>
              </w:rPr>
              <w:t xml:space="preserve">. </w:t>
            </w:r>
          </w:p>
          <w:p w14:paraId="0619730F" w14:textId="3E2C1E46" w:rsidR="00A03476" w:rsidRDefault="00A03476" w:rsidP="009009F8">
            <w:pPr>
              <w:pStyle w:val="TableBullet"/>
              <w:cnfStyle w:val="000000000000" w:firstRow="0" w:lastRow="0" w:firstColumn="0" w:lastColumn="0" w:oddVBand="0" w:evenVBand="0" w:oddHBand="0" w:evenHBand="0" w:firstRowFirstColumn="0" w:firstRowLastColumn="0" w:lastRowFirstColumn="0" w:lastRowLastColumn="0"/>
              <w:rPr>
                <w:rFonts w:cs="Calibri"/>
                <w:color w:val="auto"/>
                <w:szCs w:val="18"/>
                <w:shd w:val="clear" w:color="auto" w:fill="FFFFFF"/>
              </w:rPr>
            </w:pPr>
            <w:r w:rsidRPr="00A03476">
              <w:rPr>
                <w:rFonts w:cs="Calibri"/>
                <w:color w:val="auto"/>
                <w:szCs w:val="18"/>
                <w:shd w:val="clear" w:color="auto" w:fill="FFFFFF"/>
              </w:rPr>
              <w:t>Importantly, there w</w:t>
            </w:r>
            <w:r w:rsidR="00F22FEB">
              <w:rPr>
                <w:rFonts w:cs="Calibri"/>
                <w:color w:val="auto"/>
                <w:szCs w:val="18"/>
                <w:shd w:val="clear" w:color="auto" w:fill="FFFFFF"/>
              </w:rPr>
              <w:t>ere</w:t>
            </w:r>
            <w:r w:rsidRPr="00A03476">
              <w:rPr>
                <w:rFonts w:cs="Calibri"/>
                <w:color w:val="auto"/>
                <w:szCs w:val="18"/>
                <w:shd w:val="clear" w:color="auto" w:fill="FFFFFF"/>
              </w:rPr>
              <w:t xml:space="preserve"> significant enhancements in ER rates for several weeks (but not months) following flow events in summer and autumn, likely due to the introduction of new organic carbon. </w:t>
            </w:r>
          </w:p>
          <w:p w14:paraId="1F1D5E64" w14:textId="7BF877D0" w:rsidR="009009F8" w:rsidRPr="00F90E0C" w:rsidRDefault="00A03476" w:rsidP="009009F8">
            <w:pPr>
              <w:pStyle w:val="TableBullet"/>
              <w:cnfStyle w:val="000000000000" w:firstRow="0" w:lastRow="0" w:firstColumn="0" w:lastColumn="0" w:oddVBand="0" w:evenVBand="0" w:oddHBand="0" w:evenHBand="0" w:firstRowFirstColumn="0" w:firstRowLastColumn="0" w:lastRowFirstColumn="0" w:lastRowLastColumn="0"/>
              <w:rPr>
                <w:rFonts w:cs="Calibri"/>
                <w:color w:val="auto"/>
                <w:szCs w:val="18"/>
                <w:shd w:val="clear" w:color="auto" w:fill="FFFFFF"/>
              </w:rPr>
            </w:pPr>
            <w:r w:rsidRPr="00A03476">
              <w:rPr>
                <w:rFonts w:cs="Calibri"/>
                <w:color w:val="auto"/>
                <w:szCs w:val="18"/>
                <w:shd w:val="clear" w:color="auto" w:fill="FFFFFF"/>
              </w:rPr>
              <w:t>There was also a marked positive effect of flow increases, even those constrained within channel, on total amounts of ER expressed as mass (load) of organic carbon consumed per day. As there is no change in water source, the major effect of CEW is to augment flow.</w:t>
            </w:r>
          </w:p>
        </w:tc>
        <w:tc>
          <w:tcPr>
            <w:tcW w:w="3726" w:type="dxa"/>
          </w:tcPr>
          <w:p w14:paraId="50EA17B4" w14:textId="57A24EB2" w:rsidR="00352E00" w:rsidRDefault="00A21EC9" w:rsidP="00A21EC9">
            <w:pPr>
              <w:pStyle w:val="TableBullet"/>
              <w:cnfStyle w:val="000000000000" w:firstRow="0" w:lastRow="0" w:firstColumn="0" w:lastColumn="0" w:oddVBand="0" w:evenVBand="0" w:oddHBand="0" w:evenHBand="0" w:firstRowFirstColumn="0" w:firstRowLastColumn="0" w:lastRowFirstColumn="0" w:lastRowLastColumn="0"/>
              <w:rPr>
                <w:color w:val="auto"/>
                <w:szCs w:val="18"/>
              </w:rPr>
            </w:pPr>
            <w:r w:rsidRPr="00A21EC9">
              <w:rPr>
                <w:color w:val="auto"/>
                <w:szCs w:val="18"/>
              </w:rPr>
              <w:t>As with ER</w:t>
            </w:r>
            <w:r>
              <w:rPr>
                <w:color w:val="auto"/>
                <w:szCs w:val="18"/>
              </w:rPr>
              <w:t xml:space="preserve">, </w:t>
            </w:r>
            <w:r w:rsidRPr="00A21EC9">
              <w:rPr>
                <w:color w:val="auto"/>
                <w:szCs w:val="18"/>
              </w:rPr>
              <w:t xml:space="preserve">all 4 sites </w:t>
            </w:r>
            <w:r w:rsidR="00316E6A">
              <w:rPr>
                <w:color w:val="auto"/>
                <w:szCs w:val="18"/>
              </w:rPr>
              <w:t>showed</w:t>
            </w:r>
            <w:r w:rsidR="006F3572">
              <w:rPr>
                <w:color w:val="auto"/>
                <w:szCs w:val="18"/>
              </w:rPr>
              <w:t xml:space="preserve"> </w:t>
            </w:r>
            <w:r w:rsidRPr="00A21EC9">
              <w:rPr>
                <w:color w:val="auto"/>
                <w:szCs w:val="18"/>
              </w:rPr>
              <w:t>a decrease in GPP (mg</w:t>
            </w:r>
            <w:r w:rsidR="00493D71">
              <w:rPr>
                <w:color w:val="auto"/>
                <w:szCs w:val="18"/>
              </w:rPr>
              <w:t> </w:t>
            </w:r>
            <w:r w:rsidRPr="00A21EC9">
              <w:rPr>
                <w:color w:val="auto"/>
                <w:szCs w:val="18"/>
              </w:rPr>
              <w:t>O</w:t>
            </w:r>
            <w:r w:rsidRPr="00A21EC9">
              <w:rPr>
                <w:color w:val="auto"/>
                <w:szCs w:val="18"/>
                <w:vertAlign w:val="subscript"/>
              </w:rPr>
              <w:t>2</w:t>
            </w:r>
            <w:r w:rsidRPr="00A21EC9">
              <w:rPr>
                <w:color w:val="auto"/>
                <w:szCs w:val="18"/>
              </w:rPr>
              <w:t>/L/</w:t>
            </w:r>
            <w:r w:rsidR="00A41568">
              <w:rPr>
                <w:color w:val="auto"/>
                <w:szCs w:val="18"/>
              </w:rPr>
              <w:t>d</w:t>
            </w:r>
            <w:r w:rsidRPr="00A21EC9">
              <w:rPr>
                <w:color w:val="auto"/>
                <w:szCs w:val="18"/>
              </w:rPr>
              <w:t>ay) with</w:t>
            </w:r>
            <w:r w:rsidR="00607537">
              <w:rPr>
                <w:color w:val="auto"/>
                <w:szCs w:val="18"/>
              </w:rPr>
              <w:t xml:space="preserve"> increases in</w:t>
            </w:r>
            <w:r w:rsidRPr="00A21EC9">
              <w:rPr>
                <w:color w:val="auto"/>
                <w:szCs w:val="18"/>
              </w:rPr>
              <w:t xml:space="preserve"> flow</w:t>
            </w:r>
            <w:r w:rsidR="00DF4FD5">
              <w:rPr>
                <w:color w:val="auto"/>
                <w:szCs w:val="18"/>
              </w:rPr>
              <w:t xml:space="preserve"> </w:t>
            </w:r>
            <w:r w:rsidRPr="00A21EC9">
              <w:rPr>
                <w:color w:val="auto"/>
                <w:szCs w:val="18"/>
              </w:rPr>
              <w:t xml:space="preserve">(including those from CEW delivery) </w:t>
            </w:r>
            <w:r w:rsidR="00493D71">
              <w:rPr>
                <w:color w:val="auto"/>
                <w:szCs w:val="18"/>
              </w:rPr>
              <w:t>– th</w:t>
            </w:r>
            <w:r w:rsidR="006C0AE9">
              <w:rPr>
                <w:color w:val="auto"/>
                <w:szCs w:val="18"/>
              </w:rPr>
              <w:t>i</w:t>
            </w:r>
            <w:r w:rsidR="00493D71">
              <w:rPr>
                <w:color w:val="auto"/>
                <w:szCs w:val="18"/>
              </w:rPr>
              <w:t xml:space="preserve">s </w:t>
            </w:r>
            <w:r w:rsidR="00CF74C2">
              <w:rPr>
                <w:color w:val="auto"/>
                <w:szCs w:val="18"/>
              </w:rPr>
              <w:t>was</w:t>
            </w:r>
            <w:r w:rsidR="006F3572">
              <w:rPr>
                <w:color w:val="auto"/>
                <w:szCs w:val="18"/>
              </w:rPr>
              <w:t xml:space="preserve"> </w:t>
            </w:r>
            <w:r w:rsidR="00CF74C2">
              <w:rPr>
                <w:color w:val="auto"/>
                <w:szCs w:val="18"/>
              </w:rPr>
              <w:t xml:space="preserve">due to </w:t>
            </w:r>
            <w:r w:rsidRPr="00A21EC9">
              <w:rPr>
                <w:color w:val="auto"/>
                <w:szCs w:val="18"/>
              </w:rPr>
              <w:t>dilution</w:t>
            </w:r>
            <w:r w:rsidR="006C0AE9">
              <w:rPr>
                <w:color w:val="auto"/>
                <w:szCs w:val="18"/>
              </w:rPr>
              <w:t xml:space="preserve"> and</w:t>
            </w:r>
            <w:r w:rsidRPr="00A21EC9">
              <w:rPr>
                <w:color w:val="auto"/>
                <w:szCs w:val="18"/>
              </w:rPr>
              <w:t xml:space="preserve"> </w:t>
            </w:r>
            <w:r w:rsidR="006C0AE9">
              <w:rPr>
                <w:color w:val="auto"/>
                <w:szCs w:val="18"/>
              </w:rPr>
              <w:t>w</w:t>
            </w:r>
            <w:r w:rsidRPr="00A21EC9">
              <w:rPr>
                <w:color w:val="auto"/>
                <w:szCs w:val="18"/>
              </w:rPr>
              <w:t xml:space="preserve">as seen in all previous years. </w:t>
            </w:r>
          </w:p>
          <w:p w14:paraId="727C678A" w14:textId="68EFE0EA" w:rsidR="00352E00" w:rsidRDefault="00A21EC9" w:rsidP="00A21EC9">
            <w:pPr>
              <w:pStyle w:val="TableBullet"/>
              <w:cnfStyle w:val="000000000000" w:firstRow="0" w:lastRow="0" w:firstColumn="0" w:lastColumn="0" w:oddVBand="0" w:evenVBand="0" w:oddHBand="0" w:evenHBand="0" w:firstRowFirstColumn="0" w:firstRowLastColumn="0" w:lastRowFirstColumn="0" w:lastRowLastColumn="0"/>
              <w:rPr>
                <w:color w:val="auto"/>
                <w:szCs w:val="18"/>
              </w:rPr>
            </w:pPr>
            <w:r w:rsidRPr="00A21EC9">
              <w:rPr>
                <w:color w:val="auto"/>
                <w:szCs w:val="18"/>
              </w:rPr>
              <w:t>It was also shown that</w:t>
            </w:r>
            <w:r w:rsidR="00A41568">
              <w:rPr>
                <w:color w:val="auto"/>
                <w:szCs w:val="18"/>
              </w:rPr>
              <w:t>,</w:t>
            </w:r>
            <w:r w:rsidRPr="00A21EC9">
              <w:rPr>
                <w:color w:val="auto"/>
                <w:szCs w:val="18"/>
              </w:rPr>
              <w:t xml:space="preserve"> after the hydrograph fell, GPP </w:t>
            </w:r>
            <w:r w:rsidR="00B55AAD">
              <w:rPr>
                <w:color w:val="auto"/>
                <w:szCs w:val="18"/>
              </w:rPr>
              <w:t xml:space="preserve">increased </w:t>
            </w:r>
            <w:r w:rsidRPr="00A21EC9">
              <w:rPr>
                <w:color w:val="auto"/>
                <w:szCs w:val="18"/>
              </w:rPr>
              <w:t xml:space="preserve">during summer and autumn in the subsequent days and weeks (but not months), most likely due to the entrainment of nutrients during the event. </w:t>
            </w:r>
          </w:p>
          <w:p w14:paraId="3C962471" w14:textId="3240BD55" w:rsidR="009009F8" w:rsidRPr="00A21EC9" w:rsidRDefault="00A21EC9" w:rsidP="00A21EC9">
            <w:pPr>
              <w:pStyle w:val="TableBullet"/>
              <w:cnfStyle w:val="000000000000" w:firstRow="0" w:lastRow="0" w:firstColumn="0" w:lastColumn="0" w:oddVBand="0" w:evenVBand="0" w:oddHBand="0" w:evenHBand="0" w:firstRowFirstColumn="0" w:firstRowLastColumn="0" w:lastRowFirstColumn="0" w:lastRowLastColumn="0"/>
              <w:rPr>
                <w:color w:val="auto"/>
                <w:szCs w:val="18"/>
              </w:rPr>
            </w:pPr>
            <w:r w:rsidRPr="00A21EC9">
              <w:rPr>
                <w:color w:val="auto"/>
                <w:szCs w:val="18"/>
              </w:rPr>
              <w:t xml:space="preserve">Importantly, there was a marked positive effect of flow increases, even those constrained within </w:t>
            </w:r>
            <w:r w:rsidR="00C174D5">
              <w:rPr>
                <w:color w:val="auto"/>
                <w:szCs w:val="18"/>
              </w:rPr>
              <w:t xml:space="preserve">the </w:t>
            </w:r>
            <w:r w:rsidRPr="00A21EC9">
              <w:rPr>
                <w:color w:val="auto"/>
                <w:szCs w:val="18"/>
              </w:rPr>
              <w:t xml:space="preserve">channel, on total amounts of GPP expressed as mass (load) of organic carbon produced per day. As there is no change in water source (tributary flow is not a significant water source in this section </w:t>
            </w:r>
            <w:r w:rsidRPr="00A21EC9">
              <w:rPr>
                <w:color w:val="auto"/>
                <w:szCs w:val="18"/>
              </w:rPr>
              <w:lastRenderedPageBreak/>
              <w:t>of the Goulburn River), the major effect of CEW is to augment flow.</w:t>
            </w:r>
          </w:p>
        </w:tc>
        <w:tc>
          <w:tcPr>
            <w:tcW w:w="3727" w:type="dxa"/>
          </w:tcPr>
          <w:p w14:paraId="6700DD90" w14:textId="3835B3E8" w:rsidR="009009F8" w:rsidRPr="00F90E0C" w:rsidRDefault="00380D34" w:rsidP="009009F8">
            <w:pPr>
              <w:pStyle w:val="TableBullet"/>
              <w:cnfStyle w:val="000000000000" w:firstRow="0" w:lastRow="0" w:firstColumn="0" w:lastColumn="0" w:oddVBand="0" w:evenVBand="0" w:oddHBand="0" w:evenHBand="0" w:firstRowFirstColumn="0" w:firstRowLastColumn="0" w:lastRowFirstColumn="0" w:lastRowLastColumn="0"/>
              <w:rPr>
                <w:color w:val="auto"/>
                <w:szCs w:val="18"/>
              </w:rPr>
            </w:pPr>
            <w:r>
              <w:rPr>
                <w:color w:val="auto"/>
                <w:szCs w:val="18"/>
              </w:rPr>
              <w:lastRenderedPageBreak/>
              <w:t xml:space="preserve">Not specifically reported in </w:t>
            </w:r>
            <w:r w:rsidR="002645A9">
              <w:rPr>
                <w:color w:val="auto"/>
                <w:szCs w:val="18"/>
              </w:rPr>
              <w:t>20</w:t>
            </w:r>
            <w:r>
              <w:rPr>
                <w:color w:val="auto"/>
                <w:szCs w:val="18"/>
              </w:rPr>
              <w:t>23</w:t>
            </w:r>
            <w:r w:rsidR="002645A9">
              <w:rPr>
                <w:color w:val="auto"/>
                <w:szCs w:val="18"/>
              </w:rPr>
              <w:t>–</w:t>
            </w:r>
            <w:r>
              <w:rPr>
                <w:color w:val="auto"/>
                <w:szCs w:val="18"/>
              </w:rPr>
              <w:t>24</w:t>
            </w:r>
            <w:r w:rsidR="003053F7">
              <w:rPr>
                <w:color w:val="auto"/>
                <w:szCs w:val="18"/>
              </w:rPr>
              <w:t>.</w:t>
            </w:r>
          </w:p>
        </w:tc>
      </w:tr>
      <w:tr w:rsidR="006D2558" w:rsidRPr="00503AAC" w14:paraId="7A795BA5" w14:textId="77777777" w:rsidTr="001B41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6" w:type="dxa"/>
          </w:tcPr>
          <w:p w14:paraId="5AA1E923" w14:textId="77777777" w:rsidR="007C24C3" w:rsidRDefault="009009F8" w:rsidP="00D60896">
            <w:pPr>
              <w:pStyle w:val="TableText"/>
              <w:rPr>
                <w:bCs w:val="0"/>
              </w:rPr>
            </w:pPr>
            <w:r w:rsidRPr="00C601A2">
              <w:t>Edward/Kolety–Wakool river systems</w:t>
            </w:r>
          </w:p>
          <w:p w14:paraId="14F265CD" w14:textId="3FE04C1E" w:rsidR="009009F8" w:rsidRDefault="00D60896" w:rsidP="00D60896">
            <w:pPr>
              <w:pStyle w:val="TableText"/>
            </w:pPr>
            <w:r>
              <w:rPr>
                <w:noProof/>
              </w:rPr>
              <w:t>(</w:t>
            </w:r>
            <w:r w:rsidR="00910AA3" w:rsidRPr="00910AA3">
              <w:rPr>
                <w:lang w:val="en-GB"/>
              </w:rPr>
              <w:t>Liu</w:t>
            </w:r>
            <w:r w:rsidR="009009F8" w:rsidRPr="00C601A2">
              <w:rPr>
                <w:noProof/>
              </w:rPr>
              <w:t xml:space="preserve"> et al. 202</w:t>
            </w:r>
            <w:r w:rsidR="00910AA3">
              <w:rPr>
                <w:noProof/>
              </w:rPr>
              <w:t>4</w:t>
            </w:r>
            <w:r w:rsidR="009009F8" w:rsidRPr="00C601A2">
              <w:rPr>
                <w:noProof/>
              </w:rPr>
              <w:t>)</w:t>
            </w:r>
          </w:p>
        </w:tc>
        <w:tc>
          <w:tcPr>
            <w:tcW w:w="3726" w:type="dxa"/>
          </w:tcPr>
          <w:p w14:paraId="48050B03" w14:textId="0029724C" w:rsidR="000F49F1" w:rsidRPr="000F49F1" w:rsidRDefault="000F49F1" w:rsidP="000F49F1">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0F49F1">
              <w:rPr>
                <w:color w:val="auto"/>
                <w:szCs w:val="18"/>
              </w:rPr>
              <w:t xml:space="preserve">ER followed a seasonal trend </w:t>
            </w:r>
            <w:r w:rsidR="00313952">
              <w:rPr>
                <w:color w:val="auto"/>
                <w:szCs w:val="18"/>
              </w:rPr>
              <w:t>–</w:t>
            </w:r>
            <w:r w:rsidRPr="000F49F1">
              <w:rPr>
                <w:color w:val="auto"/>
                <w:szCs w:val="18"/>
              </w:rPr>
              <w:t xml:space="preserve"> pulses of respiration largely correlat</w:t>
            </w:r>
            <w:r w:rsidR="00313952">
              <w:rPr>
                <w:color w:val="auto"/>
                <w:szCs w:val="18"/>
              </w:rPr>
              <w:t>ed</w:t>
            </w:r>
            <w:r w:rsidRPr="000F49F1">
              <w:rPr>
                <w:color w:val="auto"/>
                <w:szCs w:val="18"/>
              </w:rPr>
              <w:t xml:space="preserve"> with those of GPP. These pulses coincided with the start and end of high flow in October and early January, </w:t>
            </w:r>
            <w:r w:rsidR="00D46FB6">
              <w:rPr>
                <w:color w:val="auto"/>
                <w:szCs w:val="18"/>
              </w:rPr>
              <w:t xml:space="preserve">respectively, </w:t>
            </w:r>
            <w:r w:rsidRPr="000F49F1">
              <w:rPr>
                <w:color w:val="auto"/>
                <w:szCs w:val="18"/>
              </w:rPr>
              <w:t>peaking in early summer</w:t>
            </w:r>
            <w:r w:rsidR="00E53066">
              <w:rPr>
                <w:color w:val="auto"/>
                <w:szCs w:val="18"/>
              </w:rPr>
              <w:t>,</w:t>
            </w:r>
            <w:r w:rsidRPr="000F49F1">
              <w:rPr>
                <w:color w:val="auto"/>
                <w:szCs w:val="18"/>
              </w:rPr>
              <w:t xml:space="preserve"> </w:t>
            </w:r>
            <w:proofErr w:type="gramStart"/>
            <w:r w:rsidRPr="000F49F1">
              <w:rPr>
                <w:color w:val="auto"/>
                <w:szCs w:val="18"/>
              </w:rPr>
              <w:t>similar to</w:t>
            </w:r>
            <w:proofErr w:type="gramEnd"/>
            <w:r w:rsidRPr="000F49F1">
              <w:rPr>
                <w:color w:val="auto"/>
                <w:szCs w:val="18"/>
              </w:rPr>
              <w:t xml:space="preserve"> previous years. </w:t>
            </w:r>
          </w:p>
          <w:p w14:paraId="04845034" w14:textId="3EAE4266" w:rsidR="000F49F1" w:rsidRPr="000F49F1" w:rsidRDefault="000F49F1" w:rsidP="000F49F1">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0F49F1">
              <w:rPr>
                <w:color w:val="auto"/>
                <w:szCs w:val="18"/>
              </w:rPr>
              <w:t>For most of the monitoring year</w:t>
            </w:r>
            <w:r w:rsidR="00844C0F">
              <w:rPr>
                <w:color w:val="auto"/>
                <w:szCs w:val="18"/>
              </w:rPr>
              <w:t>,</w:t>
            </w:r>
            <w:r w:rsidRPr="000F49F1">
              <w:rPr>
                <w:color w:val="auto"/>
                <w:szCs w:val="18"/>
              </w:rPr>
              <w:t xml:space="preserve"> each hydrological zone was strongly heterotrophic</w:t>
            </w:r>
            <w:r w:rsidR="00844C0F">
              <w:rPr>
                <w:color w:val="auto"/>
                <w:szCs w:val="18"/>
              </w:rPr>
              <w:t>,</w:t>
            </w:r>
            <w:r w:rsidRPr="000F49F1">
              <w:rPr>
                <w:color w:val="auto"/>
                <w:szCs w:val="18"/>
              </w:rPr>
              <w:t xml:space="preserve"> w</w:t>
            </w:r>
            <w:r w:rsidR="00844C0F">
              <w:rPr>
                <w:color w:val="auto"/>
                <w:szCs w:val="18"/>
              </w:rPr>
              <w:t>here</w:t>
            </w:r>
            <w:r w:rsidR="006F3572">
              <w:rPr>
                <w:color w:val="auto"/>
                <w:szCs w:val="18"/>
              </w:rPr>
              <w:t xml:space="preserve"> </w:t>
            </w:r>
            <w:r w:rsidRPr="000F49F1">
              <w:rPr>
                <w:color w:val="auto"/>
                <w:szCs w:val="18"/>
              </w:rPr>
              <w:t>respiration outpac</w:t>
            </w:r>
            <w:r w:rsidR="00844C0F">
              <w:rPr>
                <w:color w:val="auto"/>
                <w:szCs w:val="18"/>
              </w:rPr>
              <w:t>e</w:t>
            </w:r>
            <w:r w:rsidR="00C3460B">
              <w:rPr>
                <w:color w:val="auto"/>
                <w:szCs w:val="18"/>
              </w:rPr>
              <w:t>s</w:t>
            </w:r>
            <w:r w:rsidRPr="000F49F1">
              <w:rPr>
                <w:color w:val="auto"/>
                <w:szCs w:val="18"/>
              </w:rPr>
              <w:t xml:space="preserve"> production. The exceptions were during periods where unregulated water coincided with CEW pulses.</w:t>
            </w:r>
          </w:p>
          <w:p w14:paraId="22D705CB" w14:textId="694276BC" w:rsidR="009009F8" w:rsidRPr="00F90E0C" w:rsidRDefault="000F49F1" w:rsidP="000F49F1">
            <w:pPr>
              <w:pStyle w:val="TableBullet"/>
              <w:cnfStyle w:val="000000100000" w:firstRow="0" w:lastRow="0" w:firstColumn="0" w:lastColumn="0" w:oddVBand="0" w:evenVBand="0" w:oddHBand="1" w:evenHBand="0" w:firstRowFirstColumn="0" w:firstRowLastColumn="0" w:lastRowFirstColumn="0" w:lastRowLastColumn="0"/>
            </w:pPr>
            <w:r w:rsidRPr="000F49F1">
              <w:t xml:space="preserve">This year marked lower total consumption of carbon from respiration (776 tonnes) compared to the previous </w:t>
            </w:r>
            <w:r w:rsidR="00C3460B">
              <w:t>2</w:t>
            </w:r>
            <w:r w:rsidR="00C3460B" w:rsidRPr="000F49F1">
              <w:t xml:space="preserve"> </w:t>
            </w:r>
            <w:r w:rsidRPr="000F49F1">
              <w:t>monitoring years (1</w:t>
            </w:r>
            <w:r w:rsidR="00C3460B">
              <w:t>,</w:t>
            </w:r>
            <w:r w:rsidRPr="000F49F1">
              <w:t>564</w:t>
            </w:r>
            <w:r w:rsidR="00C3460B">
              <w:t>–</w:t>
            </w:r>
            <w:r w:rsidRPr="000F49F1">
              <w:t>829 tonnes). Although contributions from CEW to ER rates were significantly higher (679 tonnes compared to 199</w:t>
            </w:r>
            <w:r w:rsidR="00C01CE3">
              <w:t>–</w:t>
            </w:r>
            <w:r w:rsidRPr="000F49F1">
              <w:t xml:space="preserve">188 tonnes), reflected by the proportional contribution of CEW to overall ER being much higher than the previous </w:t>
            </w:r>
            <w:r w:rsidR="00C01CE3">
              <w:t>2</w:t>
            </w:r>
            <w:r w:rsidR="00C01CE3" w:rsidRPr="000F49F1">
              <w:t xml:space="preserve"> </w:t>
            </w:r>
            <w:r w:rsidRPr="000F49F1">
              <w:t>years (87.4%</w:t>
            </w:r>
            <w:r w:rsidR="00C01CE3">
              <w:t>,</w:t>
            </w:r>
            <w:r w:rsidRPr="000F49F1">
              <w:t xml:space="preserve"> compared to 12.7</w:t>
            </w:r>
            <w:r w:rsidR="00C01CE3">
              <w:t>% to</w:t>
            </w:r>
            <w:r w:rsidR="006F3572">
              <w:t xml:space="preserve"> </w:t>
            </w:r>
            <w:r w:rsidRPr="000F49F1">
              <w:t>22.7%).</w:t>
            </w:r>
          </w:p>
        </w:tc>
        <w:tc>
          <w:tcPr>
            <w:tcW w:w="3726" w:type="dxa"/>
          </w:tcPr>
          <w:p w14:paraId="133F65F8" w14:textId="27C8DB97" w:rsidR="00897059" w:rsidRPr="00897059" w:rsidRDefault="00897059" w:rsidP="00897059">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proofErr w:type="gramStart"/>
            <w:r w:rsidRPr="00897059">
              <w:rPr>
                <w:color w:val="auto"/>
                <w:szCs w:val="18"/>
              </w:rPr>
              <w:t>Similar to</w:t>
            </w:r>
            <w:proofErr w:type="gramEnd"/>
            <w:r w:rsidRPr="00897059">
              <w:rPr>
                <w:color w:val="auto"/>
                <w:szCs w:val="18"/>
              </w:rPr>
              <w:t xml:space="preserve"> previous years, GPP rates peaked in early summer, likely driven by longer daylight and warmer temperatures. However, seasonal effects were difficult to separate from flow impacts. </w:t>
            </w:r>
          </w:p>
          <w:p w14:paraId="62E46D14" w14:textId="40DF76A8" w:rsidR="009009F8" w:rsidRPr="00F90E0C" w:rsidRDefault="00897059" w:rsidP="00F24BDC">
            <w:pPr>
              <w:pStyle w:val="TableBullet"/>
              <w:cnfStyle w:val="000000100000" w:firstRow="0" w:lastRow="0" w:firstColumn="0" w:lastColumn="0" w:oddVBand="0" w:evenVBand="0" w:oddHBand="1" w:evenHBand="0" w:firstRowFirstColumn="0" w:firstRowLastColumn="0" w:lastRowFirstColumn="0" w:lastRowLastColumn="0"/>
            </w:pPr>
            <w:r w:rsidRPr="00897059">
              <w:t>Areal rates of GPP were lower this year (399 tonnes) compared to the 2022</w:t>
            </w:r>
            <w:r w:rsidR="00E329CF">
              <w:t>–</w:t>
            </w:r>
            <w:r w:rsidRPr="00897059">
              <w:t>23 water year (476 tonnes) but higher than 2021</w:t>
            </w:r>
            <w:r w:rsidR="00E329CF">
              <w:t>–</w:t>
            </w:r>
            <w:r w:rsidRPr="00897059">
              <w:t>22 (364 tonnes). The contributions of CEW from flows, escapes and offtakes were substantially higher this year compared to previous years (362 tonnes compared to 104</w:t>
            </w:r>
            <w:r w:rsidR="000F1317">
              <w:t>–</w:t>
            </w:r>
            <w:r w:rsidRPr="00897059">
              <w:t xml:space="preserve">76 tonnes). This was reflected in the proportional contribution of CEW to overall GPP being substantially higher than the previous </w:t>
            </w:r>
            <w:r w:rsidR="004D0613">
              <w:t>2</w:t>
            </w:r>
            <w:r w:rsidR="004D0613" w:rsidRPr="00897059">
              <w:t xml:space="preserve"> </w:t>
            </w:r>
            <w:r w:rsidRPr="00897059">
              <w:t>years (91% in 2023</w:t>
            </w:r>
            <w:r w:rsidR="003256AE">
              <w:t>–</w:t>
            </w:r>
            <w:r w:rsidRPr="00897059">
              <w:t>24</w:t>
            </w:r>
            <w:r w:rsidR="00E1607D">
              <w:t>,</w:t>
            </w:r>
            <w:r w:rsidRPr="00897059">
              <w:t xml:space="preserve"> compared to 22</w:t>
            </w:r>
            <w:r w:rsidR="004D0613">
              <w:t>%</w:t>
            </w:r>
            <w:r w:rsidRPr="00897059">
              <w:t xml:space="preserve"> and 21% respectively).</w:t>
            </w:r>
          </w:p>
        </w:tc>
        <w:tc>
          <w:tcPr>
            <w:tcW w:w="3727" w:type="dxa"/>
          </w:tcPr>
          <w:p w14:paraId="0E5A9BE9" w14:textId="68A8DAF5" w:rsidR="00E64C3C" w:rsidRPr="00E64C3C" w:rsidRDefault="00E64C3C" w:rsidP="00E64C3C">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E64C3C">
              <w:rPr>
                <w:color w:val="auto"/>
                <w:szCs w:val="18"/>
              </w:rPr>
              <w:t>DO levels remained in the expected ranges in 2023</w:t>
            </w:r>
            <w:r w:rsidR="004D0613">
              <w:rPr>
                <w:color w:val="auto"/>
                <w:szCs w:val="18"/>
              </w:rPr>
              <w:t>–</w:t>
            </w:r>
            <w:r w:rsidRPr="00E64C3C">
              <w:rPr>
                <w:color w:val="auto"/>
                <w:szCs w:val="18"/>
              </w:rPr>
              <w:t>24 water year in the Edward/Kolety</w:t>
            </w:r>
            <w:r w:rsidR="003D4201">
              <w:rPr>
                <w:color w:val="auto"/>
                <w:szCs w:val="18"/>
              </w:rPr>
              <w:t>–</w:t>
            </w:r>
            <w:r w:rsidRPr="00E64C3C">
              <w:rPr>
                <w:color w:val="auto"/>
                <w:szCs w:val="18"/>
              </w:rPr>
              <w:t>Wakool</w:t>
            </w:r>
            <w:r w:rsidR="006F3572">
              <w:rPr>
                <w:color w:val="auto"/>
                <w:szCs w:val="18"/>
              </w:rPr>
              <w:t xml:space="preserve"> R</w:t>
            </w:r>
            <w:r w:rsidRPr="00E64C3C">
              <w:rPr>
                <w:color w:val="auto"/>
                <w:szCs w:val="18"/>
              </w:rPr>
              <w:t>iver system</w:t>
            </w:r>
            <w:r w:rsidR="00E1607D">
              <w:rPr>
                <w:color w:val="auto"/>
                <w:szCs w:val="18"/>
              </w:rPr>
              <w:t>s</w:t>
            </w:r>
            <w:r w:rsidRPr="00E64C3C">
              <w:rPr>
                <w:color w:val="auto"/>
                <w:szCs w:val="18"/>
              </w:rPr>
              <w:t>, except</w:t>
            </w:r>
            <w:r w:rsidR="006F3572">
              <w:rPr>
                <w:color w:val="auto"/>
                <w:szCs w:val="18"/>
              </w:rPr>
              <w:t xml:space="preserve"> </w:t>
            </w:r>
            <w:r w:rsidR="003D4201">
              <w:rPr>
                <w:color w:val="auto"/>
                <w:szCs w:val="18"/>
              </w:rPr>
              <w:t>for</w:t>
            </w:r>
            <w:r w:rsidR="00313952" w:rsidRPr="00E64C3C">
              <w:rPr>
                <w:color w:val="auto"/>
                <w:szCs w:val="18"/>
              </w:rPr>
              <w:t xml:space="preserve"> </w:t>
            </w:r>
            <w:r w:rsidRPr="00E64C3C">
              <w:rPr>
                <w:color w:val="auto"/>
                <w:szCs w:val="18"/>
              </w:rPr>
              <w:t xml:space="preserve">the middle and lower reaches of the Wakool River. This was due to flooding in the upper Goulburn River in mid-January 2024, </w:t>
            </w:r>
            <w:r w:rsidR="00313952">
              <w:rPr>
                <w:color w:val="auto"/>
                <w:szCs w:val="18"/>
              </w:rPr>
              <w:t>when</w:t>
            </w:r>
            <w:r w:rsidR="00313952" w:rsidRPr="00E64C3C">
              <w:rPr>
                <w:color w:val="auto"/>
                <w:szCs w:val="18"/>
              </w:rPr>
              <w:t xml:space="preserve"> </w:t>
            </w:r>
            <w:r w:rsidRPr="00E64C3C">
              <w:rPr>
                <w:color w:val="auto"/>
                <w:szCs w:val="18"/>
              </w:rPr>
              <w:t>floodwater</w:t>
            </w:r>
            <w:r w:rsidR="00313952">
              <w:rPr>
                <w:color w:val="auto"/>
                <w:szCs w:val="18"/>
              </w:rPr>
              <w:t>s</w:t>
            </w:r>
            <w:r w:rsidRPr="00E64C3C">
              <w:rPr>
                <w:color w:val="auto"/>
                <w:szCs w:val="18"/>
              </w:rPr>
              <w:t xml:space="preserve"> flow</w:t>
            </w:r>
            <w:r w:rsidR="00051C98">
              <w:rPr>
                <w:color w:val="auto"/>
                <w:szCs w:val="18"/>
              </w:rPr>
              <w:t>ed</w:t>
            </w:r>
            <w:r w:rsidRPr="00E64C3C">
              <w:rPr>
                <w:color w:val="auto"/>
                <w:szCs w:val="18"/>
              </w:rPr>
              <w:t xml:space="preserve"> into the mid Murray River and</w:t>
            </w:r>
            <w:r w:rsidR="006F3572">
              <w:rPr>
                <w:color w:val="auto"/>
                <w:szCs w:val="18"/>
              </w:rPr>
              <w:t xml:space="preserve"> </w:t>
            </w:r>
            <w:r w:rsidRPr="00E64C3C">
              <w:rPr>
                <w:color w:val="auto"/>
                <w:szCs w:val="18"/>
              </w:rPr>
              <w:t>Koondrook</w:t>
            </w:r>
            <w:r w:rsidR="00F149D7">
              <w:rPr>
                <w:color w:val="auto"/>
                <w:szCs w:val="18"/>
              </w:rPr>
              <w:t>–</w:t>
            </w:r>
            <w:proofErr w:type="spellStart"/>
            <w:r w:rsidRPr="00E64C3C">
              <w:rPr>
                <w:color w:val="auto"/>
                <w:szCs w:val="18"/>
              </w:rPr>
              <w:t>Perricoota</w:t>
            </w:r>
            <w:proofErr w:type="spellEnd"/>
            <w:r w:rsidRPr="00E64C3C">
              <w:rPr>
                <w:color w:val="auto"/>
                <w:szCs w:val="18"/>
              </w:rPr>
              <w:t xml:space="preserve"> Forest</w:t>
            </w:r>
            <w:r w:rsidR="00C06AD2">
              <w:rPr>
                <w:color w:val="auto"/>
                <w:szCs w:val="18"/>
              </w:rPr>
              <w:t>,</w:t>
            </w:r>
            <w:r w:rsidR="006F3572">
              <w:rPr>
                <w:color w:val="auto"/>
                <w:szCs w:val="18"/>
              </w:rPr>
              <w:t xml:space="preserve"> </w:t>
            </w:r>
            <w:r w:rsidRPr="00E64C3C">
              <w:rPr>
                <w:color w:val="auto"/>
                <w:szCs w:val="18"/>
              </w:rPr>
              <w:t>exit</w:t>
            </w:r>
            <w:r w:rsidR="00051C98">
              <w:rPr>
                <w:color w:val="auto"/>
                <w:szCs w:val="18"/>
              </w:rPr>
              <w:t>ed</w:t>
            </w:r>
            <w:r w:rsidRPr="00E64C3C">
              <w:rPr>
                <w:color w:val="auto"/>
                <w:szCs w:val="18"/>
              </w:rPr>
              <w:t xml:space="preserve"> the forest via Thule and Barbers creeks</w:t>
            </w:r>
            <w:r w:rsidR="00C06AD2">
              <w:rPr>
                <w:color w:val="auto"/>
                <w:szCs w:val="18"/>
              </w:rPr>
              <w:t>,</w:t>
            </w:r>
            <w:r w:rsidRPr="00E64C3C">
              <w:rPr>
                <w:color w:val="auto"/>
                <w:szCs w:val="18"/>
              </w:rPr>
              <w:t xml:space="preserve"> and flow</w:t>
            </w:r>
            <w:r w:rsidR="00C06AD2">
              <w:rPr>
                <w:color w:val="auto"/>
                <w:szCs w:val="18"/>
              </w:rPr>
              <w:t>ed</w:t>
            </w:r>
            <w:r w:rsidRPr="00E64C3C">
              <w:rPr>
                <w:color w:val="auto"/>
                <w:szCs w:val="18"/>
              </w:rPr>
              <w:t xml:space="preserve"> into the Wakool River.</w:t>
            </w:r>
          </w:p>
          <w:p w14:paraId="451BFE5B" w14:textId="30E4E1F0" w:rsidR="00E64C3C" w:rsidRPr="00E64C3C" w:rsidRDefault="00E64C3C" w:rsidP="00E64C3C">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E64C3C">
              <w:rPr>
                <w:color w:val="auto"/>
                <w:szCs w:val="18"/>
              </w:rPr>
              <w:t>Although concentrations of DO in the upper Wakool River briefly dropped below 4 mg/L in December 2023 and January 2024, DO concentrations were within the normal range for that time of year. CEW watering actions commenced with the variable base flows in upper Wakool and maintained DO levels over the hot summer months.</w:t>
            </w:r>
          </w:p>
          <w:p w14:paraId="5DF9B230" w14:textId="5B396B40" w:rsidR="00E64C3C" w:rsidRPr="00E64C3C" w:rsidRDefault="00E64C3C" w:rsidP="00E64C3C">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sidRPr="00E64C3C">
              <w:rPr>
                <w:color w:val="auto"/>
                <w:szCs w:val="18"/>
              </w:rPr>
              <w:t xml:space="preserve">DO values in the Wakool River at Gee </w:t>
            </w:r>
            <w:proofErr w:type="spellStart"/>
            <w:r w:rsidRPr="00E64C3C">
              <w:rPr>
                <w:color w:val="auto"/>
                <w:szCs w:val="18"/>
              </w:rPr>
              <w:t>Gee</w:t>
            </w:r>
            <w:proofErr w:type="spellEnd"/>
            <w:r w:rsidRPr="00E64C3C">
              <w:rPr>
                <w:color w:val="auto"/>
                <w:szCs w:val="18"/>
              </w:rPr>
              <w:t xml:space="preserve"> Bridge and Stoney Crossing dropped into the range of concern to fish populations (below 4 mg/L) for a short time in February 2024. No values below 2 mg/L (</w:t>
            </w:r>
            <w:r w:rsidR="003A1281">
              <w:rPr>
                <w:color w:val="auto"/>
                <w:szCs w:val="18"/>
              </w:rPr>
              <w:t xml:space="preserve">in the </w:t>
            </w:r>
            <w:r w:rsidRPr="00E64C3C">
              <w:rPr>
                <w:color w:val="auto"/>
                <w:szCs w:val="18"/>
              </w:rPr>
              <w:t>range</w:t>
            </w:r>
            <w:r w:rsidR="006F3572">
              <w:rPr>
                <w:color w:val="auto"/>
                <w:szCs w:val="18"/>
              </w:rPr>
              <w:t xml:space="preserve"> </w:t>
            </w:r>
            <w:r w:rsidRPr="00E64C3C">
              <w:rPr>
                <w:color w:val="auto"/>
                <w:szCs w:val="18"/>
              </w:rPr>
              <w:t xml:space="preserve">lethal to fish populations) were recorded. CEW watering actions from the MIL offtakes and escapes (Wakool offtake, </w:t>
            </w:r>
            <w:proofErr w:type="spellStart"/>
            <w:r w:rsidRPr="00E64C3C">
              <w:rPr>
                <w:color w:val="auto"/>
                <w:szCs w:val="18"/>
              </w:rPr>
              <w:t>Yallakool</w:t>
            </w:r>
            <w:proofErr w:type="spellEnd"/>
            <w:r w:rsidRPr="00E64C3C">
              <w:rPr>
                <w:color w:val="auto"/>
                <w:szCs w:val="18"/>
              </w:rPr>
              <w:t xml:space="preserve"> offtake, Wakool Escape</w:t>
            </w:r>
            <w:r w:rsidR="006F3F4E">
              <w:rPr>
                <w:color w:val="auto"/>
                <w:szCs w:val="18"/>
              </w:rPr>
              <w:t>,</w:t>
            </w:r>
            <w:r w:rsidR="006F3572">
              <w:rPr>
                <w:color w:val="auto"/>
                <w:szCs w:val="18"/>
              </w:rPr>
              <w:t xml:space="preserve"> </w:t>
            </w:r>
            <w:r w:rsidRPr="00E64C3C">
              <w:rPr>
                <w:color w:val="auto"/>
                <w:szCs w:val="18"/>
              </w:rPr>
              <w:t xml:space="preserve">Thule Escape) had positive outcomes, increasing DO levels above the threshold of concern for fish at sites downstream of the escapes. </w:t>
            </w:r>
          </w:p>
          <w:p w14:paraId="0CCE864D" w14:textId="35D1F4B2" w:rsidR="009009F8" w:rsidRPr="00F90E0C" w:rsidRDefault="00E64C3C" w:rsidP="00E64C3C">
            <w:pPr>
              <w:pStyle w:val="TableBullet"/>
              <w:cnfStyle w:val="000000100000" w:firstRow="0" w:lastRow="0" w:firstColumn="0" w:lastColumn="0" w:oddVBand="0" w:evenVBand="0" w:oddHBand="1" w:evenHBand="0" w:firstRowFirstColumn="0" w:firstRowLastColumn="0" w:lastRowFirstColumn="0" w:lastRowLastColumn="0"/>
            </w:pPr>
            <w:r w:rsidRPr="00E64C3C">
              <w:t xml:space="preserve">DO concentrations in </w:t>
            </w:r>
            <w:proofErr w:type="spellStart"/>
            <w:r w:rsidRPr="00E64C3C">
              <w:t>Tuppal</w:t>
            </w:r>
            <w:proofErr w:type="spellEnd"/>
            <w:r w:rsidRPr="00E64C3C">
              <w:t xml:space="preserve"> Creek were below 4</w:t>
            </w:r>
            <w:r w:rsidR="006F3F4E">
              <w:t> </w:t>
            </w:r>
            <w:r w:rsidRPr="00E64C3C">
              <w:t>mg/L</w:t>
            </w:r>
            <w:r w:rsidR="003208C6">
              <w:t>,</w:t>
            </w:r>
            <w:r w:rsidRPr="00E64C3C">
              <w:t xml:space="preserve"> and on occasions were below 2</w:t>
            </w:r>
            <w:r w:rsidR="00C15F47">
              <w:t> </w:t>
            </w:r>
            <w:r w:rsidRPr="00E64C3C">
              <w:t>mg/L</w:t>
            </w:r>
            <w:r w:rsidR="003208C6">
              <w:t>,</w:t>
            </w:r>
            <w:r w:rsidRPr="00E64C3C">
              <w:t xml:space="preserve"> during the environmental watering action, particularly in summer months. This suggests that environmental water delivery </w:t>
            </w:r>
            <w:r w:rsidRPr="00E64C3C">
              <w:lastRenderedPageBreak/>
              <w:t xml:space="preserve">with limited capacity had little effect on improving water quality at </w:t>
            </w:r>
            <w:proofErr w:type="spellStart"/>
            <w:r w:rsidRPr="00E64C3C">
              <w:t>Tuppal</w:t>
            </w:r>
            <w:proofErr w:type="spellEnd"/>
            <w:r w:rsidRPr="00E64C3C">
              <w:t xml:space="preserve"> Creek.</w:t>
            </w:r>
          </w:p>
        </w:tc>
      </w:tr>
      <w:tr w:rsidR="006D2558" w:rsidRPr="00C601A2" w14:paraId="4EE5CD73" w14:textId="77777777" w:rsidTr="001B4152">
        <w:tc>
          <w:tcPr>
            <w:cnfStyle w:val="001000000000" w:firstRow="0" w:lastRow="0" w:firstColumn="1" w:lastColumn="0" w:oddVBand="0" w:evenVBand="0" w:oddHBand="0" w:evenHBand="0" w:firstRowFirstColumn="0" w:firstRowLastColumn="0" w:lastRowFirstColumn="0" w:lastRowLastColumn="0"/>
            <w:tcW w:w="3726" w:type="dxa"/>
          </w:tcPr>
          <w:p w14:paraId="2BFCCEB2" w14:textId="77777777" w:rsidR="009009F8" w:rsidRPr="00C601A2" w:rsidRDefault="009009F8" w:rsidP="009009F8">
            <w:pPr>
              <w:pStyle w:val="TableText"/>
              <w:keepNext/>
              <w:rPr>
                <w:bCs w:val="0"/>
              </w:rPr>
            </w:pPr>
            <w:r w:rsidRPr="00C601A2">
              <w:t>Lachlan River System</w:t>
            </w:r>
          </w:p>
          <w:p w14:paraId="249F7F27" w14:textId="70B7772F" w:rsidR="009009F8" w:rsidRPr="29DF62DC" w:rsidRDefault="007C24C3" w:rsidP="007C24C3">
            <w:pPr>
              <w:pStyle w:val="TableText"/>
              <w:rPr>
                <w:rFonts w:cs="Calibri"/>
                <w:lang w:val="en-US"/>
              </w:rPr>
            </w:pPr>
            <w:r>
              <w:rPr>
                <w:noProof/>
              </w:rPr>
              <w:t>(</w:t>
            </w:r>
            <w:r w:rsidR="009009F8">
              <w:rPr>
                <w:noProof/>
              </w:rPr>
              <w:t>Higgisson</w:t>
            </w:r>
            <w:r w:rsidR="009009F8" w:rsidRPr="00C601A2">
              <w:rPr>
                <w:noProof/>
              </w:rPr>
              <w:t xml:space="preserve"> et al. 202</w:t>
            </w:r>
            <w:r w:rsidR="009009F8">
              <w:rPr>
                <w:noProof/>
              </w:rPr>
              <w:t>4</w:t>
            </w:r>
            <w:r w:rsidR="009009F8" w:rsidRPr="00C601A2">
              <w:rPr>
                <w:noProof/>
              </w:rPr>
              <w:t>)</w:t>
            </w:r>
          </w:p>
        </w:tc>
        <w:tc>
          <w:tcPr>
            <w:tcW w:w="3726" w:type="dxa"/>
          </w:tcPr>
          <w:p w14:paraId="22741412" w14:textId="2EFC4723" w:rsidR="009009F8" w:rsidRPr="00F90E0C" w:rsidRDefault="003E777D" w:rsidP="009009F8">
            <w:pPr>
              <w:pStyle w:val="TableBullet"/>
              <w:keepNext/>
              <w:cnfStyle w:val="000000000000" w:firstRow="0" w:lastRow="0" w:firstColumn="0" w:lastColumn="0" w:oddVBand="0" w:evenVBand="0" w:oddHBand="0" w:evenHBand="0" w:firstRowFirstColumn="0" w:firstRowLastColumn="0" w:lastRowFirstColumn="0" w:lastRowLastColumn="0"/>
              <w:rPr>
                <w:rFonts w:cs="Calibri"/>
                <w:bCs/>
                <w:color w:val="auto"/>
                <w:szCs w:val="18"/>
                <w:lang w:val="en-US"/>
              </w:rPr>
            </w:pPr>
            <w:r w:rsidRPr="003E777D">
              <w:rPr>
                <w:rFonts w:cs="Calibri"/>
                <w:bCs/>
                <w:color w:val="auto"/>
                <w:szCs w:val="18"/>
                <w:lang w:val="en-US"/>
              </w:rPr>
              <w:t xml:space="preserve">The productivity estimates during the system-scale </w:t>
            </w:r>
            <w:r w:rsidR="00230D3F">
              <w:rPr>
                <w:rFonts w:cs="Calibri"/>
                <w:bCs/>
                <w:color w:val="auto"/>
                <w:szCs w:val="18"/>
                <w:lang w:val="en-US"/>
              </w:rPr>
              <w:t>a</w:t>
            </w:r>
            <w:r w:rsidRPr="003E777D">
              <w:rPr>
                <w:rFonts w:cs="Calibri"/>
                <w:bCs/>
                <w:color w:val="auto"/>
                <w:szCs w:val="18"/>
                <w:lang w:val="en-US"/>
              </w:rPr>
              <w:t>utumn fresh (watering action 7, Component 1) suggest a slight decrease, whereas ER and K increased slightly, which is consistent with an effect of increased flow velocity and potentially DOC supply.</w:t>
            </w:r>
          </w:p>
        </w:tc>
        <w:tc>
          <w:tcPr>
            <w:tcW w:w="3726" w:type="dxa"/>
          </w:tcPr>
          <w:p w14:paraId="2328AD2C" w14:textId="1CCC9371" w:rsidR="00AB0771" w:rsidRDefault="00672B0C" w:rsidP="009009F8">
            <w:pPr>
              <w:pStyle w:val="TableBullet"/>
              <w:cnfStyle w:val="000000000000" w:firstRow="0" w:lastRow="0" w:firstColumn="0" w:lastColumn="0" w:oddVBand="0" w:evenVBand="0" w:oddHBand="0" w:evenHBand="0" w:firstRowFirstColumn="0" w:firstRowLastColumn="0" w:lastRowFirstColumn="0" w:lastRowLastColumn="0"/>
              <w:rPr>
                <w:rFonts w:cs="Calibri"/>
                <w:color w:val="auto"/>
                <w:szCs w:val="18"/>
                <w:lang w:val="en-US"/>
              </w:rPr>
            </w:pPr>
            <w:r w:rsidRPr="00672B0C">
              <w:rPr>
                <w:rFonts w:cs="Calibri"/>
                <w:color w:val="auto"/>
                <w:szCs w:val="18"/>
                <w:lang w:val="en-US"/>
              </w:rPr>
              <w:t xml:space="preserve">There was evidence </w:t>
            </w:r>
            <w:r w:rsidR="00051C98">
              <w:rPr>
                <w:rFonts w:cs="Calibri"/>
                <w:color w:val="auto"/>
                <w:szCs w:val="18"/>
                <w:lang w:val="en-US"/>
              </w:rPr>
              <w:t>that</w:t>
            </w:r>
            <w:r w:rsidR="00051C98" w:rsidRPr="00672B0C">
              <w:rPr>
                <w:rFonts w:cs="Calibri"/>
                <w:color w:val="auto"/>
                <w:szCs w:val="18"/>
                <w:lang w:val="en-US"/>
              </w:rPr>
              <w:t xml:space="preserve"> </w:t>
            </w:r>
            <w:r w:rsidRPr="00672B0C">
              <w:rPr>
                <w:rFonts w:cs="Calibri"/>
                <w:color w:val="auto"/>
                <w:szCs w:val="18"/>
                <w:lang w:val="en-US"/>
              </w:rPr>
              <w:t>watering event 7 generat</w:t>
            </w:r>
            <w:r w:rsidR="00051C98">
              <w:rPr>
                <w:rFonts w:cs="Calibri"/>
                <w:color w:val="auto"/>
                <w:szCs w:val="18"/>
                <w:lang w:val="en-US"/>
              </w:rPr>
              <w:t>ed</w:t>
            </w:r>
            <w:r w:rsidRPr="00672B0C">
              <w:rPr>
                <w:rFonts w:cs="Calibri"/>
                <w:color w:val="auto"/>
                <w:szCs w:val="18"/>
                <w:lang w:val="en-US"/>
              </w:rPr>
              <w:t xml:space="preserve"> short pulses of GPP and ER in the lower Lachlan River</w:t>
            </w:r>
            <w:r w:rsidR="00C533CD">
              <w:rPr>
                <w:rFonts w:cs="Calibri"/>
                <w:color w:val="auto"/>
                <w:szCs w:val="18"/>
                <w:lang w:val="en-US"/>
              </w:rPr>
              <w:t xml:space="preserve"> –</w:t>
            </w:r>
            <w:r w:rsidR="006F3572">
              <w:rPr>
                <w:rFonts w:cs="Calibri"/>
                <w:color w:val="auto"/>
                <w:szCs w:val="18"/>
                <w:lang w:val="en-US"/>
              </w:rPr>
              <w:t xml:space="preserve"> </w:t>
            </w:r>
            <w:r w:rsidRPr="00672B0C">
              <w:rPr>
                <w:rFonts w:cs="Calibri"/>
                <w:color w:val="auto"/>
                <w:szCs w:val="18"/>
                <w:lang w:val="en-US"/>
              </w:rPr>
              <w:t xml:space="preserve">GPP responses correlated with lower water temperatures and higher flows. </w:t>
            </w:r>
          </w:p>
          <w:p w14:paraId="3F167138" w14:textId="6F4115D0" w:rsidR="009009F8" w:rsidRPr="00F90E0C" w:rsidRDefault="00672B0C" w:rsidP="009009F8">
            <w:pPr>
              <w:pStyle w:val="TableBullet"/>
              <w:cnfStyle w:val="000000000000" w:firstRow="0" w:lastRow="0" w:firstColumn="0" w:lastColumn="0" w:oddVBand="0" w:evenVBand="0" w:oddHBand="0" w:evenHBand="0" w:firstRowFirstColumn="0" w:firstRowLastColumn="0" w:lastRowFirstColumn="0" w:lastRowLastColumn="0"/>
              <w:rPr>
                <w:rFonts w:cs="Calibri"/>
                <w:color w:val="auto"/>
                <w:szCs w:val="18"/>
                <w:lang w:val="en-US"/>
              </w:rPr>
            </w:pPr>
            <w:r w:rsidRPr="00672B0C">
              <w:rPr>
                <w:rFonts w:cs="Calibri"/>
                <w:color w:val="auto"/>
                <w:szCs w:val="18"/>
                <w:lang w:val="en-US"/>
              </w:rPr>
              <w:t xml:space="preserve">The metabolism estimates suggest that the addition of environmental water at Booligal (same as last year) generated a small productivity pulse </w:t>
            </w:r>
            <w:r w:rsidR="00882591">
              <w:rPr>
                <w:rFonts w:cs="Calibri"/>
                <w:color w:val="auto"/>
                <w:szCs w:val="18"/>
                <w:lang w:val="en-US"/>
              </w:rPr>
              <w:t>at</w:t>
            </w:r>
            <w:r w:rsidR="00882591" w:rsidRPr="00672B0C">
              <w:rPr>
                <w:rFonts w:cs="Calibri"/>
                <w:color w:val="auto"/>
                <w:szCs w:val="18"/>
                <w:lang w:val="en-US"/>
              </w:rPr>
              <w:t xml:space="preserve"> </w:t>
            </w:r>
            <w:r w:rsidRPr="00672B0C">
              <w:rPr>
                <w:rFonts w:cs="Calibri"/>
                <w:color w:val="auto"/>
                <w:szCs w:val="18"/>
                <w:lang w:val="en-US"/>
              </w:rPr>
              <w:t>the start of April.</w:t>
            </w:r>
          </w:p>
        </w:tc>
        <w:tc>
          <w:tcPr>
            <w:tcW w:w="3727" w:type="dxa"/>
          </w:tcPr>
          <w:p w14:paraId="5D862DF4" w14:textId="77777777" w:rsidR="005968E9" w:rsidRPr="005968E9" w:rsidRDefault="005968E9" w:rsidP="005968E9">
            <w:pPr>
              <w:pStyle w:val="TableBullet"/>
              <w:cnfStyle w:val="000000000000" w:firstRow="0" w:lastRow="0" w:firstColumn="0" w:lastColumn="0" w:oddVBand="0" w:evenVBand="0" w:oddHBand="0" w:evenHBand="0" w:firstRowFirstColumn="0" w:firstRowLastColumn="0" w:lastRowFirstColumn="0" w:lastRowLastColumn="0"/>
              <w:rPr>
                <w:color w:val="auto"/>
                <w:szCs w:val="18"/>
              </w:rPr>
            </w:pPr>
            <w:r w:rsidRPr="005968E9">
              <w:rPr>
                <w:color w:val="auto"/>
                <w:szCs w:val="18"/>
              </w:rPr>
              <w:t>There is evidence that watering events can alter water quality parameters, particularly through increasing carbon and nutrients, although these effects appear to be relatively transient and can be highly variable in magnitude in both space (site to site) and time.</w:t>
            </w:r>
          </w:p>
          <w:p w14:paraId="7F9DDC0D" w14:textId="2EEEBC82" w:rsidR="005968E9" w:rsidRPr="005968E9" w:rsidRDefault="005968E9" w:rsidP="005968E9">
            <w:pPr>
              <w:pStyle w:val="TableBullet"/>
              <w:cnfStyle w:val="000000000000" w:firstRow="0" w:lastRow="0" w:firstColumn="0" w:lastColumn="0" w:oddVBand="0" w:evenVBand="0" w:oddHBand="0" w:evenHBand="0" w:firstRowFirstColumn="0" w:firstRowLastColumn="0" w:lastRowFirstColumn="0" w:lastRowLastColumn="0"/>
              <w:rPr>
                <w:color w:val="auto"/>
                <w:szCs w:val="18"/>
              </w:rPr>
            </w:pPr>
            <w:r w:rsidRPr="005968E9">
              <w:rPr>
                <w:color w:val="auto"/>
                <w:szCs w:val="18"/>
              </w:rPr>
              <w:t>These effects are much smaller than those observed during large natural flows, but larger flow events, such as those delivered as translucent flows, appear to provide larger productivity responses that approach the magnitude of the effects of natural flows.</w:t>
            </w:r>
          </w:p>
          <w:p w14:paraId="7FAF76E7" w14:textId="30997D49" w:rsidR="009009F8" w:rsidRPr="00F90E0C" w:rsidRDefault="005968E9" w:rsidP="005968E9">
            <w:pPr>
              <w:pStyle w:val="TableBullet"/>
              <w:cnfStyle w:val="000000000000" w:firstRow="0" w:lastRow="0" w:firstColumn="0" w:lastColumn="0" w:oddVBand="0" w:evenVBand="0" w:oddHBand="0" w:evenHBand="0" w:firstRowFirstColumn="0" w:firstRowLastColumn="0" w:lastRowFirstColumn="0" w:lastRowLastColumn="0"/>
              <w:rPr>
                <w:color w:val="auto"/>
                <w:szCs w:val="18"/>
              </w:rPr>
            </w:pPr>
            <w:r w:rsidRPr="005968E9">
              <w:rPr>
                <w:color w:val="auto"/>
                <w:szCs w:val="18"/>
              </w:rPr>
              <w:t>However, there were benefits of environmental flow provision in March 2024 (watering action 7)</w:t>
            </w:r>
            <w:r w:rsidR="00A65528">
              <w:rPr>
                <w:color w:val="auto"/>
                <w:szCs w:val="18"/>
              </w:rPr>
              <w:t>,</w:t>
            </w:r>
            <w:r w:rsidRPr="005968E9">
              <w:rPr>
                <w:color w:val="auto"/>
                <w:szCs w:val="18"/>
              </w:rPr>
              <w:t xml:space="preserve"> in terms of increasing oxygen concentrations and reducing the potential for blackwater events.</w:t>
            </w:r>
          </w:p>
        </w:tc>
      </w:tr>
      <w:tr w:rsidR="006D2558" w:rsidRPr="00C601A2" w14:paraId="04E1B203" w14:textId="77777777" w:rsidTr="001B41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6" w:type="dxa"/>
          </w:tcPr>
          <w:p w14:paraId="324D5C91" w14:textId="77777777" w:rsidR="009009F8" w:rsidRPr="00C601A2" w:rsidRDefault="009009F8" w:rsidP="009009F8">
            <w:pPr>
              <w:pStyle w:val="TableText"/>
              <w:rPr>
                <w:bCs w:val="0"/>
              </w:rPr>
            </w:pPr>
            <w:r w:rsidRPr="00C601A2">
              <w:t>Gwydir River System</w:t>
            </w:r>
          </w:p>
          <w:p w14:paraId="3C540E85" w14:textId="367DAFEE" w:rsidR="009009F8" w:rsidRDefault="009009F8" w:rsidP="006E6002">
            <w:pPr>
              <w:pStyle w:val="TableText"/>
            </w:pPr>
            <w:r w:rsidRPr="00C601A2">
              <w:rPr>
                <w:noProof/>
              </w:rPr>
              <w:t>(</w:t>
            </w:r>
            <w:r w:rsidRPr="00EB1894">
              <w:rPr>
                <w:noProof/>
              </w:rPr>
              <w:t>C</w:t>
            </w:r>
            <w:r>
              <w:rPr>
                <w:noProof/>
              </w:rPr>
              <w:t>EWH 202</w:t>
            </w:r>
            <w:r w:rsidR="00724226">
              <w:rPr>
                <w:noProof/>
              </w:rPr>
              <w:t>4</w:t>
            </w:r>
            <w:r>
              <w:rPr>
                <w:noProof/>
              </w:rPr>
              <w:t>a</w:t>
            </w:r>
            <w:r w:rsidRPr="00C601A2">
              <w:rPr>
                <w:noProof/>
              </w:rPr>
              <w:t>)</w:t>
            </w:r>
          </w:p>
        </w:tc>
        <w:tc>
          <w:tcPr>
            <w:tcW w:w="3726" w:type="dxa"/>
          </w:tcPr>
          <w:p w14:paraId="0CC22509" w14:textId="18598351" w:rsidR="009009F8" w:rsidRPr="00F90E0C" w:rsidRDefault="001E6C74" w:rsidP="009009F8">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Pr>
                <w:color w:val="auto"/>
                <w:szCs w:val="18"/>
              </w:rPr>
              <w:t>Relationship between ER and</w:t>
            </w:r>
            <w:r w:rsidR="0000424E">
              <w:rPr>
                <w:color w:val="auto"/>
                <w:szCs w:val="18"/>
              </w:rPr>
              <w:t xml:space="preserve"> CEW </w:t>
            </w:r>
            <w:r w:rsidR="003E687F">
              <w:rPr>
                <w:color w:val="auto"/>
                <w:szCs w:val="18"/>
              </w:rPr>
              <w:t xml:space="preserve">is </w:t>
            </w:r>
            <w:r w:rsidR="0000424E">
              <w:rPr>
                <w:color w:val="auto"/>
                <w:szCs w:val="18"/>
              </w:rPr>
              <w:t>not</w:t>
            </w:r>
            <w:r w:rsidR="00F84F94">
              <w:rPr>
                <w:color w:val="auto"/>
                <w:szCs w:val="18"/>
              </w:rPr>
              <w:t xml:space="preserve"> specifically</w:t>
            </w:r>
            <w:r w:rsidR="0000424E">
              <w:rPr>
                <w:color w:val="auto"/>
                <w:szCs w:val="18"/>
              </w:rPr>
              <w:t xml:space="preserve"> reported</w:t>
            </w:r>
            <w:r w:rsidR="003E687F">
              <w:rPr>
                <w:color w:val="auto"/>
                <w:szCs w:val="18"/>
              </w:rPr>
              <w:t>.</w:t>
            </w:r>
          </w:p>
        </w:tc>
        <w:tc>
          <w:tcPr>
            <w:tcW w:w="3726" w:type="dxa"/>
          </w:tcPr>
          <w:p w14:paraId="0F136F96" w14:textId="52A527CE" w:rsidR="009009F8" w:rsidRPr="00F90E0C" w:rsidRDefault="00A65528" w:rsidP="009009F8">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Pr>
                <w:color w:val="auto"/>
                <w:szCs w:val="18"/>
              </w:rPr>
              <w:t>CEW</w:t>
            </w:r>
            <w:r w:rsidR="001F3B53" w:rsidRPr="001F3B53">
              <w:rPr>
                <w:color w:val="auto"/>
                <w:szCs w:val="18"/>
              </w:rPr>
              <w:t xml:space="preserve"> supported flows and contributed to carbon production in the Gwydir River throughout most of the water year. </w:t>
            </w:r>
          </w:p>
        </w:tc>
        <w:tc>
          <w:tcPr>
            <w:tcW w:w="3727" w:type="dxa"/>
          </w:tcPr>
          <w:p w14:paraId="77AC9280" w14:textId="24F4ED31" w:rsidR="009009F8" w:rsidRPr="00F90E0C" w:rsidRDefault="000833F9" w:rsidP="009009F8">
            <w:pPr>
              <w:pStyle w:val="TableBullet"/>
              <w:cnfStyle w:val="000000100000" w:firstRow="0" w:lastRow="0" w:firstColumn="0" w:lastColumn="0" w:oddVBand="0" w:evenVBand="0" w:oddHBand="1" w:evenHBand="0" w:firstRowFirstColumn="0" w:firstRowLastColumn="0" w:lastRowFirstColumn="0" w:lastRowLastColumn="0"/>
              <w:rPr>
                <w:color w:val="auto"/>
                <w:szCs w:val="18"/>
              </w:rPr>
            </w:pPr>
            <w:r>
              <w:rPr>
                <w:color w:val="auto"/>
                <w:szCs w:val="18"/>
              </w:rPr>
              <w:t xml:space="preserve">Relationship between </w:t>
            </w:r>
            <w:r w:rsidR="003E687F">
              <w:rPr>
                <w:color w:val="auto"/>
                <w:szCs w:val="18"/>
              </w:rPr>
              <w:t>DO</w:t>
            </w:r>
            <w:r w:rsidR="003A1C1F">
              <w:rPr>
                <w:color w:val="auto"/>
                <w:szCs w:val="18"/>
              </w:rPr>
              <w:t xml:space="preserve"> levels</w:t>
            </w:r>
            <w:r>
              <w:rPr>
                <w:color w:val="auto"/>
                <w:szCs w:val="18"/>
              </w:rPr>
              <w:t xml:space="preserve"> and CEW </w:t>
            </w:r>
            <w:r w:rsidR="003E687F">
              <w:rPr>
                <w:color w:val="auto"/>
                <w:szCs w:val="18"/>
              </w:rPr>
              <w:t xml:space="preserve">is </w:t>
            </w:r>
            <w:r>
              <w:rPr>
                <w:color w:val="auto"/>
                <w:szCs w:val="18"/>
              </w:rPr>
              <w:t xml:space="preserve">not </w:t>
            </w:r>
            <w:r w:rsidR="00F84F94">
              <w:rPr>
                <w:color w:val="auto"/>
                <w:szCs w:val="18"/>
              </w:rPr>
              <w:t xml:space="preserve">specifically </w:t>
            </w:r>
            <w:r>
              <w:rPr>
                <w:color w:val="auto"/>
                <w:szCs w:val="18"/>
              </w:rPr>
              <w:t>reported</w:t>
            </w:r>
            <w:r w:rsidR="003E687F">
              <w:rPr>
                <w:color w:val="auto"/>
                <w:szCs w:val="18"/>
              </w:rPr>
              <w:t>.</w:t>
            </w:r>
          </w:p>
        </w:tc>
      </w:tr>
      <w:tr w:rsidR="006D2558" w:rsidRPr="00C601A2" w14:paraId="1C473F85" w14:textId="77777777" w:rsidTr="001B4152">
        <w:tc>
          <w:tcPr>
            <w:cnfStyle w:val="001000000000" w:firstRow="0" w:lastRow="0" w:firstColumn="1" w:lastColumn="0" w:oddVBand="0" w:evenVBand="0" w:oddHBand="0" w:evenHBand="0" w:firstRowFirstColumn="0" w:firstRowLastColumn="0" w:lastRowFirstColumn="0" w:lastRowLastColumn="0"/>
            <w:tcW w:w="3726" w:type="dxa"/>
          </w:tcPr>
          <w:p w14:paraId="57BF0038" w14:textId="77777777" w:rsidR="009009F8" w:rsidRDefault="009009F8" w:rsidP="009009F8">
            <w:pPr>
              <w:pStyle w:val="TableText"/>
              <w:rPr>
                <w:bCs w:val="0"/>
              </w:rPr>
            </w:pPr>
            <w:r w:rsidRPr="00C601A2">
              <w:t>Junction of Warrego and Darling rivers</w:t>
            </w:r>
          </w:p>
          <w:p w14:paraId="2CA58A91" w14:textId="4302E31A" w:rsidR="009009F8" w:rsidRDefault="00D55121" w:rsidP="00D55121">
            <w:pPr>
              <w:pStyle w:val="TableText"/>
            </w:pPr>
            <w:r>
              <w:t>(CEWH 202</w:t>
            </w:r>
            <w:r w:rsidR="00724226">
              <w:t>4</w:t>
            </w:r>
            <w:r>
              <w:t>b)</w:t>
            </w:r>
          </w:p>
        </w:tc>
        <w:tc>
          <w:tcPr>
            <w:tcW w:w="3726" w:type="dxa"/>
          </w:tcPr>
          <w:p w14:paraId="61079B0E" w14:textId="2AFB42EA" w:rsidR="009009F8" w:rsidRPr="00F90E0C" w:rsidRDefault="0058490C" w:rsidP="009009F8">
            <w:pPr>
              <w:pStyle w:val="TableBullet"/>
              <w:cnfStyle w:val="000000000000" w:firstRow="0" w:lastRow="0" w:firstColumn="0" w:lastColumn="0" w:oddVBand="0" w:evenVBand="0" w:oddHBand="0" w:evenHBand="0" w:firstRowFirstColumn="0" w:firstRowLastColumn="0" w:lastRowFirstColumn="0" w:lastRowLastColumn="0"/>
              <w:rPr>
                <w:szCs w:val="18"/>
              </w:rPr>
            </w:pPr>
            <w:r>
              <w:rPr>
                <w:color w:val="auto"/>
                <w:szCs w:val="18"/>
              </w:rPr>
              <w:t xml:space="preserve">Relationship between ER and CEW </w:t>
            </w:r>
            <w:r w:rsidR="003E687F">
              <w:rPr>
                <w:color w:val="auto"/>
                <w:szCs w:val="18"/>
              </w:rPr>
              <w:t xml:space="preserve">is </w:t>
            </w:r>
            <w:r>
              <w:rPr>
                <w:color w:val="auto"/>
                <w:szCs w:val="18"/>
              </w:rPr>
              <w:t>not specifically reported</w:t>
            </w:r>
            <w:r w:rsidR="003E687F">
              <w:rPr>
                <w:color w:val="auto"/>
                <w:szCs w:val="18"/>
              </w:rPr>
              <w:t>.</w:t>
            </w:r>
          </w:p>
        </w:tc>
        <w:tc>
          <w:tcPr>
            <w:tcW w:w="3726" w:type="dxa"/>
          </w:tcPr>
          <w:p w14:paraId="1898D6C8" w14:textId="5705D215" w:rsidR="009009F8" w:rsidRPr="00F90E0C" w:rsidRDefault="006A762E" w:rsidP="009009F8">
            <w:pPr>
              <w:pStyle w:val="TableBullet"/>
              <w:cnfStyle w:val="000000000000" w:firstRow="0" w:lastRow="0" w:firstColumn="0" w:lastColumn="0" w:oddVBand="0" w:evenVBand="0" w:oddHBand="0" w:evenHBand="0" w:firstRowFirstColumn="0" w:firstRowLastColumn="0" w:lastRowFirstColumn="0" w:lastRowLastColumn="0"/>
              <w:rPr>
                <w:szCs w:val="18"/>
              </w:rPr>
            </w:pPr>
            <w:r>
              <w:rPr>
                <w:color w:val="auto"/>
                <w:szCs w:val="18"/>
              </w:rPr>
              <w:t xml:space="preserve">Relationship between GPP and CEW </w:t>
            </w:r>
            <w:r w:rsidR="003E687F">
              <w:rPr>
                <w:color w:val="auto"/>
                <w:szCs w:val="18"/>
              </w:rPr>
              <w:t xml:space="preserve">is </w:t>
            </w:r>
            <w:r>
              <w:rPr>
                <w:color w:val="auto"/>
                <w:szCs w:val="18"/>
              </w:rPr>
              <w:t>not specifically reported</w:t>
            </w:r>
            <w:r w:rsidR="003E687F">
              <w:rPr>
                <w:color w:val="auto"/>
                <w:szCs w:val="18"/>
              </w:rPr>
              <w:t>.</w:t>
            </w:r>
          </w:p>
        </w:tc>
        <w:tc>
          <w:tcPr>
            <w:tcW w:w="3727" w:type="dxa"/>
          </w:tcPr>
          <w:p w14:paraId="3A74766C" w14:textId="633C4518" w:rsidR="009009F8" w:rsidRPr="00F90E0C" w:rsidRDefault="0058490C" w:rsidP="009009F8">
            <w:pPr>
              <w:pStyle w:val="TableBullet"/>
              <w:cnfStyle w:val="000000000000" w:firstRow="0" w:lastRow="0" w:firstColumn="0" w:lastColumn="0" w:oddVBand="0" w:evenVBand="0" w:oddHBand="0" w:evenHBand="0" w:firstRowFirstColumn="0" w:firstRowLastColumn="0" w:lastRowFirstColumn="0" w:lastRowLastColumn="0"/>
              <w:rPr>
                <w:szCs w:val="18"/>
              </w:rPr>
            </w:pPr>
            <w:r>
              <w:rPr>
                <w:color w:val="auto"/>
                <w:szCs w:val="18"/>
              </w:rPr>
              <w:t xml:space="preserve">Relationship between </w:t>
            </w:r>
            <w:r w:rsidR="003E687F">
              <w:rPr>
                <w:color w:val="auto"/>
                <w:szCs w:val="18"/>
              </w:rPr>
              <w:t>DO</w:t>
            </w:r>
            <w:r>
              <w:rPr>
                <w:color w:val="auto"/>
                <w:szCs w:val="18"/>
              </w:rPr>
              <w:t xml:space="preserve"> levels and CEW </w:t>
            </w:r>
            <w:r w:rsidR="003E687F">
              <w:rPr>
                <w:color w:val="auto"/>
                <w:szCs w:val="18"/>
              </w:rPr>
              <w:t xml:space="preserve">is </w:t>
            </w:r>
            <w:r>
              <w:rPr>
                <w:color w:val="auto"/>
                <w:szCs w:val="18"/>
              </w:rPr>
              <w:t>not specifically reported</w:t>
            </w:r>
            <w:r w:rsidR="003E687F">
              <w:rPr>
                <w:color w:val="auto"/>
                <w:szCs w:val="18"/>
              </w:rPr>
              <w:t>.</w:t>
            </w:r>
          </w:p>
        </w:tc>
      </w:tr>
      <w:tr w:rsidR="006D2558" w:rsidRPr="00C601A2" w14:paraId="7365312A" w14:textId="77777777" w:rsidTr="001B41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6" w:type="dxa"/>
          </w:tcPr>
          <w:p w14:paraId="449FE656" w14:textId="77777777" w:rsidR="00D55121" w:rsidRPr="00D55121" w:rsidRDefault="009009F8" w:rsidP="00D55121">
            <w:pPr>
              <w:pStyle w:val="TableText"/>
            </w:pPr>
            <w:r>
              <w:t xml:space="preserve">Murrumbidgee River </w:t>
            </w:r>
          </w:p>
          <w:p w14:paraId="0FA15A1D" w14:textId="19840946" w:rsidR="009009F8" w:rsidRDefault="00D55121" w:rsidP="00D55121">
            <w:pPr>
              <w:pStyle w:val="TableText"/>
            </w:pPr>
            <w:r>
              <w:rPr>
                <w:noProof/>
              </w:rPr>
              <w:t>(</w:t>
            </w:r>
            <w:r w:rsidR="009009F8">
              <w:rPr>
                <w:noProof/>
              </w:rPr>
              <w:t>Wassens</w:t>
            </w:r>
            <w:r w:rsidR="009009F8" w:rsidRPr="00C601A2">
              <w:rPr>
                <w:noProof/>
              </w:rPr>
              <w:t xml:space="preserve"> et al. 202</w:t>
            </w:r>
            <w:r w:rsidR="00721B66">
              <w:rPr>
                <w:noProof/>
              </w:rPr>
              <w:t>4</w:t>
            </w:r>
            <w:r w:rsidR="009009F8" w:rsidRPr="00C601A2">
              <w:rPr>
                <w:noProof/>
              </w:rPr>
              <w:t>)</w:t>
            </w:r>
          </w:p>
        </w:tc>
        <w:tc>
          <w:tcPr>
            <w:tcW w:w="3726" w:type="dxa"/>
          </w:tcPr>
          <w:p w14:paraId="01F1EE3A" w14:textId="0097617C" w:rsidR="009009F8" w:rsidRPr="00F90E0C" w:rsidRDefault="00F9538B" w:rsidP="009009F8">
            <w:pPr>
              <w:pStyle w:val="TableBullet"/>
              <w:cnfStyle w:val="000000100000" w:firstRow="0" w:lastRow="0" w:firstColumn="0" w:lastColumn="0" w:oddVBand="0" w:evenVBand="0" w:oddHBand="1" w:evenHBand="0" w:firstRowFirstColumn="0" w:firstRowLastColumn="0" w:lastRowFirstColumn="0" w:lastRowLastColumn="0"/>
              <w:rPr>
                <w:szCs w:val="18"/>
              </w:rPr>
            </w:pPr>
            <w:r w:rsidRPr="00F9538B">
              <w:rPr>
                <w:szCs w:val="18"/>
              </w:rPr>
              <w:t>The estimated range and median values for GPP, ER and GPP</w:t>
            </w:r>
            <w:r w:rsidR="00E21DDD">
              <w:rPr>
                <w:szCs w:val="18"/>
              </w:rPr>
              <w:t>:</w:t>
            </w:r>
            <w:r w:rsidR="006F3572">
              <w:rPr>
                <w:szCs w:val="18"/>
              </w:rPr>
              <w:t xml:space="preserve"> </w:t>
            </w:r>
            <w:r w:rsidRPr="00F9538B">
              <w:rPr>
                <w:szCs w:val="18"/>
              </w:rPr>
              <w:t>ER were all within the range and median values reported for the previous water years.</w:t>
            </w:r>
          </w:p>
        </w:tc>
        <w:tc>
          <w:tcPr>
            <w:tcW w:w="3726" w:type="dxa"/>
          </w:tcPr>
          <w:p w14:paraId="394CCEE5" w14:textId="06848550" w:rsidR="009009F8" w:rsidRPr="00F90E0C" w:rsidRDefault="00F9538B" w:rsidP="009009F8">
            <w:pPr>
              <w:pStyle w:val="TableBullet"/>
              <w:cnfStyle w:val="000000100000" w:firstRow="0" w:lastRow="0" w:firstColumn="0" w:lastColumn="0" w:oddVBand="0" w:evenVBand="0" w:oddHBand="1" w:evenHBand="0" w:firstRowFirstColumn="0" w:firstRowLastColumn="0" w:lastRowFirstColumn="0" w:lastRowLastColumn="0"/>
              <w:rPr>
                <w:szCs w:val="18"/>
              </w:rPr>
            </w:pPr>
            <w:r w:rsidRPr="00F9538B">
              <w:rPr>
                <w:szCs w:val="18"/>
              </w:rPr>
              <w:t>The estimated range and median values for GPP, ER and GPP</w:t>
            </w:r>
            <w:r w:rsidR="00E21DDD">
              <w:rPr>
                <w:szCs w:val="18"/>
              </w:rPr>
              <w:t>:</w:t>
            </w:r>
            <w:r w:rsidR="006F3572">
              <w:rPr>
                <w:szCs w:val="18"/>
              </w:rPr>
              <w:t xml:space="preserve"> </w:t>
            </w:r>
            <w:r w:rsidRPr="00F9538B">
              <w:rPr>
                <w:szCs w:val="18"/>
              </w:rPr>
              <w:t>ER were all within the range and median values reported for the previous water years.</w:t>
            </w:r>
          </w:p>
        </w:tc>
        <w:tc>
          <w:tcPr>
            <w:tcW w:w="3727" w:type="dxa"/>
          </w:tcPr>
          <w:p w14:paraId="52AA02A5" w14:textId="00EFA0B8" w:rsidR="009009F8" w:rsidRPr="00854DFF" w:rsidRDefault="00E21DDD" w:rsidP="00854DFF">
            <w:pPr>
              <w:pStyle w:val="TableBullet"/>
              <w:cnfStyle w:val="000000100000" w:firstRow="0" w:lastRow="0" w:firstColumn="0" w:lastColumn="0" w:oddVBand="0" w:evenVBand="0" w:oddHBand="1" w:evenHBand="0" w:firstRowFirstColumn="0" w:firstRowLastColumn="0" w:lastRowFirstColumn="0" w:lastRowLastColumn="0"/>
              <w:rPr>
                <w:szCs w:val="18"/>
              </w:rPr>
            </w:pPr>
            <w:r>
              <w:rPr>
                <w:szCs w:val="18"/>
              </w:rPr>
              <w:t>DO</w:t>
            </w:r>
            <w:r w:rsidRPr="009C35EA">
              <w:rPr>
                <w:szCs w:val="18"/>
              </w:rPr>
              <w:t xml:space="preserve"> </w:t>
            </w:r>
            <w:r w:rsidR="009C35EA" w:rsidRPr="009C35EA">
              <w:rPr>
                <w:szCs w:val="18"/>
              </w:rPr>
              <w:t>concentrations remained well above the ecological threshold level of 4 mg/L for fish</w:t>
            </w:r>
            <w:r>
              <w:rPr>
                <w:szCs w:val="18"/>
              </w:rPr>
              <w:t>,</w:t>
            </w:r>
            <w:r w:rsidR="009C35EA" w:rsidRPr="009C35EA">
              <w:rPr>
                <w:szCs w:val="18"/>
              </w:rPr>
              <w:t xml:space="preserve"> with short-term anomalies (&lt;</w:t>
            </w:r>
            <w:r>
              <w:rPr>
                <w:szCs w:val="18"/>
              </w:rPr>
              <w:t> </w:t>
            </w:r>
            <w:r w:rsidR="009C35EA" w:rsidRPr="009C35EA">
              <w:rPr>
                <w:szCs w:val="18"/>
              </w:rPr>
              <w:t xml:space="preserve">4 mg/L) in late November 2023 and early March 2024. </w:t>
            </w:r>
          </w:p>
        </w:tc>
      </w:tr>
    </w:tbl>
    <w:p w14:paraId="170F3CDC" w14:textId="77777777" w:rsidR="00684736" w:rsidRDefault="00684736" w:rsidP="00684736">
      <w:pPr>
        <w:pStyle w:val="BodyText"/>
        <w:spacing w:before="0" w:after="0"/>
      </w:pPr>
    </w:p>
    <w:p w14:paraId="5377CC87" w14:textId="77777777" w:rsidR="00FA72EC" w:rsidRPr="00C601A2" w:rsidRDefault="00FA72EC" w:rsidP="00684736">
      <w:pPr>
        <w:pStyle w:val="BodyText"/>
        <w:spacing w:before="0" w:after="0"/>
        <w:sectPr w:rsidR="00FA72EC" w:rsidRPr="00C601A2" w:rsidSect="000E21A8">
          <w:pgSz w:w="16838" w:h="11906" w:orient="landscape" w:code="9"/>
          <w:pgMar w:top="1134" w:right="1134" w:bottom="1134" w:left="1134" w:header="510" w:footer="510" w:gutter="0"/>
          <w:cols w:space="284"/>
          <w:docGrid w:linePitch="360"/>
        </w:sectPr>
      </w:pPr>
    </w:p>
    <w:p w14:paraId="5A3C5CD6" w14:textId="16719ADA" w:rsidR="00575CDA" w:rsidRPr="00C601A2" w:rsidRDefault="0022400C" w:rsidP="0022400C">
      <w:pPr>
        <w:pStyle w:val="Heading3"/>
      </w:pPr>
      <w:r>
        <w:lastRenderedPageBreak/>
        <w:t>S</w:t>
      </w:r>
      <w:r w:rsidR="00575CDA">
        <w:t>alinity regimes</w:t>
      </w:r>
    </w:p>
    <w:p w14:paraId="7465E0CF" w14:textId="062FFA55" w:rsidR="00FA72EC" w:rsidRDefault="009C68E7" w:rsidP="003101B5">
      <w:pPr>
        <w:pStyle w:val="BodyText"/>
        <w:rPr>
          <w:noProof/>
        </w:rPr>
      </w:pPr>
      <w:r w:rsidRPr="00C601A2">
        <w:t xml:space="preserve">The </w:t>
      </w:r>
      <w:r w:rsidR="000B59E1">
        <w:t xml:space="preserve">Basin-scale </w:t>
      </w:r>
      <w:r w:rsidRPr="00C601A2">
        <w:t xml:space="preserve">Food Webs and Water Quality Theme is required to report on the contribution of </w:t>
      </w:r>
      <w:r w:rsidR="00DB3D1D">
        <w:t xml:space="preserve">CEW </w:t>
      </w:r>
      <w:r w:rsidRPr="00C601A2">
        <w:t>to salinity regimes. Our focus is the</w:t>
      </w:r>
      <w:r w:rsidRPr="00C601A2">
        <w:rPr>
          <w:b/>
          <w:bCs/>
        </w:rPr>
        <w:t xml:space="preserve"> </w:t>
      </w:r>
      <w:r w:rsidRPr="00C601A2">
        <w:rPr>
          <w:rStyle w:val="Bold"/>
          <w:b w:val="0"/>
          <w:bCs/>
        </w:rPr>
        <w:t>export of salt through the Lower Murray River Selected Area</w:t>
      </w:r>
      <w:r w:rsidR="00CE759C">
        <w:rPr>
          <w:rStyle w:val="Bold"/>
          <w:b w:val="0"/>
          <w:bCs/>
        </w:rPr>
        <w:t>,</w:t>
      </w:r>
      <w:r w:rsidRPr="00C601A2">
        <w:rPr>
          <w:rStyle w:val="Bold"/>
          <w:b w:val="0"/>
          <w:bCs/>
        </w:rPr>
        <w:t xml:space="preserve"> since this is the region through which all salt must be exported to leave the Basin. Information in this section has been taken directly from </w:t>
      </w:r>
      <w:r w:rsidRPr="00C601A2">
        <w:rPr>
          <w:noProof/>
        </w:rPr>
        <w:t>Ye et al. (202</w:t>
      </w:r>
      <w:r w:rsidR="00812D7B">
        <w:rPr>
          <w:noProof/>
        </w:rPr>
        <w:t>5</w:t>
      </w:r>
      <w:r w:rsidRPr="00C601A2">
        <w:rPr>
          <w:noProof/>
        </w:rPr>
        <w:t>)</w:t>
      </w:r>
      <w:r w:rsidRPr="00C601A2">
        <w:rPr>
          <w:rStyle w:val="Bold"/>
          <w:b w:val="0"/>
          <w:bCs/>
        </w:rPr>
        <w:t>, who</w:t>
      </w:r>
      <w:r w:rsidRPr="00C601A2">
        <w:t xml:space="preserve"> apply a </w:t>
      </w:r>
      <w:r w:rsidRPr="00C601A2">
        <w:rPr>
          <w:rStyle w:val="Bold"/>
          <w:b w:val="0"/>
          <w:bCs/>
        </w:rPr>
        <w:t>hydrodynamic</w:t>
      </w:r>
      <w:r w:rsidR="00B57FE3">
        <w:rPr>
          <w:rStyle w:val="Bold"/>
          <w:b w:val="0"/>
          <w:bCs/>
        </w:rPr>
        <w:t>–</w:t>
      </w:r>
      <w:r w:rsidRPr="00C601A2">
        <w:rPr>
          <w:rStyle w:val="Bold"/>
          <w:b w:val="0"/>
          <w:bCs/>
        </w:rPr>
        <w:t xml:space="preserve">biogeochemical model for the region below Lock 1 to the Murray Mouth to account for cumulative impacts of environmental water delivery on salt export from the Basin. </w:t>
      </w:r>
      <w:r w:rsidR="00575CDA" w:rsidRPr="00C601A2">
        <w:t xml:space="preserve">In </w:t>
      </w:r>
      <w:r w:rsidR="00682D38">
        <w:t>202</w:t>
      </w:r>
      <w:r w:rsidR="0002465F">
        <w:t>3</w:t>
      </w:r>
      <w:r w:rsidR="00682D38">
        <w:t>–2</w:t>
      </w:r>
      <w:r w:rsidR="0002465F">
        <w:t>4</w:t>
      </w:r>
      <w:r w:rsidR="00575CDA" w:rsidRPr="00C601A2">
        <w:t>,</w:t>
      </w:r>
      <w:r w:rsidR="002E4AD2">
        <w:t xml:space="preserve"> </w:t>
      </w:r>
      <w:r w:rsidR="00CF36F6">
        <w:t xml:space="preserve">CEW </w:t>
      </w:r>
      <w:r w:rsidR="00972CBC" w:rsidRPr="00C601A2">
        <w:t xml:space="preserve">was responsible for </w:t>
      </w:r>
      <w:r w:rsidR="000A536D" w:rsidRPr="00C601A2">
        <w:t>the export of</w:t>
      </w:r>
      <w:r w:rsidR="00550228" w:rsidRPr="00C601A2">
        <w:t xml:space="preserve"> </w:t>
      </w:r>
      <w:r w:rsidR="00ED4F9E" w:rsidRPr="005927E6">
        <w:t>221,272</w:t>
      </w:r>
      <w:r w:rsidR="00ED4F9E">
        <w:t xml:space="preserve"> </w:t>
      </w:r>
      <w:r w:rsidR="00550228" w:rsidRPr="00C601A2">
        <w:t>tonnes of salt</w:t>
      </w:r>
      <w:r w:rsidR="00A82420">
        <w:t xml:space="preserve"> (</w:t>
      </w:r>
      <w:r w:rsidR="002E4AD2">
        <w:t>17</w:t>
      </w:r>
      <w:r w:rsidR="00A966FE">
        <w:t>.</w:t>
      </w:r>
      <w:r w:rsidR="002E4AD2">
        <w:t>8</w:t>
      </w:r>
      <w:r w:rsidR="00B56B67">
        <w:t xml:space="preserve">% </w:t>
      </w:r>
      <w:r w:rsidR="00AE21C7">
        <w:t>of total salt exported)</w:t>
      </w:r>
      <w:r w:rsidR="00550228" w:rsidRPr="00C601A2">
        <w:t xml:space="preserve"> through the barrages</w:t>
      </w:r>
      <w:r w:rsidR="00D76A18" w:rsidRPr="00C601A2">
        <w:t xml:space="preserve"> </w:t>
      </w:r>
      <w:r w:rsidR="00E25534" w:rsidRPr="00C601A2">
        <w:rPr>
          <w:noProof/>
        </w:rPr>
        <w:t>(Ye et al. 202</w:t>
      </w:r>
      <w:r w:rsidR="002E4AD2">
        <w:rPr>
          <w:noProof/>
        </w:rPr>
        <w:t>5</w:t>
      </w:r>
      <w:r w:rsidR="00E25534" w:rsidRPr="00C601A2">
        <w:rPr>
          <w:noProof/>
        </w:rPr>
        <w:t>)</w:t>
      </w:r>
      <w:r w:rsidR="00575CDA" w:rsidRPr="00C601A2">
        <w:t xml:space="preserve">. Commonwealth environmental water decreased salt import at the Murray Mouth by approximately </w:t>
      </w:r>
      <w:r w:rsidR="00812D7B" w:rsidRPr="00812D7B">
        <w:t xml:space="preserve">2,854,965 </w:t>
      </w:r>
      <w:r w:rsidR="00575CDA" w:rsidRPr="00C601A2">
        <w:t xml:space="preserve">tonnes in </w:t>
      </w:r>
      <w:r w:rsidR="00682D38">
        <w:t>202</w:t>
      </w:r>
      <w:r w:rsidR="0002465F">
        <w:t>3</w:t>
      </w:r>
      <w:r w:rsidR="00682D38">
        <w:t>–2</w:t>
      </w:r>
      <w:r w:rsidR="0002465F">
        <w:t>4</w:t>
      </w:r>
      <w:r w:rsidR="00575CDA" w:rsidRPr="00C601A2">
        <w:t xml:space="preserve"> </w:t>
      </w:r>
      <w:r w:rsidRPr="00C601A2">
        <w:rPr>
          <w:noProof/>
        </w:rPr>
        <w:t>(Ye et al. 202</w:t>
      </w:r>
      <w:r w:rsidR="00812D7B">
        <w:rPr>
          <w:noProof/>
        </w:rPr>
        <w:t>5</w:t>
      </w:r>
      <w:r w:rsidRPr="00C601A2">
        <w:rPr>
          <w:noProof/>
        </w:rPr>
        <w:t>)</w:t>
      </w:r>
      <w:r w:rsidR="00390AAD">
        <w:rPr>
          <w:noProof/>
        </w:rPr>
        <w:t>.</w:t>
      </w:r>
    </w:p>
    <w:p w14:paraId="76474609" w14:textId="77777777" w:rsidR="00FA72EC" w:rsidRDefault="00FA72EC" w:rsidP="003101B5">
      <w:pPr>
        <w:pStyle w:val="BodyText"/>
        <w:rPr>
          <w:noProof/>
        </w:rPr>
      </w:pPr>
    </w:p>
    <w:p w14:paraId="2A544377" w14:textId="52E43436" w:rsidR="00575CDA" w:rsidRPr="00C601A2" w:rsidRDefault="00575CDA" w:rsidP="003101B5">
      <w:pPr>
        <w:pStyle w:val="BodyText"/>
        <w:rPr>
          <w:bCs/>
        </w:rPr>
        <w:sectPr w:rsidR="00575CDA" w:rsidRPr="00C601A2" w:rsidSect="000E21A8">
          <w:headerReference w:type="even" r:id="rId44"/>
          <w:headerReference w:type="default" r:id="rId45"/>
          <w:footerReference w:type="default" r:id="rId46"/>
          <w:headerReference w:type="first" r:id="rId47"/>
          <w:pgSz w:w="11906" w:h="16838" w:code="9"/>
          <w:pgMar w:top="1134" w:right="1134" w:bottom="1134" w:left="1134" w:header="510" w:footer="510" w:gutter="0"/>
          <w:cols w:space="284"/>
          <w:docGrid w:linePitch="360"/>
        </w:sectPr>
      </w:pPr>
    </w:p>
    <w:p w14:paraId="28350FFB" w14:textId="52EC5EE7" w:rsidR="001756B4" w:rsidRPr="00C601A2" w:rsidRDefault="00DC2C13" w:rsidP="001756B4">
      <w:pPr>
        <w:pStyle w:val="Heading1"/>
      </w:pPr>
      <w:bookmarkStart w:id="134" w:name="_Ref139004813"/>
      <w:bookmarkStart w:id="135" w:name="_Toc169543871"/>
      <w:bookmarkStart w:id="136" w:name="_Toc202187852"/>
      <w:r>
        <w:lastRenderedPageBreak/>
        <w:t xml:space="preserve">Basin-scale evaluation </w:t>
      </w:r>
      <w:r w:rsidR="00682D38">
        <w:t>2014–2</w:t>
      </w:r>
      <w:r w:rsidR="00623EFB">
        <w:t>4</w:t>
      </w:r>
      <w:bookmarkEnd w:id="134"/>
      <w:bookmarkEnd w:id="135"/>
      <w:bookmarkEnd w:id="136"/>
    </w:p>
    <w:p w14:paraId="3A860108" w14:textId="79A35562" w:rsidR="00A14D41" w:rsidRPr="004A4DBC" w:rsidRDefault="00A14D41" w:rsidP="004D0B0D">
      <w:pPr>
        <w:pStyle w:val="BodyText"/>
      </w:pPr>
      <w:r w:rsidRPr="004A4DBC">
        <w:t xml:space="preserve">This chapter describes </w:t>
      </w:r>
      <w:r w:rsidR="00804215" w:rsidRPr="004A4DBC">
        <w:t xml:space="preserve">water quality and metabolic parameters </w:t>
      </w:r>
      <w:r w:rsidRPr="004A4DBC">
        <w:t xml:space="preserve">recorded across all monitoring locations between </w:t>
      </w:r>
      <w:r w:rsidR="00DC2C13" w:rsidRPr="004A4DBC">
        <w:t xml:space="preserve">water years </w:t>
      </w:r>
      <w:r w:rsidRPr="004A4DBC">
        <w:t>2014</w:t>
      </w:r>
      <w:r w:rsidR="002A317D" w:rsidRPr="004A4DBC">
        <w:t>–</w:t>
      </w:r>
      <w:r w:rsidRPr="004A4DBC">
        <w:t xml:space="preserve">15 and </w:t>
      </w:r>
      <w:r w:rsidR="00682D38" w:rsidRPr="004A4DBC">
        <w:t>202</w:t>
      </w:r>
      <w:r w:rsidR="00623EFB" w:rsidRPr="004A4DBC">
        <w:t>3</w:t>
      </w:r>
      <w:r w:rsidR="00682D38" w:rsidRPr="004A4DBC">
        <w:t>–2</w:t>
      </w:r>
      <w:r w:rsidR="00623EFB" w:rsidRPr="004A4DBC">
        <w:t>4</w:t>
      </w:r>
      <w:r w:rsidRPr="004A4DBC">
        <w:t xml:space="preserve"> and provides the cumulative evaluation of responses.</w:t>
      </w:r>
      <w:r w:rsidR="00294198" w:rsidRPr="004A4DBC">
        <w:t xml:space="preserve"> </w:t>
      </w:r>
      <w:r w:rsidR="00294198" w:rsidRPr="004A4DBC">
        <w:rPr>
          <w:rStyle w:val="Italics"/>
          <w:i w:val="0"/>
        </w:rPr>
        <w:t xml:space="preserve">Due to the relatively small contribution of </w:t>
      </w:r>
      <w:r w:rsidR="009F398F">
        <w:rPr>
          <w:rStyle w:val="Italics"/>
          <w:i w:val="0"/>
        </w:rPr>
        <w:t>CEW</w:t>
      </w:r>
      <w:r w:rsidR="00294198" w:rsidRPr="004A4DBC">
        <w:rPr>
          <w:rStyle w:val="Italics"/>
          <w:i w:val="0"/>
        </w:rPr>
        <w:t xml:space="preserve"> to total flow volumes, outcomes are reported for the full 2014–2</w:t>
      </w:r>
      <w:r w:rsidR="00623EFB" w:rsidRPr="004A4DBC">
        <w:rPr>
          <w:rStyle w:val="Italics"/>
          <w:i w:val="0"/>
        </w:rPr>
        <w:t>4</w:t>
      </w:r>
      <w:r w:rsidR="00294198" w:rsidRPr="004A4DBC">
        <w:rPr>
          <w:rStyle w:val="Italics"/>
          <w:i w:val="0"/>
        </w:rPr>
        <w:t xml:space="preserve"> hydrological dataset</w:t>
      </w:r>
      <w:r w:rsidR="00294198" w:rsidRPr="001B66CC">
        <w:rPr>
          <w:rStyle w:val="Italics"/>
          <w:i w:val="0"/>
        </w:rPr>
        <w:t xml:space="preserve"> </w:t>
      </w:r>
      <w:r w:rsidR="00A31B69">
        <w:rPr>
          <w:rStyle w:val="Italics"/>
          <w:i w:val="0"/>
        </w:rPr>
        <w:t>and are</w:t>
      </w:r>
      <w:r w:rsidR="00294198" w:rsidRPr="004A4DBC">
        <w:rPr>
          <w:rStyle w:val="Italics"/>
          <w:i w:val="0"/>
        </w:rPr>
        <w:t xml:space="preserve"> not </w:t>
      </w:r>
      <w:r w:rsidR="004F42CF" w:rsidRPr="004A4DBC">
        <w:rPr>
          <w:rStyle w:val="Italics"/>
          <w:i w:val="0"/>
        </w:rPr>
        <w:t xml:space="preserve">specific </w:t>
      </w:r>
      <w:r w:rsidR="00294198" w:rsidRPr="004A4DBC">
        <w:rPr>
          <w:rStyle w:val="Italics"/>
          <w:i w:val="0"/>
        </w:rPr>
        <w:t>to Commonwealth environmental watering actions.</w:t>
      </w:r>
    </w:p>
    <w:p w14:paraId="6B36B76F" w14:textId="4F9FDC9C" w:rsidR="00002D7C" w:rsidRPr="00C601A2" w:rsidRDefault="000F2C0E" w:rsidP="004250B9">
      <w:pPr>
        <w:pStyle w:val="Heading2"/>
      </w:pPr>
      <w:bookmarkStart w:id="137" w:name="_Toc169543872"/>
      <w:bookmarkStart w:id="138" w:name="_Toc202187853"/>
      <w:bookmarkStart w:id="139" w:name="_Toc71298446"/>
      <w:r w:rsidRPr="00C601A2">
        <w:t>Key findings</w:t>
      </w:r>
      <w:bookmarkEnd w:id="137"/>
      <w:bookmarkEnd w:id="138"/>
    </w:p>
    <w:p w14:paraId="6448E2A3" w14:textId="24DF63BB" w:rsidR="00BC237E" w:rsidRPr="007F02A6" w:rsidRDefault="0093666F" w:rsidP="00FB75A6">
      <w:pPr>
        <w:pStyle w:val="Boxedlistbulletgreen"/>
      </w:pPr>
      <w:r w:rsidRPr="007F02A6">
        <w:t>R</w:t>
      </w:r>
      <w:r w:rsidR="0016440D" w:rsidRPr="007F02A6">
        <w:t>iverine ecosystems of the</w:t>
      </w:r>
      <w:r w:rsidR="000172A4" w:rsidRPr="007F02A6">
        <w:t xml:space="preserve"> Goulburn River, Edward/Kolety–Wakool river systems, Lachlan River System, Gwydir River System and Junction of Warrego and Darling rivers </w:t>
      </w:r>
      <w:r w:rsidR="007E7415" w:rsidRPr="007F02A6">
        <w:t>were predominantly</w:t>
      </w:r>
      <w:r w:rsidR="000172A4" w:rsidRPr="007F02A6">
        <w:t xml:space="preserve"> heterotrophic and </w:t>
      </w:r>
      <w:r w:rsidR="00F90D9E" w:rsidRPr="007F02A6">
        <w:t xml:space="preserve">thus </w:t>
      </w:r>
      <w:r w:rsidR="000172A4" w:rsidRPr="007F02A6">
        <w:t>consuming more carbon than they were producing.</w:t>
      </w:r>
    </w:p>
    <w:p w14:paraId="3D2220DD" w14:textId="794BA370" w:rsidR="008962ED" w:rsidRPr="007F02A6" w:rsidRDefault="00332A70" w:rsidP="00FB75A6">
      <w:pPr>
        <w:pStyle w:val="Boxedlistbulletgreen"/>
      </w:pPr>
      <w:r w:rsidRPr="007F02A6">
        <w:t xml:space="preserve">The Murrumbidgee River </w:t>
      </w:r>
      <w:r w:rsidR="009802A5" w:rsidRPr="007F02A6">
        <w:t xml:space="preserve">System </w:t>
      </w:r>
      <w:r w:rsidRPr="007F02A6">
        <w:t>regularly alternated between heterotrophy and autotrophy, depending on conditions (such as season)</w:t>
      </w:r>
      <w:r w:rsidR="00150F27" w:rsidRPr="007F02A6">
        <w:t>.</w:t>
      </w:r>
    </w:p>
    <w:p w14:paraId="4ABB2FD4" w14:textId="0A0F8DE3" w:rsidR="00837228" w:rsidRPr="007F02A6" w:rsidRDefault="003D1372" w:rsidP="00FB75A6">
      <w:pPr>
        <w:pStyle w:val="Boxedlistbulletgreen"/>
      </w:pPr>
      <w:r w:rsidRPr="007F02A6">
        <w:t xml:space="preserve">The </w:t>
      </w:r>
      <w:r w:rsidR="006E21A4" w:rsidRPr="007F02A6">
        <w:t>L</w:t>
      </w:r>
      <w:r w:rsidRPr="007F02A6">
        <w:t>ower Murray</w:t>
      </w:r>
      <w:r w:rsidR="006E21A4" w:rsidRPr="007F02A6">
        <w:t xml:space="preserve"> River was</w:t>
      </w:r>
      <w:r w:rsidR="004D63BD" w:rsidRPr="007F02A6">
        <w:t xml:space="preserve"> </w:t>
      </w:r>
      <w:r w:rsidR="00632CE4" w:rsidRPr="007F02A6">
        <w:t xml:space="preserve">mostly </w:t>
      </w:r>
      <w:r w:rsidR="004D63BD" w:rsidRPr="007F02A6">
        <w:t>a</w:t>
      </w:r>
      <w:r w:rsidRPr="007F02A6">
        <w:t xml:space="preserve"> </w:t>
      </w:r>
      <w:r w:rsidR="00EA014D" w:rsidRPr="007F02A6">
        <w:t>net</w:t>
      </w:r>
      <w:r w:rsidR="00872F69" w:rsidRPr="007F02A6">
        <w:t xml:space="preserve"> producer of</w:t>
      </w:r>
      <w:r w:rsidR="00EA014D" w:rsidRPr="007F02A6">
        <w:t xml:space="preserve"> carbon (autotroph</w:t>
      </w:r>
      <w:r w:rsidR="009802A5" w:rsidRPr="007F02A6">
        <w:t>ic</w:t>
      </w:r>
      <w:r w:rsidR="00EA014D" w:rsidRPr="007F02A6">
        <w:t xml:space="preserve">) </w:t>
      </w:r>
      <w:r w:rsidR="001D3D2A" w:rsidRPr="007F02A6">
        <w:t xml:space="preserve">up </w:t>
      </w:r>
      <w:r w:rsidR="00A20DF6" w:rsidRPr="007F02A6">
        <w:t>to 2021–</w:t>
      </w:r>
      <w:r w:rsidR="00A339C2" w:rsidRPr="007F02A6">
        <w:t>2</w:t>
      </w:r>
      <w:r w:rsidR="00993A17" w:rsidRPr="007F02A6">
        <w:t>2</w:t>
      </w:r>
      <w:r w:rsidR="00EA014D" w:rsidRPr="007F02A6">
        <w:t>, driven by phytoplankton and relatively low turbidity in the slow-flowing channels of the Lower Murray River</w:t>
      </w:r>
      <w:r w:rsidR="00A339C2" w:rsidRPr="007F02A6">
        <w:t xml:space="preserve">. However, high flows in 2022 </w:t>
      </w:r>
      <w:r w:rsidR="00180CCF" w:rsidRPr="007F02A6">
        <w:t xml:space="preserve">shifted the Lower Murray </w:t>
      </w:r>
      <w:r w:rsidR="00632CE4" w:rsidRPr="007F02A6">
        <w:t>Ri</w:t>
      </w:r>
      <w:r w:rsidR="007E030F" w:rsidRPr="007F02A6">
        <w:t>v</w:t>
      </w:r>
      <w:r w:rsidR="00632CE4" w:rsidRPr="007F02A6">
        <w:t xml:space="preserve">er </w:t>
      </w:r>
      <w:r w:rsidR="00180CCF" w:rsidRPr="007F02A6">
        <w:t>into heterotrophy, reflecting a return to a flowing system</w:t>
      </w:r>
      <w:r w:rsidR="00A65568" w:rsidRPr="007F02A6">
        <w:t xml:space="preserve"> more closely resembling metabolic patterns at other Selected Areas.</w:t>
      </w:r>
      <w:r w:rsidR="00A54BDD" w:rsidRPr="007F02A6">
        <w:t xml:space="preserve"> In 2023</w:t>
      </w:r>
      <w:r w:rsidR="00B57FE3" w:rsidRPr="007F02A6">
        <w:t>–</w:t>
      </w:r>
      <w:r w:rsidR="00A54BDD" w:rsidRPr="007F02A6">
        <w:t>24</w:t>
      </w:r>
      <w:r w:rsidR="00A26F24" w:rsidRPr="007F02A6">
        <w:t>,</w:t>
      </w:r>
      <w:r w:rsidR="00A54BDD" w:rsidRPr="007F02A6">
        <w:t xml:space="preserve"> the Lower Murray River returned to autotrophy, reflecting dominating lentic conditions.</w:t>
      </w:r>
    </w:p>
    <w:p w14:paraId="6766331C" w14:textId="45A84648" w:rsidR="00937B22" w:rsidRPr="007F02A6" w:rsidRDefault="00073B38" w:rsidP="00FB75A6">
      <w:pPr>
        <w:pStyle w:val="Boxedlistbulletgreen"/>
      </w:pPr>
      <w:r w:rsidRPr="007F02A6">
        <w:t>The most common response to increased flows</w:t>
      </w:r>
      <w:r w:rsidR="006A7FE9" w:rsidRPr="007F02A6">
        <w:t xml:space="preserve"> (including</w:t>
      </w:r>
      <w:r w:rsidR="008E4467" w:rsidRPr="007F02A6">
        <w:t xml:space="preserve"> </w:t>
      </w:r>
      <w:r w:rsidR="00B46E65" w:rsidRPr="007F02A6">
        <w:t>contributions from</w:t>
      </w:r>
      <w:r w:rsidR="006A7FE9" w:rsidRPr="007F02A6">
        <w:t xml:space="preserve"> C</w:t>
      </w:r>
      <w:r w:rsidR="00A20DF6" w:rsidRPr="007F02A6">
        <w:t>ommonwealth environmental water</w:t>
      </w:r>
      <w:r w:rsidR="006A7FE9" w:rsidRPr="007F02A6">
        <w:t>)</w:t>
      </w:r>
      <w:r w:rsidR="00150F27" w:rsidRPr="007F02A6">
        <w:t xml:space="preserve"> </w:t>
      </w:r>
      <w:r w:rsidR="00993A17" w:rsidRPr="007F02A6">
        <w:t>w</w:t>
      </w:r>
      <w:r w:rsidR="00AD111F" w:rsidRPr="007F02A6">
        <w:t>as</w:t>
      </w:r>
      <w:r w:rsidRPr="007F02A6">
        <w:t xml:space="preserve"> decreased </w:t>
      </w:r>
      <w:r w:rsidR="00B03A2F" w:rsidRPr="007F02A6">
        <w:t>overall metabolic throughput</w:t>
      </w:r>
      <w:r w:rsidR="006A7FE9" w:rsidRPr="007F02A6">
        <w:t>,</w:t>
      </w:r>
      <w:r w:rsidR="009C0F00" w:rsidRPr="007F02A6">
        <w:t xml:space="preserve"> likely caused by dilution and disturbance</w:t>
      </w:r>
      <w:r w:rsidR="00150F27" w:rsidRPr="007F02A6">
        <w:t>.</w:t>
      </w:r>
    </w:p>
    <w:p w14:paraId="0B9A19BF" w14:textId="4D76629B" w:rsidR="00B8464D" w:rsidRPr="007F02A6" w:rsidRDefault="00B36E8E" w:rsidP="00FB75A6">
      <w:pPr>
        <w:pStyle w:val="Boxedlistbulletgreen"/>
      </w:pPr>
      <w:r w:rsidRPr="007F02A6">
        <w:t>V</w:t>
      </w:r>
      <w:r w:rsidR="00066EA8" w:rsidRPr="007F02A6">
        <w:t>olumetric</w:t>
      </w:r>
      <w:r w:rsidR="00F77ED4" w:rsidRPr="007F02A6">
        <w:t xml:space="preserve"> rates of GPP and ER in response to flow </w:t>
      </w:r>
      <w:r w:rsidR="0087179A" w:rsidRPr="007F02A6">
        <w:t>we</w:t>
      </w:r>
      <w:r w:rsidR="00F77ED4" w:rsidRPr="007F02A6">
        <w:t>re</w:t>
      </w:r>
      <w:r w:rsidR="00066EA8" w:rsidRPr="007F02A6">
        <w:t xml:space="preserve"> highly variable and context</w:t>
      </w:r>
      <w:r w:rsidR="00944701" w:rsidRPr="007F02A6">
        <w:t>-</w:t>
      </w:r>
      <w:r w:rsidR="00066EA8" w:rsidRPr="007F02A6">
        <w:t xml:space="preserve">dependent, both </w:t>
      </w:r>
      <w:r w:rsidR="00F4334B" w:rsidRPr="007F02A6">
        <w:t xml:space="preserve">within (individual sites) and </w:t>
      </w:r>
      <w:r w:rsidR="0001426B" w:rsidRPr="007F02A6">
        <w:t>between</w:t>
      </w:r>
      <w:r w:rsidR="00066EA8" w:rsidRPr="007F02A6">
        <w:t xml:space="preserve"> Selected Areas</w:t>
      </w:r>
      <w:r w:rsidR="00150F27" w:rsidRPr="007F02A6">
        <w:t>.</w:t>
      </w:r>
    </w:p>
    <w:p w14:paraId="5CD0C430" w14:textId="728B90F9" w:rsidR="00FB3009" w:rsidRDefault="00FB3009" w:rsidP="00FB3009">
      <w:pPr>
        <w:pStyle w:val="Heading2"/>
      </w:pPr>
      <w:bookmarkStart w:id="140" w:name="_Toc169543873"/>
      <w:bookmarkStart w:id="141" w:name="_Toc202187854"/>
      <w:r>
        <w:t>Rainfall</w:t>
      </w:r>
      <w:bookmarkEnd w:id="140"/>
      <w:bookmarkEnd w:id="141"/>
    </w:p>
    <w:p w14:paraId="361A9F42" w14:textId="6679B517" w:rsidR="006B3049" w:rsidRDefault="00D45488" w:rsidP="00900DA6">
      <w:pPr>
        <w:pStyle w:val="BodyText"/>
      </w:pPr>
      <w:r>
        <w:fldChar w:fldCharType="begin"/>
      </w:r>
      <w:r>
        <w:instrText xml:space="preserve"> REF _Ref158125401 \h </w:instrText>
      </w:r>
      <w:r>
        <w:fldChar w:fldCharType="separate"/>
      </w:r>
      <w:r w:rsidR="00492712">
        <w:t>Figure </w:t>
      </w:r>
      <w:r w:rsidR="00835C8B">
        <w:rPr>
          <w:noProof/>
        </w:rPr>
        <w:t>4</w:t>
      </w:r>
      <w:r w:rsidR="00492712">
        <w:t>.</w:t>
      </w:r>
      <w:r w:rsidR="00492712">
        <w:rPr>
          <w:noProof/>
        </w:rPr>
        <w:t>1</w:t>
      </w:r>
      <w:r>
        <w:fldChar w:fldCharType="end"/>
      </w:r>
      <w:r w:rsidRPr="00E370D0">
        <w:t xml:space="preserve"> depicts </w:t>
      </w:r>
      <w:r>
        <w:t>the annual rainfall conditions</w:t>
      </w:r>
      <w:r w:rsidRPr="00E370D0">
        <w:t xml:space="preserve"> </w:t>
      </w:r>
      <w:r w:rsidR="00943225">
        <w:t xml:space="preserve">in the Basin </w:t>
      </w:r>
      <w:r w:rsidRPr="00E370D0">
        <w:t xml:space="preserve">for each </w:t>
      </w:r>
      <w:r w:rsidR="00A127D5">
        <w:t xml:space="preserve">of the 10 </w:t>
      </w:r>
      <w:r w:rsidRPr="00E370D0">
        <w:t>water year</w:t>
      </w:r>
      <w:r w:rsidR="00A127D5">
        <w:t>s</w:t>
      </w:r>
      <w:r w:rsidRPr="00E370D0">
        <w:t xml:space="preserve"> from 2014–15 to 202</w:t>
      </w:r>
      <w:r w:rsidR="00121A94">
        <w:t>3</w:t>
      </w:r>
      <w:r w:rsidRPr="00E370D0">
        <w:t>–2</w:t>
      </w:r>
      <w:r w:rsidR="00121A94">
        <w:t>4</w:t>
      </w:r>
      <w:r w:rsidRPr="00E370D0">
        <w:t>. The first 2 years saw particularly dry conditions in the southern Basin. In 2016–17, there were wetter conditions in the southern Basin and along the headwaters of the New South Wales tributaries in the northern Basin. Conditions returned to dry over the period 2017–20 across the whole Basin.</w:t>
      </w:r>
      <w:bookmarkStart w:id="142" w:name="_Hlk73474927"/>
      <w:r w:rsidRPr="00E370D0">
        <w:t xml:space="preserve"> In 2020–23</w:t>
      </w:r>
      <w:r w:rsidR="009802A5">
        <w:t>,</w:t>
      </w:r>
      <w:r w:rsidRPr="00E370D0">
        <w:t xml:space="preserve"> conditions </w:t>
      </w:r>
      <w:r w:rsidR="009802A5">
        <w:t>were again</w:t>
      </w:r>
      <w:r w:rsidRPr="00E370D0">
        <w:t xml:space="preserve"> wetter</w:t>
      </w:r>
      <w:r w:rsidR="00943225">
        <w:t xml:space="preserve"> –</w:t>
      </w:r>
      <w:r w:rsidRPr="00E370D0">
        <w:t xml:space="preserve"> average, above average and very much above average conditions</w:t>
      </w:r>
      <w:r w:rsidR="00943225">
        <w:t xml:space="preserve"> were</w:t>
      </w:r>
      <w:r w:rsidRPr="00E370D0">
        <w:t xml:space="preserve"> experienced across the Basin.</w:t>
      </w:r>
      <w:r w:rsidR="00926264">
        <w:t xml:space="preserve"> The conditions in 2023–24 were </w:t>
      </w:r>
      <w:proofErr w:type="gramStart"/>
      <w:r w:rsidR="00926264">
        <w:t>similar to</w:t>
      </w:r>
      <w:proofErr w:type="gramEnd"/>
      <w:r w:rsidR="00926264">
        <w:t xml:space="preserve"> 2020–21, when most areas experienced average rainfall, and central New South Wales and parts of the northern Basin experienced above-average rainfall. During this time, the Victorian valley head</w:t>
      </w:r>
      <w:r w:rsidR="00CD612B">
        <w:t>water</w:t>
      </w:r>
      <w:r w:rsidR="00926264">
        <w:t>s and the valley head</w:t>
      </w:r>
      <w:r w:rsidR="00CD612B">
        <w:t>water</w:t>
      </w:r>
      <w:r w:rsidR="00926264">
        <w:t>s in the northern Basin experienced below-average rainfall, as did the Lower Murray, where the rainfall was below average or very much below average.</w:t>
      </w:r>
    </w:p>
    <w:p w14:paraId="273E1A82" w14:textId="097A0E07" w:rsidR="00756A4F" w:rsidRDefault="00756A4F" w:rsidP="00973D7B">
      <w:pPr>
        <w:pStyle w:val="CaptionWithNote"/>
      </w:pPr>
      <w:bookmarkStart w:id="143" w:name="_Ref158125401"/>
      <w:bookmarkStart w:id="144" w:name="_Toc193363432"/>
      <w:bookmarkStart w:id="145" w:name="_Toc194788948"/>
      <w:bookmarkStart w:id="146" w:name="_Toc202187881"/>
      <w:bookmarkEnd w:id="142"/>
      <w:r>
        <w:lastRenderedPageBreak/>
        <w:t>Figure</w:t>
      </w:r>
      <w:r w:rsidR="00A535AD">
        <w:t> </w:t>
      </w:r>
      <w:r>
        <w:fldChar w:fldCharType="begin"/>
      </w:r>
      <w:r>
        <w:instrText>STYLEREF 1 \s</w:instrText>
      </w:r>
      <w:r>
        <w:fldChar w:fldCharType="separate"/>
      </w:r>
      <w:r w:rsidR="00835C8B">
        <w:rPr>
          <w:noProof/>
        </w:rPr>
        <w:t>4</w:t>
      </w:r>
      <w:r>
        <w:fldChar w:fldCharType="end"/>
      </w:r>
      <w:r w:rsidR="00505064">
        <w:t>.</w:t>
      </w:r>
      <w:r>
        <w:fldChar w:fldCharType="begin"/>
      </w:r>
      <w:r>
        <w:instrText>SEQ Figure \* ARABIC \s 1</w:instrText>
      </w:r>
      <w:r>
        <w:fldChar w:fldCharType="separate"/>
      </w:r>
      <w:r w:rsidR="00492712">
        <w:rPr>
          <w:noProof/>
        </w:rPr>
        <w:t>1</w:t>
      </w:r>
      <w:r>
        <w:fldChar w:fldCharType="end"/>
      </w:r>
      <w:bookmarkEnd w:id="143"/>
      <w:r>
        <w:t xml:space="preserve"> Maps of a</w:t>
      </w:r>
      <w:r w:rsidRPr="000D6FB0">
        <w:t>nnual rainfall condition</w:t>
      </w:r>
      <w:r>
        <w:t>s, 2014–2</w:t>
      </w:r>
      <w:r w:rsidR="00913871">
        <w:t>4</w:t>
      </w:r>
      <w:bookmarkEnd w:id="144"/>
      <w:bookmarkEnd w:id="145"/>
      <w:bookmarkEnd w:id="146"/>
    </w:p>
    <w:p w14:paraId="148BB157" w14:textId="44370A3E" w:rsidR="00756A4F" w:rsidRDefault="00756A4F" w:rsidP="005658AA">
      <w:pPr>
        <w:pStyle w:val="CaptionNote"/>
      </w:pPr>
      <w:r w:rsidRPr="00607F61">
        <w:t xml:space="preserve">Data sourced from the Bureau of Meteorology. The decile rankings (lowest on record to highest on record) are those used by the Bureau. </w:t>
      </w:r>
      <w:r w:rsidR="000658FE" w:rsidRPr="00F0530A">
        <w:t xml:space="preserve">Refer to the </w:t>
      </w:r>
      <w:hyperlink r:id="rId48" w:history="1">
        <w:r w:rsidR="000658FE">
          <w:rPr>
            <w:rStyle w:val="Hyperlink"/>
          </w:rPr>
          <w:t>Bureau – Glossary of terms</w:t>
        </w:r>
      </w:hyperlink>
      <w:r w:rsidR="000658FE" w:rsidRPr="00F0530A">
        <w:t xml:space="preserve"> for a description of how the deciles are derived.</w:t>
      </w:r>
    </w:p>
    <w:p w14:paraId="7A50118A" w14:textId="77777777" w:rsidR="00913871" w:rsidRDefault="00913871" w:rsidP="00913871">
      <w:pPr>
        <w:pStyle w:val="Figure"/>
      </w:pPr>
      <w:bookmarkStart w:id="147" w:name="_Toc169543874"/>
      <w:r>
        <w:rPr>
          <w:noProof/>
        </w:rPr>
        <w:drawing>
          <wp:inline distT="0" distB="0" distL="0" distR="0" wp14:anchorId="053325F8" wp14:editId="08CA2EFB">
            <wp:extent cx="6120130" cy="4854575"/>
            <wp:effectExtent l="0" t="0" r="0" b="3175"/>
            <wp:docPr id="1553043059" name="Picture 10" descr="10 rainfall condition maps, for each year - colouring by categories lowest on record, very much below average, below average, average, above average, very much above average, highest on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43059" name="Picture 10" descr="10 rainfall condition maps, for each year - colouring by categories lowest on record, very much below average, below average, average, above average, very much above average, highest on record"/>
                    <pic:cNvPicPr/>
                  </pic:nvPicPr>
                  <pic:blipFill>
                    <a:blip r:embed="rId49" cstate="print">
                      <a:extLst>
                        <a:ext uri="{28A0092B-C50C-407E-A947-70E740481C1C}">
                          <a14:useLocalDpi xmlns:a14="http://schemas.microsoft.com/office/drawing/2010/main"/>
                        </a:ext>
                      </a:extLst>
                    </a:blip>
                    <a:stretch>
                      <a:fillRect/>
                    </a:stretch>
                  </pic:blipFill>
                  <pic:spPr>
                    <a:xfrm>
                      <a:off x="0" y="0"/>
                      <a:ext cx="6120130" cy="4854575"/>
                    </a:xfrm>
                    <a:prstGeom prst="rect">
                      <a:avLst/>
                    </a:prstGeom>
                  </pic:spPr>
                </pic:pic>
              </a:graphicData>
            </a:graphic>
          </wp:inline>
        </w:drawing>
      </w:r>
    </w:p>
    <w:p w14:paraId="684E81AA" w14:textId="07C66EFD" w:rsidR="00756A4F" w:rsidRDefault="00756A4F" w:rsidP="00756A4F">
      <w:pPr>
        <w:pStyle w:val="Heading2"/>
      </w:pPr>
      <w:bookmarkStart w:id="148" w:name="_Toc202187855"/>
      <w:r>
        <w:t>Environmental water delivery 2014–2</w:t>
      </w:r>
      <w:r w:rsidR="00623EFB">
        <w:t>4</w:t>
      </w:r>
      <w:bookmarkEnd w:id="147"/>
      <w:bookmarkEnd w:id="148"/>
    </w:p>
    <w:p w14:paraId="537FF433" w14:textId="373756AF" w:rsidR="00ED11C6" w:rsidRPr="009802A5" w:rsidRDefault="00ED11C6" w:rsidP="00ED11C6">
      <w:pPr>
        <w:pStyle w:val="BodyText"/>
      </w:pPr>
      <w:r>
        <w:t>Across the</w:t>
      </w:r>
      <w:r w:rsidR="006F3572">
        <w:t xml:space="preserve"> </w:t>
      </w:r>
      <w:r w:rsidR="005B7B7D">
        <w:t xml:space="preserve">10 </w:t>
      </w:r>
      <w:r>
        <w:t xml:space="preserve">water years, the number of Commonwealth watering actions with objectives </w:t>
      </w:r>
      <w:r w:rsidR="00793974">
        <w:t>linked to</w:t>
      </w:r>
      <w:r>
        <w:t xml:space="preserve"> water quality or</w:t>
      </w:r>
      <w:r w:rsidR="00793974">
        <w:t xml:space="preserve"> ecosystem processes</w:t>
      </w:r>
      <w:r>
        <w:t xml:space="preserve"> ranged from 37 in 2018–19 to 76 in 2022–23. Over the same period, the volume of </w:t>
      </w:r>
      <w:r w:rsidR="00E911A5">
        <w:t>CEW</w:t>
      </w:r>
      <w:r>
        <w:t xml:space="preserve"> delivered ranged from 729 GL in 2018–19 to 2,237 GL in 2021–22 (</w:t>
      </w:r>
      <w:r w:rsidR="005B541F">
        <w:fldChar w:fldCharType="begin"/>
      </w:r>
      <w:r w:rsidR="005B541F">
        <w:instrText xml:space="preserve"> REF _Ref131177701 \h </w:instrText>
      </w:r>
      <w:r w:rsidR="005B541F">
        <w:fldChar w:fldCharType="separate"/>
      </w:r>
      <w:r w:rsidR="00492712" w:rsidRPr="00077E51">
        <w:t>Figure</w:t>
      </w:r>
      <w:r w:rsidR="00492712">
        <w:t> </w:t>
      </w:r>
      <w:r w:rsidR="00835C8B">
        <w:rPr>
          <w:noProof/>
        </w:rPr>
        <w:t>4</w:t>
      </w:r>
      <w:r w:rsidR="00492712">
        <w:t>.</w:t>
      </w:r>
      <w:r w:rsidR="00492712">
        <w:rPr>
          <w:noProof/>
        </w:rPr>
        <w:t>2</w:t>
      </w:r>
      <w:r w:rsidR="005B541F">
        <w:fldChar w:fldCharType="end"/>
      </w:r>
      <w:r>
        <w:t>).</w:t>
      </w:r>
    </w:p>
    <w:p w14:paraId="3AF56615" w14:textId="4A1FCC08" w:rsidR="0087204F" w:rsidRPr="00077E51" w:rsidRDefault="0087204F" w:rsidP="00B72595">
      <w:pPr>
        <w:pStyle w:val="CaptionWithNote"/>
        <w:ind w:right="1133"/>
      </w:pPr>
      <w:bookmarkStart w:id="149" w:name="_Ref131177701"/>
      <w:bookmarkStart w:id="150" w:name="_Toc158126761"/>
      <w:bookmarkStart w:id="151" w:name="_Toc193363433"/>
      <w:bookmarkStart w:id="152" w:name="_Toc194788949"/>
      <w:bookmarkStart w:id="153" w:name="_Toc202187882"/>
      <w:r w:rsidRPr="00077E51">
        <w:lastRenderedPageBreak/>
        <w:t>Figure</w:t>
      </w:r>
      <w:r w:rsidR="00A535AD">
        <w:t> </w:t>
      </w:r>
      <w:r>
        <w:fldChar w:fldCharType="begin"/>
      </w:r>
      <w:r>
        <w:instrText>STYLEREF 1 \s</w:instrText>
      </w:r>
      <w:r>
        <w:fldChar w:fldCharType="separate"/>
      </w:r>
      <w:r w:rsidR="00835C8B">
        <w:rPr>
          <w:noProof/>
        </w:rPr>
        <w:t>4</w:t>
      </w:r>
      <w:r>
        <w:fldChar w:fldCharType="end"/>
      </w:r>
      <w:r w:rsidR="00505064">
        <w:t>.</w:t>
      </w:r>
      <w:r>
        <w:fldChar w:fldCharType="begin"/>
      </w:r>
      <w:r>
        <w:instrText>SEQ Figure \* ARABIC \s 1</w:instrText>
      </w:r>
      <w:r>
        <w:fldChar w:fldCharType="separate"/>
      </w:r>
      <w:r w:rsidR="00492712">
        <w:rPr>
          <w:noProof/>
        </w:rPr>
        <w:t>2</w:t>
      </w:r>
      <w:r>
        <w:fldChar w:fldCharType="end"/>
      </w:r>
      <w:bookmarkEnd w:id="149"/>
      <w:r w:rsidRPr="00077E51">
        <w:t xml:space="preserve"> </w:t>
      </w:r>
      <w:r w:rsidR="001973C1">
        <w:t>N</w:t>
      </w:r>
      <w:r w:rsidRPr="00077E51">
        <w:t xml:space="preserve">umber of </w:t>
      </w:r>
      <w:r w:rsidR="005E4AEB">
        <w:t xml:space="preserve">Commonwealth environmental watering </w:t>
      </w:r>
      <w:r w:rsidRPr="00077E51">
        <w:t xml:space="preserve">actions and corresponding total volume </w:t>
      </w:r>
      <w:r w:rsidR="00E822D2" w:rsidRPr="00C601A2">
        <w:t xml:space="preserve">linked to </w:t>
      </w:r>
      <w:r w:rsidR="002F3838">
        <w:t xml:space="preserve">objectives for </w:t>
      </w:r>
      <w:r w:rsidR="00E822D2" w:rsidRPr="00C601A2">
        <w:t>water quality and ecosystem process</w:t>
      </w:r>
      <w:r w:rsidR="000901D5">
        <w:t>es</w:t>
      </w:r>
      <w:r w:rsidR="00E822D2">
        <w:t xml:space="preserve"> or f</w:t>
      </w:r>
      <w:r w:rsidR="00E822D2" w:rsidRPr="00C601A2">
        <w:t>ood web</w:t>
      </w:r>
      <w:r w:rsidR="000901D5">
        <w:t>s for each water year</w:t>
      </w:r>
      <w:r w:rsidR="00520D00">
        <w:t>,</w:t>
      </w:r>
      <w:r w:rsidR="001973C1">
        <w:t xml:space="preserve"> </w:t>
      </w:r>
      <w:r w:rsidR="00520D00">
        <w:t>2014–2</w:t>
      </w:r>
      <w:r w:rsidR="00623EFB">
        <w:t>4</w:t>
      </w:r>
      <w:bookmarkEnd w:id="150"/>
      <w:bookmarkEnd w:id="151"/>
      <w:bookmarkEnd w:id="152"/>
      <w:bookmarkEnd w:id="153"/>
    </w:p>
    <w:p w14:paraId="735A0213" w14:textId="1763438F" w:rsidR="0087204F" w:rsidRPr="00077E51" w:rsidRDefault="0087204F" w:rsidP="00973D7B">
      <w:pPr>
        <w:pStyle w:val="CaptionNote"/>
        <w:ind w:right="1133"/>
      </w:pPr>
      <w:r w:rsidRPr="00077E51">
        <w:t>This figure shows the volume of Commonwealth environmental water</w:t>
      </w:r>
      <w:r w:rsidR="00862270">
        <w:t xml:space="preserve"> (CEW)</w:t>
      </w:r>
      <w:r>
        <w:t xml:space="preserve">. It </w:t>
      </w:r>
      <w:r w:rsidRPr="00077E51">
        <w:t xml:space="preserve">does not include </w:t>
      </w:r>
      <w:r>
        <w:t>volumes of ot</w:t>
      </w:r>
      <w:r w:rsidRPr="00077E51">
        <w:t>her sources of environmental water delivered in association with C</w:t>
      </w:r>
      <w:r w:rsidR="00862270">
        <w:t>EW</w:t>
      </w:r>
      <w:r w:rsidRPr="00077E51">
        <w:t>.</w:t>
      </w:r>
    </w:p>
    <w:p w14:paraId="29DA030E" w14:textId="77777777" w:rsidR="000D12BE" w:rsidRPr="00077E51" w:rsidRDefault="000D12BE" w:rsidP="000D12BE">
      <w:pPr>
        <w:pStyle w:val="Figure"/>
      </w:pPr>
      <w:bookmarkStart w:id="154" w:name="_Toc169543875"/>
      <w:r>
        <w:rPr>
          <w:noProof/>
        </w:rPr>
        <w:drawing>
          <wp:inline distT="0" distB="0" distL="0" distR="0" wp14:anchorId="2A644301" wp14:editId="5159E09E">
            <wp:extent cx="5399543" cy="3238507"/>
            <wp:effectExtent l="0" t="0" r="0" b="0"/>
            <wp:docPr id="868902232" name="Picture 1" descr="Column plot. Column height shows volume. Above each column is an orange circle showing the number of watering actions. x-axis i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02232" name="Picture 1" descr="Column plot. Column height shows volume. Above each column is an orange circle showing the number of watering actions. x-axis is year"/>
                    <pic:cNvPicPr/>
                  </pic:nvPicPr>
                  <pic:blipFill>
                    <a:blip r:embed="rId50"/>
                    <a:stretch>
                      <a:fillRect/>
                    </a:stretch>
                  </pic:blipFill>
                  <pic:spPr>
                    <a:xfrm>
                      <a:off x="0" y="0"/>
                      <a:ext cx="5399543" cy="3238507"/>
                    </a:xfrm>
                    <a:prstGeom prst="rect">
                      <a:avLst/>
                    </a:prstGeom>
                  </pic:spPr>
                </pic:pic>
              </a:graphicData>
            </a:graphic>
          </wp:inline>
        </w:drawing>
      </w:r>
    </w:p>
    <w:p w14:paraId="30E5CD83" w14:textId="6992E3D1" w:rsidR="00C354FD" w:rsidRDefault="00B8464D" w:rsidP="00781DD8">
      <w:pPr>
        <w:pStyle w:val="Heading2"/>
      </w:pPr>
      <w:bookmarkStart w:id="155" w:name="_Toc202187856"/>
      <w:r w:rsidRPr="00C601A2">
        <w:t>Outcomes</w:t>
      </w:r>
      <w:bookmarkEnd w:id="154"/>
      <w:bookmarkEnd w:id="155"/>
    </w:p>
    <w:p w14:paraId="67BFCF3E" w14:textId="152E2BDA" w:rsidR="00964960" w:rsidRDefault="00964960" w:rsidP="001973C1">
      <w:pPr>
        <w:pStyle w:val="Heading3"/>
      </w:pPr>
      <w:r>
        <w:t>Comparison of 202</w:t>
      </w:r>
      <w:r w:rsidR="00623EFB">
        <w:t>3</w:t>
      </w:r>
      <w:r>
        <w:t>–2</w:t>
      </w:r>
      <w:r w:rsidR="00623EFB">
        <w:t>4</w:t>
      </w:r>
      <w:r>
        <w:t xml:space="preserve"> </w:t>
      </w:r>
      <w:r w:rsidR="00C93E7A">
        <w:t>to t</w:t>
      </w:r>
      <w:r>
        <w:t xml:space="preserve">he previous </w:t>
      </w:r>
      <w:r w:rsidR="000916E9">
        <w:t xml:space="preserve">9 </w:t>
      </w:r>
      <w:r>
        <w:t>years</w:t>
      </w:r>
    </w:p>
    <w:p w14:paraId="0C0FE08E" w14:textId="6D83522E" w:rsidR="009734DF" w:rsidRDefault="00B528A1" w:rsidP="009734DF">
      <w:pPr>
        <w:pStyle w:val="BodyText"/>
      </w:pPr>
      <w:r>
        <w:t>R</w:t>
      </w:r>
      <w:r w:rsidR="7D925343" w:rsidRPr="00C601A2">
        <w:t xml:space="preserve">ates of GPP </w:t>
      </w:r>
      <w:r w:rsidR="009B2834">
        <w:t>are</w:t>
      </w:r>
      <w:r w:rsidR="7D925343" w:rsidRPr="00C601A2">
        <w:t xml:space="preserve"> strongly influenced by seasonal changes (e.g. light and temperature</w:t>
      </w:r>
      <w:r w:rsidR="00BE6698">
        <w:t xml:space="preserve">, </w:t>
      </w:r>
      <w:r w:rsidR="000916E9">
        <w:t xml:space="preserve">as </w:t>
      </w:r>
      <w:r w:rsidR="00BE6698">
        <w:t xml:space="preserve">evidenced </w:t>
      </w:r>
      <w:r w:rsidR="004D6D68">
        <w:t>by</w:t>
      </w:r>
      <w:r w:rsidR="00FC3580">
        <w:t xml:space="preserve"> clear and consistent annual peaks in GPP</w:t>
      </w:r>
      <w:r w:rsidR="00DF2E7F">
        <w:t xml:space="preserve"> in summer</w:t>
      </w:r>
      <w:r w:rsidR="00644029">
        <w:t>,</w:t>
      </w:r>
      <w:r w:rsidR="00DF2E7F">
        <w:t xml:space="preserve"> irrespective of flow regime</w:t>
      </w:r>
      <w:r w:rsidR="00EA2A58">
        <w:t xml:space="preserve"> </w:t>
      </w:r>
      <w:r w:rsidR="00DA3BAF">
        <w:t>–</w:t>
      </w:r>
      <w:r w:rsidR="00EB0490">
        <w:t xml:space="preserve"> </w:t>
      </w:r>
      <w:r w:rsidR="000916E9">
        <w:t xml:space="preserve">see </w:t>
      </w:r>
      <w:r w:rsidR="00EB0490">
        <w:t>Appendi</w:t>
      </w:r>
      <w:r w:rsidR="00EA2A58">
        <w:t>x</w:t>
      </w:r>
      <w:r w:rsidR="00DA3BAF">
        <w:t xml:space="preserve"> </w:t>
      </w:r>
      <w:r w:rsidR="0008080F">
        <w:fldChar w:fldCharType="begin"/>
      </w:r>
      <w:r w:rsidR="0008080F">
        <w:instrText xml:space="preserve"> REF _Ref105689764 \r \h </w:instrText>
      </w:r>
      <w:r w:rsidR="0008080F">
        <w:fldChar w:fldCharType="separate"/>
      </w:r>
      <w:r w:rsidR="00492712">
        <w:t>A.1</w:t>
      </w:r>
      <w:r w:rsidR="0008080F">
        <w:fldChar w:fldCharType="end"/>
      </w:r>
      <w:r w:rsidR="00B57FE3">
        <w:t>–</w:t>
      </w:r>
      <w:r w:rsidR="0008080F">
        <w:fldChar w:fldCharType="begin"/>
      </w:r>
      <w:r w:rsidR="0008080F">
        <w:instrText xml:space="preserve"> REF _Ref193975124 \r \h </w:instrText>
      </w:r>
      <w:r w:rsidR="0008080F">
        <w:fldChar w:fldCharType="separate"/>
      </w:r>
      <w:r w:rsidR="00492712">
        <w:t>A.7</w:t>
      </w:r>
      <w:r w:rsidR="0008080F">
        <w:fldChar w:fldCharType="end"/>
      </w:r>
      <w:r w:rsidR="7D925343" w:rsidRPr="00C601A2">
        <w:t xml:space="preserve">) and site-specific drivers such as bioavailable nutrient concentrations and reduced light availability due to turbidity. Increased flows can substantially decrease rates of both ecosystem GPP and ER, likely attributable to dilution effects of increased water volume and disturbance to </w:t>
      </w:r>
      <w:r w:rsidR="00E86031">
        <w:t xml:space="preserve">plankton and </w:t>
      </w:r>
      <w:r w:rsidR="7D925343" w:rsidRPr="00C601A2">
        <w:t>microbial communities.</w:t>
      </w:r>
      <w:r w:rsidR="3E1EA185" w:rsidRPr="00C601A2">
        <w:t xml:space="preserve"> </w:t>
      </w:r>
      <w:r w:rsidR="7D925343" w:rsidRPr="00C601A2">
        <w:t>The 2014–2</w:t>
      </w:r>
      <w:r w:rsidR="00FB5A7F">
        <w:t>3</w:t>
      </w:r>
      <w:r w:rsidR="7D925343" w:rsidRPr="00C601A2">
        <w:t xml:space="preserve"> metabolic fingerprints for Selected Areas overlaid with the </w:t>
      </w:r>
      <w:r w:rsidR="00682D38">
        <w:t>202</w:t>
      </w:r>
      <w:r w:rsidR="00FB5A7F">
        <w:t>3</w:t>
      </w:r>
      <w:r w:rsidR="00682D38">
        <w:t>–2</w:t>
      </w:r>
      <w:r w:rsidR="00FB5A7F">
        <w:t>4</w:t>
      </w:r>
      <w:r w:rsidR="7D925343" w:rsidRPr="00C601A2">
        <w:t xml:space="preserve"> metabolic data points are presented in </w:t>
      </w:r>
      <w:r w:rsidR="007E0F74" w:rsidRPr="00C601A2">
        <w:fldChar w:fldCharType="begin"/>
      </w:r>
      <w:r w:rsidR="007E0F74" w:rsidRPr="00C601A2">
        <w:instrText xml:space="preserve"> REF _Ref131070292 \h </w:instrText>
      </w:r>
      <w:r w:rsidR="00C601A2">
        <w:instrText xml:space="preserve"> \* MERGEFORMAT </w:instrText>
      </w:r>
      <w:r w:rsidR="007E0F74" w:rsidRPr="00C601A2">
        <w:fldChar w:fldCharType="separate"/>
      </w:r>
      <w:r w:rsidR="00492712" w:rsidRPr="00C601A2">
        <w:t>Figure</w:t>
      </w:r>
      <w:r w:rsidR="00492712">
        <w:t> </w:t>
      </w:r>
      <w:r w:rsidR="00835C8B">
        <w:t>4</w:t>
      </w:r>
      <w:r w:rsidR="00492712">
        <w:t>.3</w:t>
      </w:r>
      <w:r w:rsidR="007E0F74" w:rsidRPr="00C601A2">
        <w:fldChar w:fldCharType="end"/>
      </w:r>
      <w:r w:rsidR="009734DF" w:rsidRPr="00C601A2">
        <w:t xml:space="preserve">. The kernel plots represent </w:t>
      </w:r>
      <w:r w:rsidR="004A790E">
        <w:t>2</w:t>
      </w:r>
      <w:r w:rsidR="00D4278A">
        <w:t>1</w:t>
      </w:r>
      <w:r w:rsidR="009734DF" w:rsidRPr="00C601A2">
        <w:t>,</w:t>
      </w:r>
      <w:r w:rsidR="004A790E">
        <w:t>59</w:t>
      </w:r>
      <w:r w:rsidR="007B5370">
        <w:t>4</w:t>
      </w:r>
      <w:r w:rsidR="009734DF" w:rsidRPr="00C601A2">
        <w:t xml:space="preserve"> daily records of GPP and ER </w:t>
      </w:r>
      <w:r w:rsidR="00C50505">
        <w:t>from</w:t>
      </w:r>
      <w:r w:rsidR="00A20DF6">
        <w:t xml:space="preserve"> </w:t>
      </w:r>
      <w:r w:rsidR="009734DF" w:rsidRPr="00C601A2">
        <w:t>2014–2</w:t>
      </w:r>
      <w:r w:rsidR="002A037F">
        <w:t>3</w:t>
      </w:r>
      <w:r w:rsidR="009734DF" w:rsidRPr="00C601A2">
        <w:t xml:space="preserve"> plus </w:t>
      </w:r>
      <w:r w:rsidR="002A7E0E">
        <w:t>3</w:t>
      </w:r>
      <w:r w:rsidR="009734DF" w:rsidRPr="00C601A2">
        <w:t>,</w:t>
      </w:r>
      <w:r w:rsidR="002A7E0E">
        <w:t>0</w:t>
      </w:r>
      <w:r w:rsidR="00C40966">
        <w:t>27</w:t>
      </w:r>
      <w:r w:rsidR="009734DF" w:rsidRPr="00C601A2">
        <w:t xml:space="preserve"> daily records of GPP and ER from </w:t>
      </w:r>
      <w:r w:rsidR="00682D38">
        <w:t>202</w:t>
      </w:r>
      <w:r w:rsidR="002A037F">
        <w:t>3</w:t>
      </w:r>
      <w:r w:rsidR="00682D38">
        <w:t>–2</w:t>
      </w:r>
      <w:r w:rsidR="002A037F">
        <w:t>4</w:t>
      </w:r>
      <w:r w:rsidR="009734DF" w:rsidRPr="00C601A2">
        <w:t xml:space="preserve"> presented as data points (</w:t>
      </w:r>
      <w:r w:rsidR="003F5F94">
        <w:t>2</w:t>
      </w:r>
      <w:r w:rsidR="00934D4F">
        <w:t>4</w:t>
      </w:r>
      <w:r w:rsidR="009734DF" w:rsidRPr="00C601A2">
        <w:t>,</w:t>
      </w:r>
      <w:r w:rsidR="00934D4F">
        <w:t>62</w:t>
      </w:r>
      <w:r w:rsidR="00683E97">
        <w:t>1</w:t>
      </w:r>
      <w:r w:rsidR="009734DF" w:rsidRPr="00C601A2">
        <w:t xml:space="preserve"> in total)</w:t>
      </w:r>
      <w:r w:rsidR="00A62A47" w:rsidRPr="00C601A2">
        <w:t>.</w:t>
      </w:r>
    </w:p>
    <w:p w14:paraId="582665B3" w14:textId="440FD599" w:rsidR="009734DF" w:rsidRPr="00C601A2" w:rsidRDefault="00642CFA" w:rsidP="009734DF">
      <w:pPr>
        <w:pStyle w:val="BodyText"/>
      </w:pPr>
      <w:r>
        <w:t>For most Selected</w:t>
      </w:r>
      <w:r w:rsidR="0069482B">
        <w:t xml:space="preserve"> A</w:t>
      </w:r>
      <w:r>
        <w:t>reas</w:t>
      </w:r>
      <w:r w:rsidR="0069482B">
        <w:t>, t</w:t>
      </w:r>
      <w:r w:rsidR="00107AF1">
        <w:t>he majority of 2023</w:t>
      </w:r>
      <w:r w:rsidR="006B21E7">
        <w:t>–</w:t>
      </w:r>
      <w:r w:rsidR="00107AF1">
        <w:t>24</w:t>
      </w:r>
      <w:r>
        <w:t xml:space="preserve"> data points </w:t>
      </w:r>
      <w:r w:rsidR="0069482B">
        <w:t xml:space="preserve">reside within the </w:t>
      </w:r>
      <w:r w:rsidR="00DC4604">
        <w:t>2014</w:t>
      </w:r>
      <w:r w:rsidR="006B21E7">
        <w:t>–</w:t>
      </w:r>
      <w:r w:rsidR="00DC4604">
        <w:t xml:space="preserve">23 kernel, indicating that </w:t>
      </w:r>
      <w:r w:rsidR="00305DAE">
        <w:t xml:space="preserve">metabolic patterns in </w:t>
      </w:r>
      <w:r w:rsidR="00DC4604">
        <w:t>20</w:t>
      </w:r>
      <w:r w:rsidR="00305DAE">
        <w:t>23</w:t>
      </w:r>
      <w:r w:rsidR="002C4896">
        <w:t>–</w:t>
      </w:r>
      <w:r w:rsidR="00305DAE">
        <w:t xml:space="preserve">24 were broadly typical. </w:t>
      </w:r>
      <w:r w:rsidR="00CC1D0A">
        <w:t xml:space="preserve">The exception was the Lachlan </w:t>
      </w:r>
      <w:r w:rsidR="0005310C">
        <w:t>River System</w:t>
      </w:r>
      <w:r w:rsidR="002C4896">
        <w:t>,</w:t>
      </w:r>
      <w:r w:rsidR="0005310C">
        <w:t xml:space="preserve"> </w:t>
      </w:r>
      <w:r w:rsidR="002C4896">
        <w:t>which</w:t>
      </w:r>
      <w:r w:rsidR="00815CFC">
        <w:t xml:space="preserve"> </w:t>
      </w:r>
      <w:r w:rsidR="00EE11EA">
        <w:t xml:space="preserve">experienced </w:t>
      </w:r>
      <w:r w:rsidR="00815CFC">
        <w:t xml:space="preserve">many days where GPP was </w:t>
      </w:r>
      <w:proofErr w:type="gramStart"/>
      <w:r w:rsidR="00B21B74">
        <w:t>low</w:t>
      </w:r>
      <w:r w:rsidR="00E03EF9">
        <w:t>er</w:t>
      </w:r>
      <w:proofErr w:type="gramEnd"/>
      <w:r w:rsidR="00815CFC">
        <w:t xml:space="preserve"> and ER</w:t>
      </w:r>
      <w:r w:rsidR="00B21B74">
        <w:t xml:space="preserve"> was</w:t>
      </w:r>
      <w:r w:rsidR="00815CFC">
        <w:t xml:space="preserve"> high</w:t>
      </w:r>
      <w:r w:rsidR="00E03EF9">
        <w:t>er than</w:t>
      </w:r>
      <w:r w:rsidR="00EE11EA">
        <w:t xml:space="preserve"> lon</w:t>
      </w:r>
      <w:r w:rsidR="00444904">
        <w:t>g</w:t>
      </w:r>
      <w:r w:rsidR="00EE11EA">
        <w:t>-term trends</w:t>
      </w:r>
      <w:r w:rsidR="00444904">
        <w:t xml:space="preserve">. The Lachlan River System also </w:t>
      </w:r>
      <w:r w:rsidR="00AF3E4D">
        <w:t>experienced</w:t>
      </w:r>
      <w:r w:rsidR="00444904">
        <w:t xml:space="preserve"> many days where both GPP and ER where higher than long-</w:t>
      </w:r>
      <w:r w:rsidR="00AF3E4D">
        <w:t>t</w:t>
      </w:r>
      <w:r w:rsidR="00444904">
        <w:t>erm</w:t>
      </w:r>
      <w:r w:rsidR="00AF3E4D">
        <w:t xml:space="preserve"> patterns</w:t>
      </w:r>
      <w:r w:rsidR="004D61F3">
        <w:t>, reflecting higher than usual metabolic through-put.</w:t>
      </w:r>
      <w:r w:rsidR="00AF3E4D">
        <w:t xml:space="preserve"> </w:t>
      </w:r>
      <w:r w:rsidR="00444904">
        <w:t xml:space="preserve"> </w:t>
      </w:r>
      <w:r w:rsidR="009734DF" w:rsidRPr="00C601A2">
        <w:t>The 2014–2</w:t>
      </w:r>
      <w:r w:rsidR="00C5599A">
        <w:t>3</w:t>
      </w:r>
      <w:r w:rsidR="009734DF" w:rsidRPr="00C601A2">
        <w:t xml:space="preserve"> 10% kernel</w:t>
      </w:r>
      <w:r w:rsidR="00017DD2">
        <w:t>-</w:t>
      </w:r>
      <w:r w:rsidR="009734DF" w:rsidRPr="00C601A2">
        <w:t>density region</w:t>
      </w:r>
      <w:r w:rsidR="00943F6A" w:rsidRPr="00C601A2">
        <w:t>s</w:t>
      </w:r>
      <w:r w:rsidR="009734DF" w:rsidRPr="00C601A2">
        <w:t xml:space="preserve"> </w:t>
      </w:r>
      <w:bookmarkStart w:id="156" w:name="_Hlk130994875"/>
      <w:r w:rsidR="009734DF" w:rsidRPr="00C601A2">
        <w:t>(the area containing the top 10% of data points)</w:t>
      </w:r>
      <w:bookmarkEnd w:id="156"/>
      <w:r w:rsidR="009734DF" w:rsidRPr="00C601A2">
        <w:t xml:space="preserve"> for the Goulburn River, Edward/Kolety–Wakool river systems</w:t>
      </w:r>
      <w:r w:rsidR="007123A4" w:rsidRPr="00C601A2">
        <w:t>,</w:t>
      </w:r>
      <w:r w:rsidR="009734DF" w:rsidRPr="00C601A2">
        <w:t xml:space="preserve"> Lachlan River System</w:t>
      </w:r>
      <w:r w:rsidR="007123A4" w:rsidRPr="00C601A2">
        <w:t>, Gwyd</w:t>
      </w:r>
      <w:r w:rsidR="0046038D" w:rsidRPr="00C601A2">
        <w:t>i</w:t>
      </w:r>
      <w:r w:rsidR="007123A4" w:rsidRPr="00C601A2">
        <w:t xml:space="preserve">r River System and </w:t>
      </w:r>
      <w:r w:rsidR="00EB7AF7" w:rsidRPr="00C601A2">
        <w:t>Junction of Warrego and Darling rivers</w:t>
      </w:r>
      <w:r w:rsidR="009734DF" w:rsidRPr="00C601A2">
        <w:t xml:space="preserve"> reside above the 1:1 line, indicating that</w:t>
      </w:r>
      <w:r w:rsidR="00E72557">
        <w:t>,</w:t>
      </w:r>
      <w:r w:rsidR="009734DF" w:rsidRPr="00C601A2">
        <w:t xml:space="preserve"> most of the time</w:t>
      </w:r>
      <w:r w:rsidR="00E72557">
        <w:t>,</w:t>
      </w:r>
      <w:r w:rsidR="009734DF" w:rsidRPr="00C601A2">
        <w:t xml:space="preserve"> the riverine ecosystems </w:t>
      </w:r>
      <w:r w:rsidR="00E72557">
        <w:t>in</w:t>
      </w:r>
      <w:r w:rsidR="006F3572">
        <w:t xml:space="preserve"> </w:t>
      </w:r>
      <w:r w:rsidR="009734DF" w:rsidRPr="00C601A2">
        <w:t xml:space="preserve">these Selected Areas were heterotrophic and consuming more carbon than they were producing. This pattern is consistent with streams globally, which are primarily heterotrophic </w:t>
      </w:r>
      <w:r w:rsidR="009734DF" w:rsidRPr="00C601A2">
        <w:rPr>
          <w:noProof/>
        </w:rPr>
        <w:t>(i.e. GPP &lt; ER</w:t>
      </w:r>
      <w:r w:rsidR="00163905">
        <w:rPr>
          <w:noProof/>
        </w:rPr>
        <w:t>;</w:t>
      </w:r>
      <w:r w:rsidR="009734DF" w:rsidRPr="00C601A2">
        <w:rPr>
          <w:noProof/>
        </w:rPr>
        <w:t xml:space="preserve"> Hall 2016)</w:t>
      </w:r>
      <w:r w:rsidR="009734DF" w:rsidRPr="00C601A2">
        <w:t>.</w:t>
      </w:r>
    </w:p>
    <w:p w14:paraId="7957D7AD" w14:textId="006B81C6" w:rsidR="004D7006" w:rsidRDefault="7D925343" w:rsidP="009734DF">
      <w:pPr>
        <w:pStyle w:val="BodyText"/>
      </w:pPr>
      <w:r w:rsidRPr="00615877">
        <w:t>The 2014–2</w:t>
      </w:r>
      <w:r w:rsidR="008B0896">
        <w:t>3</w:t>
      </w:r>
      <w:r w:rsidRPr="00615877">
        <w:t xml:space="preserve"> 10% kernel</w:t>
      </w:r>
      <w:r w:rsidR="00EA1C94">
        <w:t>-</w:t>
      </w:r>
      <w:r w:rsidRPr="00615877">
        <w:t xml:space="preserve">density region for the Murrumbidgee River System </w:t>
      </w:r>
      <w:r w:rsidR="703C2B0F" w:rsidRPr="00615877">
        <w:t xml:space="preserve">is </w:t>
      </w:r>
      <w:r w:rsidRPr="00615877">
        <w:t xml:space="preserve">dispersed around the 1:1 line, indicating that </w:t>
      </w:r>
      <w:r w:rsidR="703C2B0F" w:rsidRPr="00615877">
        <w:t>it</w:t>
      </w:r>
      <w:r w:rsidRPr="00615877">
        <w:t xml:space="preserve"> regularly alternated between heterotrophy and autotrophy</w:t>
      </w:r>
      <w:r w:rsidR="60CBBA51" w:rsidRPr="00615877">
        <w:t>,</w:t>
      </w:r>
      <w:r w:rsidRPr="00615877">
        <w:t xml:space="preserve"> depending on conditions (such as season)</w:t>
      </w:r>
      <w:r w:rsidR="015724B3" w:rsidRPr="00615877">
        <w:t>.</w:t>
      </w:r>
      <w:r w:rsidRPr="00615877">
        <w:t xml:space="preserve"> </w:t>
      </w:r>
      <w:r w:rsidR="00615877" w:rsidRPr="00615877">
        <w:t xml:space="preserve">It is also </w:t>
      </w:r>
      <w:r w:rsidRPr="00615877">
        <w:t>tightly grouped and low on the 1:1 line, reflecting</w:t>
      </w:r>
      <w:r w:rsidR="015724B3" w:rsidRPr="00615877">
        <w:t xml:space="preserve"> </w:t>
      </w:r>
      <w:r w:rsidRPr="00615877">
        <w:t xml:space="preserve">consistent metabolic patterns </w:t>
      </w:r>
      <w:r w:rsidRPr="00615877">
        <w:lastRenderedPageBreak/>
        <w:t>and some possible limitation to metabolic activity (e.g.</w:t>
      </w:r>
      <w:r w:rsidR="00964960" w:rsidRPr="00615877">
        <w:t> </w:t>
      </w:r>
      <w:r w:rsidR="00FC041E">
        <w:t xml:space="preserve">due to low </w:t>
      </w:r>
      <w:r w:rsidRPr="00615877">
        <w:t>bioavailable nutrients). In</w:t>
      </w:r>
      <w:r w:rsidRPr="00C601A2">
        <w:t xml:space="preserve"> contrast</w:t>
      </w:r>
      <w:r w:rsidR="044F9430" w:rsidRPr="00C601A2">
        <w:t>, the metabolic fingerprints of</w:t>
      </w:r>
      <w:r w:rsidRPr="00C601A2">
        <w:t xml:space="preserve"> the </w:t>
      </w:r>
      <w:r w:rsidR="18BCC82D" w:rsidRPr="00C601A2">
        <w:t>northern Basin Selected Areas</w:t>
      </w:r>
      <w:r w:rsidR="00964960">
        <w:t> </w:t>
      </w:r>
      <w:r w:rsidR="044F9430" w:rsidRPr="00C601A2">
        <w:t>–</w:t>
      </w:r>
      <w:r w:rsidR="18BCC82D" w:rsidRPr="00C601A2">
        <w:t xml:space="preserve"> </w:t>
      </w:r>
      <w:r w:rsidRPr="00C601A2">
        <w:t>Junction of Warrego and Darling</w:t>
      </w:r>
      <w:r w:rsidR="18BCC82D" w:rsidRPr="00C601A2">
        <w:t xml:space="preserve"> </w:t>
      </w:r>
      <w:r w:rsidR="00356BA5" w:rsidRPr="00C601A2">
        <w:t xml:space="preserve">rivers </w:t>
      </w:r>
      <w:r w:rsidR="18BCC82D" w:rsidRPr="00C601A2">
        <w:t>and Gwyd</w:t>
      </w:r>
      <w:r w:rsidR="0046038D" w:rsidRPr="00C601A2">
        <w:t>i</w:t>
      </w:r>
      <w:r w:rsidR="18BCC82D" w:rsidRPr="00C601A2">
        <w:t xml:space="preserve">r </w:t>
      </w:r>
      <w:r w:rsidR="00356BA5" w:rsidRPr="00C601A2">
        <w:t>R</w:t>
      </w:r>
      <w:r w:rsidR="18BCC82D" w:rsidRPr="00C601A2">
        <w:t>iver</w:t>
      </w:r>
      <w:r w:rsidR="00356BA5" w:rsidRPr="00C601A2">
        <w:t xml:space="preserve"> System</w:t>
      </w:r>
      <w:r w:rsidR="00964960">
        <w:t> </w:t>
      </w:r>
      <w:r w:rsidR="044F9430" w:rsidRPr="00C601A2">
        <w:t xml:space="preserve">– </w:t>
      </w:r>
      <w:r w:rsidRPr="00C601A2">
        <w:t>stretch further up the ER axis, reflecting large swings towards heterotrophy when suitable conditions prevail</w:t>
      </w:r>
      <w:r w:rsidR="3680E4BD" w:rsidRPr="00C601A2">
        <w:t xml:space="preserve">. These may be adverse conditions, </w:t>
      </w:r>
      <w:r w:rsidRPr="00C601A2">
        <w:t>such as when sudden algal mortality following blooms or extensive channel inundation following long dry periods can lead to excessive consumption of oxygen by bacteria</w:t>
      </w:r>
      <w:r w:rsidR="0080749C">
        <w:t>.</w:t>
      </w:r>
    </w:p>
    <w:p w14:paraId="08BA6C3D" w14:textId="2684FBE9" w:rsidR="007F2834" w:rsidRPr="00C601A2" w:rsidRDefault="2318250E" w:rsidP="009734DF">
      <w:pPr>
        <w:pStyle w:val="BodyText"/>
      </w:pPr>
      <w:r w:rsidRPr="00C601A2">
        <w:t>T</w:t>
      </w:r>
      <w:r w:rsidR="7D925343" w:rsidRPr="00C601A2">
        <w:t>he 2014–2</w:t>
      </w:r>
      <w:r w:rsidR="008B0896">
        <w:t>3</w:t>
      </w:r>
      <w:r w:rsidR="7D925343" w:rsidRPr="00C601A2">
        <w:t xml:space="preserve"> 10% kernel</w:t>
      </w:r>
      <w:r w:rsidR="00EA1C94">
        <w:t>-</w:t>
      </w:r>
      <w:r w:rsidR="7D925343" w:rsidRPr="00C601A2">
        <w:t>density region for the Lower Murray River resides primarily below the 1:1 line, reflecting net carbon generation (autotrophy) most of the time, driven by phytoplankton and relatively low turbidity in the slow-flowing channels of the Lower Murray</w:t>
      </w:r>
      <w:r w:rsidR="00BC7437" w:rsidRPr="00C601A2">
        <w:t xml:space="preserve"> River</w:t>
      </w:r>
      <w:r w:rsidR="7D925343" w:rsidRPr="00C601A2">
        <w:t>.</w:t>
      </w:r>
      <w:r w:rsidR="1A7740E8" w:rsidRPr="00C601A2">
        <w:t xml:space="preserve"> This is typical for large rivers, which </w:t>
      </w:r>
      <w:r w:rsidR="00C11B34">
        <w:t>have</w:t>
      </w:r>
      <w:r w:rsidR="00C11B34" w:rsidRPr="00C601A2">
        <w:t xml:space="preserve"> </w:t>
      </w:r>
      <w:r w:rsidR="007D2B4F" w:rsidRPr="00C601A2">
        <w:t>very little</w:t>
      </w:r>
      <w:r w:rsidR="1A7740E8" w:rsidRPr="00C601A2">
        <w:t xml:space="preserve"> shading by riparian vegetation.</w:t>
      </w:r>
      <w:r w:rsidR="00A6770C">
        <w:t xml:space="preserve"> </w:t>
      </w:r>
      <w:r w:rsidR="00C17318">
        <w:t xml:space="preserve">promoting photosynthesis by </w:t>
      </w:r>
      <w:r w:rsidR="00A6770C">
        <w:t>phytoplankton</w:t>
      </w:r>
      <w:r w:rsidR="002816B5">
        <w:t xml:space="preserve"> across a </w:t>
      </w:r>
      <w:r w:rsidR="00C17318">
        <w:t xml:space="preserve">relatively </w:t>
      </w:r>
      <w:r w:rsidR="002816B5">
        <w:t>large surface area</w:t>
      </w:r>
      <w:r w:rsidR="4D62B354" w:rsidRPr="00C601A2">
        <w:t xml:space="preserve"> </w:t>
      </w:r>
      <w:r w:rsidR="7CA784C4" w:rsidRPr="00C601A2">
        <w:t>In contrast</w:t>
      </w:r>
      <w:r w:rsidR="00F310F5">
        <w:t xml:space="preserve"> with patterns observed in</w:t>
      </w:r>
      <w:r w:rsidR="7CA784C4" w:rsidRPr="00C601A2">
        <w:t xml:space="preserve"> </w:t>
      </w:r>
      <w:r w:rsidR="00682D38">
        <w:t>2022–23</w:t>
      </w:r>
      <w:r w:rsidR="7CA784C4" w:rsidRPr="00C601A2">
        <w:t xml:space="preserve"> </w:t>
      </w:r>
      <w:r w:rsidR="00466497">
        <w:t xml:space="preserve">(where the </w:t>
      </w:r>
      <w:r w:rsidR="00C61192">
        <w:t xml:space="preserve">Lower Murray </w:t>
      </w:r>
      <w:r w:rsidR="00964960">
        <w:t xml:space="preserve">River </w:t>
      </w:r>
      <w:r w:rsidR="7CA784C4" w:rsidRPr="00C601A2">
        <w:t>fingerprint</w:t>
      </w:r>
      <w:r w:rsidR="009E290D">
        <w:t xml:space="preserve"> </w:t>
      </w:r>
      <w:r w:rsidR="009E290D" w:rsidRPr="00C601A2">
        <w:t>reside</w:t>
      </w:r>
      <w:r w:rsidR="009E290D">
        <w:t>d</w:t>
      </w:r>
      <w:r w:rsidR="009E290D" w:rsidRPr="00C601A2">
        <w:t xml:space="preserve"> </w:t>
      </w:r>
      <w:r w:rsidR="009E290D">
        <w:t>predominantly</w:t>
      </w:r>
      <w:r w:rsidR="009E290D" w:rsidRPr="00C601A2">
        <w:t xml:space="preserve"> above the 1:1 line</w:t>
      </w:r>
      <w:r w:rsidR="00DE6275">
        <w:t xml:space="preserve"> due to</w:t>
      </w:r>
      <w:r w:rsidR="007B6A40">
        <w:t xml:space="preserve"> lotic conditions </w:t>
      </w:r>
      <w:r w:rsidR="00D259C9">
        <w:t>from</w:t>
      </w:r>
      <w:r w:rsidR="00DE6275">
        <w:t xml:space="preserve"> high flows</w:t>
      </w:r>
      <w:r w:rsidR="009E290D">
        <w:t>)</w:t>
      </w:r>
      <w:r w:rsidR="00DE6275">
        <w:t>,</w:t>
      </w:r>
      <w:r w:rsidR="7CA784C4" w:rsidRPr="00C601A2">
        <w:t xml:space="preserve"> </w:t>
      </w:r>
      <w:r w:rsidR="009E290D">
        <w:t>in 2023</w:t>
      </w:r>
      <w:r w:rsidR="00A03EE5">
        <w:t>–</w:t>
      </w:r>
      <w:r w:rsidR="009E290D">
        <w:t>24</w:t>
      </w:r>
      <w:r w:rsidR="00BE446D">
        <w:t>,</w:t>
      </w:r>
      <w:r w:rsidR="009E290D">
        <w:t xml:space="preserve"> </w:t>
      </w:r>
      <w:r w:rsidR="00A76320">
        <w:t xml:space="preserve">the fingerprint </w:t>
      </w:r>
      <w:r w:rsidR="7CA784C4" w:rsidRPr="00C601A2">
        <w:t xml:space="preserve">(displayed as dots overlaid in </w:t>
      </w:r>
      <w:r w:rsidR="007D75C5" w:rsidRPr="00C601A2">
        <w:rPr>
          <w:color w:val="2B579A"/>
          <w:shd w:val="clear" w:color="auto" w:fill="E6E6E6"/>
        </w:rPr>
        <w:fldChar w:fldCharType="begin"/>
      </w:r>
      <w:r w:rsidR="007D75C5" w:rsidRPr="00C601A2">
        <w:instrText xml:space="preserve"> REF _Ref131070292 \h </w:instrText>
      </w:r>
      <w:r w:rsidR="00C601A2">
        <w:rPr>
          <w:color w:val="2B579A"/>
          <w:shd w:val="clear" w:color="auto" w:fill="E6E6E6"/>
        </w:rPr>
        <w:instrText xml:space="preserve"> \* MERGEFORMAT </w:instrText>
      </w:r>
      <w:r w:rsidR="007D75C5" w:rsidRPr="00C601A2">
        <w:rPr>
          <w:color w:val="2B579A"/>
          <w:shd w:val="clear" w:color="auto" w:fill="E6E6E6"/>
        </w:rPr>
      </w:r>
      <w:r w:rsidR="007D75C5" w:rsidRPr="00C601A2">
        <w:rPr>
          <w:color w:val="2B579A"/>
          <w:shd w:val="clear" w:color="auto" w:fill="E6E6E6"/>
        </w:rPr>
        <w:fldChar w:fldCharType="separate"/>
      </w:r>
      <w:r w:rsidR="00492712" w:rsidRPr="00C601A2">
        <w:t>Figure</w:t>
      </w:r>
      <w:r w:rsidR="00492712">
        <w:t> </w:t>
      </w:r>
      <w:r w:rsidR="00835C8B">
        <w:t>4</w:t>
      </w:r>
      <w:r w:rsidR="00492712">
        <w:t>.3</w:t>
      </w:r>
      <w:r w:rsidR="007D75C5" w:rsidRPr="00C601A2">
        <w:rPr>
          <w:color w:val="2B579A"/>
          <w:shd w:val="clear" w:color="auto" w:fill="E6E6E6"/>
        </w:rPr>
        <w:fldChar w:fldCharType="end"/>
      </w:r>
      <w:r w:rsidR="7CA784C4" w:rsidRPr="00C601A2">
        <w:t>)</w:t>
      </w:r>
      <w:r w:rsidR="3B50C22E" w:rsidRPr="00C601A2">
        <w:t xml:space="preserve"> </w:t>
      </w:r>
      <w:r w:rsidR="00A76320">
        <w:t xml:space="preserve">was </w:t>
      </w:r>
      <w:r w:rsidR="0087212D">
        <w:t>predominantly</w:t>
      </w:r>
      <w:r w:rsidR="00A76320">
        <w:t xml:space="preserve"> below the 1:1 line</w:t>
      </w:r>
      <w:r w:rsidR="00D259C9">
        <w:t xml:space="preserve">. This </w:t>
      </w:r>
      <w:r w:rsidR="0087212D">
        <w:t>reflect</w:t>
      </w:r>
      <w:r w:rsidR="00D259C9">
        <w:t>s</w:t>
      </w:r>
      <w:r w:rsidR="0087212D">
        <w:t xml:space="preserve"> a return to</w:t>
      </w:r>
      <w:r w:rsidR="00816B2A">
        <w:t xml:space="preserve"> a</w:t>
      </w:r>
      <w:r w:rsidR="00DE65FB">
        <w:t xml:space="preserve"> </w:t>
      </w:r>
      <w:r w:rsidR="00816B2A">
        <w:t>more typical hydrology</w:t>
      </w:r>
      <w:r w:rsidR="00872EFA">
        <w:t xml:space="preserve"> (e.g. lentic)</w:t>
      </w:r>
      <w:r w:rsidR="00C61D64">
        <w:t>,</w:t>
      </w:r>
      <w:r w:rsidR="00816B2A">
        <w:t xml:space="preserve"> </w:t>
      </w:r>
      <w:r w:rsidR="00872EFA">
        <w:t>where the</w:t>
      </w:r>
      <w:r w:rsidR="00F54DDA">
        <w:t xml:space="preserve"> </w:t>
      </w:r>
      <w:r w:rsidR="00DE6275">
        <w:t xml:space="preserve">metabolic </w:t>
      </w:r>
      <w:r w:rsidR="00F54DDA">
        <w:t>regime</w:t>
      </w:r>
      <w:r w:rsidR="00DE6275">
        <w:t xml:space="preserve"> </w:t>
      </w:r>
      <w:r w:rsidR="00872EFA">
        <w:t xml:space="preserve">is </w:t>
      </w:r>
      <w:r w:rsidR="000B38A3">
        <w:t xml:space="preserve">predominantly </w:t>
      </w:r>
      <w:r w:rsidR="00872EFA">
        <w:t>autotrophic</w:t>
      </w:r>
      <w:r w:rsidR="000B38A3">
        <w:t>.</w:t>
      </w:r>
      <w:r w:rsidR="00E236B5">
        <w:t xml:space="preserve"> </w:t>
      </w:r>
      <w:r w:rsidR="009164CF" w:rsidRPr="00C601A2">
        <w:t xml:space="preserve">For Selected Areas other than the Lower Murray </w:t>
      </w:r>
      <w:r w:rsidR="00FA3E32" w:rsidRPr="00C601A2">
        <w:t>Rive</w:t>
      </w:r>
      <w:r w:rsidR="00637CBF">
        <w:t>r</w:t>
      </w:r>
      <w:r w:rsidR="009164CF" w:rsidRPr="00C601A2">
        <w:t>, the</w:t>
      </w:r>
      <w:r w:rsidR="009734DF" w:rsidRPr="00C601A2">
        <w:t xml:space="preserve"> majority of </w:t>
      </w:r>
      <w:r w:rsidR="00682D38">
        <w:t>202</w:t>
      </w:r>
      <w:r w:rsidR="000B38A3">
        <w:t>3</w:t>
      </w:r>
      <w:r w:rsidR="00682D38">
        <w:t>–2</w:t>
      </w:r>
      <w:r w:rsidR="000B38A3">
        <w:t>4</w:t>
      </w:r>
      <w:r w:rsidR="009734DF" w:rsidRPr="00C601A2">
        <w:t xml:space="preserve"> data points reside within the 2014–2</w:t>
      </w:r>
      <w:r w:rsidR="00AF11C7">
        <w:t>3</w:t>
      </w:r>
      <w:r w:rsidR="009734DF" w:rsidRPr="00C601A2">
        <w:t xml:space="preserve"> kernels, indicating that</w:t>
      </w:r>
      <w:r w:rsidR="00323DDE">
        <w:t>,</w:t>
      </w:r>
      <w:r w:rsidR="009734DF" w:rsidRPr="00C601A2">
        <w:t xml:space="preserve"> for this water year</w:t>
      </w:r>
      <w:r w:rsidR="00323DDE">
        <w:t>,</w:t>
      </w:r>
      <w:r w:rsidR="009734DF" w:rsidRPr="00C601A2">
        <w:t xml:space="preserve"> metabolic patterns were broadly </w:t>
      </w:r>
      <w:proofErr w:type="gramStart"/>
      <w:r w:rsidR="009734DF" w:rsidRPr="00C601A2">
        <w:t>similar to</w:t>
      </w:r>
      <w:proofErr w:type="gramEnd"/>
      <w:r w:rsidR="009734DF" w:rsidRPr="00C601A2">
        <w:t xml:space="preserve"> previous years</w:t>
      </w:r>
      <w:r w:rsidR="00E236B5">
        <w:t>.</w:t>
      </w:r>
    </w:p>
    <w:p w14:paraId="41571F88" w14:textId="55747039" w:rsidR="009734DF" w:rsidRPr="00C601A2" w:rsidRDefault="7D925343" w:rsidP="00973D7B">
      <w:pPr>
        <w:pStyle w:val="CaptionWithNote"/>
      </w:pPr>
      <w:bookmarkStart w:id="157" w:name="_Ref131070292"/>
      <w:bookmarkStart w:id="158" w:name="_Toc193363434"/>
      <w:bookmarkStart w:id="159" w:name="_Toc194788950"/>
      <w:bookmarkStart w:id="160" w:name="_Toc202187883"/>
      <w:r w:rsidRPr="00C601A2">
        <w:lastRenderedPageBreak/>
        <w:t>Figure</w:t>
      </w:r>
      <w:r w:rsidR="00A535AD">
        <w:t> </w:t>
      </w:r>
      <w:r>
        <w:fldChar w:fldCharType="begin"/>
      </w:r>
      <w:r>
        <w:instrText>STYLEREF 1 \s</w:instrText>
      </w:r>
      <w:r>
        <w:fldChar w:fldCharType="separate"/>
      </w:r>
      <w:r w:rsidR="00835C8B">
        <w:rPr>
          <w:noProof/>
        </w:rPr>
        <w:t>4</w:t>
      </w:r>
      <w:r>
        <w:fldChar w:fldCharType="end"/>
      </w:r>
      <w:r w:rsidR="00505064">
        <w:t>.</w:t>
      </w:r>
      <w:r>
        <w:fldChar w:fldCharType="begin"/>
      </w:r>
      <w:r>
        <w:instrText>SEQ Figure \* ARABIC \s 1</w:instrText>
      </w:r>
      <w:r>
        <w:fldChar w:fldCharType="separate"/>
      </w:r>
      <w:r w:rsidR="00492712">
        <w:rPr>
          <w:noProof/>
        </w:rPr>
        <w:t>3</w:t>
      </w:r>
      <w:r>
        <w:fldChar w:fldCharType="end"/>
      </w:r>
      <w:bookmarkEnd w:id="157"/>
      <w:r w:rsidRPr="00C601A2">
        <w:t xml:space="preserve"> Longer</w:t>
      </w:r>
      <w:r w:rsidR="00F74297">
        <w:t>-</w:t>
      </w:r>
      <w:r w:rsidRPr="00C601A2">
        <w:t>term 2014–2</w:t>
      </w:r>
      <w:r w:rsidR="00747FA9">
        <w:t>3</w:t>
      </w:r>
      <w:r w:rsidRPr="00C601A2">
        <w:t xml:space="preserve"> metabolic fingerprints (contour lines) overlaid with the </w:t>
      </w:r>
      <w:r w:rsidR="00682D38">
        <w:t>202</w:t>
      </w:r>
      <w:r w:rsidR="005E2CAC">
        <w:t>3</w:t>
      </w:r>
      <w:r w:rsidR="00682D38">
        <w:t>–2</w:t>
      </w:r>
      <w:r w:rsidR="005E2CAC">
        <w:t>4</w:t>
      </w:r>
      <w:r w:rsidRPr="00C601A2">
        <w:t xml:space="preserve"> metabolic fingerprint (dots) for Selected Areas</w:t>
      </w:r>
      <w:bookmarkEnd w:id="158"/>
      <w:bookmarkEnd w:id="159"/>
      <w:bookmarkEnd w:id="160"/>
    </w:p>
    <w:p w14:paraId="466182BE" w14:textId="3FFF739D" w:rsidR="009734DF" w:rsidRPr="00E374E9" w:rsidRDefault="009734DF" w:rsidP="00E374E9">
      <w:pPr>
        <w:pStyle w:val="CaptionNote"/>
      </w:pPr>
      <w:r w:rsidRPr="00E374E9">
        <w:t>See</w:t>
      </w:r>
      <w:r w:rsidR="00682876" w:rsidRPr="00E374E9">
        <w:t xml:space="preserve"> </w:t>
      </w:r>
      <w:r w:rsidR="00501A7E">
        <w:t xml:space="preserve">plots in </w:t>
      </w:r>
      <w:r w:rsidR="00501A7E">
        <w:fldChar w:fldCharType="begin"/>
      </w:r>
      <w:r w:rsidR="00501A7E">
        <w:instrText xml:space="preserve"> REF _Ref202032192 \w \h </w:instrText>
      </w:r>
      <w:r w:rsidR="00501A7E">
        <w:fldChar w:fldCharType="separate"/>
      </w:r>
      <w:r w:rsidR="00492712">
        <w:t>Appendix A</w:t>
      </w:r>
      <w:r w:rsidR="00501A7E">
        <w:fldChar w:fldCharType="end"/>
      </w:r>
      <w:r w:rsidR="00501A7E">
        <w:t xml:space="preserve"> </w:t>
      </w:r>
      <w:r w:rsidRPr="00E374E9">
        <w:t>for highest</w:t>
      </w:r>
      <w:r w:rsidR="002A317D" w:rsidRPr="00E374E9">
        <w:t xml:space="preserve"> </w:t>
      </w:r>
      <w:r w:rsidRPr="00E374E9">
        <w:t xml:space="preserve">density region </w:t>
      </w:r>
      <w:r w:rsidR="00761180">
        <w:t>percentage</w:t>
      </w:r>
      <w:r w:rsidRPr="00E374E9">
        <w:t xml:space="preserve"> of data points for 90%, 75%, 50%, 25% and 10%. </w:t>
      </w:r>
      <w:r w:rsidR="00761180">
        <w:rPr>
          <w:rFonts w:cs="Calibri"/>
          <w:lang w:val="en-US"/>
        </w:rPr>
        <w:t xml:space="preserve">ER = ecosystem respiration, GPP = gross primary production. </w:t>
      </w:r>
      <w:r w:rsidRPr="00E374E9">
        <w:t>Note log scale</w:t>
      </w:r>
      <w:r w:rsidR="00893B97">
        <w:t xml:space="preserve"> on x-</w:t>
      </w:r>
      <w:r w:rsidR="00BA19BE">
        <w:t>axis</w:t>
      </w:r>
      <w:r w:rsidR="00893B97">
        <w:t xml:space="preserve"> and y-ax</w:t>
      </w:r>
      <w:r w:rsidR="00BA19BE">
        <w:t>i</w:t>
      </w:r>
      <w:r w:rsidR="00893B97">
        <w:t>s</w:t>
      </w:r>
      <w:r w:rsidRPr="00E374E9">
        <w:t>.</w:t>
      </w:r>
    </w:p>
    <w:p w14:paraId="78C73D73" w14:textId="7DFCA204" w:rsidR="00600308" w:rsidRPr="00C601A2" w:rsidRDefault="000B7207" w:rsidP="00600308">
      <w:pPr>
        <w:pStyle w:val="Figure"/>
      </w:pPr>
      <w:bookmarkStart w:id="161" w:name="_Ref136437162"/>
      <w:r>
        <w:rPr>
          <w:noProof/>
        </w:rPr>
        <w:drawing>
          <wp:inline distT="0" distB="0" distL="0" distR="0" wp14:anchorId="2D71554E" wp14:editId="027A3E0C">
            <wp:extent cx="6120130" cy="6035675"/>
            <wp:effectExtent l="0" t="0" r="0" b="3175"/>
            <wp:docPr id="1274591867" name="Picture 12" descr="7 fingerprint plots, for the 7 Selected Areas, with colour bands 10%, 25%, 50%, 75%, 90%, for the longer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91867" name="Picture 12" descr="7 fingerprint plots, for the 7 Selected Areas, with colour bands 10%, 25%, 50%, 75%, 90%, for the longer term"/>
                    <pic:cNvPicPr/>
                  </pic:nvPicPr>
                  <pic:blipFill>
                    <a:blip r:embed="rId51"/>
                    <a:stretch>
                      <a:fillRect/>
                    </a:stretch>
                  </pic:blipFill>
                  <pic:spPr>
                    <a:xfrm>
                      <a:off x="0" y="0"/>
                      <a:ext cx="6120130" cy="6035675"/>
                    </a:xfrm>
                    <a:prstGeom prst="rect">
                      <a:avLst/>
                    </a:prstGeom>
                  </pic:spPr>
                </pic:pic>
              </a:graphicData>
            </a:graphic>
          </wp:inline>
        </w:drawing>
      </w:r>
    </w:p>
    <w:p w14:paraId="25E180CD" w14:textId="77777777" w:rsidR="009734DF" w:rsidRPr="00C601A2" w:rsidRDefault="009734DF" w:rsidP="009734DF">
      <w:pPr>
        <w:pStyle w:val="Heading3"/>
      </w:pPr>
      <w:bookmarkStart w:id="162" w:name="_Ref183534301"/>
      <w:r w:rsidRPr="00C601A2">
        <w:t>Metabolic responses to flow at Selected Areas</w:t>
      </w:r>
      <w:bookmarkEnd w:id="161"/>
      <w:bookmarkEnd w:id="162"/>
    </w:p>
    <w:p w14:paraId="571700C7" w14:textId="1D400FE8" w:rsidR="009734DF" w:rsidRPr="00C601A2" w:rsidRDefault="42518559" w:rsidP="009734DF">
      <w:pPr>
        <w:pStyle w:val="BodyText"/>
      </w:pPr>
      <w:r w:rsidRPr="00C601A2">
        <w:t>Here</w:t>
      </w:r>
      <w:r w:rsidR="008D3A48">
        <w:t>,</w:t>
      </w:r>
      <w:r w:rsidRPr="00C601A2">
        <w:t xml:space="preserve"> we focus on exploring metabolic responses to the full </w:t>
      </w:r>
      <w:r w:rsidR="00682D38">
        <w:t>2014–2</w:t>
      </w:r>
      <w:r w:rsidR="002C0936">
        <w:t>4</w:t>
      </w:r>
      <w:r w:rsidRPr="00C601A2">
        <w:t xml:space="preserve"> hydrologic</w:t>
      </w:r>
      <w:r w:rsidR="008D3A48">
        <w:t>al</w:t>
      </w:r>
      <w:r w:rsidRPr="00C601A2">
        <w:t xml:space="preserve"> dataset</w:t>
      </w:r>
      <w:r w:rsidR="0017123A">
        <w:t xml:space="preserve"> (of which CEW is a component)</w:t>
      </w:r>
      <w:r w:rsidRPr="00C601A2">
        <w:t>. This is because</w:t>
      </w:r>
      <w:r w:rsidR="1FC532B8" w:rsidRPr="00C601A2">
        <w:t xml:space="preserve"> we do not expect metabolic responses to flow to be sensitive to the purpose of the flow (e.g. environment, irrigation supply)</w:t>
      </w:r>
      <w:r w:rsidR="75C4E112" w:rsidRPr="00C601A2">
        <w:t xml:space="preserve"> and this approach provides much greater statistical power</w:t>
      </w:r>
      <w:r w:rsidR="1FC532B8" w:rsidRPr="00C601A2">
        <w:t>.</w:t>
      </w:r>
      <w:r w:rsidRPr="00C601A2">
        <w:t xml:space="preserve"> </w:t>
      </w:r>
      <w:r w:rsidR="00FC041E">
        <w:t xml:space="preserve">The contribution of CEW is assessed in </w:t>
      </w:r>
      <w:r w:rsidR="00BC0F98">
        <w:t xml:space="preserve">Chapter </w:t>
      </w:r>
      <w:r w:rsidR="00C1549A">
        <w:fldChar w:fldCharType="begin"/>
      </w:r>
      <w:r w:rsidR="00C1549A">
        <w:instrText xml:space="preserve"> REF _Ref194309684 \r \h </w:instrText>
      </w:r>
      <w:r w:rsidR="00C1549A">
        <w:fldChar w:fldCharType="separate"/>
      </w:r>
      <w:r w:rsidR="00835C8B">
        <w:t>5</w:t>
      </w:r>
      <w:r w:rsidR="00C1549A">
        <w:fldChar w:fldCharType="end"/>
      </w:r>
      <w:r w:rsidR="00FC041E">
        <w:t>.</w:t>
      </w:r>
    </w:p>
    <w:p w14:paraId="2885B700" w14:textId="4E4F8E5D" w:rsidR="009734DF" w:rsidRPr="00C601A2" w:rsidRDefault="009734DF" w:rsidP="009734DF">
      <w:pPr>
        <w:pStyle w:val="BodyText"/>
      </w:pPr>
      <w:r w:rsidRPr="00C601A2">
        <w:t xml:space="preserve">We applied a statistical model using the </w:t>
      </w:r>
      <w:proofErr w:type="spellStart"/>
      <w:r w:rsidRPr="00C601A2">
        <w:t>envfit</w:t>
      </w:r>
      <w:proofErr w:type="spellEnd"/>
      <w:r w:rsidRPr="00C601A2">
        <w:t xml:space="preserve"> function in the R package VEGAN </w:t>
      </w:r>
      <w:r w:rsidRPr="00C601A2">
        <w:rPr>
          <w:noProof/>
        </w:rPr>
        <w:t>(Dixon 2003)</w:t>
      </w:r>
      <w:r w:rsidRPr="00C601A2">
        <w:t xml:space="preserve">. The </w:t>
      </w:r>
      <w:proofErr w:type="spellStart"/>
      <w:r w:rsidRPr="00C601A2">
        <w:t>envfit</w:t>
      </w:r>
      <w:proofErr w:type="spellEnd"/>
      <w:r w:rsidRPr="00C601A2">
        <w:t xml:space="preserve"> function fits an environmental vector (</w:t>
      </w:r>
      <w:r w:rsidRPr="00715ED4">
        <w:rPr>
          <w:rStyle w:val="Italics"/>
        </w:rPr>
        <w:t>j</w:t>
      </w:r>
      <w:r w:rsidRPr="00C601A2">
        <w:t xml:space="preserve">) </w:t>
      </w:r>
      <w:r w:rsidR="00061759" w:rsidRPr="00C601A2">
        <w:t xml:space="preserve">over an ordination </w:t>
      </w:r>
      <w:r w:rsidR="00EB22BF">
        <w:t>in</w:t>
      </w:r>
      <w:r w:rsidR="00061759" w:rsidRPr="00C601A2">
        <w:t xml:space="preserve"> 2-dimensional space using an </w:t>
      </w:r>
      <w:r w:rsidRPr="00C601A2">
        <w:t xml:space="preserve">intercept-less linear model. The size and direction of the vector provides an estimation of the response of the metabolic fingerprint to flow at each site. Model outputs from </w:t>
      </w:r>
      <w:proofErr w:type="spellStart"/>
      <w:r w:rsidRPr="00C601A2">
        <w:t>envfit</w:t>
      </w:r>
      <w:proofErr w:type="spellEnd"/>
      <w:r w:rsidRPr="00C601A2">
        <w:t xml:space="preserve"> and dominant metabolic responses to flow for each site are provided in </w:t>
      </w:r>
      <w:r w:rsidRPr="00C601A2">
        <w:rPr>
          <w:color w:val="2B579A"/>
          <w:shd w:val="clear" w:color="auto" w:fill="E6E6E6"/>
        </w:rPr>
        <w:fldChar w:fldCharType="begin"/>
      </w:r>
      <w:r w:rsidRPr="00C601A2">
        <w:instrText xml:space="preserve"> REF _Ref104533270 \h </w:instrText>
      </w:r>
      <w:r w:rsidR="00C601A2">
        <w:rPr>
          <w:color w:val="2B579A"/>
          <w:shd w:val="clear" w:color="auto" w:fill="E6E6E6"/>
        </w:rPr>
        <w:instrText xml:space="preserve"> \* MERGEFORMAT </w:instrText>
      </w:r>
      <w:r w:rsidRPr="00C601A2">
        <w:rPr>
          <w:color w:val="2B579A"/>
          <w:shd w:val="clear" w:color="auto" w:fill="E6E6E6"/>
        </w:rPr>
      </w:r>
      <w:r w:rsidRPr="00C601A2">
        <w:rPr>
          <w:color w:val="2B579A"/>
          <w:shd w:val="clear" w:color="auto" w:fill="E6E6E6"/>
        </w:rPr>
        <w:fldChar w:fldCharType="separate"/>
      </w:r>
      <w:r w:rsidR="00492712" w:rsidRPr="00C601A2">
        <w:t>Table</w:t>
      </w:r>
      <w:r w:rsidR="00492712">
        <w:t> </w:t>
      </w:r>
      <w:r w:rsidR="00835C8B">
        <w:t>4</w:t>
      </w:r>
      <w:r w:rsidR="00492712">
        <w:t>.1</w:t>
      </w:r>
      <w:r w:rsidRPr="00C601A2">
        <w:rPr>
          <w:color w:val="2B579A"/>
          <w:shd w:val="clear" w:color="auto" w:fill="E6E6E6"/>
        </w:rPr>
        <w:fldChar w:fldCharType="end"/>
      </w:r>
      <w:r w:rsidRPr="00C601A2">
        <w:t xml:space="preserve">, and the full set of plots showing metabolic responses to flow for all Selected Area sites sampled in </w:t>
      </w:r>
      <w:r w:rsidR="00682D38">
        <w:t>2014–2</w:t>
      </w:r>
      <w:r w:rsidR="0017123A">
        <w:t>4</w:t>
      </w:r>
      <w:r w:rsidRPr="00C601A2">
        <w:t xml:space="preserve"> is included in </w:t>
      </w:r>
      <w:r w:rsidR="00F62E3A">
        <w:fldChar w:fldCharType="begin"/>
      </w:r>
      <w:r w:rsidR="00F62E3A">
        <w:instrText xml:space="preserve"> REF _Ref202032192 \n \h </w:instrText>
      </w:r>
      <w:r w:rsidR="00F62E3A">
        <w:fldChar w:fldCharType="separate"/>
      </w:r>
      <w:r w:rsidR="00492712">
        <w:t>Appendix A</w:t>
      </w:r>
      <w:r w:rsidR="00F62E3A">
        <w:fldChar w:fldCharType="end"/>
      </w:r>
      <w:r w:rsidR="00F62E3A">
        <w:t>.</w:t>
      </w:r>
    </w:p>
    <w:p w14:paraId="35A57E90" w14:textId="32B9899F" w:rsidR="0080749C" w:rsidRDefault="14AA4536" w:rsidP="009734DF">
      <w:pPr>
        <w:pStyle w:val="BodyText"/>
      </w:pPr>
      <w:r w:rsidRPr="00C601A2">
        <w:lastRenderedPageBreak/>
        <w:t>In this section, we focus on patterns from a subset of ecosystem metabolism – flow plots from 5 of the 7 Selected Areas, chosen for their temporal and spatial coverage to enable interpretation of generalised ecosystem metabolism responses to flow. Metabolic responses to flow collected from sites (</w:t>
      </w:r>
      <w:r w:rsidR="007B7009">
        <w:t xml:space="preserve">listed in </w:t>
      </w:r>
      <w:r w:rsidR="007B7009">
        <w:fldChar w:fldCharType="begin"/>
      </w:r>
      <w:r w:rsidR="007B7009">
        <w:instrText xml:space="preserve"> REF _Ref104533270 \h </w:instrText>
      </w:r>
      <w:r w:rsidR="007B7009">
        <w:fldChar w:fldCharType="separate"/>
      </w:r>
      <w:r w:rsidR="00492712" w:rsidRPr="00C601A2">
        <w:t>Table</w:t>
      </w:r>
      <w:r w:rsidR="00492712">
        <w:t> </w:t>
      </w:r>
      <w:r w:rsidR="00835C8B">
        <w:rPr>
          <w:noProof/>
        </w:rPr>
        <w:t>4</w:t>
      </w:r>
      <w:r w:rsidR="00492712">
        <w:t>.</w:t>
      </w:r>
      <w:r w:rsidR="00492712">
        <w:rPr>
          <w:noProof/>
        </w:rPr>
        <w:t>1</w:t>
      </w:r>
      <w:r w:rsidR="007B7009">
        <w:fldChar w:fldCharType="end"/>
      </w:r>
      <w:r w:rsidRPr="00C601A2">
        <w:t xml:space="preserve">) across 5 Selected Areas over </w:t>
      </w:r>
      <w:r w:rsidR="00E306B6">
        <w:t xml:space="preserve">the </w:t>
      </w:r>
      <w:r w:rsidR="009F1B44">
        <w:t>10</w:t>
      </w:r>
      <w:r w:rsidR="00E306B6">
        <w:t xml:space="preserve"> years</w:t>
      </w:r>
      <w:r w:rsidRPr="00C601A2">
        <w:t xml:space="preserve"> indicate that patterns in volumetric metabolism are highly variable and context</w:t>
      </w:r>
      <w:r w:rsidR="00944701">
        <w:t>-</w:t>
      </w:r>
      <w:r w:rsidRPr="00C601A2">
        <w:t>dependent, both within Selected Areas and between individual sites.</w:t>
      </w:r>
      <w:r w:rsidR="7CA214E7" w:rsidRPr="00C601A2">
        <w:t xml:space="preserve"> However, the most common response</w:t>
      </w:r>
      <w:r w:rsidR="008D3A48">
        <w:t>s</w:t>
      </w:r>
      <w:r w:rsidR="7CA214E7" w:rsidRPr="00C601A2">
        <w:t xml:space="preserve"> to increased flows are decreased volumetric rates of GPP and ER</w:t>
      </w:r>
      <w:r w:rsidR="00B46E65">
        <w:t>, likely due to dilution and disturbance</w:t>
      </w:r>
      <w:r w:rsidR="7995B3F7" w:rsidRPr="00C601A2">
        <w:t xml:space="preserve"> </w:t>
      </w:r>
      <w:r w:rsidR="001C71D6" w:rsidRPr="00C601A2">
        <w:t>(</w:t>
      </w:r>
      <w:r w:rsidR="001C71D6" w:rsidRPr="00C601A2">
        <w:fldChar w:fldCharType="begin"/>
      </w:r>
      <w:r w:rsidR="001C71D6" w:rsidRPr="00C601A2">
        <w:instrText xml:space="preserve"> REF _Ref104533270 \h </w:instrText>
      </w:r>
      <w:r w:rsidR="00C601A2">
        <w:instrText xml:space="preserve"> \* MERGEFORMAT </w:instrText>
      </w:r>
      <w:r w:rsidR="001C71D6" w:rsidRPr="00C601A2">
        <w:fldChar w:fldCharType="separate"/>
      </w:r>
      <w:r w:rsidR="00492712" w:rsidRPr="00C601A2">
        <w:t>Table</w:t>
      </w:r>
      <w:r w:rsidR="00492712">
        <w:t> </w:t>
      </w:r>
      <w:r w:rsidR="00835C8B">
        <w:t>4</w:t>
      </w:r>
      <w:r w:rsidR="00492712">
        <w:t>.1</w:t>
      </w:r>
      <w:r w:rsidR="001C71D6" w:rsidRPr="00C601A2">
        <w:fldChar w:fldCharType="end"/>
      </w:r>
      <w:r w:rsidR="4FE1B2C7" w:rsidRPr="00C601A2">
        <w:t>)</w:t>
      </w:r>
      <w:r w:rsidR="0080749C">
        <w:t>.</w:t>
      </w:r>
    </w:p>
    <w:p w14:paraId="658395AA" w14:textId="29785373" w:rsidR="009734DF" w:rsidRPr="00C601A2" w:rsidRDefault="009734DF" w:rsidP="00601735">
      <w:pPr>
        <w:pStyle w:val="CaptionWithNote"/>
      </w:pPr>
      <w:bookmarkStart w:id="163" w:name="_Ref104533270"/>
      <w:bookmarkStart w:id="164" w:name="_Ref104530836"/>
      <w:bookmarkStart w:id="165" w:name="_Toc183533681"/>
      <w:bookmarkStart w:id="166" w:name="_Toc202187937"/>
      <w:r w:rsidRPr="00C601A2">
        <w:t>Table</w:t>
      </w:r>
      <w:r w:rsidR="00A535AD">
        <w:t> </w:t>
      </w:r>
      <w:fldSimple w:instr=" STYLEREF 1 \s ">
        <w:r w:rsidR="00835C8B">
          <w:rPr>
            <w:noProof/>
          </w:rPr>
          <w:t>4</w:t>
        </w:r>
      </w:fldSimple>
      <w:r w:rsidR="00F60AE8">
        <w:t>.</w:t>
      </w:r>
      <w:fldSimple w:instr=" SEQ Table \* ARABIC \s 1 ">
        <w:r w:rsidR="00492712">
          <w:rPr>
            <w:noProof/>
          </w:rPr>
          <w:t>1</w:t>
        </w:r>
      </w:fldSimple>
      <w:bookmarkEnd w:id="163"/>
      <w:r w:rsidRPr="00C601A2">
        <w:t xml:space="preserve"> </w:t>
      </w:r>
      <w:bookmarkEnd w:id="164"/>
      <w:r w:rsidR="00BE5DB8">
        <w:t>Modelled m</w:t>
      </w:r>
      <w:r w:rsidR="004F118B">
        <w:t>etaboli</w:t>
      </w:r>
      <w:r w:rsidR="00855868">
        <w:t xml:space="preserve">c response to flow </w:t>
      </w:r>
      <w:r w:rsidR="006F5280">
        <w:t>at</w:t>
      </w:r>
      <w:r w:rsidRPr="00C601A2">
        <w:t xml:space="preserve"> </w:t>
      </w:r>
      <w:r w:rsidR="002D3F08">
        <w:t xml:space="preserve">41 </w:t>
      </w:r>
      <w:r w:rsidR="0095485A">
        <w:t xml:space="preserve">sites in 5 of the </w:t>
      </w:r>
      <w:r w:rsidR="003048BB">
        <w:t>7 Selected Areas</w:t>
      </w:r>
      <w:bookmarkEnd w:id="165"/>
      <w:bookmarkEnd w:id="166"/>
    </w:p>
    <w:p w14:paraId="1F8F4BDE" w14:textId="4CE14657" w:rsidR="00CD6592" w:rsidRPr="005658AA" w:rsidRDefault="00CD6592" w:rsidP="00F568F3">
      <w:pPr>
        <w:pStyle w:val="CaptionNote"/>
      </w:pPr>
      <w:r w:rsidRPr="005658AA">
        <w:t xml:space="preserve">N/A indicates insufficient </w:t>
      </w:r>
      <w:r w:rsidR="00BE0A91" w:rsidRPr="005658AA">
        <w:t xml:space="preserve">data for </w:t>
      </w:r>
      <w:proofErr w:type="spellStart"/>
      <w:r w:rsidR="00BE0A91" w:rsidRPr="005658AA">
        <w:t>envfit</w:t>
      </w:r>
      <w:proofErr w:type="spellEnd"/>
      <w:r w:rsidR="00BE0A91" w:rsidRPr="005658AA">
        <w:t xml:space="preserve"> to generate a vector</w:t>
      </w:r>
      <w:r w:rsidR="00A92E76">
        <w:t>. Significant values are bolded.</w:t>
      </w:r>
    </w:p>
    <w:tbl>
      <w:tblPr>
        <w:tblStyle w:val="TableFlow-MER"/>
        <w:tblW w:w="0" w:type="auto"/>
        <w:tblLayout w:type="fixed"/>
        <w:tblLook w:val="04A0" w:firstRow="1" w:lastRow="0" w:firstColumn="1" w:lastColumn="0" w:noHBand="0" w:noVBand="1"/>
      </w:tblPr>
      <w:tblGrid>
        <w:gridCol w:w="3798"/>
        <w:gridCol w:w="1020"/>
        <w:gridCol w:w="1304"/>
        <w:gridCol w:w="1191"/>
        <w:gridCol w:w="2041"/>
      </w:tblGrid>
      <w:tr w:rsidR="00C9103E" w:rsidRPr="00C601A2" w14:paraId="0269DE83" w14:textId="77777777" w:rsidTr="007B2FA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98" w:type="dxa"/>
          </w:tcPr>
          <w:p w14:paraId="2E8D2DEB" w14:textId="340D0558" w:rsidR="00C9103E" w:rsidRPr="00C601A2" w:rsidRDefault="00C9103E" w:rsidP="00314D85">
            <w:pPr>
              <w:pStyle w:val="ColumnHeading"/>
            </w:pPr>
            <w:r w:rsidRPr="00C601A2">
              <w:t>S</w:t>
            </w:r>
            <w:r>
              <w:t>elected Area</w:t>
            </w:r>
            <w:r w:rsidR="00A92E76">
              <w:t xml:space="preserve"> or s</w:t>
            </w:r>
            <w:r w:rsidRPr="00C601A2">
              <w:t>ite</w:t>
            </w:r>
            <w:r w:rsidR="00A92E76">
              <w:t>s</w:t>
            </w:r>
          </w:p>
        </w:tc>
        <w:tc>
          <w:tcPr>
            <w:tcW w:w="1020" w:type="dxa"/>
          </w:tcPr>
          <w:p w14:paraId="79274DF6" w14:textId="77777777" w:rsidR="00C9103E" w:rsidRPr="00C601A2" w:rsidRDefault="00C9103E" w:rsidP="00314D85">
            <w:pPr>
              <w:pStyle w:val="ColumnHeading"/>
              <w:cnfStyle w:val="100000000000" w:firstRow="1" w:lastRow="0" w:firstColumn="0" w:lastColumn="0" w:oddVBand="0" w:evenVBand="0" w:oddHBand="0" w:evenHBand="0" w:firstRowFirstColumn="0" w:firstRowLastColumn="0" w:lastRowFirstColumn="0" w:lastRowLastColumn="0"/>
            </w:pPr>
            <w:r w:rsidRPr="00C601A2">
              <w:t>r</w:t>
            </w:r>
            <w:r w:rsidRPr="00C601A2">
              <w:rPr>
                <w:vertAlign w:val="superscript"/>
              </w:rPr>
              <w:t>2</w:t>
            </w:r>
          </w:p>
        </w:tc>
        <w:tc>
          <w:tcPr>
            <w:tcW w:w="1304" w:type="dxa"/>
          </w:tcPr>
          <w:p w14:paraId="73E6BC0B" w14:textId="25CF92FC" w:rsidR="00C9103E" w:rsidRPr="00C601A2" w:rsidRDefault="00C9103E" w:rsidP="00314D85">
            <w:pPr>
              <w:pStyle w:val="ColumnHeading"/>
              <w:cnfStyle w:val="100000000000" w:firstRow="1" w:lastRow="0" w:firstColumn="0" w:lastColumn="0" w:oddVBand="0" w:evenVBand="0" w:oddHBand="0" w:evenHBand="0" w:firstRowFirstColumn="0" w:firstRowLastColumn="0" w:lastRowFirstColumn="0" w:lastRowLastColumn="0"/>
            </w:pPr>
            <w:r w:rsidRPr="00C601A2">
              <w:rPr>
                <w:i/>
                <w:iCs/>
              </w:rPr>
              <w:t>P</w:t>
            </w:r>
          </w:p>
        </w:tc>
        <w:tc>
          <w:tcPr>
            <w:tcW w:w="1191" w:type="dxa"/>
          </w:tcPr>
          <w:p w14:paraId="75C8DE90" w14:textId="77777777" w:rsidR="00C9103E" w:rsidRPr="00C601A2" w:rsidRDefault="00C9103E" w:rsidP="00314D85">
            <w:pPr>
              <w:pStyle w:val="ColumnHeading"/>
              <w:cnfStyle w:val="100000000000" w:firstRow="1" w:lastRow="0" w:firstColumn="0" w:lastColumn="0" w:oddVBand="0" w:evenVBand="0" w:oddHBand="0" w:evenHBand="0" w:firstRowFirstColumn="0" w:firstRowLastColumn="0" w:lastRowFirstColumn="0" w:lastRowLastColumn="0"/>
            </w:pPr>
            <w:r w:rsidRPr="00C601A2">
              <w:t>Data collection</w:t>
            </w:r>
          </w:p>
        </w:tc>
        <w:tc>
          <w:tcPr>
            <w:tcW w:w="2041" w:type="dxa"/>
          </w:tcPr>
          <w:p w14:paraId="360F4229" w14:textId="5A3BA016" w:rsidR="00C9103E" w:rsidRPr="00C601A2" w:rsidRDefault="00C9103E" w:rsidP="00314D85">
            <w:pPr>
              <w:pStyle w:val="ColumnHeading"/>
              <w:cnfStyle w:val="100000000000" w:firstRow="1" w:lastRow="0" w:firstColumn="0" w:lastColumn="0" w:oddVBand="0" w:evenVBand="0" w:oddHBand="0" w:evenHBand="0" w:firstRowFirstColumn="0" w:firstRowLastColumn="0" w:lastRowFirstColumn="0" w:lastRowLastColumn="0"/>
            </w:pPr>
            <w:r w:rsidRPr="00C601A2">
              <w:t>Increase</w:t>
            </w:r>
            <w:r>
              <w:t xml:space="preserve"> or </w:t>
            </w:r>
            <w:r w:rsidRPr="00C601A2">
              <w:t>decrease in metabolic throughput in response to flow</w:t>
            </w:r>
          </w:p>
        </w:tc>
      </w:tr>
      <w:tr w:rsidR="00C9103E" w:rsidRPr="00C601A2" w14:paraId="7F6A2E1D"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D0EAFF" w:themeFill="accent2" w:themeFillTint="1A"/>
          </w:tcPr>
          <w:p w14:paraId="73AADEC0" w14:textId="68DB221A" w:rsidR="00C9103E" w:rsidRPr="00C601A2" w:rsidRDefault="00C9103E" w:rsidP="00601735">
            <w:pPr>
              <w:pStyle w:val="RowHeading"/>
              <w:keepNext/>
            </w:pPr>
            <w:r>
              <w:t>Northern Basin</w:t>
            </w:r>
          </w:p>
        </w:tc>
        <w:tc>
          <w:tcPr>
            <w:tcW w:w="1020" w:type="dxa"/>
            <w:shd w:val="clear" w:color="auto" w:fill="D0EAFF" w:themeFill="accent2" w:themeFillTint="1A"/>
          </w:tcPr>
          <w:p w14:paraId="7D30674E"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1304" w:type="dxa"/>
            <w:shd w:val="clear" w:color="auto" w:fill="D0EAFF" w:themeFill="accent2" w:themeFillTint="1A"/>
          </w:tcPr>
          <w:p w14:paraId="44F80968"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1191" w:type="dxa"/>
            <w:shd w:val="clear" w:color="auto" w:fill="D0EAFF" w:themeFill="accent2" w:themeFillTint="1A"/>
          </w:tcPr>
          <w:p w14:paraId="7A8DAE2C"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2041" w:type="dxa"/>
            <w:shd w:val="clear" w:color="auto" w:fill="D0EAFF" w:themeFill="accent2" w:themeFillTint="1A"/>
          </w:tcPr>
          <w:p w14:paraId="285FD48F"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r>
      <w:tr w:rsidR="00C9103E" w:rsidRPr="00C601A2" w14:paraId="7CE4BDA6"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15625C52" w14:textId="4B239696" w:rsidR="00C9103E" w:rsidRDefault="00C9103E" w:rsidP="00E17CEC">
            <w:pPr>
              <w:pStyle w:val="RowHeading"/>
              <w:keepNext/>
            </w:pPr>
            <w:r w:rsidRPr="00C601A2">
              <w:t>Junction of Warrego and Darling rivers</w:t>
            </w:r>
          </w:p>
        </w:tc>
        <w:tc>
          <w:tcPr>
            <w:tcW w:w="1020" w:type="dxa"/>
          </w:tcPr>
          <w:p w14:paraId="797C8223" w14:textId="77777777" w:rsidR="00C9103E" w:rsidRPr="00C601A2"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c>
          <w:tcPr>
            <w:tcW w:w="1304" w:type="dxa"/>
          </w:tcPr>
          <w:p w14:paraId="38997C71" w14:textId="77777777" w:rsidR="00C9103E" w:rsidRPr="00395EEC"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c>
          <w:tcPr>
            <w:tcW w:w="1191" w:type="dxa"/>
          </w:tcPr>
          <w:p w14:paraId="7347BB1D" w14:textId="77777777" w:rsidR="00C9103E" w:rsidRPr="00C601A2"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c>
          <w:tcPr>
            <w:tcW w:w="2041" w:type="dxa"/>
          </w:tcPr>
          <w:p w14:paraId="21E22CFE" w14:textId="77777777" w:rsidR="00C9103E" w:rsidRPr="00C601A2"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r>
      <w:tr w:rsidR="005A7B7A" w:rsidRPr="00C601A2" w14:paraId="4E98C33D"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430863EC" w14:textId="15464EAA" w:rsidR="005A7B7A" w:rsidRPr="00C601A2" w:rsidRDefault="005A7B7A" w:rsidP="005A7B7A">
            <w:pPr>
              <w:pStyle w:val="TableText"/>
              <w:rPr>
                <w:rFonts w:cs="Calibri"/>
                <w:szCs w:val="18"/>
              </w:rPr>
            </w:pPr>
            <w:r>
              <w:rPr>
                <w:rFonts w:cs="Calibri"/>
                <w:szCs w:val="18"/>
              </w:rPr>
              <w:t>WD_AKUNA</w:t>
            </w:r>
            <w:r w:rsidRPr="00C601A2">
              <w:rPr>
                <w:rFonts w:cs="Calibri"/>
                <w:szCs w:val="18"/>
              </w:rPr>
              <w:t xml:space="preserve"> (</w:t>
            </w:r>
            <w:r w:rsidRPr="00C601A2">
              <w:rPr>
                <w:rFonts w:cs="Calibri"/>
                <w:color w:val="2B579A"/>
                <w:szCs w:val="18"/>
                <w:shd w:val="clear" w:color="auto" w:fill="E6E6E6"/>
              </w:rPr>
              <w:fldChar w:fldCharType="begin"/>
            </w:r>
            <w:r w:rsidRPr="00C601A2">
              <w:rPr>
                <w:rFonts w:cs="Calibri"/>
                <w:szCs w:val="18"/>
              </w:rPr>
              <w:instrText xml:space="preserve"> REF _Ref106044765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w:t>
            </w:r>
            <w:r w:rsidRPr="00C601A2">
              <w:rPr>
                <w:rFonts w:cs="Calibri"/>
                <w:color w:val="2B579A"/>
                <w:szCs w:val="18"/>
                <w:shd w:val="clear" w:color="auto" w:fill="E6E6E6"/>
              </w:rPr>
              <w:fldChar w:fldCharType="end"/>
            </w:r>
            <w:r w:rsidRPr="00C601A2">
              <w:rPr>
                <w:rFonts w:cs="Calibri"/>
                <w:szCs w:val="18"/>
              </w:rPr>
              <w:t>)</w:t>
            </w:r>
          </w:p>
        </w:tc>
        <w:tc>
          <w:tcPr>
            <w:tcW w:w="1020" w:type="dxa"/>
          </w:tcPr>
          <w:p w14:paraId="33EE35FE" w14:textId="674D6655" w:rsidR="005A7B7A" w:rsidRPr="00C601A2" w:rsidRDefault="005A7B7A" w:rsidP="005A7B7A">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E7031A">
              <w:t>0.02</w:t>
            </w:r>
          </w:p>
        </w:tc>
        <w:tc>
          <w:tcPr>
            <w:tcW w:w="1304" w:type="dxa"/>
          </w:tcPr>
          <w:p w14:paraId="549A2245" w14:textId="1E516466" w:rsidR="005A7B7A" w:rsidRPr="00395EEC" w:rsidRDefault="005A7B7A" w:rsidP="005A7B7A">
            <w:pPr>
              <w:pStyle w:val="TableText"/>
              <w:cnfStyle w:val="000000100000" w:firstRow="0" w:lastRow="0" w:firstColumn="0" w:lastColumn="0" w:oddVBand="0" w:evenVBand="0" w:oddHBand="1" w:evenHBand="0" w:firstRowFirstColumn="0" w:firstRowLastColumn="0" w:lastRowFirstColumn="0" w:lastRowLastColumn="0"/>
              <w:rPr>
                <w:rFonts w:cs="Calibri"/>
                <w:bCs/>
                <w:szCs w:val="18"/>
              </w:rPr>
            </w:pPr>
            <w:r w:rsidRPr="00E7031A">
              <w:t>0.124</w:t>
            </w:r>
          </w:p>
        </w:tc>
        <w:tc>
          <w:tcPr>
            <w:tcW w:w="1191" w:type="dxa"/>
          </w:tcPr>
          <w:p w14:paraId="38219878" w14:textId="50F11861" w:rsidR="005A7B7A" w:rsidRPr="00C601A2" w:rsidRDefault="005A7B7A" w:rsidP="005A7B7A">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2016–2</w:t>
            </w:r>
            <w:r w:rsidR="00470E8D">
              <w:rPr>
                <w:rFonts w:cs="Calibri"/>
                <w:szCs w:val="18"/>
              </w:rPr>
              <w:t>4</w:t>
            </w:r>
          </w:p>
        </w:tc>
        <w:tc>
          <w:tcPr>
            <w:tcW w:w="2041" w:type="dxa"/>
          </w:tcPr>
          <w:p w14:paraId="7BE3008B" w14:textId="560BE864" w:rsidR="005A7B7A" w:rsidRPr="00C601A2" w:rsidRDefault="00EC5864" w:rsidP="005A7B7A">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Neutral</w:t>
            </w:r>
          </w:p>
        </w:tc>
      </w:tr>
      <w:tr w:rsidR="005A7B7A" w:rsidRPr="00C601A2" w14:paraId="1F84DA30"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335813A2" w14:textId="61A8D9CC" w:rsidR="005A7B7A" w:rsidRPr="00C601A2" w:rsidRDefault="005A7B7A" w:rsidP="005A7B7A">
            <w:pPr>
              <w:pStyle w:val="TableText"/>
              <w:rPr>
                <w:rFonts w:cs="Calibri"/>
                <w:szCs w:val="18"/>
              </w:rPr>
            </w:pPr>
            <w:r>
              <w:rPr>
                <w:rFonts w:cs="Calibri"/>
                <w:szCs w:val="18"/>
              </w:rPr>
              <w:t>WD_YANDA</w:t>
            </w:r>
            <w:r w:rsidRPr="00C601A2">
              <w:rPr>
                <w:rFonts w:cs="Calibri"/>
                <w:szCs w:val="18"/>
              </w:rPr>
              <w:t xml:space="preserve"> (</w:t>
            </w:r>
            <w:r w:rsidRPr="00C601A2">
              <w:rPr>
                <w:rFonts w:cs="Calibri"/>
                <w:color w:val="2B579A"/>
                <w:szCs w:val="18"/>
                <w:shd w:val="clear" w:color="auto" w:fill="E6E6E6"/>
              </w:rPr>
              <w:fldChar w:fldCharType="begin"/>
            </w:r>
            <w:r w:rsidRPr="00C601A2">
              <w:rPr>
                <w:rFonts w:cs="Calibri"/>
                <w:szCs w:val="18"/>
              </w:rPr>
              <w:instrText xml:space="preserve"> REF _Ref106044862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2</w:t>
            </w:r>
            <w:r w:rsidRPr="00C601A2">
              <w:rPr>
                <w:rFonts w:cs="Calibri"/>
                <w:color w:val="2B579A"/>
                <w:szCs w:val="18"/>
                <w:shd w:val="clear" w:color="auto" w:fill="E6E6E6"/>
              </w:rPr>
              <w:fldChar w:fldCharType="end"/>
            </w:r>
            <w:r w:rsidRPr="00C601A2">
              <w:rPr>
                <w:rFonts w:cs="Calibri"/>
                <w:szCs w:val="18"/>
              </w:rPr>
              <w:t>)</w:t>
            </w:r>
          </w:p>
        </w:tc>
        <w:tc>
          <w:tcPr>
            <w:tcW w:w="1020" w:type="dxa"/>
          </w:tcPr>
          <w:p w14:paraId="54F60FA2" w14:textId="207174E9" w:rsidR="005A7B7A" w:rsidRPr="00C601A2" w:rsidRDefault="005A7B7A" w:rsidP="005A7B7A">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E7031A">
              <w:t>0.42</w:t>
            </w:r>
          </w:p>
        </w:tc>
        <w:tc>
          <w:tcPr>
            <w:tcW w:w="1304" w:type="dxa"/>
          </w:tcPr>
          <w:p w14:paraId="7EC29543" w14:textId="5835E6A5" w:rsidR="005A7B7A" w:rsidRPr="005A7B7A" w:rsidRDefault="005A7B7A" w:rsidP="005A7B7A">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5A7B7A">
              <w:rPr>
                <w:b/>
                <w:bCs/>
              </w:rPr>
              <w:t>0.002</w:t>
            </w:r>
          </w:p>
        </w:tc>
        <w:tc>
          <w:tcPr>
            <w:tcW w:w="1191" w:type="dxa"/>
          </w:tcPr>
          <w:p w14:paraId="09E51C43" w14:textId="77777777" w:rsidR="005A7B7A" w:rsidRPr="00C601A2" w:rsidRDefault="005A7B7A" w:rsidP="005A7B7A">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2015–19</w:t>
            </w:r>
          </w:p>
        </w:tc>
        <w:tc>
          <w:tcPr>
            <w:tcW w:w="2041" w:type="dxa"/>
          </w:tcPr>
          <w:p w14:paraId="3579DFA0" w14:textId="41E99AC6" w:rsidR="005A7B7A" w:rsidRPr="00C601A2" w:rsidRDefault="005A7B7A" w:rsidP="005A7B7A">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Decrease</w:t>
            </w:r>
          </w:p>
        </w:tc>
      </w:tr>
      <w:tr w:rsidR="00C9103E" w:rsidRPr="00C601A2" w14:paraId="4768FA75"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3718C911" w14:textId="36AA016E" w:rsidR="00C9103E" w:rsidRPr="00446826" w:rsidRDefault="00C9103E" w:rsidP="00C9103E">
            <w:pPr>
              <w:pStyle w:val="RowHeading"/>
            </w:pPr>
            <w:r>
              <w:t>Gwydir River System</w:t>
            </w:r>
          </w:p>
        </w:tc>
        <w:tc>
          <w:tcPr>
            <w:tcW w:w="1020" w:type="dxa"/>
          </w:tcPr>
          <w:p w14:paraId="4CE65223" w14:textId="77777777" w:rsidR="00C9103E"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1304" w:type="dxa"/>
          </w:tcPr>
          <w:p w14:paraId="3AE9F510" w14:textId="77777777" w:rsidR="00C9103E" w:rsidRPr="008338C0"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1191" w:type="dxa"/>
          </w:tcPr>
          <w:p w14:paraId="3C6B3351" w14:textId="77777777" w:rsidR="00C9103E"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2041" w:type="dxa"/>
          </w:tcPr>
          <w:p w14:paraId="779C6F5B" w14:textId="77777777" w:rsidR="00C9103E"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r>
      <w:tr w:rsidR="005F03AF" w:rsidRPr="00C601A2" w14:paraId="1B170508"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15207DD8" w14:textId="1076513B" w:rsidR="005F03AF" w:rsidRPr="00C601A2" w:rsidRDefault="005F03AF" w:rsidP="005F03AF">
            <w:pPr>
              <w:pStyle w:val="TableText"/>
              <w:rPr>
                <w:rFonts w:cs="Calibri"/>
                <w:szCs w:val="18"/>
              </w:rPr>
            </w:pPr>
            <w:r w:rsidRPr="00446826">
              <w:rPr>
                <w:rFonts w:cs="Calibri"/>
                <w:szCs w:val="18"/>
              </w:rPr>
              <w:t>GWY_418001</w:t>
            </w:r>
            <w:r>
              <w:rPr>
                <w:rFonts w:cs="Calibri"/>
                <w:szCs w:val="18"/>
              </w:rPr>
              <w:t xml:space="preserve"> (</w:t>
            </w:r>
            <w:r>
              <w:rPr>
                <w:rFonts w:cs="Calibri"/>
                <w:szCs w:val="18"/>
              </w:rPr>
              <w:fldChar w:fldCharType="begin"/>
            </w:r>
            <w:r>
              <w:rPr>
                <w:rFonts w:cs="Calibri"/>
                <w:szCs w:val="18"/>
              </w:rPr>
              <w:instrText xml:space="preserve"> REF _Ref165318160 \h  \* MERGEFORMAT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37</w:t>
            </w:r>
            <w:r>
              <w:rPr>
                <w:rFonts w:cs="Calibri"/>
                <w:szCs w:val="18"/>
              </w:rPr>
              <w:fldChar w:fldCharType="end"/>
            </w:r>
            <w:r>
              <w:rPr>
                <w:rFonts w:cs="Calibri"/>
                <w:szCs w:val="18"/>
              </w:rPr>
              <w:t>)</w:t>
            </w:r>
          </w:p>
        </w:tc>
        <w:tc>
          <w:tcPr>
            <w:tcW w:w="1020" w:type="dxa"/>
          </w:tcPr>
          <w:p w14:paraId="1A888BF5" w14:textId="2903B229" w:rsidR="005F03AF" w:rsidRPr="00C601A2"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377C8B">
              <w:t>0.16</w:t>
            </w:r>
          </w:p>
        </w:tc>
        <w:tc>
          <w:tcPr>
            <w:tcW w:w="1304" w:type="dxa"/>
          </w:tcPr>
          <w:p w14:paraId="036DEA3C" w14:textId="7E40BF78" w:rsidR="005F03AF" w:rsidRPr="005F03AF"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5F03AF">
              <w:rPr>
                <w:b/>
                <w:bCs/>
              </w:rPr>
              <w:t>0.001</w:t>
            </w:r>
          </w:p>
        </w:tc>
        <w:tc>
          <w:tcPr>
            <w:tcW w:w="1191" w:type="dxa"/>
          </w:tcPr>
          <w:p w14:paraId="2ABFA410" w14:textId="08FC41CE" w:rsidR="005F03AF" w:rsidRPr="00C601A2"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2020–2</w:t>
            </w:r>
            <w:r w:rsidR="00E95B12">
              <w:rPr>
                <w:rFonts w:cs="Calibri"/>
                <w:szCs w:val="18"/>
              </w:rPr>
              <w:t>4</w:t>
            </w:r>
          </w:p>
        </w:tc>
        <w:tc>
          <w:tcPr>
            <w:tcW w:w="2041" w:type="dxa"/>
          </w:tcPr>
          <w:p w14:paraId="1505D05C" w14:textId="5DDABC67" w:rsidR="005F03AF" w:rsidRPr="00C601A2"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Decrease</w:t>
            </w:r>
          </w:p>
        </w:tc>
      </w:tr>
      <w:tr w:rsidR="005F03AF" w:rsidRPr="00C601A2" w14:paraId="2AFCDFAD"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414159D1" w14:textId="269024D5" w:rsidR="005F03AF" w:rsidRPr="00C601A2" w:rsidRDefault="005F03AF" w:rsidP="005F03AF">
            <w:pPr>
              <w:pStyle w:val="TableText"/>
              <w:rPr>
                <w:rFonts w:cs="Calibri"/>
                <w:szCs w:val="18"/>
              </w:rPr>
            </w:pPr>
            <w:r w:rsidRPr="00EF30EB">
              <w:rPr>
                <w:rFonts w:cs="Calibri"/>
                <w:szCs w:val="18"/>
              </w:rPr>
              <w:t>GWY_418053</w:t>
            </w:r>
            <w:r>
              <w:rPr>
                <w:rFonts w:cs="Calibri"/>
                <w:szCs w:val="18"/>
              </w:rPr>
              <w:t xml:space="preserve"> (</w:t>
            </w:r>
            <w:r>
              <w:rPr>
                <w:rFonts w:cs="Calibri"/>
                <w:szCs w:val="18"/>
              </w:rPr>
              <w:fldChar w:fldCharType="begin"/>
            </w:r>
            <w:r>
              <w:rPr>
                <w:rFonts w:cs="Calibri"/>
                <w:szCs w:val="18"/>
              </w:rPr>
              <w:instrText xml:space="preserve"> REF _Ref165318161 \h  \* MERGEFORMAT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38</w:t>
            </w:r>
            <w:r>
              <w:rPr>
                <w:rFonts w:cs="Calibri"/>
                <w:szCs w:val="18"/>
              </w:rPr>
              <w:fldChar w:fldCharType="end"/>
            </w:r>
            <w:r>
              <w:rPr>
                <w:rFonts w:cs="Calibri"/>
                <w:szCs w:val="18"/>
              </w:rPr>
              <w:t>)</w:t>
            </w:r>
          </w:p>
        </w:tc>
        <w:tc>
          <w:tcPr>
            <w:tcW w:w="1020" w:type="dxa"/>
          </w:tcPr>
          <w:p w14:paraId="031F84F7" w14:textId="7FBC6067" w:rsidR="005F03AF" w:rsidRPr="00C601A2"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377C8B">
              <w:t>0.52</w:t>
            </w:r>
          </w:p>
        </w:tc>
        <w:tc>
          <w:tcPr>
            <w:tcW w:w="1304" w:type="dxa"/>
          </w:tcPr>
          <w:p w14:paraId="6B3CA9A1" w14:textId="2A8F3A60" w:rsidR="005F03AF" w:rsidRPr="005F03AF"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5F03AF">
              <w:rPr>
                <w:b/>
                <w:bCs/>
              </w:rPr>
              <w:t>0.001</w:t>
            </w:r>
          </w:p>
        </w:tc>
        <w:tc>
          <w:tcPr>
            <w:tcW w:w="1191" w:type="dxa"/>
          </w:tcPr>
          <w:p w14:paraId="114484A6" w14:textId="1BF94911" w:rsidR="005F03AF" w:rsidRPr="00C601A2"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2023</w:t>
            </w:r>
          </w:p>
        </w:tc>
        <w:tc>
          <w:tcPr>
            <w:tcW w:w="2041" w:type="dxa"/>
          </w:tcPr>
          <w:p w14:paraId="0CA181CA" w14:textId="65815AD2" w:rsidR="005F03AF" w:rsidRPr="00C601A2"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Decrease</w:t>
            </w:r>
          </w:p>
        </w:tc>
      </w:tr>
      <w:tr w:rsidR="005F03AF" w:rsidRPr="00C601A2" w14:paraId="0AF319C5"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4F1FDCEE" w14:textId="7AA046FD" w:rsidR="005F03AF" w:rsidRPr="00C601A2" w:rsidRDefault="005F03AF" w:rsidP="005F03AF">
            <w:pPr>
              <w:pStyle w:val="TableText"/>
              <w:rPr>
                <w:rFonts w:cs="Calibri"/>
                <w:szCs w:val="18"/>
              </w:rPr>
            </w:pPr>
            <w:r w:rsidRPr="00663B0C">
              <w:rPr>
                <w:rFonts w:cs="Calibri"/>
                <w:szCs w:val="18"/>
              </w:rPr>
              <w:t>GWY_418077</w:t>
            </w:r>
            <w:r>
              <w:rPr>
                <w:rFonts w:cs="Calibri"/>
                <w:szCs w:val="18"/>
              </w:rPr>
              <w:t xml:space="preserve"> (</w:t>
            </w:r>
            <w:r>
              <w:rPr>
                <w:rFonts w:cs="Calibri"/>
                <w:szCs w:val="18"/>
              </w:rPr>
              <w:fldChar w:fldCharType="begin"/>
            </w:r>
            <w:r>
              <w:rPr>
                <w:rFonts w:cs="Calibri"/>
                <w:szCs w:val="18"/>
              </w:rPr>
              <w:instrText xml:space="preserve"> REF _Ref165318175 \h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39</w:t>
            </w:r>
            <w:r>
              <w:rPr>
                <w:rFonts w:cs="Calibri"/>
                <w:szCs w:val="18"/>
              </w:rPr>
              <w:fldChar w:fldCharType="end"/>
            </w:r>
            <w:r>
              <w:rPr>
                <w:rFonts w:cs="Calibri"/>
                <w:szCs w:val="18"/>
              </w:rPr>
              <w:t>)</w:t>
            </w:r>
          </w:p>
        </w:tc>
        <w:tc>
          <w:tcPr>
            <w:tcW w:w="1020" w:type="dxa"/>
          </w:tcPr>
          <w:p w14:paraId="146B6F2E" w14:textId="2F57ECFF" w:rsidR="005F03AF" w:rsidRPr="00C601A2"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t>N/A</w:t>
            </w:r>
          </w:p>
        </w:tc>
        <w:tc>
          <w:tcPr>
            <w:tcW w:w="1304" w:type="dxa"/>
          </w:tcPr>
          <w:p w14:paraId="7894ED95" w14:textId="5BB0F44A" w:rsidR="005F03AF" w:rsidRPr="00D167EF"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bCs/>
                <w:szCs w:val="18"/>
              </w:rPr>
            </w:pPr>
            <w:r>
              <w:t>N/A</w:t>
            </w:r>
          </w:p>
        </w:tc>
        <w:tc>
          <w:tcPr>
            <w:tcW w:w="1191" w:type="dxa"/>
          </w:tcPr>
          <w:p w14:paraId="046B5DFA" w14:textId="00DAD570" w:rsidR="005F03AF" w:rsidRPr="00C601A2"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2023</w:t>
            </w:r>
          </w:p>
        </w:tc>
        <w:tc>
          <w:tcPr>
            <w:tcW w:w="2041" w:type="dxa"/>
          </w:tcPr>
          <w:p w14:paraId="2600E237" w14:textId="2E6C8278" w:rsidR="005F03AF" w:rsidRPr="00C601A2"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Increase</w:t>
            </w:r>
          </w:p>
        </w:tc>
      </w:tr>
      <w:tr w:rsidR="005F03AF" w:rsidRPr="00C601A2" w14:paraId="45B5889D"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17E67ABA" w14:textId="300E702C" w:rsidR="005F03AF" w:rsidRPr="00663B0C" w:rsidRDefault="005F03AF" w:rsidP="005F03AF">
            <w:pPr>
              <w:pStyle w:val="TableText"/>
              <w:rPr>
                <w:rFonts w:cs="Calibri"/>
                <w:szCs w:val="18"/>
              </w:rPr>
            </w:pPr>
            <w:r w:rsidRPr="00DE725E">
              <w:rPr>
                <w:rFonts w:cs="Calibri"/>
                <w:szCs w:val="18"/>
              </w:rPr>
              <w:t>GWY_418078</w:t>
            </w:r>
            <w:r>
              <w:rPr>
                <w:rFonts w:cs="Calibri"/>
                <w:szCs w:val="18"/>
              </w:rPr>
              <w:t xml:space="preserve"> (</w:t>
            </w:r>
            <w:r>
              <w:rPr>
                <w:rFonts w:cs="Calibri"/>
                <w:szCs w:val="18"/>
              </w:rPr>
              <w:fldChar w:fldCharType="begin"/>
            </w:r>
            <w:r>
              <w:rPr>
                <w:rFonts w:cs="Calibri"/>
                <w:szCs w:val="18"/>
              </w:rPr>
              <w:instrText xml:space="preserve"> REF _Ref165318184 \h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40</w:t>
            </w:r>
            <w:r>
              <w:rPr>
                <w:rFonts w:cs="Calibri"/>
                <w:szCs w:val="18"/>
              </w:rPr>
              <w:fldChar w:fldCharType="end"/>
            </w:r>
            <w:r>
              <w:rPr>
                <w:rFonts w:cs="Calibri"/>
                <w:szCs w:val="18"/>
              </w:rPr>
              <w:t>)</w:t>
            </w:r>
          </w:p>
        </w:tc>
        <w:tc>
          <w:tcPr>
            <w:tcW w:w="1020" w:type="dxa"/>
          </w:tcPr>
          <w:p w14:paraId="7FFEF1EE" w14:textId="17715167" w:rsidR="005F03AF"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377C8B">
              <w:t>0.10</w:t>
            </w:r>
          </w:p>
        </w:tc>
        <w:tc>
          <w:tcPr>
            <w:tcW w:w="1304" w:type="dxa"/>
          </w:tcPr>
          <w:p w14:paraId="729438C9" w14:textId="228F267A" w:rsidR="005F03AF" w:rsidRPr="00D167EF"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bCs/>
                <w:szCs w:val="18"/>
              </w:rPr>
            </w:pPr>
            <w:r w:rsidRPr="00377C8B">
              <w:t>0.197</w:t>
            </w:r>
          </w:p>
        </w:tc>
        <w:tc>
          <w:tcPr>
            <w:tcW w:w="1191" w:type="dxa"/>
          </w:tcPr>
          <w:p w14:paraId="3B5364A4" w14:textId="184BA2BB" w:rsidR="005F03AF"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2022</w:t>
            </w:r>
            <w:r w:rsidR="00B57FE3">
              <w:rPr>
                <w:rFonts w:cs="Calibri"/>
                <w:szCs w:val="18"/>
              </w:rPr>
              <w:t>–</w:t>
            </w:r>
            <w:r w:rsidR="00145EF5">
              <w:rPr>
                <w:rFonts w:cs="Calibri"/>
                <w:szCs w:val="18"/>
              </w:rPr>
              <w:t>24</w:t>
            </w:r>
          </w:p>
        </w:tc>
        <w:tc>
          <w:tcPr>
            <w:tcW w:w="2041" w:type="dxa"/>
          </w:tcPr>
          <w:p w14:paraId="0948B788" w14:textId="621661EE" w:rsidR="005F03AF" w:rsidRPr="00C601A2" w:rsidRDefault="005F03AF" w:rsidP="005F03AF">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5F03AF" w:rsidRPr="00C601A2" w14:paraId="60974808"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70730AE0" w14:textId="7A2C0A27" w:rsidR="005F03AF" w:rsidRPr="00663B0C" w:rsidRDefault="005F03AF" w:rsidP="005F03AF">
            <w:pPr>
              <w:pStyle w:val="TableText"/>
              <w:rPr>
                <w:rFonts w:cs="Calibri"/>
                <w:szCs w:val="18"/>
              </w:rPr>
            </w:pPr>
            <w:r w:rsidRPr="00534C67">
              <w:rPr>
                <w:rFonts w:cs="Calibri"/>
                <w:szCs w:val="18"/>
              </w:rPr>
              <w:t>GWY_ME1</w:t>
            </w:r>
            <w:r>
              <w:rPr>
                <w:rFonts w:cs="Calibri"/>
                <w:szCs w:val="18"/>
              </w:rPr>
              <w:t xml:space="preserve"> (</w:t>
            </w:r>
            <w:r>
              <w:rPr>
                <w:rFonts w:cs="Calibri"/>
                <w:szCs w:val="18"/>
              </w:rPr>
              <w:fldChar w:fldCharType="begin"/>
            </w:r>
            <w:r>
              <w:rPr>
                <w:rFonts w:cs="Calibri"/>
                <w:szCs w:val="18"/>
              </w:rPr>
              <w:instrText xml:space="preserve"> REF _Ref165318200 \h  \* MERGEFORMAT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41</w:t>
            </w:r>
            <w:r>
              <w:rPr>
                <w:rFonts w:cs="Calibri"/>
                <w:szCs w:val="18"/>
              </w:rPr>
              <w:fldChar w:fldCharType="end"/>
            </w:r>
            <w:r>
              <w:rPr>
                <w:rFonts w:cs="Calibri"/>
                <w:szCs w:val="18"/>
              </w:rPr>
              <w:t>)</w:t>
            </w:r>
          </w:p>
        </w:tc>
        <w:tc>
          <w:tcPr>
            <w:tcW w:w="1020" w:type="dxa"/>
          </w:tcPr>
          <w:p w14:paraId="08753827" w14:textId="3B521B13" w:rsidR="005F03AF"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377C8B">
              <w:t>0.24</w:t>
            </w:r>
          </w:p>
        </w:tc>
        <w:tc>
          <w:tcPr>
            <w:tcW w:w="1304" w:type="dxa"/>
          </w:tcPr>
          <w:p w14:paraId="13F7DE8D" w14:textId="1864C215" w:rsidR="005F03AF" w:rsidRPr="005F03AF"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5F03AF">
              <w:rPr>
                <w:b/>
                <w:bCs/>
              </w:rPr>
              <w:t>0.001</w:t>
            </w:r>
          </w:p>
        </w:tc>
        <w:tc>
          <w:tcPr>
            <w:tcW w:w="1191" w:type="dxa"/>
          </w:tcPr>
          <w:p w14:paraId="27218B69" w14:textId="56A0AA0C" w:rsidR="005F03AF"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2022–2</w:t>
            </w:r>
            <w:r w:rsidR="00145EF5">
              <w:rPr>
                <w:rFonts w:cs="Calibri"/>
                <w:szCs w:val="18"/>
              </w:rPr>
              <w:t>4</w:t>
            </w:r>
          </w:p>
        </w:tc>
        <w:tc>
          <w:tcPr>
            <w:tcW w:w="2041" w:type="dxa"/>
          </w:tcPr>
          <w:p w14:paraId="4CEDF9DC" w14:textId="6353E3D3" w:rsidR="005F03AF" w:rsidRPr="00C601A2" w:rsidRDefault="005F03AF" w:rsidP="005F03AF">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Decrease</w:t>
            </w:r>
          </w:p>
        </w:tc>
      </w:tr>
      <w:tr w:rsidR="00C9103E" w:rsidRPr="00C601A2" w14:paraId="1450F43C"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D0EAFF" w:themeFill="accent2" w:themeFillTint="1A"/>
          </w:tcPr>
          <w:p w14:paraId="62F2791B" w14:textId="23FE9945" w:rsidR="00C9103E" w:rsidRPr="00C601A2" w:rsidRDefault="00C9103E" w:rsidP="00601735">
            <w:pPr>
              <w:pStyle w:val="RowHeading"/>
              <w:keepNext/>
            </w:pPr>
            <w:r>
              <w:t>Southern Basin</w:t>
            </w:r>
          </w:p>
        </w:tc>
        <w:tc>
          <w:tcPr>
            <w:tcW w:w="1020" w:type="dxa"/>
            <w:shd w:val="clear" w:color="auto" w:fill="D0EAFF" w:themeFill="accent2" w:themeFillTint="1A"/>
          </w:tcPr>
          <w:p w14:paraId="0B1CDF26"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rPr>
                <w:rFonts w:cs="Calibri"/>
                <w:szCs w:val="18"/>
              </w:rPr>
            </w:pPr>
          </w:p>
        </w:tc>
        <w:tc>
          <w:tcPr>
            <w:tcW w:w="1304" w:type="dxa"/>
            <w:shd w:val="clear" w:color="auto" w:fill="D0EAFF" w:themeFill="accent2" w:themeFillTint="1A"/>
          </w:tcPr>
          <w:p w14:paraId="6DA95C37"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1191" w:type="dxa"/>
            <w:shd w:val="clear" w:color="auto" w:fill="D0EAFF" w:themeFill="accent2" w:themeFillTint="1A"/>
          </w:tcPr>
          <w:p w14:paraId="154398A7"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2041" w:type="dxa"/>
            <w:shd w:val="clear" w:color="auto" w:fill="D0EAFF" w:themeFill="accent2" w:themeFillTint="1A"/>
          </w:tcPr>
          <w:p w14:paraId="5D43FD15"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r>
      <w:tr w:rsidR="00C9103E" w:rsidRPr="00C601A2" w14:paraId="3EFF2C17"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0555D66D" w14:textId="14AB65BF" w:rsidR="00C9103E" w:rsidRPr="00C601A2" w:rsidRDefault="00C9103E" w:rsidP="007F0D0F">
            <w:pPr>
              <w:pStyle w:val="RowHeading"/>
              <w:keepNext/>
            </w:pPr>
            <w:r w:rsidRPr="00C601A2">
              <w:t>Edward/Kolety–Wakool river systems</w:t>
            </w:r>
          </w:p>
        </w:tc>
        <w:tc>
          <w:tcPr>
            <w:tcW w:w="1020" w:type="dxa"/>
          </w:tcPr>
          <w:p w14:paraId="490FD9A8" w14:textId="77777777" w:rsidR="00C9103E" w:rsidRPr="00C601A2"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c>
          <w:tcPr>
            <w:tcW w:w="1304" w:type="dxa"/>
          </w:tcPr>
          <w:p w14:paraId="001DD581" w14:textId="77777777" w:rsidR="00C9103E" w:rsidRPr="00C601A2"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c>
          <w:tcPr>
            <w:tcW w:w="1191" w:type="dxa"/>
          </w:tcPr>
          <w:p w14:paraId="139476AE" w14:textId="77777777" w:rsidR="00C9103E" w:rsidRPr="00C601A2"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c>
          <w:tcPr>
            <w:tcW w:w="2041" w:type="dxa"/>
          </w:tcPr>
          <w:p w14:paraId="4199A942" w14:textId="77777777" w:rsidR="00C9103E" w:rsidRPr="00C601A2" w:rsidRDefault="00C9103E" w:rsidP="00C9103E">
            <w:pPr>
              <w:pStyle w:val="RowHeading"/>
              <w:cnfStyle w:val="000000000000" w:firstRow="0" w:lastRow="0" w:firstColumn="0" w:lastColumn="0" w:oddVBand="0" w:evenVBand="0" w:oddHBand="0" w:evenHBand="0" w:firstRowFirstColumn="0" w:firstRowLastColumn="0" w:lastRowFirstColumn="0" w:lastRowLastColumn="0"/>
            </w:pPr>
          </w:p>
        </w:tc>
      </w:tr>
      <w:tr w:rsidR="00BB194E" w:rsidRPr="00C601A2" w14:paraId="7821E3AD"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6FB29BED" w14:textId="65E0EAAA" w:rsidR="00BB194E" w:rsidRPr="00C601A2" w:rsidRDefault="00BB194E" w:rsidP="00BB194E">
            <w:pPr>
              <w:pStyle w:val="TableText"/>
              <w:rPr>
                <w:rFonts w:cs="Calibri"/>
                <w:szCs w:val="18"/>
              </w:rPr>
            </w:pPr>
            <w:r w:rsidRPr="00C601A2">
              <w:rPr>
                <w:rFonts w:cs="Calibri"/>
                <w:szCs w:val="18"/>
              </w:rPr>
              <w:t>Cummins (</w:t>
            </w:r>
            <w:r w:rsidRPr="00C601A2">
              <w:rPr>
                <w:rFonts w:cs="Calibri"/>
                <w:color w:val="2B579A"/>
                <w:szCs w:val="18"/>
                <w:shd w:val="clear" w:color="auto" w:fill="E6E6E6"/>
              </w:rPr>
              <w:fldChar w:fldCharType="begin"/>
            </w:r>
            <w:r w:rsidRPr="00C601A2">
              <w:rPr>
                <w:rFonts w:cs="Calibri"/>
                <w:szCs w:val="18"/>
              </w:rPr>
              <w:instrText xml:space="preserve"> REF _Ref106045187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10</w:t>
            </w:r>
            <w:r w:rsidRPr="00C601A2">
              <w:rPr>
                <w:rFonts w:cs="Calibri"/>
                <w:color w:val="2B579A"/>
                <w:szCs w:val="18"/>
                <w:shd w:val="clear" w:color="auto" w:fill="E6E6E6"/>
              </w:rPr>
              <w:fldChar w:fldCharType="end"/>
            </w:r>
            <w:r w:rsidRPr="00C601A2">
              <w:rPr>
                <w:rFonts w:cs="Calibri"/>
                <w:szCs w:val="18"/>
              </w:rPr>
              <w:t>)</w:t>
            </w:r>
          </w:p>
        </w:tc>
        <w:tc>
          <w:tcPr>
            <w:tcW w:w="1020" w:type="dxa"/>
          </w:tcPr>
          <w:p w14:paraId="3214B5C8" w14:textId="7040AF89"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735FFD">
              <w:t>0.14</w:t>
            </w:r>
          </w:p>
        </w:tc>
        <w:tc>
          <w:tcPr>
            <w:tcW w:w="1304" w:type="dxa"/>
          </w:tcPr>
          <w:p w14:paraId="5F8E8136" w14:textId="66216BB8" w:rsidR="00BB194E" w:rsidRPr="00BB194E"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BB194E">
              <w:rPr>
                <w:b/>
                <w:bCs/>
              </w:rPr>
              <w:t>0.001</w:t>
            </w:r>
          </w:p>
        </w:tc>
        <w:tc>
          <w:tcPr>
            <w:tcW w:w="1191" w:type="dxa"/>
          </w:tcPr>
          <w:p w14:paraId="78FFE05C" w14:textId="77777777"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2016–19</w:t>
            </w:r>
          </w:p>
        </w:tc>
        <w:tc>
          <w:tcPr>
            <w:tcW w:w="2041" w:type="dxa"/>
          </w:tcPr>
          <w:p w14:paraId="0B4F3145" w14:textId="77777777"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BB194E" w:rsidRPr="00C601A2" w14:paraId="353ECEC2"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74CC6A4C" w14:textId="7F2E3B64" w:rsidR="00BB194E" w:rsidRPr="00C601A2" w:rsidRDefault="00BB194E" w:rsidP="00BB194E">
            <w:pPr>
              <w:pStyle w:val="TableText"/>
              <w:rPr>
                <w:rFonts w:cs="Calibri"/>
                <w:szCs w:val="18"/>
              </w:rPr>
            </w:pPr>
            <w:r w:rsidRPr="00C601A2">
              <w:rPr>
                <w:rFonts w:cs="Calibri"/>
                <w:szCs w:val="18"/>
              </w:rPr>
              <w:t>Hopwood (</w:t>
            </w:r>
            <w:r w:rsidRPr="00C601A2">
              <w:rPr>
                <w:rFonts w:cs="Calibri"/>
                <w:color w:val="2B579A"/>
                <w:szCs w:val="18"/>
                <w:shd w:val="clear" w:color="auto" w:fill="E6E6E6"/>
              </w:rPr>
              <w:fldChar w:fldCharType="begin"/>
            </w:r>
            <w:r w:rsidRPr="00C601A2">
              <w:rPr>
                <w:rFonts w:cs="Calibri"/>
                <w:szCs w:val="18"/>
              </w:rPr>
              <w:instrText xml:space="preserve"> REF _Ref106045495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w:t>
            </w:r>
            <w:r w:rsidRPr="00C601A2">
              <w:rPr>
                <w:rFonts w:cs="Calibri"/>
                <w:color w:val="2B579A"/>
                <w:szCs w:val="18"/>
                <w:shd w:val="clear" w:color="auto" w:fill="E6E6E6"/>
              </w:rPr>
              <w:fldChar w:fldCharType="end"/>
            </w:r>
            <w:r w:rsidRPr="00C601A2">
              <w:rPr>
                <w:rFonts w:cs="Calibri"/>
                <w:szCs w:val="18"/>
              </w:rPr>
              <w:t>)</w:t>
            </w:r>
          </w:p>
        </w:tc>
        <w:tc>
          <w:tcPr>
            <w:tcW w:w="1020" w:type="dxa"/>
          </w:tcPr>
          <w:p w14:paraId="6116CA29" w14:textId="2FE58784"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735FFD">
              <w:t>0.14</w:t>
            </w:r>
          </w:p>
        </w:tc>
        <w:tc>
          <w:tcPr>
            <w:tcW w:w="1304" w:type="dxa"/>
          </w:tcPr>
          <w:p w14:paraId="42567E1B" w14:textId="144416A6" w:rsidR="00BB194E" w:rsidRPr="00BB194E"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BB194E">
              <w:rPr>
                <w:b/>
                <w:bCs/>
              </w:rPr>
              <w:t>0.001</w:t>
            </w:r>
          </w:p>
        </w:tc>
        <w:tc>
          <w:tcPr>
            <w:tcW w:w="1191" w:type="dxa"/>
          </w:tcPr>
          <w:p w14:paraId="0B30AB47" w14:textId="77777777"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2014–19</w:t>
            </w:r>
          </w:p>
        </w:tc>
        <w:tc>
          <w:tcPr>
            <w:tcW w:w="2041" w:type="dxa"/>
          </w:tcPr>
          <w:p w14:paraId="6527719F" w14:textId="77777777"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BB194E" w:rsidRPr="00C601A2" w14:paraId="6A23B65A"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0EBC0661" w14:textId="6104E710" w:rsidR="00BB194E" w:rsidRPr="00C601A2" w:rsidRDefault="00BB194E" w:rsidP="00BB194E">
            <w:pPr>
              <w:pStyle w:val="TableText"/>
              <w:rPr>
                <w:rFonts w:cs="Calibri"/>
                <w:szCs w:val="18"/>
              </w:rPr>
            </w:pPr>
            <w:r w:rsidRPr="00C601A2">
              <w:rPr>
                <w:rFonts w:cs="Calibri"/>
                <w:szCs w:val="18"/>
              </w:rPr>
              <w:t>Llanos Park 2 (</w:t>
            </w:r>
            <w:r w:rsidRPr="00C601A2">
              <w:rPr>
                <w:rFonts w:cs="Calibri"/>
                <w:color w:val="2B579A"/>
                <w:szCs w:val="18"/>
                <w:shd w:val="clear" w:color="auto" w:fill="E6E6E6"/>
              </w:rPr>
              <w:fldChar w:fldCharType="begin"/>
            </w:r>
            <w:r w:rsidRPr="00C601A2">
              <w:rPr>
                <w:rFonts w:cs="Calibri"/>
                <w:szCs w:val="18"/>
              </w:rPr>
              <w:instrText xml:space="preserve"> REF _Ref106045451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4</w:t>
            </w:r>
            <w:r w:rsidRPr="00C601A2">
              <w:rPr>
                <w:rFonts w:cs="Calibri"/>
                <w:color w:val="2B579A"/>
                <w:szCs w:val="18"/>
                <w:shd w:val="clear" w:color="auto" w:fill="E6E6E6"/>
              </w:rPr>
              <w:fldChar w:fldCharType="end"/>
            </w:r>
            <w:r w:rsidRPr="00C601A2">
              <w:rPr>
                <w:rFonts w:cs="Calibri"/>
                <w:szCs w:val="18"/>
              </w:rPr>
              <w:t>)</w:t>
            </w:r>
          </w:p>
        </w:tc>
        <w:tc>
          <w:tcPr>
            <w:tcW w:w="1020" w:type="dxa"/>
          </w:tcPr>
          <w:p w14:paraId="5E4D7727" w14:textId="24DD65BE"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735FFD">
              <w:t>0.14</w:t>
            </w:r>
          </w:p>
        </w:tc>
        <w:tc>
          <w:tcPr>
            <w:tcW w:w="1304" w:type="dxa"/>
          </w:tcPr>
          <w:p w14:paraId="5CE0EAAF" w14:textId="582FF015" w:rsidR="00BB194E" w:rsidRPr="00BB194E"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BB194E">
              <w:rPr>
                <w:b/>
                <w:bCs/>
              </w:rPr>
              <w:t>0.001</w:t>
            </w:r>
          </w:p>
        </w:tc>
        <w:tc>
          <w:tcPr>
            <w:tcW w:w="1191" w:type="dxa"/>
          </w:tcPr>
          <w:p w14:paraId="3B981B68" w14:textId="60E45506"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2014–2</w:t>
            </w:r>
            <w:r w:rsidR="002D232C">
              <w:rPr>
                <w:rFonts w:cs="Calibri"/>
                <w:szCs w:val="18"/>
              </w:rPr>
              <w:t>4</w:t>
            </w:r>
          </w:p>
        </w:tc>
        <w:tc>
          <w:tcPr>
            <w:tcW w:w="2041" w:type="dxa"/>
          </w:tcPr>
          <w:p w14:paraId="55604AD5" w14:textId="77777777"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BB194E" w:rsidRPr="00C601A2" w14:paraId="647676D5"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5C9EBDC1" w14:textId="441469A2" w:rsidR="00BB194E" w:rsidRPr="00C601A2" w:rsidRDefault="00BB194E" w:rsidP="00BB194E">
            <w:pPr>
              <w:pStyle w:val="TableText"/>
              <w:rPr>
                <w:rFonts w:cs="Calibri"/>
                <w:szCs w:val="18"/>
              </w:rPr>
            </w:pPr>
            <w:r w:rsidRPr="00C601A2">
              <w:rPr>
                <w:rFonts w:cs="Calibri"/>
                <w:szCs w:val="18"/>
              </w:rPr>
              <w:t>Moulamein Road Bridge (</w:t>
            </w:r>
            <w:r w:rsidRPr="00C601A2">
              <w:rPr>
                <w:rFonts w:cs="Calibri"/>
                <w:color w:val="2B579A"/>
                <w:szCs w:val="18"/>
                <w:shd w:val="clear" w:color="auto" w:fill="E6E6E6"/>
              </w:rPr>
              <w:fldChar w:fldCharType="begin"/>
            </w:r>
            <w:r w:rsidRPr="00C601A2">
              <w:rPr>
                <w:rFonts w:cs="Calibri"/>
                <w:szCs w:val="18"/>
              </w:rPr>
              <w:instrText xml:space="preserve"> REF _Ref106045416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5</w:t>
            </w:r>
            <w:r w:rsidRPr="00C601A2">
              <w:rPr>
                <w:rFonts w:cs="Calibri"/>
                <w:color w:val="2B579A"/>
                <w:szCs w:val="18"/>
                <w:shd w:val="clear" w:color="auto" w:fill="E6E6E6"/>
              </w:rPr>
              <w:fldChar w:fldCharType="end"/>
            </w:r>
            <w:r w:rsidRPr="00C601A2">
              <w:rPr>
                <w:rFonts w:cs="Calibri"/>
                <w:szCs w:val="18"/>
              </w:rPr>
              <w:t>)</w:t>
            </w:r>
          </w:p>
        </w:tc>
        <w:tc>
          <w:tcPr>
            <w:tcW w:w="1020" w:type="dxa"/>
          </w:tcPr>
          <w:p w14:paraId="50E288BA" w14:textId="02765671"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735FFD">
              <w:t>0.03</w:t>
            </w:r>
          </w:p>
        </w:tc>
        <w:tc>
          <w:tcPr>
            <w:tcW w:w="1304" w:type="dxa"/>
          </w:tcPr>
          <w:p w14:paraId="1DA42BD4" w14:textId="5055B85B" w:rsidR="00BB194E" w:rsidRPr="00BB194E"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BB194E">
              <w:rPr>
                <w:b/>
                <w:bCs/>
              </w:rPr>
              <w:t>0.001</w:t>
            </w:r>
          </w:p>
        </w:tc>
        <w:tc>
          <w:tcPr>
            <w:tcW w:w="1191" w:type="dxa"/>
          </w:tcPr>
          <w:p w14:paraId="3E3218D7" w14:textId="78470CEC"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2014–2</w:t>
            </w:r>
            <w:r w:rsidR="002D232C">
              <w:rPr>
                <w:rFonts w:cs="Calibri"/>
                <w:szCs w:val="18"/>
              </w:rPr>
              <w:t>4</w:t>
            </w:r>
          </w:p>
        </w:tc>
        <w:tc>
          <w:tcPr>
            <w:tcW w:w="2041" w:type="dxa"/>
          </w:tcPr>
          <w:p w14:paraId="22EFCC1F" w14:textId="21A19BC5"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Neutral</w:t>
            </w:r>
          </w:p>
        </w:tc>
      </w:tr>
      <w:tr w:rsidR="00BB194E" w:rsidRPr="00C601A2" w14:paraId="7EE4FDC1"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04BC5336" w14:textId="106C0B17" w:rsidR="00BB194E" w:rsidRPr="00C601A2" w:rsidRDefault="00BB194E" w:rsidP="00BB194E">
            <w:pPr>
              <w:pStyle w:val="TableText"/>
              <w:rPr>
                <w:rFonts w:cs="Calibri"/>
                <w:szCs w:val="18"/>
              </w:rPr>
            </w:pPr>
            <w:proofErr w:type="spellStart"/>
            <w:r w:rsidRPr="00C601A2">
              <w:rPr>
                <w:rFonts w:cs="Calibri"/>
                <w:szCs w:val="18"/>
              </w:rPr>
              <w:t>Noorong</w:t>
            </w:r>
            <w:proofErr w:type="spellEnd"/>
            <w:r w:rsidRPr="00C601A2">
              <w:rPr>
                <w:rFonts w:cs="Calibri"/>
                <w:szCs w:val="18"/>
              </w:rPr>
              <w:t xml:space="preserve"> 2 (</w:t>
            </w:r>
            <w:r w:rsidRPr="00C601A2">
              <w:rPr>
                <w:color w:val="2B579A"/>
                <w:szCs w:val="18"/>
                <w:shd w:val="clear" w:color="auto" w:fill="E6E6E6"/>
              </w:rPr>
              <w:fldChar w:fldCharType="begin"/>
            </w:r>
            <w:r w:rsidRPr="00C601A2">
              <w:rPr>
                <w:szCs w:val="18"/>
              </w:rPr>
              <w:instrText xml:space="preserve"> REF _Ref106045336 \h  \* MERGEFORMAT </w:instrText>
            </w:r>
            <w:r w:rsidRPr="00C601A2">
              <w:rPr>
                <w:color w:val="2B579A"/>
                <w:szCs w:val="18"/>
                <w:shd w:val="clear" w:color="auto" w:fill="E6E6E6"/>
              </w:rPr>
            </w:r>
            <w:r w:rsidRPr="00C601A2">
              <w:rPr>
                <w:color w:val="2B579A"/>
                <w:szCs w:val="18"/>
                <w:shd w:val="clear" w:color="auto" w:fill="E6E6E6"/>
              </w:rPr>
              <w:fldChar w:fldCharType="separate"/>
            </w:r>
            <w:r w:rsidR="00492712" w:rsidRPr="001B4152">
              <w:rPr>
                <w:szCs w:val="18"/>
              </w:rPr>
              <w:t xml:space="preserve">Figure </w:t>
            </w:r>
            <w:r w:rsidR="00492712">
              <w:rPr>
                <w:noProof/>
              </w:rPr>
              <w:t>A</w:t>
            </w:r>
            <w:r w:rsidR="00492712" w:rsidRPr="001B4152">
              <w:rPr>
                <w:szCs w:val="18"/>
              </w:rPr>
              <w:t>.</w:t>
            </w:r>
            <w:r w:rsidR="00492712">
              <w:rPr>
                <w:noProof/>
              </w:rPr>
              <w:t>6</w:t>
            </w:r>
            <w:r w:rsidRPr="00C601A2">
              <w:rPr>
                <w:color w:val="2B579A"/>
                <w:szCs w:val="18"/>
                <w:shd w:val="clear" w:color="auto" w:fill="E6E6E6"/>
              </w:rPr>
              <w:fldChar w:fldCharType="end"/>
            </w:r>
            <w:r w:rsidRPr="00C601A2">
              <w:rPr>
                <w:rFonts w:cs="Calibri"/>
                <w:szCs w:val="18"/>
              </w:rPr>
              <w:t>)</w:t>
            </w:r>
          </w:p>
        </w:tc>
        <w:tc>
          <w:tcPr>
            <w:tcW w:w="1020" w:type="dxa"/>
          </w:tcPr>
          <w:p w14:paraId="47D0F0F8" w14:textId="07D45C4A"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735FFD">
              <w:t>0.01</w:t>
            </w:r>
          </w:p>
        </w:tc>
        <w:tc>
          <w:tcPr>
            <w:tcW w:w="1304" w:type="dxa"/>
          </w:tcPr>
          <w:p w14:paraId="35B93655" w14:textId="0BE79EA9" w:rsidR="00BB194E" w:rsidRPr="00BB194E"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BB194E">
              <w:rPr>
                <w:b/>
                <w:bCs/>
              </w:rPr>
              <w:t>0.003</w:t>
            </w:r>
          </w:p>
        </w:tc>
        <w:tc>
          <w:tcPr>
            <w:tcW w:w="1191" w:type="dxa"/>
          </w:tcPr>
          <w:p w14:paraId="1D66255C" w14:textId="7A66037D"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2014–2</w:t>
            </w:r>
            <w:r w:rsidR="002D232C">
              <w:rPr>
                <w:rFonts w:cs="Calibri"/>
                <w:szCs w:val="18"/>
              </w:rPr>
              <w:t>4</w:t>
            </w:r>
          </w:p>
        </w:tc>
        <w:tc>
          <w:tcPr>
            <w:tcW w:w="2041" w:type="dxa"/>
          </w:tcPr>
          <w:p w14:paraId="72B40306" w14:textId="4D00F7D0"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BB194E" w:rsidRPr="00C601A2" w14:paraId="0F9ED7F8"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242EEA59" w14:textId="5B4032BA" w:rsidR="00BB194E" w:rsidRPr="00C601A2" w:rsidRDefault="00BB194E" w:rsidP="00BB194E">
            <w:pPr>
              <w:pStyle w:val="TableText"/>
              <w:rPr>
                <w:rFonts w:cs="Calibri"/>
                <w:szCs w:val="18"/>
              </w:rPr>
            </w:pPr>
            <w:r w:rsidRPr="00C601A2">
              <w:rPr>
                <w:rFonts w:cs="Calibri"/>
                <w:szCs w:val="18"/>
              </w:rPr>
              <w:t>Old Morago Road (</w:t>
            </w:r>
            <w:r w:rsidRPr="00C601A2">
              <w:rPr>
                <w:rFonts w:cs="Calibri"/>
                <w:color w:val="2B579A"/>
                <w:szCs w:val="18"/>
                <w:shd w:val="clear" w:color="auto" w:fill="E6E6E6"/>
              </w:rPr>
              <w:fldChar w:fldCharType="begin"/>
            </w:r>
            <w:r w:rsidRPr="00C601A2">
              <w:rPr>
                <w:rFonts w:cs="Calibri"/>
                <w:szCs w:val="18"/>
              </w:rPr>
              <w:instrText xml:space="preserve"> REF _Ref106045246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7</w:t>
            </w:r>
            <w:r w:rsidRPr="00C601A2">
              <w:rPr>
                <w:rFonts w:cs="Calibri"/>
                <w:color w:val="2B579A"/>
                <w:szCs w:val="18"/>
                <w:shd w:val="clear" w:color="auto" w:fill="E6E6E6"/>
              </w:rPr>
              <w:fldChar w:fldCharType="end"/>
            </w:r>
            <w:r w:rsidRPr="00C601A2">
              <w:rPr>
                <w:rFonts w:cs="Calibri"/>
                <w:szCs w:val="18"/>
              </w:rPr>
              <w:t>)</w:t>
            </w:r>
          </w:p>
        </w:tc>
        <w:tc>
          <w:tcPr>
            <w:tcW w:w="1020" w:type="dxa"/>
          </w:tcPr>
          <w:p w14:paraId="36E12F66" w14:textId="5524928C"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735FFD">
              <w:t>0.05</w:t>
            </w:r>
          </w:p>
        </w:tc>
        <w:tc>
          <w:tcPr>
            <w:tcW w:w="1304" w:type="dxa"/>
          </w:tcPr>
          <w:p w14:paraId="77E43870" w14:textId="4621EB67" w:rsidR="00BB194E" w:rsidRPr="00BB194E"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BB194E">
              <w:rPr>
                <w:b/>
                <w:bCs/>
              </w:rPr>
              <w:t>0.001</w:t>
            </w:r>
          </w:p>
        </w:tc>
        <w:tc>
          <w:tcPr>
            <w:tcW w:w="1191" w:type="dxa"/>
          </w:tcPr>
          <w:p w14:paraId="09561F78" w14:textId="5DF058AE"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2020–2</w:t>
            </w:r>
            <w:r w:rsidR="005A153F">
              <w:rPr>
                <w:rFonts w:cs="Calibri"/>
                <w:szCs w:val="18"/>
              </w:rPr>
              <w:t>4</w:t>
            </w:r>
          </w:p>
        </w:tc>
        <w:tc>
          <w:tcPr>
            <w:tcW w:w="2041" w:type="dxa"/>
          </w:tcPr>
          <w:p w14:paraId="4801FEF5" w14:textId="77777777"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BB194E" w:rsidRPr="00C601A2" w14:paraId="102F96F9"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5770E8D4" w14:textId="70AF11E0" w:rsidR="00BB194E" w:rsidRPr="00C601A2" w:rsidRDefault="00BB194E" w:rsidP="00BB194E">
            <w:pPr>
              <w:pStyle w:val="TableText"/>
              <w:rPr>
                <w:rFonts w:cs="Calibri"/>
                <w:szCs w:val="18"/>
              </w:rPr>
            </w:pPr>
            <w:proofErr w:type="spellStart"/>
            <w:r w:rsidRPr="00C601A2">
              <w:rPr>
                <w:rFonts w:cs="Calibri"/>
                <w:szCs w:val="18"/>
              </w:rPr>
              <w:t>Widgee</w:t>
            </w:r>
            <w:proofErr w:type="spellEnd"/>
            <w:r w:rsidRPr="00C601A2">
              <w:rPr>
                <w:rFonts w:cs="Calibri"/>
                <w:szCs w:val="18"/>
              </w:rPr>
              <w:t xml:space="preserve"> 1 (</w:t>
            </w:r>
            <w:r w:rsidRPr="00C601A2">
              <w:rPr>
                <w:rFonts w:cs="Calibri"/>
                <w:color w:val="2B579A"/>
                <w:szCs w:val="18"/>
                <w:shd w:val="clear" w:color="auto" w:fill="E6E6E6"/>
              </w:rPr>
              <w:fldChar w:fldCharType="begin"/>
            </w:r>
            <w:r w:rsidRPr="00C601A2">
              <w:rPr>
                <w:rFonts w:cs="Calibri"/>
                <w:szCs w:val="18"/>
              </w:rPr>
              <w:instrText xml:space="preserve"> REF _Ref106045543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8</w:t>
            </w:r>
            <w:r w:rsidRPr="00C601A2">
              <w:rPr>
                <w:rFonts w:cs="Calibri"/>
                <w:color w:val="2B579A"/>
                <w:szCs w:val="18"/>
                <w:shd w:val="clear" w:color="auto" w:fill="E6E6E6"/>
              </w:rPr>
              <w:fldChar w:fldCharType="end"/>
            </w:r>
            <w:r w:rsidRPr="00C601A2">
              <w:rPr>
                <w:rFonts w:cs="Calibri"/>
                <w:szCs w:val="18"/>
              </w:rPr>
              <w:t>)</w:t>
            </w:r>
          </w:p>
        </w:tc>
        <w:tc>
          <w:tcPr>
            <w:tcW w:w="1020" w:type="dxa"/>
          </w:tcPr>
          <w:p w14:paraId="21A0E0DD" w14:textId="17483E2B"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735FFD">
              <w:t>0.05</w:t>
            </w:r>
          </w:p>
        </w:tc>
        <w:tc>
          <w:tcPr>
            <w:tcW w:w="1304" w:type="dxa"/>
          </w:tcPr>
          <w:p w14:paraId="33DF3B94" w14:textId="2A68D414" w:rsidR="00BB194E" w:rsidRPr="00BB194E"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BB194E">
              <w:rPr>
                <w:b/>
                <w:bCs/>
              </w:rPr>
              <w:t>0.001</w:t>
            </w:r>
          </w:p>
        </w:tc>
        <w:tc>
          <w:tcPr>
            <w:tcW w:w="1191" w:type="dxa"/>
          </w:tcPr>
          <w:p w14:paraId="15FD6693" w14:textId="46F465E5"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2014–2</w:t>
            </w:r>
            <w:r w:rsidR="005A153F">
              <w:rPr>
                <w:rFonts w:cs="Calibri"/>
                <w:szCs w:val="18"/>
              </w:rPr>
              <w:t>4</w:t>
            </w:r>
          </w:p>
        </w:tc>
        <w:tc>
          <w:tcPr>
            <w:tcW w:w="2041" w:type="dxa"/>
          </w:tcPr>
          <w:p w14:paraId="3554C5A8" w14:textId="392FBAA2" w:rsidR="00BB194E" w:rsidRPr="00C601A2" w:rsidRDefault="00BB194E" w:rsidP="00BB194E">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BB194E" w:rsidRPr="00C601A2" w14:paraId="7F796415"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2D667747" w14:textId="1E17BCE7" w:rsidR="00BB194E" w:rsidRPr="00C601A2" w:rsidRDefault="00BB194E" w:rsidP="00BB194E">
            <w:pPr>
              <w:pStyle w:val="TableText"/>
              <w:rPr>
                <w:rFonts w:cs="Calibri"/>
                <w:szCs w:val="18"/>
              </w:rPr>
            </w:pPr>
            <w:proofErr w:type="spellStart"/>
            <w:r w:rsidRPr="00C601A2">
              <w:rPr>
                <w:rFonts w:cs="Calibri"/>
                <w:szCs w:val="18"/>
              </w:rPr>
              <w:t>Windra</w:t>
            </w:r>
            <w:proofErr w:type="spellEnd"/>
            <w:r w:rsidRPr="00C601A2">
              <w:rPr>
                <w:rFonts w:cs="Calibri"/>
                <w:szCs w:val="18"/>
              </w:rPr>
              <w:t xml:space="preserve"> Vale 2 (</w:t>
            </w:r>
            <w:r w:rsidRPr="00C601A2">
              <w:rPr>
                <w:rFonts w:cs="Calibri"/>
                <w:color w:val="2B579A"/>
                <w:szCs w:val="18"/>
                <w:shd w:val="clear" w:color="auto" w:fill="E6E6E6"/>
              </w:rPr>
              <w:fldChar w:fldCharType="begin"/>
            </w:r>
            <w:r w:rsidRPr="00C601A2">
              <w:rPr>
                <w:rFonts w:cs="Calibri"/>
                <w:szCs w:val="18"/>
              </w:rPr>
              <w:instrText xml:space="preserve"> REF _Ref106045557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9</w:t>
            </w:r>
            <w:r w:rsidRPr="00C601A2">
              <w:rPr>
                <w:rFonts w:cs="Calibri"/>
                <w:color w:val="2B579A"/>
                <w:szCs w:val="18"/>
                <w:shd w:val="clear" w:color="auto" w:fill="E6E6E6"/>
              </w:rPr>
              <w:fldChar w:fldCharType="end"/>
            </w:r>
            <w:r w:rsidRPr="00C601A2">
              <w:rPr>
                <w:rFonts w:cs="Calibri"/>
                <w:szCs w:val="18"/>
              </w:rPr>
              <w:t>)</w:t>
            </w:r>
          </w:p>
        </w:tc>
        <w:tc>
          <w:tcPr>
            <w:tcW w:w="1020" w:type="dxa"/>
          </w:tcPr>
          <w:p w14:paraId="4EFAA886" w14:textId="26DB267B"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735FFD">
              <w:t>0.02</w:t>
            </w:r>
          </w:p>
        </w:tc>
        <w:tc>
          <w:tcPr>
            <w:tcW w:w="1304" w:type="dxa"/>
          </w:tcPr>
          <w:p w14:paraId="011FEC55" w14:textId="413BA521" w:rsidR="00BB194E" w:rsidRPr="00BB194E"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BB194E">
              <w:rPr>
                <w:b/>
                <w:bCs/>
              </w:rPr>
              <w:t>0.001</w:t>
            </w:r>
          </w:p>
        </w:tc>
        <w:tc>
          <w:tcPr>
            <w:tcW w:w="1191" w:type="dxa"/>
          </w:tcPr>
          <w:p w14:paraId="40BA2F94" w14:textId="1C138024"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2014–2</w:t>
            </w:r>
            <w:r w:rsidR="005A153F">
              <w:rPr>
                <w:rFonts w:cs="Calibri"/>
                <w:szCs w:val="18"/>
              </w:rPr>
              <w:t>4</w:t>
            </w:r>
          </w:p>
        </w:tc>
        <w:tc>
          <w:tcPr>
            <w:tcW w:w="2041" w:type="dxa"/>
          </w:tcPr>
          <w:p w14:paraId="41C00B2C" w14:textId="7717AB0B" w:rsidR="00BB194E" w:rsidRPr="00C601A2" w:rsidRDefault="00BB194E" w:rsidP="00BB194E">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C9103E" w:rsidRPr="00C601A2" w14:paraId="5E05AA6A"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61E15267" w14:textId="14D57A6C" w:rsidR="00C9103E" w:rsidRPr="00C601A2" w:rsidRDefault="00C9103E" w:rsidP="00C3745F">
            <w:pPr>
              <w:pStyle w:val="RowHeading"/>
              <w:keepNext/>
            </w:pPr>
            <w:r>
              <w:t>Goulburn River</w:t>
            </w:r>
          </w:p>
        </w:tc>
        <w:tc>
          <w:tcPr>
            <w:tcW w:w="1020" w:type="dxa"/>
          </w:tcPr>
          <w:p w14:paraId="1C231A4E"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1304" w:type="dxa"/>
          </w:tcPr>
          <w:p w14:paraId="09B4D07F"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1191" w:type="dxa"/>
          </w:tcPr>
          <w:p w14:paraId="78AF476A"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c>
          <w:tcPr>
            <w:tcW w:w="2041" w:type="dxa"/>
          </w:tcPr>
          <w:p w14:paraId="77539EF2" w14:textId="77777777" w:rsidR="00C9103E" w:rsidRPr="00C601A2" w:rsidRDefault="00C9103E" w:rsidP="00C9103E">
            <w:pPr>
              <w:pStyle w:val="RowHeading"/>
              <w:cnfStyle w:val="000000100000" w:firstRow="0" w:lastRow="0" w:firstColumn="0" w:lastColumn="0" w:oddVBand="0" w:evenVBand="0" w:oddHBand="1" w:evenHBand="0" w:firstRowFirstColumn="0" w:firstRowLastColumn="0" w:lastRowFirstColumn="0" w:lastRowLastColumn="0"/>
            </w:pPr>
          </w:p>
        </w:tc>
      </w:tr>
      <w:tr w:rsidR="0029457C" w:rsidRPr="00C601A2" w14:paraId="2B726E07"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26249822" w14:textId="10231D3B" w:rsidR="0029457C" w:rsidRPr="00C601A2" w:rsidRDefault="0029457C" w:rsidP="0029457C">
            <w:pPr>
              <w:pStyle w:val="TableText"/>
              <w:rPr>
                <w:rFonts w:cs="Calibri"/>
                <w:szCs w:val="18"/>
              </w:rPr>
            </w:pPr>
            <w:r w:rsidRPr="00C601A2">
              <w:rPr>
                <w:rFonts w:cs="Calibri"/>
                <w:szCs w:val="18"/>
              </w:rPr>
              <w:t>Arcadia Downs (</w:t>
            </w:r>
            <w:r w:rsidRPr="00C601A2">
              <w:rPr>
                <w:rFonts w:cs="Calibri"/>
                <w:color w:val="2B579A"/>
                <w:szCs w:val="18"/>
                <w:shd w:val="clear" w:color="auto" w:fill="E6E6E6"/>
              </w:rPr>
              <w:fldChar w:fldCharType="begin"/>
            </w:r>
            <w:r w:rsidRPr="00C601A2">
              <w:rPr>
                <w:rFonts w:cs="Calibri"/>
                <w:szCs w:val="18"/>
              </w:rPr>
              <w:instrText xml:space="preserve"> REF _Ref106045795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11</w:t>
            </w:r>
            <w:r w:rsidRPr="00C601A2">
              <w:rPr>
                <w:rFonts w:cs="Calibri"/>
                <w:color w:val="2B579A"/>
                <w:szCs w:val="18"/>
                <w:shd w:val="clear" w:color="auto" w:fill="E6E6E6"/>
              </w:rPr>
              <w:fldChar w:fldCharType="end"/>
            </w:r>
            <w:r>
              <w:rPr>
                <w:rFonts w:cs="Calibri"/>
                <w:color w:val="2B579A"/>
                <w:szCs w:val="18"/>
                <w:shd w:val="clear" w:color="auto" w:fill="E6E6E6"/>
              </w:rPr>
              <w:t>)</w:t>
            </w:r>
          </w:p>
        </w:tc>
        <w:tc>
          <w:tcPr>
            <w:tcW w:w="1020" w:type="dxa"/>
          </w:tcPr>
          <w:p w14:paraId="64ED0553" w14:textId="7632901C"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532C12">
              <w:t>0.13</w:t>
            </w:r>
          </w:p>
        </w:tc>
        <w:tc>
          <w:tcPr>
            <w:tcW w:w="1304" w:type="dxa"/>
          </w:tcPr>
          <w:p w14:paraId="73F22B19" w14:textId="0F95B0F4" w:rsidR="0029457C" w:rsidRPr="0029457C"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29457C">
              <w:rPr>
                <w:b/>
                <w:bCs/>
              </w:rPr>
              <w:t>0.001</w:t>
            </w:r>
          </w:p>
        </w:tc>
        <w:tc>
          <w:tcPr>
            <w:tcW w:w="1191" w:type="dxa"/>
          </w:tcPr>
          <w:p w14:paraId="2C6C5824" w14:textId="77777777"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2020–22</w:t>
            </w:r>
          </w:p>
        </w:tc>
        <w:tc>
          <w:tcPr>
            <w:tcW w:w="2041" w:type="dxa"/>
          </w:tcPr>
          <w:p w14:paraId="537E32DF" w14:textId="77777777"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29457C" w:rsidRPr="00C601A2" w14:paraId="57DC1D22"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2823FB3E" w14:textId="724941AC" w:rsidR="0029457C" w:rsidRPr="00C601A2" w:rsidRDefault="0029457C" w:rsidP="0029457C">
            <w:pPr>
              <w:pStyle w:val="TableText"/>
              <w:rPr>
                <w:rFonts w:cs="Calibri"/>
                <w:szCs w:val="18"/>
              </w:rPr>
            </w:pPr>
            <w:r w:rsidRPr="00C601A2">
              <w:rPr>
                <w:rFonts w:cs="Calibri"/>
                <w:szCs w:val="18"/>
              </w:rPr>
              <w:t>Darcy’s Track (</w:t>
            </w:r>
            <w:r w:rsidRPr="00C601A2">
              <w:rPr>
                <w:rFonts w:cs="Calibri"/>
                <w:color w:val="2B579A"/>
                <w:szCs w:val="18"/>
                <w:shd w:val="clear" w:color="auto" w:fill="E6E6E6"/>
              </w:rPr>
              <w:fldChar w:fldCharType="begin"/>
            </w:r>
            <w:r w:rsidRPr="00C601A2">
              <w:rPr>
                <w:rFonts w:cs="Calibri"/>
                <w:szCs w:val="18"/>
              </w:rPr>
              <w:instrText xml:space="preserve"> REF _Ref106045886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12</w:t>
            </w:r>
            <w:r w:rsidRPr="00C601A2">
              <w:rPr>
                <w:rFonts w:cs="Calibri"/>
                <w:color w:val="2B579A"/>
                <w:szCs w:val="18"/>
                <w:shd w:val="clear" w:color="auto" w:fill="E6E6E6"/>
              </w:rPr>
              <w:fldChar w:fldCharType="end"/>
            </w:r>
            <w:r w:rsidRPr="00C601A2">
              <w:rPr>
                <w:rFonts w:cs="Calibri"/>
                <w:szCs w:val="18"/>
              </w:rPr>
              <w:t>)</w:t>
            </w:r>
          </w:p>
        </w:tc>
        <w:tc>
          <w:tcPr>
            <w:tcW w:w="1020" w:type="dxa"/>
          </w:tcPr>
          <w:p w14:paraId="076A43A2" w14:textId="5C1E8DB7"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532C12">
              <w:t>0.24</w:t>
            </w:r>
          </w:p>
        </w:tc>
        <w:tc>
          <w:tcPr>
            <w:tcW w:w="1304" w:type="dxa"/>
          </w:tcPr>
          <w:p w14:paraId="12B1439E" w14:textId="09E92ACF" w:rsidR="0029457C" w:rsidRPr="0029457C"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29457C">
              <w:rPr>
                <w:b/>
                <w:bCs/>
              </w:rPr>
              <w:t>0.001</w:t>
            </w:r>
          </w:p>
        </w:tc>
        <w:tc>
          <w:tcPr>
            <w:tcW w:w="1191" w:type="dxa"/>
          </w:tcPr>
          <w:p w14:paraId="357BCCDB" w14:textId="77777777"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2014–19</w:t>
            </w:r>
          </w:p>
        </w:tc>
        <w:tc>
          <w:tcPr>
            <w:tcW w:w="2041" w:type="dxa"/>
          </w:tcPr>
          <w:p w14:paraId="696EB9D5" w14:textId="77777777"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29457C" w:rsidRPr="00C601A2" w14:paraId="27BBC22B"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3D3C1BE4" w14:textId="10144D7B" w:rsidR="0029457C" w:rsidRPr="00C601A2" w:rsidRDefault="0029457C" w:rsidP="0029457C">
            <w:pPr>
              <w:pStyle w:val="TableText"/>
              <w:rPr>
                <w:rFonts w:cs="Calibri"/>
                <w:szCs w:val="18"/>
              </w:rPr>
            </w:pPr>
            <w:r w:rsidRPr="00C601A2">
              <w:rPr>
                <w:rFonts w:cs="Calibri"/>
                <w:szCs w:val="18"/>
              </w:rPr>
              <w:t>Day Road (</w:t>
            </w:r>
            <w:r w:rsidRPr="00C601A2">
              <w:rPr>
                <w:rFonts w:cs="Calibri"/>
                <w:color w:val="2B579A"/>
                <w:szCs w:val="18"/>
                <w:shd w:val="clear" w:color="auto" w:fill="E6E6E6"/>
              </w:rPr>
              <w:fldChar w:fldCharType="begin"/>
            </w:r>
            <w:r w:rsidRPr="00C601A2">
              <w:rPr>
                <w:rFonts w:cs="Calibri"/>
                <w:szCs w:val="18"/>
              </w:rPr>
              <w:instrText xml:space="preserve"> REF _Ref106045938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13</w:t>
            </w:r>
            <w:r w:rsidRPr="00C601A2">
              <w:rPr>
                <w:rFonts w:cs="Calibri"/>
                <w:color w:val="2B579A"/>
                <w:szCs w:val="18"/>
                <w:shd w:val="clear" w:color="auto" w:fill="E6E6E6"/>
              </w:rPr>
              <w:fldChar w:fldCharType="end"/>
            </w:r>
            <w:r w:rsidRPr="00C601A2">
              <w:rPr>
                <w:rFonts w:cs="Calibri"/>
                <w:szCs w:val="18"/>
              </w:rPr>
              <w:t>)</w:t>
            </w:r>
          </w:p>
        </w:tc>
        <w:tc>
          <w:tcPr>
            <w:tcW w:w="1020" w:type="dxa"/>
          </w:tcPr>
          <w:p w14:paraId="4606DD2F" w14:textId="37786706"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532C12">
              <w:t>0.20</w:t>
            </w:r>
          </w:p>
        </w:tc>
        <w:tc>
          <w:tcPr>
            <w:tcW w:w="1304" w:type="dxa"/>
          </w:tcPr>
          <w:p w14:paraId="1060285F" w14:textId="4248C5B3" w:rsidR="0029457C" w:rsidRPr="0029457C"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29457C">
              <w:rPr>
                <w:b/>
                <w:bCs/>
              </w:rPr>
              <w:t>0.001</w:t>
            </w:r>
          </w:p>
        </w:tc>
        <w:tc>
          <w:tcPr>
            <w:tcW w:w="1191" w:type="dxa"/>
          </w:tcPr>
          <w:p w14:paraId="53F98540" w14:textId="77777777"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2015–19</w:t>
            </w:r>
          </w:p>
        </w:tc>
        <w:tc>
          <w:tcPr>
            <w:tcW w:w="2041" w:type="dxa"/>
          </w:tcPr>
          <w:p w14:paraId="2679BFB1" w14:textId="77777777"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29457C" w:rsidRPr="00C601A2" w14:paraId="13C3835D"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599AF78F" w14:textId="34E170E0" w:rsidR="0029457C" w:rsidRPr="00C601A2" w:rsidRDefault="0029457C" w:rsidP="0029457C">
            <w:pPr>
              <w:pStyle w:val="TableText"/>
              <w:rPr>
                <w:rFonts w:cs="Calibri"/>
                <w:szCs w:val="18"/>
              </w:rPr>
            </w:pPr>
            <w:r w:rsidRPr="00C601A2">
              <w:rPr>
                <w:rFonts w:cs="Calibri"/>
                <w:szCs w:val="18"/>
              </w:rPr>
              <w:t>Loch Garry Gauge (</w:t>
            </w:r>
            <w:r w:rsidRPr="00C601A2">
              <w:rPr>
                <w:rFonts w:cs="Calibri"/>
                <w:color w:val="2B579A"/>
                <w:szCs w:val="18"/>
                <w:shd w:val="clear" w:color="auto" w:fill="E6E6E6"/>
              </w:rPr>
              <w:fldChar w:fldCharType="begin"/>
            </w:r>
            <w:r w:rsidRPr="00C601A2">
              <w:rPr>
                <w:rFonts w:cs="Calibri"/>
                <w:szCs w:val="18"/>
              </w:rPr>
              <w:instrText xml:space="preserve"> REF _Ref106045983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14</w:t>
            </w:r>
            <w:r w:rsidRPr="00C601A2">
              <w:rPr>
                <w:rFonts w:cs="Calibri"/>
                <w:color w:val="2B579A"/>
                <w:szCs w:val="18"/>
                <w:shd w:val="clear" w:color="auto" w:fill="E6E6E6"/>
              </w:rPr>
              <w:fldChar w:fldCharType="end"/>
            </w:r>
            <w:r w:rsidRPr="00C601A2">
              <w:rPr>
                <w:rFonts w:cs="Calibri"/>
                <w:szCs w:val="18"/>
              </w:rPr>
              <w:t>)</w:t>
            </w:r>
          </w:p>
        </w:tc>
        <w:tc>
          <w:tcPr>
            <w:tcW w:w="1020" w:type="dxa"/>
          </w:tcPr>
          <w:p w14:paraId="291818AB" w14:textId="196E9972"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532C12">
              <w:t>0.15</w:t>
            </w:r>
          </w:p>
        </w:tc>
        <w:tc>
          <w:tcPr>
            <w:tcW w:w="1304" w:type="dxa"/>
          </w:tcPr>
          <w:p w14:paraId="1C772B4B" w14:textId="2A6F97FB" w:rsidR="0029457C" w:rsidRPr="0029457C"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29457C">
              <w:rPr>
                <w:b/>
                <w:bCs/>
              </w:rPr>
              <w:t>0.001</w:t>
            </w:r>
          </w:p>
        </w:tc>
        <w:tc>
          <w:tcPr>
            <w:tcW w:w="1191" w:type="dxa"/>
          </w:tcPr>
          <w:p w14:paraId="22C4A78D" w14:textId="11AFFAC6"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2014–2</w:t>
            </w:r>
            <w:r w:rsidR="009E251D">
              <w:rPr>
                <w:rFonts w:cs="Calibri"/>
                <w:szCs w:val="18"/>
              </w:rPr>
              <w:t>4</w:t>
            </w:r>
          </w:p>
        </w:tc>
        <w:tc>
          <w:tcPr>
            <w:tcW w:w="2041" w:type="dxa"/>
          </w:tcPr>
          <w:p w14:paraId="6D5C94C0" w14:textId="77777777"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29457C" w:rsidRPr="00C601A2" w14:paraId="4EDA3539"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000F7AF3" w14:textId="104F00B0" w:rsidR="0029457C" w:rsidRPr="00C601A2" w:rsidRDefault="0029457C" w:rsidP="0029457C">
            <w:pPr>
              <w:pStyle w:val="TableText"/>
              <w:rPr>
                <w:rFonts w:cs="Calibri"/>
                <w:szCs w:val="18"/>
              </w:rPr>
            </w:pPr>
            <w:r w:rsidRPr="00C601A2">
              <w:rPr>
                <w:rFonts w:cs="Calibri"/>
                <w:szCs w:val="18"/>
              </w:rPr>
              <w:t>McCoys Bridge (</w:t>
            </w:r>
            <w:r w:rsidRPr="00C601A2">
              <w:rPr>
                <w:rFonts w:cs="Calibri"/>
                <w:color w:val="2B579A"/>
                <w:szCs w:val="18"/>
                <w:shd w:val="clear" w:color="auto" w:fill="E6E6E6"/>
              </w:rPr>
              <w:fldChar w:fldCharType="begin"/>
            </w:r>
            <w:r w:rsidRPr="00C601A2">
              <w:rPr>
                <w:rFonts w:cs="Calibri"/>
                <w:szCs w:val="18"/>
              </w:rPr>
              <w:instrText xml:space="preserve"> REF _Ref106046043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15</w:t>
            </w:r>
            <w:r w:rsidRPr="00C601A2">
              <w:rPr>
                <w:rFonts w:cs="Calibri"/>
                <w:color w:val="2B579A"/>
                <w:szCs w:val="18"/>
                <w:shd w:val="clear" w:color="auto" w:fill="E6E6E6"/>
              </w:rPr>
              <w:fldChar w:fldCharType="end"/>
            </w:r>
            <w:r w:rsidRPr="00C601A2">
              <w:rPr>
                <w:rFonts w:cs="Calibri"/>
                <w:szCs w:val="18"/>
              </w:rPr>
              <w:t>)</w:t>
            </w:r>
          </w:p>
        </w:tc>
        <w:tc>
          <w:tcPr>
            <w:tcW w:w="1020" w:type="dxa"/>
          </w:tcPr>
          <w:p w14:paraId="6CEC6569" w14:textId="5268786D"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532C12">
              <w:t>0.19</w:t>
            </w:r>
          </w:p>
        </w:tc>
        <w:tc>
          <w:tcPr>
            <w:tcW w:w="1304" w:type="dxa"/>
          </w:tcPr>
          <w:p w14:paraId="43FB62A2" w14:textId="28275027" w:rsidR="0029457C" w:rsidRPr="0029457C"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29457C">
              <w:rPr>
                <w:b/>
                <w:bCs/>
              </w:rPr>
              <w:t>0.001</w:t>
            </w:r>
          </w:p>
        </w:tc>
        <w:tc>
          <w:tcPr>
            <w:tcW w:w="1191" w:type="dxa"/>
          </w:tcPr>
          <w:p w14:paraId="1E03C149" w14:textId="0063EC8F"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2014–2</w:t>
            </w:r>
            <w:r w:rsidR="009E251D">
              <w:rPr>
                <w:rFonts w:cs="Calibri"/>
                <w:szCs w:val="18"/>
              </w:rPr>
              <w:t>4</w:t>
            </w:r>
          </w:p>
        </w:tc>
        <w:tc>
          <w:tcPr>
            <w:tcW w:w="2041" w:type="dxa"/>
          </w:tcPr>
          <w:p w14:paraId="111ADE98" w14:textId="77777777"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29457C" w:rsidRPr="00C601A2" w14:paraId="53B2DF03"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2F66F8AD" w14:textId="6E6B9681" w:rsidR="0029457C" w:rsidRPr="00C601A2" w:rsidRDefault="0029457C" w:rsidP="0029457C">
            <w:pPr>
              <w:pStyle w:val="TableText"/>
              <w:rPr>
                <w:rFonts w:cs="Calibri"/>
                <w:szCs w:val="18"/>
              </w:rPr>
            </w:pPr>
            <w:r w:rsidRPr="00C601A2">
              <w:rPr>
                <w:rFonts w:cs="Calibri"/>
                <w:szCs w:val="18"/>
              </w:rPr>
              <w:t>Moss Road (</w:t>
            </w:r>
            <w:r w:rsidRPr="00C601A2">
              <w:rPr>
                <w:rFonts w:cs="Calibri"/>
                <w:color w:val="2B579A"/>
                <w:szCs w:val="18"/>
                <w:shd w:val="clear" w:color="auto" w:fill="E6E6E6"/>
              </w:rPr>
              <w:fldChar w:fldCharType="begin"/>
            </w:r>
            <w:r w:rsidRPr="00C601A2">
              <w:rPr>
                <w:rFonts w:cs="Calibri"/>
                <w:szCs w:val="18"/>
              </w:rPr>
              <w:instrText xml:space="preserve"> REF _Ref106046094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16</w:t>
            </w:r>
            <w:r w:rsidRPr="00C601A2">
              <w:rPr>
                <w:rFonts w:cs="Calibri"/>
                <w:color w:val="2B579A"/>
                <w:szCs w:val="18"/>
                <w:shd w:val="clear" w:color="auto" w:fill="E6E6E6"/>
              </w:rPr>
              <w:fldChar w:fldCharType="end"/>
            </w:r>
            <w:r w:rsidRPr="00C601A2">
              <w:rPr>
                <w:rFonts w:cs="Calibri"/>
                <w:szCs w:val="18"/>
              </w:rPr>
              <w:t>)</w:t>
            </w:r>
          </w:p>
        </w:tc>
        <w:tc>
          <w:tcPr>
            <w:tcW w:w="1020" w:type="dxa"/>
          </w:tcPr>
          <w:p w14:paraId="1C5EC6A3" w14:textId="7094020A"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532C12">
              <w:t>0.18</w:t>
            </w:r>
          </w:p>
        </w:tc>
        <w:tc>
          <w:tcPr>
            <w:tcW w:w="1304" w:type="dxa"/>
          </w:tcPr>
          <w:p w14:paraId="7AF7211F" w14:textId="3B8DB46D"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532C12">
              <w:t>0.436</w:t>
            </w:r>
          </w:p>
        </w:tc>
        <w:tc>
          <w:tcPr>
            <w:tcW w:w="1191" w:type="dxa"/>
          </w:tcPr>
          <w:p w14:paraId="75BE8E28" w14:textId="77777777"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2014–15</w:t>
            </w:r>
          </w:p>
        </w:tc>
        <w:tc>
          <w:tcPr>
            <w:tcW w:w="2041" w:type="dxa"/>
          </w:tcPr>
          <w:p w14:paraId="2A6083F4" w14:textId="77777777"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Increase</w:t>
            </w:r>
          </w:p>
        </w:tc>
      </w:tr>
      <w:tr w:rsidR="0029457C" w:rsidRPr="00C601A2" w14:paraId="056988F2"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10B73FBF" w14:textId="02B4CB53" w:rsidR="0029457C" w:rsidRPr="00C601A2" w:rsidRDefault="0029457C" w:rsidP="0029457C">
            <w:pPr>
              <w:pStyle w:val="TableText"/>
              <w:rPr>
                <w:rFonts w:cs="Calibri"/>
                <w:szCs w:val="18"/>
              </w:rPr>
            </w:pPr>
            <w:r w:rsidRPr="00C601A2">
              <w:rPr>
                <w:rFonts w:cs="Calibri"/>
                <w:szCs w:val="18"/>
              </w:rPr>
              <w:t>Murchison (</w:t>
            </w:r>
            <w:r w:rsidRPr="00C601A2">
              <w:rPr>
                <w:rFonts w:cs="Calibri"/>
                <w:color w:val="2B579A"/>
                <w:szCs w:val="18"/>
                <w:shd w:val="clear" w:color="auto" w:fill="E6E6E6"/>
              </w:rPr>
              <w:fldChar w:fldCharType="begin"/>
            </w:r>
            <w:r w:rsidRPr="00C601A2">
              <w:rPr>
                <w:rFonts w:cs="Calibri"/>
                <w:szCs w:val="18"/>
              </w:rPr>
              <w:instrText xml:space="preserve"> REF _Ref106046146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17</w:t>
            </w:r>
            <w:r w:rsidRPr="00C601A2">
              <w:rPr>
                <w:rFonts w:cs="Calibri"/>
                <w:color w:val="2B579A"/>
                <w:szCs w:val="18"/>
                <w:shd w:val="clear" w:color="auto" w:fill="E6E6E6"/>
              </w:rPr>
              <w:fldChar w:fldCharType="end"/>
            </w:r>
            <w:r w:rsidRPr="00C601A2">
              <w:rPr>
                <w:rFonts w:cs="Calibri"/>
                <w:szCs w:val="18"/>
              </w:rPr>
              <w:t>)</w:t>
            </w:r>
          </w:p>
        </w:tc>
        <w:tc>
          <w:tcPr>
            <w:tcW w:w="1020" w:type="dxa"/>
          </w:tcPr>
          <w:p w14:paraId="61153DBA" w14:textId="72402ABE"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532C12">
              <w:t>0.11</w:t>
            </w:r>
          </w:p>
        </w:tc>
        <w:tc>
          <w:tcPr>
            <w:tcW w:w="1304" w:type="dxa"/>
          </w:tcPr>
          <w:p w14:paraId="06EE0362" w14:textId="06D65BFB" w:rsidR="0029457C" w:rsidRPr="0029457C"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29457C">
              <w:rPr>
                <w:b/>
                <w:bCs/>
              </w:rPr>
              <w:t>0.001</w:t>
            </w:r>
          </w:p>
        </w:tc>
        <w:tc>
          <w:tcPr>
            <w:tcW w:w="1191" w:type="dxa"/>
          </w:tcPr>
          <w:p w14:paraId="74046EE9" w14:textId="7AFB9AB7"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2020–2</w:t>
            </w:r>
            <w:r w:rsidR="00F249CC">
              <w:rPr>
                <w:rFonts w:cs="Calibri"/>
                <w:szCs w:val="18"/>
              </w:rPr>
              <w:t>4</w:t>
            </w:r>
          </w:p>
        </w:tc>
        <w:tc>
          <w:tcPr>
            <w:tcW w:w="2041" w:type="dxa"/>
          </w:tcPr>
          <w:p w14:paraId="691FD634" w14:textId="77777777" w:rsidR="0029457C" w:rsidRPr="00C601A2" w:rsidRDefault="0029457C" w:rsidP="0029457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29457C" w:rsidRPr="00C601A2" w14:paraId="190DE46C"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644314EF" w14:textId="0B9ABC59" w:rsidR="0029457C" w:rsidRPr="00C601A2" w:rsidRDefault="0029457C" w:rsidP="0029457C">
            <w:pPr>
              <w:pStyle w:val="TableText"/>
              <w:rPr>
                <w:rFonts w:cs="Calibri"/>
                <w:szCs w:val="18"/>
              </w:rPr>
            </w:pPr>
            <w:r w:rsidRPr="00C601A2">
              <w:rPr>
                <w:rFonts w:cs="Calibri"/>
                <w:szCs w:val="18"/>
              </w:rPr>
              <w:t>Shepparton (</w:t>
            </w:r>
            <w:r w:rsidRPr="00C601A2">
              <w:rPr>
                <w:rFonts w:cs="Calibri"/>
                <w:color w:val="2B579A"/>
                <w:szCs w:val="18"/>
                <w:shd w:val="clear" w:color="auto" w:fill="E6E6E6"/>
              </w:rPr>
              <w:fldChar w:fldCharType="begin"/>
            </w:r>
            <w:r w:rsidRPr="00C601A2">
              <w:rPr>
                <w:rFonts w:cs="Calibri"/>
                <w:szCs w:val="18"/>
              </w:rPr>
              <w:instrText xml:space="preserve"> REF _Ref106046230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Figure A.18</w:t>
            </w:r>
            <w:r w:rsidRPr="00C601A2">
              <w:rPr>
                <w:rFonts w:cs="Calibri"/>
                <w:color w:val="2B579A"/>
                <w:szCs w:val="18"/>
                <w:shd w:val="clear" w:color="auto" w:fill="E6E6E6"/>
              </w:rPr>
              <w:fldChar w:fldCharType="end"/>
            </w:r>
            <w:r w:rsidRPr="00C601A2">
              <w:rPr>
                <w:rFonts w:cs="Calibri"/>
                <w:szCs w:val="18"/>
              </w:rPr>
              <w:t>)</w:t>
            </w:r>
          </w:p>
        </w:tc>
        <w:tc>
          <w:tcPr>
            <w:tcW w:w="1020" w:type="dxa"/>
          </w:tcPr>
          <w:p w14:paraId="7C8708A9" w14:textId="79E07B85"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532C12">
              <w:t>0.13</w:t>
            </w:r>
          </w:p>
        </w:tc>
        <w:tc>
          <w:tcPr>
            <w:tcW w:w="1304" w:type="dxa"/>
          </w:tcPr>
          <w:p w14:paraId="6364348D" w14:textId="07FF85B9" w:rsidR="0029457C" w:rsidRPr="0029457C"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29457C">
              <w:rPr>
                <w:b/>
                <w:bCs/>
              </w:rPr>
              <w:t>0.001</w:t>
            </w:r>
          </w:p>
        </w:tc>
        <w:tc>
          <w:tcPr>
            <w:tcW w:w="1191" w:type="dxa"/>
          </w:tcPr>
          <w:p w14:paraId="1640FA7D" w14:textId="2FE4BB1D"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2020–2</w:t>
            </w:r>
            <w:r w:rsidR="00F249CC">
              <w:rPr>
                <w:rFonts w:cs="Calibri"/>
                <w:szCs w:val="18"/>
              </w:rPr>
              <w:t>4</w:t>
            </w:r>
          </w:p>
        </w:tc>
        <w:tc>
          <w:tcPr>
            <w:tcW w:w="2041" w:type="dxa"/>
          </w:tcPr>
          <w:p w14:paraId="55D64B26" w14:textId="77777777" w:rsidR="0029457C" w:rsidRPr="00C601A2" w:rsidRDefault="0029457C" w:rsidP="0029457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C9103E" w:rsidRPr="00C601A2" w14:paraId="1E373775"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5177532F" w14:textId="177AC306" w:rsidR="00C9103E" w:rsidRPr="00C601A2" w:rsidRDefault="00C9103E" w:rsidP="00C3745F">
            <w:pPr>
              <w:pStyle w:val="RowHeading"/>
              <w:keepNext/>
            </w:pPr>
            <w:r>
              <w:lastRenderedPageBreak/>
              <w:t>Lachlan River System</w:t>
            </w:r>
          </w:p>
        </w:tc>
        <w:tc>
          <w:tcPr>
            <w:tcW w:w="1020" w:type="dxa"/>
          </w:tcPr>
          <w:p w14:paraId="69BF173A"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1304" w:type="dxa"/>
          </w:tcPr>
          <w:p w14:paraId="62EAEE26"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1191" w:type="dxa"/>
          </w:tcPr>
          <w:p w14:paraId="69BF1F17"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2041" w:type="dxa"/>
          </w:tcPr>
          <w:p w14:paraId="641895C9"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r>
      <w:tr w:rsidR="00293542" w:rsidRPr="00C601A2" w14:paraId="462B157D"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48FDC3D0" w14:textId="22DB30F9" w:rsidR="00293542" w:rsidRPr="00C601A2" w:rsidRDefault="00293542" w:rsidP="00293542">
            <w:pPr>
              <w:pStyle w:val="TableText"/>
              <w:rPr>
                <w:rFonts w:cs="Calibri"/>
                <w:szCs w:val="18"/>
              </w:rPr>
            </w:pPr>
            <w:r w:rsidRPr="00C601A2">
              <w:rPr>
                <w:rFonts w:cs="Calibri"/>
                <w:szCs w:val="18"/>
              </w:rPr>
              <w:t>CC (</w:t>
            </w:r>
            <w:r w:rsidRPr="00C601A2">
              <w:rPr>
                <w:rFonts w:cs="Calibri"/>
                <w:color w:val="2B579A"/>
                <w:szCs w:val="18"/>
                <w:shd w:val="clear" w:color="auto" w:fill="E6E6E6"/>
              </w:rPr>
              <w:fldChar w:fldCharType="begin"/>
            </w:r>
            <w:r w:rsidRPr="00C601A2">
              <w:rPr>
                <w:rFonts w:cs="Calibri"/>
                <w:szCs w:val="18"/>
              </w:rPr>
              <w:instrText xml:space="preserve"> REF _Ref106046300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19</w:t>
            </w:r>
            <w:r w:rsidRPr="00C601A2">
              <w:rPr>
                <w:rFonts w:cs="Calibri"/>
                <w:color w:val="2B579A"/>
                <w:szCs w:val="18"/>
                <w:shd w:val="clear" w:color="auto" w:fill="E6E6E6"/>
              </w:rPr>
              <w:fldChar w:fldCharType="end"/>
            </w:r>
            <w:r w:rsidRPr="00C601A2">
              <w:rPr>
                <w:rFonts w:cs="Calibri"/>
                <w:szCs w:val="18"/>
              </w:rPr>
              <w:t>)</w:t>
            </w:r>
          </w:p>
        </w:tc>
        <w:tc>
          <w:tcPr>
            <w:tcW w:w="1020" w:type="dxa"/>
          </w:tcPr>
          <w:p w14:paraId="4A4DDE93" w14:textId="551D33AD" w:rsidR="00293542" w:rsidRPr="00C601A2" w:rsidRDefault="00293542" w:rsidP="00293542">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6B0AAB">
              <w:t>0.04</w:t>
            </w:r>
          </w:p>
        </w:tc>
        <w:tc>
          <w:tcPr>
            <w:tcW w:w="1304" w:type="dxa"/>
          </w:tcPr>
          <w:p w14:paraId="28608957" w14:textId="288B923E" w:rsidR="00293542" w:rsidRPr="00461E99" w:rsidRDefault="00293542" w:rsidP="00293542">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461E99">
              <w:rPr>
                <w:b/>
                <w:bCs/>
              </w:rPr>
              <w:t>0.001</w:t>
            </w:r>
          </w:p>
        </w:tc>
        <w:tc>
          <w:tcPr>
            <w:tcW w:w="1191" w:type="dxa"/>
          </w:tcPr>
          <w:p w14:paraId="1A81A394" w14:textId="53CB2638" w:rsidR="00293542" w:rsidRPr="00C601A2" w:rsidRDefault="00293542" w:rsidP="00293542">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2014–2</w:t>
            </w:r>
            <w:r w:rsidR="00D4474B">
              <w:rPr>
                <w:rFonts w:cs="Calibri"/>
                <w:szCs w:val="18"/>
              </w:rPr>
              <w:t>4</w:t>
            </w:r>
          </w:p>
        </w:tc>
        <w:tc>
          <w:tcPr>
            <w:tcW w:w="2041" w:type="dxa"/>
          </w:tcPr>
          <w:p w14:paraId="7A6D177D" w14:textId="636C7971" w:rsidR="00293542" w:rsidRPr="00C601A2" w:rsidRDefault="002E5D96" w:rsidP="00293542">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Decrease</w:t>
            </w:r>
          </w:p>
        </w:tc>
      </w:tr>
      <w:tr w:rsidR="00093B16" w:rsidRPr="00C601A2" w14:paraId="024A082E"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375E02C9" w14:textId="610E590C" w:rsidR="00093B16" w:rsidRPr="00C601A2" w:rsidRDefault="00093B16" w:rsidP="00093B16">
            <w:pPr>
              <w:pStyle w:val="TableText"/>
              <w:rPr>
                <w:rFonts w:cs="Calibri"/>
                <w:szCs w:val="18"/>
              </w:rPr>
            </w:pPr>
            <w:r w:rsidRPr="00C601A2">
              <w:rPr>
                <w:rFonts w:cs="Calibri"/>
                <w:szCs w:val="18"/>
              </w:rPr>
              <w:t>EU (</w:t>
            </w:r>
            <w:r w:rsidRPr="00C601A2">
              <w:rPr>
                <w:rFonts w:cs="Calibri"/>
                <w:color w:val="2B579A"/>
                <w:szCs w:val="18"/>
                <w:shd w:val="clear" w:color="auto" w:fill="E6E6E6"/>
              </w:rPr>
              <w:fldChar w:fldCharType="begin"/>
            </w:r>
            <w:r w:rsidRPr="00C601A2">
              <w:rPr>
                <w:rFonts w:cs="Calibri"/>
                <w:szCs w:val="18"/>
              </w:rPr>
              <w:instrText xml:space="preserve"> REF _Ref106046343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20</w:t>
            </w:r>
            <w:r w:rsidRPr="00C601A2">
              <w:rPr>
                <w:rFonts w:cs="Calibri"/>
                <w:color w:val="2B579A"/>
                <w:szCs w:val="18"/>
                <w:shd w:val="clear" w:color="auto" w:fill="E6E6E6"/>
              </w:rPr>
              <w:fldChar w:fldCharType="end"/>
            </w:r>
            <w:r w:rsidRPr="00C601A2">
              <w:rPr>
                <w:rFonts w:cs="Calibri"/>
                <w:szCs w:val="18"/>
              </w:rPr>
              <w:t>)</w:t>
            </w:r>
          </w:p>
        </w:tc>
        <w:tc>
          <w:tcPr>
            <w:tcW w:w="1020" w:type="dxa"/>
          </w:tcPr>
          <w:p w14:paraId="2C9DA1C7" w14:textId="265ECE5E" w:rsidR="00093B16" w:rsidRPr="00C601A2" w:rsidRDefault="00093B16" w:rsidP="00093B16">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B27349">
              <w:t>0.10</w:t>
            </w:r>
          </w:p>
        </w:tc>
        <w:tc>
          <w:tcPr>
            <w:tcW w:w="1304" w:type="dxa"/>
          </w:tcPr>
          <w:p w14:paraId="36541115" w14:textId="415D8AB7" w:rsidR="00093B16" w:rsidRPr="00461E99" w:rsidRDefault="00093B16" w:rsidP="00093B16">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461E99">
              <w:rPr>
                <w:b/>
                <w:bCs/>
              </w:rPr>
              <w:t>0.007</w:t>
            </w:r>
          </w:p>
        </w:tc>
        <w:tc>
          <w:tcPr>
            <w:tcW w:w="1191" w:type="dxa"/>
          </w:tcPr>
          <w:p w14:paraId="52201889" w14:textId="77777777" w:rsidR="00093B16" w:rsidRPr="00C601A2" w:rsidRDefault="00093B16" w:rsidP="00093B16">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2018–19</w:t>
            </w:r>
          </w:p>
        </w:tc>
        <w:tc>
          <w:tcPr>
            <w:tcW w:w="2041" w:type="dxa"/>
          </w:tcPr>
          <w:p w14:paraId="345A2BAB" w14:textId="77777777" w:rsidR="00093B16" w:rsidRPr="00C601A2" w:rsidRDefault="00093B16" w:rsidP="00093B16">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Increase</w:t>
            </w:r>
          </w:p>
        </w:tc>
      </w:tr>
      <w:tr w:rsidR="00FC0427" w:rsidRPr="00C601A2" w14:paraId="6A6FEEDF"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465D1C84" w14:textId="43829CEA" w:rsidR="00FC0427" w:rsidRPr="00C601A2" w:rsidRDefault="00FC0427" w:rsidP="00FC0427">
            <w:pPr>
              <w:pStyle w:val="TableText"/>
              <w:rPr>
                <w:rFonts w:cs="Calibri"/>
                <w:szCs w:val="18"/>
              </w:rPr>
            </w:pPr>
            <w:r w:rsidRPr="00C601A2">
              <w:rPr>
                <w:rFonts w:cs="Calibri"/>
                <w:szCs w:val="18"/>
              </w:rPr>
              <w:t>KP (</w:t>
            </w:r>
            <w:r w:rsidRPr="00C601A2">
              <w:rPr>
                <w:rFonts w:cs="Calibri"/>
                <w:color w:val="2B579A"/>
                <w:szCs w:val="18"/>
                <w:shd w:val="clear" w:color="auto" w:fill="E6E6E6"/>
              </w:rPr>
              <w:fldChar w:fldCharType="begin"/>
            </w:r>
            <w:r w:rsidRPr="00C601A2">
              <w:rPr>
                <w:rFonts w:cs="Calibri"/>
                <w:szCs w:val="18"/>
              </w:rPr>
              <w:instrText xml:space="preserve"> REF _Ref106046420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21</w:t>
            </w:r>
            <w:r w:rsidRPr="00C601A2">
              <w:rPr>
                <w:rFonts w:cs="Calibri"/>
                <w:color w:val="2B579A"/>
                <w:szCs w:val="18"/>
                <w:shd w:val="clear" w:color="auto" w:fill="E6E6E6"/>
              </w:rPr>
              <w:fldChar w:fldCharType="end"/>
            </w:r>
            <w:r w:rsidRPr="00C601A2">
              <w:rPr>
                <w:rFonts w:cs="Calibri"/>
                <w:szCs w:val="18"/>
              </w:rPr>
              <w:t>)</w:t>
            </w:r>
          </w:p>
        </w:tc>
        <w:tc>
          <w:tcPr>
            <w:tcW w:w="1020" w:type="dxa"/>
          </w:tcPr>
          <w:p w14:paraId="7D1BD1FC" w14:textId="4647630C" w:rsidR="00FC0427" w:rsidRPr="00C601A2" w:rsidRDefault="00FC0427" w:rsidP="00FC0427">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2A5FA2">
              <w:t>0.10</w:t>
            </w:r>
          </w:p>
        </w:tc>
        <w:tc>
          <w:tcPr>
            <w:tcW w:w="1304" w:type="dxa"/>
          </w:tcPr>
          <w:p w14:paraId="2F53AF2D" w14:textId="5AFAC187" w:rsidR="00FC0427" w:rsidRPr="00461E99" w:rsidRDefault="00FC0427" w:rsidP="00FC0427">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461E99">
              <w:rPr>
                <w:b/>
                <w:bCs/>
              </w:rPr>
              <w:t>0.004</w:t>
            </w:r>
          </w:p>
        </w:tc>
        <w:tc>
          <w:tcPr>
            <w:tcW w:w="1191" w:type="dxa"/>
          </w:tcPr>
          <w:p w14:paraId="38742A4A" w14:textId="6746EBF3" w:rsidR="00FC0427" w:rsidRPr="00C601A2" w:rsidRDefault="00FC0427" w:rsidP="00FC0427">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2018–</w:t>
            </w:r>
            <w:r>
              <w:rPr>
                <w:rFonts w:cs="Calibri"/>
                <w:szCs w:val="18"/>
              </w:rPr>
              <w:t>23</w:t>
            </w:r>
          </w:p>
        </w:tc>
        <w:tc>
          <w:tcPr>
            <w:tcW w:w="2041" w:type="dxa"/>
          </w:tcPr>
          <w:p w14:paraId="5B8723A9" w14:textId="77777777" w:rsidR="00FC0427" w:rsidRPr="00C601A2" w:rsidRDefault="00FC0427" w:rsidP="00FC0427">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FC0427" w:rsidRPr="00C601A2" w14:paraId="793E5568"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2301C876" w14:textId="7C2426D7" w:rsidR="00FC0427" w:rsidRPr="00C601A2" w:rsidRDefault="00FC0427" w:rsidP="00FC0427">
            <w:pPr>
              <w:pStyle w:val="TableText"/>
              <w:rPr>
                <w:rFonts w:cs="Calibri"/>
                <w:szCs w:val="18"/>
              </w:rPr>
            </w:pPr>
            <w:r w:rsidRPr="00C601A2">
              <w:rPr>
                <w:rFonts w:cs="Calibri"/>
                <w:szCs w:val="18"/>
              </w:rPr>
              <w:t>LB (</w:t>
            </w:r>
            <w:r w:rsidRPr="00C601A2">
              <w:rPr>
                <w:rFonts w:cs="Calibri"/>
                <w:color w:val="2B579A"/>
                <w:szCs w:val="18"/>
                <w:shd w:val="clear" w:color="auto" w:fill="E6E6E6"/>
              </w:rPr>
              <w:fldChar w:fldCharType="begin"/>
            </w:r>
            <w:r w:rsidRPr="00C601A2">
              <w:rPr>
                <w:rFonts w:cs="Calibri"/>
                <w:szCs w:val="18"/>
              </w:rPr>
              <w:instrText xml:space="preserve"> REF _Ref106046484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22</w:t>
            </w:r>
            <w:r w:rsidRPr="00C601A2">
              <w:rPr>
                <w:rFonts w:cs="Calibri"/>
                <w:color w:val="2B579A"/>
                <w:szCs w:val="18"/>
                <w:shd w:val="clear" w:color="auto" w:fill="E6E6E6"/>
              </w:rPr>
              <w:fldChar w:fldCharType="end"/>
            </w:r>
            <w:r w:rsidRPr="00C601A2">
              <w:rPr>
                <w:rFonts w:cs="Calibri"/>
                <w:szCs w:val="18"/>
              </w:rPr>
              <w:t>)</w:t>
            </w:r>
          </w:p>
        </w:tc>
        <w:tc>
          <w:tcPr>
            <w:tcW w:w="1020" w:type="dxa"/>
          </w:tcPr>
          <w:p w14:paraId="16740D91" w14:textId="50F1E93D" w:rsidR="00FC0427" w:rsidRPr="00C601A2" w:rsidRDefault="00FC0427" w:rsidP="00FC0427">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4E0238">
              <w:t>0.03</w:t>
            </w:r>
          </w:p>
        </w:tc>
        <w:tc>
          <w:tcPr>
            <w:tcW w:w="1304" w:type="dxa"/>
          </w:tcPr>
          <w:p w14:paraId="7D393E13" w14:textId="339649F7" w:rsidR="00FC0427" w:rsidRPr="00461E99" w:rsidRDefault="00FC0427" w:rsidP="00FC0427">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461E99">
              <w:rPr>
                <w:b/>
                <w:bCs/>
              </w:rPr>
              <w:t>0.001</w:t>
            </w:r>
          </w:p>
        </w:tc>
        <w:tc>
          <w:tcPr>
            <w:tcW w:w="1191" w:type="dxa"/>
          </w:tcPr>
          <w:p w14:paraId="180F6D45" w14:textId="376A6C10" w:rsidR="00FC0427" w:rsidRPr="00C601A2" w:rsidRDefault="00FC0427" w:rsidP="00FC0427">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2014–2</w:t>
            </w:r>
            <w:r w:rsidR="00446504">
              <w:rPr>
                <w:rFonts w:cs="Calibri"/>
                <w:szCs w:val="18"/>
              </w:rPr>
              <w:t>4</w:t>
            </w:r>
          </w:p>
        </w:tc>
        <w:tc>
          <w:tcPr>
            <w:tcW w:w="2041" w:type="dxa"/>
          </w:tcPr>
          <w:p w14:paraId="22DFA80A" w14:textId="77777777" w:rsidR="00FC0427" w:rsidRPr="00C601A2" w:rsidRDefault="00FC0427" w:rsidP="00FC0427">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Increase</w:t>
            </w:r>
          </w:p>
        </w:tc>
      </w:tr>
      <w:tr w:rsidR="004D2808" w:rsidRPr="00C601A2" w14:paraId="3D2D059E"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51C3D18E" w14:textId="7E1ECBC2" w:rsidR="004D2808" w:rsidRPr="00C601A2" w:rsidRDefault="004D2808" w:rsidP="004D2808">
            <w:pPr>
              <w:pStyle w:val="TableText"/>
              <w:rPr>
                <w:rFonts w:cs="Calibri"/>
                <w:szCs w:val="18"/>
              </w:rPr>
            </w:pPr>
            <w:r w:rsidRPr="00C601A2">
              <w:rPr>
                <w:rFonts w:cs="Calibri"/>
                <w:szCs w:val="18"/>
              </w:rPr>
              <w:t>MG (</w:t>
            </w:r>
            <w:r w:rsidRPr="00C601A2">
              <w:rPr>
                <w:rFonts w:cs="Calibri"/>
                <w:color w:val="2B579A"/>
                <w:szCs w:val="18"/>
                <w:shd w:val="clear" w:color="auto" w:fill="E6E6E6"/>
              </w:rPr>
              <w:fldChar w:fldCharType="begin"/>
            </w:r>
            <w:r w:rsidRPr="00C601A2">
              <w:rPr>
                <w:rFonts w:cs="Calibri"/>
                <w:szCs w:val="18"/>
              </w:rPr>
              <w:instrText xml:space="preserve"> REF _Ref106046577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23</w:t>
            </w:r>
            <w:r w:rsidRPr="00C601A2">
              <w:rPr>
                <w:rFonts w:cs="Calibri"/>
                <w:color w:val="2B579A"/>
                <w:szCs w:val="18"/>
                <w:shd w:val="clear" w:color="auto" w:fill="E6E6E6"/>
              </w:rPr>
              <w:fldChar w:fldCharType="end"/>
            </w:r>
            <w:r w:rsidRPr="00C601A2">
              <w:rPr>
                <w:rFonts w:cs="Calibri"/>
                <w:szCs w:val="18"/>
              </w:rPr>
              <w:t>)</w:t>
            </w:r>
          </w:p>
        </w:tc>
        <w:tc>
          <w:tcPr>
            <w:tcW w:w="1020" w:type="dxa"/>
          </w:tcPr>
          <w:p w14:paraId="604B1A30" w14:textId="50A6F213" w:rsidR="004D2808" w:rsidRPr="00C601A2"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3A3F1E">
              <w:t>0.45</w:t>
            </w:r>
          </w:p>
        </w:tc>
        <w:tc>
          <w:tcPr>
            <w:tcW w:w="1304" w:type="dxa"/>
          </w:tcPr>
          <w:p w14:paraId="3C3888F7" w14:textId="666E720A" w:rsidR="004D2808" w:rsidRPr="00461E99"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461E99">
              <w:rPr>
                <w:b/>
                <w:bCs/>
              </w:rPr>
              <w:t>0.001</w:t>
            </w:r>
          </w:p>
        </w:tc>
        <w:tc>
          <w:tcPr>
            <w:tcW w:w="1191" w:type="dxa"/>
          </w:tcPr>
          <w:p w14:paraId="5FEB4A4A" w14:textId="77777777" w:rsidR="004D2808" w:rsidRPr="00C601A2"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2018–19</w:t>
            </w:r>
          </w:p>
        </w:tc>
        <w:tc>
          <w:tcPr>
            <w:tcW w:w="2041" w:type="dxa"/>
          </w:tcPr>
          <w:p w14:paraId="608DDB90" w14:textId="35545F1A" w:rsidR="004D2808" w:rsidRPr="00C601A2"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Decrease</w:t>
            </w:r>
          </w:p>
        </w:tc>
      </w:tr>
      <w:tr w:rsidR="004D2808" w:rsidRPr="00C601A2" w14:paraId="29B53CFC"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653AD923" w14:textId="32E633BE" w:rsidR="004D2808" w:rsidRPr="00C601A2" w:rsidRDefault="004D2808" w:rsidP="004D2808">
            <w:pPr>
              <w:pStyle w:val="TableText"/>
              <w:rPr>
                <w:rFonts w:cs="Calibri"/>
                <w:szCs w:val="18"/>
              </w:rPr>
            </w:pPr>
            <w:r w:rsidRPr="00C601A2">
              <w:rPr>
                <w:rFonts w:cs="Calibri"/>
                <w:szCs w:val="18"/>
              </w:rPr>
              <w:t>TH (</w:t>
            </w:r>
            <w:r w:rsidRPr="00C601A2">
              <w:rPr>
                <w:rFonts w:cs="Calibri"/>
                <w:color w:val="2B579A"/>
                <w:szCs w:val="18"/>
                <w:shd w:val="clear" w:color="auto" w:fill="E6E6E6"/>
              </w:rPr>
              <w:fldChar w:fldCharType="begin"/>
            </w:r>
            <w:r w:rsidRPr="00C601A2">
              <w:rPr>
                <w:rFonts w:cs="Calibri"/>
                <w:szCs w:val="18"/>
              </w:rPr>
              <w:instrText xml:space="preserve"> REF _Ref106046665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Figure A.24</w:t>
            </w:r>
            <w:r w:rsidRPr="00C601A2">
              <w:rPr>
                <w:rFonts w:cs="Calibri"/>
                <w:color w:val="2B579A"/>
                <w:szCs w:val="18"/>
                <w:shd w:val="clear" w:color="auto" w:fill="E6E6E6"/>
              </w:rPr>
              <w:fldChar w:fldCharType="end"/>
            </w:r>
            <w:r w:rsidRPr="00C601A2">
              <w:rPr>
                <w:rFonts w:cs="Calibri"/>
                <w:szCs w:val="18"/>
              </w:rPr>
              <w:t>)</w:t>
            </w:r>
          </w:p>
        </w:tc>
        <w:tc>
          <w:tcPr>
            <w:tcW w:w="1020" w:type="dxa"/>
          </w:tcPr>
          <w:p w14:paraId="1DA90C47" w14:textId="161F029D" w:rsidR="004D2808" w:rsidRPr="00C601A2"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3A3F1E">
              <w:t>0.11</w:t>
            </w:r>
          </w:p>
        </w:tc>
        <w:tc>
          <w:tcPr>
            <w:tcW w:w="1304" w:type="dxa"/>
          </w:tcPr>
          <w:p w14:paraId="7948D43C" w14:textId="1A9B018A" w:rsidR="004D2808" w:rsidRPr="00461E99"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461E99">
              <w:rPr>
                <w:b/>
                <w:bCs/>
              </w:rPr>
              <w:t>0.001</w:t>
            </w:r>
          </w:p>
        </w:tc>
        <w:tc>
          <w:tcPr>
            <w:tcW w:w="1191" w:type="dxa"/>
          </w:tcPr>
          <w:p w14:paraId="7A02F6D5" w14:textId="5ECCABE7" w:rsidR="004D2808" w:rsidRPr="00C601A2"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2018–</w:t>
            </w:r>
            <w:r>
              <w:rPr>
                <w:rFonts w:cs="Calibri"/>
                <w:szCs w:val="18"/>
              </w:rPr>
              <w:t>23</w:t>
            </w:r>
          </w:p>
        </w:tc>
        <w:tc>
          <w:tcPr>
            <w:tcW w:w="2041" w:type="dxa"/>
          </w:tcPr>
          <w:p w14:paraId="5EC43F17" w14:textId="77777777" w:rsidR="004D2808" w:rsidRPr="00C601A2"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4D2808" w:rsidRPr="00C601A2" w14:paraId="3DA1C45C"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4BD8A103" w14:textId="1BCA6920" w:rsidR="004D2808" w:rsidRPr="00C601A2" w:rsidRDefault="004D2808" w:rsidP="004D2808">
            <w:pPr>
              <w:pStyle w:val="TableText"/>
              <w:rPr>
                <w:rFonts w:cs="Calibri"/>
                <w:szCs w:val="18"/>
              </w:rPr>
            </w:pPr>
            <w:r w:rsidRPr="00C601A2">
              <w:rPr>
                <w:rFonts w:cs="Calibri"/>
                <w:szCs w:val="18"/>
              </w:rPr>
              <w:t>WAL (</w:t>
            </w:r>
            <w:r w:rsidRPr="00C601A2">
              <w:rPr>
                <w:rFonts w:cs="Calibri"/>
                <w:color w:val="2B579A"/>
                <w:szCs w:val="18"/>
                <w:shd w:val="clear" w:color="auto" w:fill="E6E6E6"/>
              </w:rPr>
              <w:fldChar w:fldCharType="begin"/>
            </w:r>
            <w:r w:rsidRPr="00C601A2">
              <w:rPr>
                <w:rFonts w:cs="Calibri"/>
                <w:szCs w:val="18"/>
              </w:rPr>
              <w:instrText xml:space="preserve"> REF _Ref106046738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25</w:t>
            </w:r>
            <w:r w:rsidRPr="00C601A2">
              <w:rPr>
                <w:rFonts w:cs="Calibri"/>
                <w:color w:val="2B579A"/>
                <w:szCs w:val="18"/>
                <w:shd w:val="clear" w:color="auto" w:fill="E6E6E6"/>
              </w:rPr>
              <w:fldChar w:fldCharType="end"/>
            </w:r>
            <w:r w:rsidRPr="00C601A2">
              <w:rPr>
                <w:rFonts w:cs="Calibri"/>
                <w:szCs w:val="18"/>
              </w:rPr>
              <w:t>)</w:t>
            </w:r>
          </w:p>
        </w:tc>
        <w:tc>
          <w:tcPr>
            <w:tcW w:w="1020" w:type="dxa"/>
          </w:tcPr>
          <w:p w14:paraId="50A5DCE3" w14:textId="7CC4FC38" w:rsidR="004D2808" w:rsidRPr="00C601A2"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3A3F1E">
              <w:t>0.12</w:t>
            </w:r>
          </w:p>
        </w:tc>
        <w:tc>
          <w:tcPr>
            <w:tcW w:w="1304" w:type="dxa"/>
          </w:tcPr>
          <w:p w14:paraId="0617C06B" w14:textId="08AB6EA5" w:rsidR="004D2808" w:rsidRPr="00461E99"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461E99">
              <w:rPr>
                <w:b/>
                <w:bCs/>
              </w:rPr>
              <w:t>0.001</w:t>
            </w:r>
          </w:p>
        </w:tc>
        <w:tc>
          <w:tcPr>
            <w:tcW w:w="1191" w:type="dxa"/>
          </w:tcPr>
          <w:p w14:paraId="583D7514" w14:textId="77777777" w:rsidR="004D2808" w:rsidRPr="00C601A2"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2015–20</w:t>
            </w:r>
          </w:p>
        </w:tc>
        <w:tc>
          <w:tcPr>
            <w:tcW w:w="2041" w:type="dxa"/>
          </w:tcPr>
          <w:p w14:paraId="48C1608C" w14:textId="77777777" w:rsidR="004D2808" w:rsidRPr="00C601A2" w:rsidRDefault="004D2808" w:rsidP="004D280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4D2808" w:rsidRPr="00C601A2" w14:paraId="0FC79845"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743D0790" w14:textId="03DEFC32" w:rsidR="004D2808" w:rsidRPr="00C601A2" w:rsidRDefault="004D2808" w:rsidP="004D2808">
            <w:pPr>
              <w:pStyle w:val="TableText"/>
              <w:rPr>
                <w:rFonts w:cs="Calibri"/>
                <w:szCs w:val="18"/>
              </w:rPr>
            </w:pPr>
            <w:r w:rsidRPr="00C601A2">
              <w:rPr>
                <w:rFonts w:cs="Calibri"/>
                <w:szCs w:val="18"/>
              </w:rPr>
              <w:t>WB (</w:t>
            </w:r>
            <w:r w:rsidRPr="00C601A2">
              <w:rPr>
                <w:rFonts w:cs="Calibri"/>
                <w:color w:val="2B579A"/>
                <w:szCs w:val="18"/>
                <w:shd w:val="clear" w:color="auto" w:fill="E6E6E6"/>
              </w:rPr>
              <w:fldChar w:fldCharType="begin"/>
            </w:r>
            <w:r w:rsidRPr="00C601A2">
              <w:rPr>
                <w:rFonts w:cs="Calibri"/>
                <w:szCs w:val="18"/>
              </w:rPr>
              <w:instrText xml:space="preserve"> REF _Ref106046777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26</w:t>
            </w:r>
            <w:r w:rsidRPr="00C601A2">
              <w:rPr>
                <w:rFonts w:cs="Calibri"/>
                <w:color w:val="2B579A"/>
                <w:szCs w:val="18"/>
                <w:shd w:val="clear" w:color="auto" w:fill="E6E6E6"/>
              </w:rPr>
              <w:fldChar w:fldCharType="end"/>
            </w:r>
            <w:r w:rsidRPr="00C601A2">
              <w:rPr>
                <w:rFonts w:cs="Calibri"/>
                <w:szCs w:val="18"/>
              </w:rPr>
              <w:t>)</w:t>
            </w:r>
          </w:p>
        </w:tc>
        <w:tc>
          <w:tcPr>
            <w:tcW w:w="1020" w:type="dxa"/>
          </w:tcPr>
          <w:p w14:paraId="6458157A" w14:textId="74378E1F" w:rsidR="004D2808" w:rsidRPr="00C601A2"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3A3F1E">
              <w:t>0.10</w:t>
            </w:r>
          </w:p>
        </w:tc>
        <w:tc>
          <w:tcPr>
            <w:tcW w:w="1304" w:type="dxa"/>
          </w:tcPr>
          <w:p w14:paraId="223CC4F6" w14:textId="42EA87E1" w:rsidR="004D2808" w:rsidRPr="00461E99"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461E99">
              <w:rPr>
                <w:b/>
                <w:bCs/>
              </w:rPr>
              <w:t>0.001</w:t>
            </w:r>
          </w:p>
        </w:tc>
        <w:tc>
          <w:tcPr>
            <w:tcW w:w="1191" w:type="dxa"/>
          </w:tcPr>
          <w:p w14:paraId="105CCA77" w14:textId="77E98663" w:rsidR="004D2808" w:rsidRPr="00C601A2"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2015–2</w:t>
            </w:r>
            <w:r w:rsidR="00446504">
              <w:rPr>
                <w:rFonts w:cs="Calibri"/>
                <w:szCs w:val="18"/>
              </w:rPr>
              <w:t>4</w:t>
            </w:r>
          </w:p>
        </w:tc>
        <w:tc>
          <w:tcPr>
            <w:tcW w:w="2041" w:type="dxa"/>
          </w:tcPr>
          <w:p w14:paraId="52CFFA71" w14:textId="77777777" w:rsidR="004D2808" w:rsidRPr="00C601A2" w:rsidRDefault="004D2808" w:rsidP="004D280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r w:rsidR="004713AC" w:rsidRPr="00C601A2" w14:paraId="2D0F8CD8"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48E48771" w14:textId="25FB5F82" w:rsidR="004713AC" w:rsidRPr="00C601A2" w:rsidRDefault="004713AC" w:rsidP="004713AC">
            <w:pPr>
              <w:pStyle w:val="TableText"/>
              <w:rPr>
                <w:rFonts w:cs="Calibri"/>
                <w:szCs w:val="18"/>
              </w:rPr>
            </w:pPr>
            <w:r>
              <w:rPr>
                <w:rFonts w:cs="Calibri"/>
                <w:szCs w:val="18"/>
              </w:rPr>
              <w:t>BOO (</w:t>
            </w:r>
            <w:r>
              <w:rPr>
                <w:rFonts w:cs="Calibri"/>
                <w:szCs w:val="18"/>
              </w:rPr>
              <w:fldChar w:fldCharType="begin"/>
            </w:r>
            <w:r>
              <w:rPr>
                <w:rFonts w:cs="Calibri"/>
                <w:szCs w:val="18"/>
              </w:rPr>
              <w:instrText xml:space="preserve"> REF _Ref165318378 \h </w:instrText>
            </w:r>
            <w:r w:rsidR="00461E99">
              <w:rPr>
                <w:rFonts w:cs="Calibri"/>
                <w:szCs w:val="18"/>
              </w:rPr>
              <w:instrText xml:space="preserve"> \* MERGEFORMAT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27</w:t>
            </w:r>
            <w:r>
              <w:rPr>
                <w:rFonts w:cs="Calibri"/>
                <w:szCs w:val="18"/>
              </w:rPr>
              <w:fldChar w:fldCharType="end"/>
            </w:r>
            <w:r>
              <w:rPr>
                <w:rFonts w:cs="Calibri"/>
                <w:szCs w:val="18"/>
              </w:rPr>
              <w:t>)</w:t>
            </w:r>
          </w:p>
        </w:tc>
        <w:tc>
          <w:tcPr>
            <w:tcW w:w="1020" w:type="dxa"/>
          </w:tcPr>
          <w:p w14:paraId="022CDDC9" w14:textId="2E7B4189" w:rsidR="004713AC" w:rsidRPr="00C601A2" w:rsidRDefault="004713AC" w:rsidP="004713A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7D758C">
              <w:t>0.17</w:t>
            </w:r>
          </w:p>
        </w:tc>
        <w:tc>
          <w:tcPr>
            <w:tcW w:w="1304" w:type="dxa"/>
          </w:tcPr>
          <w:p w14:paraId="0E45126F" w14:textId="655C9023" w:rsidR="004713AC" w:rsidRPr="00461E99" w:rsidRDefault="004713AC" w:rsidP="004713AC">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461E99">
              <w:rPr>
                <w:b/>
                <w:bCs/>
              </w:rPr>
              <w:t>0.001</w:t>
            </w:r>
          </w:p>
        </w:tc>
        <w:tc>
          <w:tcPr>
            <w:tcW w:w="1191" w:type="dxa"/>
          </w:tcPr>
          <w:p w14:paraId="0AE0D877" w14:textId="3E86BD80" w:rsidR="004713AC" w:rsidRPr="00C601A2" w:rsidRDefault="004713AC" w:rsidP="004713A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2022–2</w:t>
            </w:r>
            <w:r w:rsidR="00EC7FD7">
              <w:rPr>
                <w:rFonts w:cs="Calibri"/>
                <w:szCs w:val="18"/>
              </w:rPr>
              <w:t>4</w:t>
            </w:r>
          </w:p>
        </w:tc>
        <w:tc>
          <w:tcPr>
            <w:tcW w:w="2041" w:type="dxa"/>
          </w:tcPr>
          <w:p w14:paraId="6EDCF0D2" w14:textId="3FBB7D86" w:rsidR="004713AC" w:rsidRPr="00C601A2" w:rsidRDefault="004713AC" w:rsidP="004713AC">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4713AC" w:rsidRPr="00C601A2" w14:paraId="66D38F98"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61E0A331" w14:textId="346C3391" w:rsidR="004713AC" w:rsidRPr="00C601A2" w:rsidRDefault="004713AC" w:rsidP="004713AC">
            <w:pPr>
              <w:pStyle w:val="TableText"/>
              <w:rPr>
                <w:rFonts w:cs="Calibri"/>
                <w:szCs w:val="18"/>
              </w:rPr>
            </w:pPr>
            <w:r>
              <w:rPr>
                <w:rFonts w:cs="Calibri"/>
                <w:szCs w:val="18"/>
              </w:rPr>
              <w:t>CON (</w:t>
            </w:r>
            <w:r>
              <w:rPr>
                <w:rFonts w:cs="Calibri"/>
                <w:szCs w:val="18"/>
              </w:rPr>
              <w:fldChar w:fldCharType="begin"/>
            </w:r>
            <w:r>
              <w:rPr>
                <w:rFonts w:cs="Calibri"/>
                <w:szCs w:val="18"/>
              </w:rPr>
              <w:instrText xml:space="preserve"> REF _Ref165318395 \h </w:instrText>
            </w:r>
            <w:r w:rsidR="00461E99">
              <w:rPr>
                <w:rFonts w:cs="Calibri"/>
                <w:szCs w:val="18"/>
              </w:rPr>
              <w:instrText xml:space="preserve"> \* MERGEFORMAT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28</w:t>
            </w:r>
            <w:r>
              <w:rPr>
                <w:rFonts w:cs="Calibri"/>
                <w:szCs w:val="18"/>
              </w:rPr>
              <w:fldChar w:fldCharType="end"/>
            </w:r>
            <w:r>
              <w:rPr>
                <w:rFonts w:cs="Calibri"/>
                <w:szCs w:val="18"/>
              </w:rPr>
              <w:t>)</w:t>
            </w:r>
          </w:p>
        </w:tc>
        <w:tc>
          <w:tcPr>
            <w:tcW w:w="1020" w:type="dxa"/>
          </w:tcPr>
          <w:p w14:paraId="01E1808C" w14:textId="263248E8" w:rsidR="004713AC" w:rsidRPr="00C601A2" w:rsidRDefault="004713AC" w:rsidP="004713A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37BEE">
              <w:t>0.07</w:t>
            </w:r>
          </w:p>
        </w:tc>
        <w:tc>
          <w:tcPr>
            <w:tcW w:w="1304" w:type="dxa"/>
          </w:tcPr>
          <w:p w14:paraId="430D23FF" w14:textId="5BF3E44D" w:rsidR="004713AC" w:rsidRPr="00461E99" w:rsidRDefault="004713AC" w:rsidP="004713AC">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461E99">
              <w:rPr>
                <w:b/>
                <w:bCs/>
              </w:rPr>
              <w:t>0.001</w:t>
            </w:r>
          </w:p>
        </w:tc>
        <w:tc>
          <w:tcPr>
            <w:tcW w:w="1191" w:type="dxa"/>
          </w:tcPr>
          <w:p w14:paraId="6A2ABCC3" w14:textId="401A49E9" w:rsidR="004713AC" w:rsidRPr="00C601A2" w:rsidRDefault="004713AC" w:rsidP="004713A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2022–2</w:t>
            </w:r>
            <w:r w:rsidR="00D4474B">
              <w:rPr>
                <w:rFonts w:cs="Calibri"/>
                <w:szCs w:val="18"/>
              </w:rPr>
              <w:t>4</w:t>
            </w:r>
          </w:p>
        </w:tc>
        <w:tc>
          <w:tcPr>
            <w:tcW w:w="2041" w:type="dxa"/>
          </w:tcPr>
          <w:p w14:paraId="04986E7E" w14:textId="31FB848D" w:rsidR="004713AC" w:rsidRPr="00C601A2" w:rsidRDefault="004713AC" w:rsidP="004713AC">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Decrease</w:t>
            </w:r>
          </w:p>
        </w:tc>
      </w:tr>
      <w:tr w:rsidR="00461E99" w:rsidRPr="00C601A2" w14:paraId="55F5A10C"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65DF30B6" w14:textId="4574C886" w:rsidR="00461E99" w:rsidRPr="00C601A2" w:rsidRDefault="00461E99" w:rsidP="00461E99">
            <w:pPr>
              <w:pStyle w:val="TableText"/>
              <w:rPr>
                <w:rFonts w:cs="Calibri"/>
                <w:szCs w:val="18"/>
              </w:rPr>
            </w:pPr>
            <w:r>
              <w:rPr>
                <w:rFonts w:cs="Calibri"/>
                <w:szCs w:val="18"/>
              </w:rPr>
              <w:t>HUN (</w:t>
            </w:r>
            <w:r>
              <w:rPr>
                <w:rFonts w:cs="Calibri"/>
                <w:szCs w:val="18"/>
              </w:rPr>
              <w:fldChar w:fldCharType="begin"/>
            </w:r>
            <w:r>
              <w:rPr>
                <w:rFonts w:cs="Calibri"/>
                <w:szCs w:val="18"/>
              </w:rPr>
              <w:instrText xml:space="preserve"> REF _Ref165318403 \h  \* MERGEFORMAT </w:instrText>
            </w:r>
            <w:r>
              <w:rPr>
                <w:rFonts w:cs="Calibri"/>
                <w:szCs w:val="18"/>
              </w:rPr>
            </w:r>
            <w:r>
              <w:rPr>
                <w:rFonts w:cs="Calibri"/>
                <w:szCs w:val="18"/>
              </w:rPr>
              <w:fldChar w:fldCharType="separate"/>
            </w:r>
            <w:r w:rsidR="00492712" w:rsidRPr="00C601A2">
              <w:t xml:space="preserve">Figure </w:t>
            </w:r>
            <w:r w:rsidR="00492712">
              <w:rPr>
                <w:noProof/>
              </w:rPr>
              <w:t>A</w:t>
            </w:r>
            <w:r w:rsidR="00492712" w:rsidRPr="00C601A2">
              <w:t>.</w:t>
            </w:r>
            <w:r w:rsidR="00492712">
              <w:rPr>
                <w:noProof/>
              </w:rPr>
              <w:t>29</w:t>
            </w:r>
            <w:r>
              <w:rPr>
                <w:rFonts w:cs="Calibri"/>
                <w:szCs w:val="18"/>
              </w:rPr>
              <w:fldChar w:fldCharType="end"/>
            </w:r>
            <w:r>
              <w:rPr>
                <w:rFonts w:cs="Calibri"/>
                <w:szCs w:val="18"/>
              </w:rPr>
              <w:t>)</w:t>
            </w:r>
          </w:p>
        </w:tc>
        <w:tc>
          <w:tcPr>
            <w:tcW w:w="1020" w:type="dxa"/>
          </w:tcPr>
          <w:p w14:paraId="3E5C932E" w14:textId="130EF7D1" w:rsidR="00461E99" w:rsidRPr="00C601A2" w:rsidRDefault="00461E99" w:rsidP="00461E99">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F159B0">
              <w:t>0.28</w:t>
            </w:r>
          </w:p>
        </w:tc>
        <w:tc>
          <w:tcPr>
            <w:tcW w:w="1304" w:type="dxa"/>
          </w:tcPr>
          <w:p w14:paraId="0087161E" w14:textId="509F4DD2" w:rsidR="00461E99" w:rsidRPr="00461E99" w:rsidRDefault="00461E99" w:rsidP="00461E99">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461E99">
              <w:rPr>
                <w:b/>
                <w:bCs/>
              </w:rPr>
              <w:t>0.001</w:t>
            </w:r>
          </w:p>
        </w:tc>
        <w:tc>
          <w:tcPr>
            <w:tcW w:w="1191" w:type="dxa"/>
          </w:tcPr>
          <w:p w14:paraId="59683E89" w14:textId="7A6D63C5" w:rsidR="00461E99" w:rsidRPr="00C601A2" w:rsidRDefault="00461E99" w:rsidP="00461E99">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2022–2</w:t>
            </w:r>
            <w:r w:rsidR="004006EE">
              <w:rPr>
                <w:rFonts w:cs="Calibri"/>
                <w:szCs w:val="18"/>
              </w:rPr>
              <w:t>4</w:t>
            </w:r>
          </w:p>
        </w:tc>
        <w:tc>
          <w:tcPr>
            <w:tcW w:w="2041" w:type="dxa"/>
          </w:tcPr>
          <w:p w14:paraId="0F33EC1C" w14:textId="63026C97" w:rsidR="00461E99" w:rsidRPr="00C601A2" w:rsidRDefault="00461E99" w:rsidP="00461E99">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Decrease</w:t>
            </w:r>
          </w:p>
        </w:tc>
      </w:tr>
      <w:tr w:rsidR="00C9103E" w:rsidRPr="00C601A2" w14:paraId="2F113092"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7A6B42B4" w14:textId="2A01766E" w:rsidR="00C9103E" w:rsidRPr="00C601A2" w:rsidRDefault="00C9103E" w:rsidP="00C3745F">
            <w:pPr>
              <w:pStyle w:val="RowHeading"/>
              <w:keepNext/>
            </w:pPr>
            <w:r>
              <w:t>Lower Murray River</w:t>
            </w:r>
          </w:p>
        </w:tc>
        <w:tc>
          <w:tcPr>
            <w:tcW w:w="1020" w:type="dxa"/>
          </w:tcPr>
          <w:p w14:paraId="7FEAEFB1"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1304" w:type="dxa"/>
          </w:tcPr>
          <w:p w14:paraId="72FA66B0"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1191" w:type="dxa"/>
          </w:tcPr>
          <w:p w14:paraId="0B4264DA" w14:textId="77777777" w:rsidR="00C9103E"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2041" w:type="dxa"/>
          </w:tcPr>
          <w:p w14:paraId="0D23BCDD"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r>
      <w:tr w:rsidR="009F7E48" w:rsidRPr="00C601A2" w14:paraId="5AC61C51"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076303B8" w14:textId="58B821B8" w:rsidR="009F7E48" w:rsidRPr="00C601A2" w:rsidRDefault="009F7E48" w:rsidP="009F7E48">
            <w:pPr>
              <w:pStyle w:val="TableText"/>
              <w:rPr>
                <w:rFonts w:cs="Calibri"/>
                <w:szCs w:val="18"/>
              </w:rPr>
            </w:pPr>
            <w:r w:rsidRPr="00C601A2">
              <w:rPr>
                <w:rFonts w:cs="Calibri"/>
                <w:szCs w:val="18"/>
              </w:rPr>
              <w:t>Lock 1 (</w:t>
            </w:r>
            <w:r w:rsidRPr="00C601A2">
              <w:rPr>
                <w:rFonts w:cs="Calibri"/>
                <w:color w:val="2B579A"/>
                <w:szCs w:val="18"/>
                <w:shd w:val="clear" w:color="auto" w:fill="E6E6E6"/>
              </w:rPr>
              <w:fldChar w:fldCharType="begin"/>
            </w:r>
            <w:r w:rsidRPr="00C601A2">
              <w:rPr>
                <w:rFonts w:cs="Calibri"/>
                <w:szCs w:val="18"/>
              </w:rPr>
              <w:instrText xml:space="preserve"> REF _Ref106044252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30</w:t>
            </w:r>
            <w:r w:rsidRPr="00C601A2">
              <w:rPr>
                <w:rFonts w:cs="Calibri"/>
                <w:color w:val="2B579A"/>
                <w:szCs w:val="18"/>
                <w:shd w:val="clear" w:color="auto" w:fill="E6E6E6"/>
              </w:rPr>
              <w:fldChar w:fldCharType="end"/>
            </w:r>
            <w:r w:rsidRPr="00C601A2">
              <w:rPr>
                <w:rFonts w:cs="Calibri"/>
                <w:szCs w:val="18"/>
              </w:rPr>
              <w:t>)</w:t>
            </w:r>
          </w:p>
        </w:tc>
        <w:tc>
          <w:tcPr>
            <w:tcW w:w="1020" w:type="dxa"/>
          </w:tcPr>
          <w:p w14:paraId="7C926B1A" w14:textId="2C0FD910" w:rsidR="009F7E48" w:rsidRPr="00C601A2"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84466B">
              <w:t>0.09</w:t>
            </w:r>
          </w:p>
        </w:tc>
        <w:tc>
          <w:tcPr>
            <w:tcW w:w="1304" w:type="dxa"/>
          </w:tcPr>
          <w:p w14:paraId="1823CCAB" w14:textId="63E710E7" w:rsidR="009F7E48" w:rsidRPr="009F7E48"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9F7E48">
              <w:rPr>
                <w:b/>
                <w:bCs/>
              </w:rPr>
              <w:t>0.001</w:t>
            </w:r>
          </w:p>
        </w:tc>
        <w:tc>
          <w:tcPr>
            <w:tcW w:w="1191" w:type="dxa"/>
          </w:tcPr>
          <w:p w14:paraId="306F784A" w14:textId="1FDA2442" w:rsidR="009F7E48" w:rsidRPr="00C601A2"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2014–2</w:t>
            </w:r>
            <w:r w:rsidR="00446504">
              <w:rPr>
                <w:rFonts w:cs="Calibri"/>
                <w:szCs w:val="18"/>
              </w:rPr>
              <w:t>4</w:t>
            </w:r>
          </w:p>
        </w:tc>
        <w:tc>
          <w:tcPr>
            <w:tcW w:w="2041" w:type="dxa"/>
          </w:tcPr>
          <w:p w14:paraId="3F668341" w14:textId="77777777" w:rsidR="009F7E48" w:rsidRPr="00C601A2"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9F7E48" w:rsidRPr="00C601A2" w14:paraId="545728E6"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19B6906A" w14:textId="44EFE63D" w:rsidR="009F7E48" w:rsidRPr="00C601A2" w:rsidRDefault="009F7E48" w:rsidP="009F7E48">
            <w:pPr>
              <w:pStyle w:val="TableText"/>
              <w:rPr>
                <w:rFonts w:cs="Calibri"/>
                <w:szCs w:val="18"/>
              </w:rPr>
            </w:pPr>
            <w:r w:rsidRPr="00C601A2">
              <w:rPr>
                <w:rFonts w:cs="Calibri"/>
                <w:szCs w:val="18"/>
              </w:rPr>
              <w:t>Lock 4 (</w:t>
            </w:r>
            <w:r w:rsidRPr="00C601A2">
              <w:rPr>
                <w:rFonts w:cs="Calibri"/>
                <w:color w:val="2B579A"/>
                <w:szCs w:val="18"/>
                <w:shd w:val="clear" w:color="auto" w:fill="E6E6E6"/>
              </w:rPr>
              <w:fldChar w:fldCharType="begin"/>
            </w:r>
            <w:r w:rsidRPr="00C601A2">
              <w:rPr>
                <w:rFonts w:cs="Calibri"/>
                <w:szCs w:val="18"/>
              </w:rPr>
              <w:instrText xml:space="preserve"> REF _Ref106046949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31</w:t>
            </w:r>
            <w:r w:rsidRPr="00C601A2">
              <w:rPr>
                <w:rFonts w:cs="Calibri"/>
                <w:color w:val="2B579A"/>
                <w:szCs w:val="18"/>
                <w:shd w:val="clear" w:color="auto" w:fill="E6E6E6"/>
              </w:rPr>
              <w:fldChar w:fldCharType="end"/>
            </w:r>
            <w:r w:rsidRPr="00C601A2">
              <w:rPr>
                <w:rFonts w:cs="Calibri"/>
                <w:szCs w:val="18"/>
              </w:rPr>
              <w:t>)</w:t>
            </w:r>
          </w:p>
        </w:tc>
        <w:tc>
          <w:tcPr>
            <w:tcW w:w="1020" w:type="dxa"/>
          </w:tcPr>
          <w:p w14:paraId="0BCEF2E0" w14:textId="7EB52A7D" w:rsidR="009F7E48" w:rsidRPr="00C601A2" w:rsidRDefault="009F7E48" w:rsidP="009F7E4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84466B">
              <w:t>0.43</w:t>
            </w:r>
          </w:p>
        </w:tc>
        <w:tc>
          <w:tcPr>
            <w:tcW w:w="1304" w:type="dxa"/>
          </w:tcPr>
          <w:p w14:paraId="1D482FFA" w14:textId="3E5F79C4" w:rsidR="009F7E48" w:rsidRPr="009F7E48" w:rsidRDefault="009F7E48" w:rsidP="009F7E48">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9F7E48">
              <w:rPr>
                <w:b/>
                <w:bCs/>
              </w:rPr>
              <w:t>0.001</w:t>
            </w:r>
          </w:p>
        </w:tc>
        <w:tc>
          <w:tcPr>
            <w:tcW w:w="1191" w:type="dxa"/>
          </w:tcPr>
          <w:p w14:paraId="756550ED" w14:textId="1A5E735F" w:rsidR="009F7E48" w:rsidRPr="00C601A2" w:rsidRDefault="009F7E48" w:rsidP="009F7E4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2020–2</w:t>
            </w:r>
            <w:r w:rsidR="00446504">
              <w:rPr>
                <w:rFonts w:cs="Calibri"/>
                <w:szCs w:val="18"/>
              </w:rPr>
              <w:t>4</w:t>
            </w:r>
          </w:p>
        </w:tc>
        <w:tc>
          <w:tcPr>
            <w:tcW w:w="2041" w:type="dxa"/>
          </w:tcPr>
          <w:p w14:paraId="4ADE7C66" w14:textId="12CE6998" w:rsidR="009F7E48" w:rsidRPr="00C601A2" w:rsidRDefault="009F7E48" w:rsidP="009F7E48">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Decrease</w:t>
            </w:r>
          </w:p>
        </w:tc>
      </w:tr>
      <w:tr w:rsidR="009F7E48" w:rsidRPr="00C601A2" w14:paraId="4570113C"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6BC1586B" w14:textId="10DB04FA" w:rsidR="009F7E48" w:rsidRPr="00C601A2" w:rsidRDefault="009F7E48" w:rsidP="009F7E48">
            <w:pPr>
              <w:pStyle w:val="TableText"/>
              <w:rPr>
                <w:rFonts w:cs="Calibri"/>
                <w:szCs w:val="18"/>
              </w:rPr>
            </w:pPr>
            <w:r w:rsidRPr="00C601A2">
              <w:rPr>
                <w:rFonts w:cs="Calibri"/>
                <w:szCs w:val="18"/>
              </w:rPr>
              <w:t>Lock 6 (</w:t>
            </w:r>
            <w:r w:rsidRPr="00C601A2">
              <w:rPr>
                <w:rFonts w:cs="Calibri"/>
                <w:color w:val="2B579A"/>
                <w:szCs w:val="18"/>
                <w:shd w:val="clear" w:color="auto" w:fill="E6E6E6"/>
              </w:rPr>
              <w:fldChar w:fldCharType="begin"/>
            </w:r>
            <w:r w:rsidRPr="00C601A2">
              <w:rPr>
                <w:rFonts w:cs="Calibri"/>
                <w:szCs w:val="18"/>
              </w:rPr>
              <w:instrText xml:space="preserve"> REF _Ref106044257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32</w:t>
            </w:r>
            <w:r w:rsidRPr="00C601A2">
              <w:rPr>
                <w:rFonts w:cs="Calibri"/>
                <w:color w:val="2B579A"/>
                <w:szCs w:val="18"/>
                <w:shd w:val="clear" w:color="auto" w:fill="E6E6E6"/>
              </w:rPr>
              <w:fldChar w:fldCharType="end"/>
            </w:r>
            <w:r w:rsidRPr="00C601A2">
              <w:rPr>
                <w:rFonts w:cs="Calibri"/>
                <w:szCs w:val="18"/>
              </w:rPr>
              <w:t>)</w:t>
            </w:r>
          </w:p>
        </w:tc>
        <w:tc>
          <w:tcPr>
            <w:tcW w:w="1020" w:type="dxa"/>
          </w:tcPr>
          <w:p w14:paraId="7369FDD9" w14:textId="7754AE20" w:rsidR="009F7E48" w:rsidRPr="00C601A2"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84466B">
              <w:t>0.41</w:t>
            </w:r>
          </w:p>
        </w:tc>
        <w:tc>
          <w:tcPr>
            <w:tcW w:w="1304" w:type="dxa"/>
          </w:tcPr>
          <w:p w14:paraId="443C6D23" w14:textId="1C72F6DE" w:rsidR="009F7E48" w:rsidRPr="009F7E48"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9F7E48">
              <w:rPr>
                <w:b/>
                <w:bCs/>
              </w:rPr>
              <w:t>0.001</w:t>
            </w:r>
          </w:p>
        </w:tc>
        <w:tc>
          <w:tcPr>
            <w:tcW w:w="1191" w:type="dxa"/>
          </w:tcPr>
          <w:p w14:paraId="5D33A291" w14:textId="7CD5CE6F" w:rsidR="009F7E48" w:rsidRPr="00C601A2"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2014–2</w:t>
            </w:r>
            <w:r w:rsidR="00446504">
              <w:rPr>
                <w:rFonts w:cs="Calibri"/>
                <w:szCs w:val="18"/>
              </w:rPr>
              <w:t>4</w:t>
            </w:r>
          </w:p>
        </w:tc>
        <w:tc>
          <w:tcPr>
            <w:tcW w:w="2041" w:type="dxa"/>
          </w:tcPr>
          <w:p w14:paraId="20F08020" w14:textId="77777777" w:rsidR="009F7E48" w:rsidRPr="00C601A2" w:rsidRDefault="009F7E48" w:rsidP="009F7E48">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C9103E" w:rsidRPr="00C601A2" w14:paraId="54409E14"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7EB22380" w14:textId="0F1BA496" w:rsidR="00C9103E" w:rsidRPr="00C601A2" w:rsidRDefault="00C9103E" w:rsidP="00C3745F">
            <w:pPr>
              <w:pStyle w:val="RowHeading"/>
              <w:keepNext/>
            </w:pPr>
            <w:r>
              <w:t>Murrumbidgee River System</w:t>
            </w:r>
          </w:p>
        </w:tc>
        <w:tc>
          <w:tcPr>
            <w:tcW w:w="1020" w:type="dxa"/>
          </w:tcPr>
          <w:p w14:paraId="1308D346"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1304" w:type="dxa"/>
          </w:tcPr>
          <w:p w14:paraId="549DDBF3"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1191" w:type="dxa"/>
          </w:tcPr>
          <w:p w14:paraId="470BE9F8" w14:textId="77777777" w:rsidR="00C9103E" w:rsidRPr="00C601A2"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c>
          <w:tcPr>
            <w:tcW w:w="2041" w:type="dxa"/>
          </w:tcPr>
          <w:p w14:paraId="2F1BB021" w14:textId="77777777" w:rsidR="00C9103E" w:rsidRDefault="00C9103E" w:rsidP="00FE4E4A">
            <w:pPr>
              <w:pStyle w:val="RowHeading"/>
              <w:cnfStyle w:val="000000000000" w:firstRow="0" w:lastRow="0" w:firstColumn="0" w:lastColumn="0" w:oddVBand="0" w:evenVBand="0" w:oddHBand="0" w:evenHBand="0" w:firstRowFirstColumn="0" w:firstRowLastColumn="0" w:lastRowFirstColumn="0" w:lastRowLastColumn="0"/>
            </w:pPr>
          </w:p>
        </w:tc>
      </w:tr>
      <w:tr w:rsidR="00752BED" w:rsidRPr="00C601A2" w14:paraId="4E4B6F4C"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1F1023D5" w14:textId="7D233019" w:rsidR="00752BED" w:rsidRPr="00C601A2" w:rsidRDefault="00752BED" w:rsidP="00752BED">
            <w:pPr>
              <w:pStyle w:val="TableText"/>
              <w:rPr>
                <w:rFonts w:cs="Calibri"/>
                <w:szCs w:val="18"/>
              </w:rPr>
            </w:pPr>
            <w:proofErr w:type="spellStart"/>
            <w:r w:rsidRPr="00C601A2">
              <w:rPr>
                <w:rFonts w:cs="Calibri"/>
                <w:szCs w:val="18"/>
              </w:rPr>
              <w:t>Wynburn</w:t>
            </w:r>
            <w:proofErr w:type="spellEnd"/>
            <w:r w:rsidRPr="00C601A2">
              <w:rPr>
                <w:rFonts w:cs="Calibri"/>
                <w:szCs w:val="18"/>
              </w:rPr>
              <w:t xml:space="preserve"> Escape upstream (</w:t>
            </w:r>
            <w:r w:rsidRPr="00C601A2">
              <w:rPr>
                <w:rFonts w:cs="Calibri"/>
                <w:color w:val="2B579A"/>
                <w:szCs w:val="18"/>
                <w:shd w:val="clear" w:color="auto" w:fill="E6E6E6"/>
              </w:rPr>
              <w:fldChar w:fldCharType="begin"/>
            </w:r>
            <w:r w:rsidRPr="00C601A2">
              <w:rPr>
                <w:rFonts w:cs="Calibri"/>
                <w:szCs w:val="18"/>
              </w:rPr>
              <w:instrText xml:space="preserve"> REF _Ref106047023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33</w:t>
            </w:r>
            <w:r w:rsidRPr="00C601A2">
              <w:rPr>
                <w:rFonts w:cs="Calibri"/>
                <w:color w:val="2B579A"/>
                <w:szCs w:val="18"/>
                <w:shd w:val="clear" w:color="auto" w:fill="E6E6E6"/>
              </w:rPr>
              <w:fldChar w:fldCharType="end"/>
            </w:r>
            <w:r w:rsidRPr="00C601A2">
              <w:rPr>
                <w:rFonts w:cs="Calibri"/>
                <w:szCs w:val="18"/>
              </w:rPr>
              <w:t>)</w:t>
            </w:r>
          </w:p>
        </w:tc>
        <w:tc>
          <w:tcPr>
            <w:tcW w:w="1020" w:type="dxa"/>
          </w:tcPr>
          <w:p w14:paraId="493B5841" w14:textId="19B37749" w:rsidR="00752BED" w:rsidRPr="00C601A2"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A57CBF">
              <w:t>0.76</w:t>
            </w:r>
          </w:p>
        </w:tc>
        <w:tc>
          <w:tcPr>
            <w:tcW w:w="1304" w:type="dxa"/>
          </w:tcPr>
          <w:p w14:paraId="04B58019" w14:textId="6E1FE761" w:rsidR="00752BED" w:rsidRPr="00752BED"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752BED">
              <w:rPr>
                <w:b/>
                <w:bCs/>
              </w:rPr>
              <w:t>0.001</w:t>
            </w:r>
          </w:p>
        </w:tc>
        <w:tc>
          <w:tcPr>
            <w:tcW w:w="1191" w:type="dxa"/>
          </w:tcPr>
          <w:p w14:paraId="41FFE153" w14:textId="77777777" w:rsidR="00752BED" w:rsidRPr="00C601A2"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2014–15</w:t>
            </w:r>
          </w:p>
        </w:tc>
        <w:tc>
          <w:tcPr>
            <w:tcW w:w="2041" w:type="dxa"/>
          </w:tcPr>
          <w:p w14:paraId="1074075F" w14:textId="2EB247F4" w:rsidR="00752BED" w:rsidRPr="00C601A2"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Decrease</w:t>
            </w:r>
          </w:p>
        </w:tc>
      </w:tr>
      <w:tr w:rsidR="00752BED" w:rsidRPr="00C601A2" w14:paraId="570DB6F9"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09BF5F94" w14:textId="2B69F4D1" w:rsidR="00752BED" w:rsidRPr="00C601A2" w:rsidRDefault="00752BED" w:rsidP="00752BED">
            <w:pPr>
              <w:pStyle w:val="TableText"/>
              <w:rPr>
                <w:rFonts w:cs="Calibri"/>
                <w:szCs w:val="18"/>
              </w:rPr>
            </w:pPr>
            <w:proofErr w:type="spellStart"/>
            <w:r w:rsidRPr="00C601A2">
              <w:rPr>
                <w:rFonts w:cs="Calibri"/>
                <w:szCs w:val="18"/>
              </w:rPr>
              <w:t>Wynburn</w:t>
            </w:r>
            <w:proofErr w:type="spellEnd"/>
            <w:r w:rsidRPr="00C601A2">
              <w:rPr>
                <w:rFonts w:cs="Calibri"/>
                <w:szCs w:val="18"/>
              </w:rPr>
              <w:t xml:space="preserve"> Escape downstream (</w:t>
            </w:r>
            <w:r w:rsidRPr="00C601A2">
              <w:rPr>
                <w:rFonts w:cs="Calibri"/>
                <w:color w:val="2B579A"/>
                <w:szCs w:val="18"/>
                <w:shd w:val="clear" w:color="auto" w:fill="E6E6E6"/>
              </w:rPr>
              <w:fldChar w:fldCharType="begin"/>
            </w:r>
            <w:r w:rsidRPr="00C601A2">
              <w:rPr>
                <w:rFonts w:cs="Calibri"/>
                <w:szCs w:val="18"/>
              </w:rPr>
              <w:instrText xml:space="preserve"> REF _Ref106047120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34</w:t>
            </w:r>
            <w:r w:rsidRPr="00C601A2">
              <w:rPr>
                <w:rFonts w:cs="Calibri"/>
                <w:color w:val="2B579A"/>
                <w:szCs w:val="18"/>
                <w:shd w:val="clear" w:color="auto" w:fill="E6E6E6"/>
              </w:rPr>
              <w:fldChar w:fldCharType="end"/>
            </w:r>
            <w:r w:rsidRPr="00C601A2">
              <w:rPr>
                <w:rFonts w:cs="Calibri"/>
                <w:szCs w:val="18"/>
              </w:rPr>
              <w:t>)</w:t>
            </w:r>
          </w:p>
        </w:tc>
        <w:tc>
          <w:tcPr>
            <w:tcW w:w="1020" w:type="dxa"/>
          </w:tcPr>
          <w:p w14:paraId="0DC26AEA" w14:textId="660F1BC3" w:rsidR="00752BED" w:rsidRPr="00C601A2"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A57CBF">
              <w:t>0.61</w:t>
            </w:r>
          </w:p>
        </w:tc>
        <w:tc>
          <w:tcPr>
            <w:tcW w:w="1304" w:type="dxa"/>
          </w:tcPr>
          <w:p w14:paraId="768C44AF" w14:textId="280029B3" w:rsidR="00752BED" w:rsidRPr="00752BED"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752BED">
              <w:rPr>
                <w:b/>
                <w:bCs/>
              </w:rPr>
              <w:t>0.001</w:t>
            </w:r>
          </w:p>
        </w:tc>
        <w:tc>
          <w:tcPr>
            <w:tcW w:w="1191" w:type="dxa"/>
          </w:tcPr>
          <w:p w14:paraId="7E33D7D2" w14:textId="77777777" w:rsidR="00752BED" w:rsidRPr="00C601A2"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2014–15</w:t>
            </w:r>
          </w:p>
        </w:tc>
        <w:tc>
          <w:tcPr>
            <w:tcW w:w="2041" w:type="dxa"/>
          </w:tcPr>
          <w:p w14:paraId="25EB8302" w14:textId="7EF256A5" w:rsidR="00752BED" w:rsidRPr="00C601A2"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Decrease</w:t>
            </w:r>
          </w:p>
        </w:tc>
      </w:tr>
      <w:tr w:rsidR="00752BED" w:rsidRPr="00C601A2" w14:paraId="6FAD0811" w14:textId="77777777" w:rsidTr="007B2F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308D0A58" w14:textId="19888B6A" w:rsidR="00752BED" w:rsidRPr="00C601A2" w:rsidRDefault="00752BED" w:rsidP="00752BED">
            <w:pPr>
              <w:pStyle w:val="TableText"/>
              <w:rPr>
                <w:rFonts w:cs="Calibri"/>
                <w:szCs w:val="18"/>
              </w:rPr>
            </w:pPr>
            <w:proofErr w:type="spellStart"/>
            <w:r w:rsidRPr="00C601A2">
              <w:rPr>
                <w:rFonts w:cs="Calibri"/>
                <w:szCs w:val="18"/>
              </w:rPr>
              <w:t>McKennas</w:t>
            </w:r>
            <w:proofErr w:type="spellEnd"/>
            <w:r w:rsidRPr="00C601A2">
              <w:rPr>
                <w:rFonts w:cs="Calibri"/>
                <w:szCs w:val="18"/>
              </w:rPr>
              <w:t xml:space="preserve"> (</w:t>
            </w:r>
            <w:r w:rsidRPr="00C601A2">
              <w:rPr>
                <w:rFonts w:cs="Calibri"/>
                <w:color w:val="2B579A"/>
                <w:szCs w:val="18"/>
                <w:shd w:val="clear" w:color="auto" w:fill="E6E6E6"/>
              </w:rPr>
              <w:fldChar w:fldCharType="begin"/>
            </w:r>
            <w:r w:rsidRPr="00C601A2">
              <w:rPr>
                <w:rFonts w:cs="Calibri"/>
                <w:szCs w:val="18"/>
              </w:rPr>
              <w:instrText xml:space="preserve"> REF _Ref106047156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35</w:t>
            </w:r>
            <w:r w:rsidRPr="00C601A2">
              <w:rPr>
                <w:rFonts w:cs="Calibri"/>
                <w:color w:val="2B579A"/>
                <w:szCs w:val="18"/>
                <w:shd w:val="clear" w:color="auto" w:fill="E6E6E6"/>
              </w:rPr>
              <w:fldChar w:fldCharType="end"/>
            </w:r>
            <w:r w:rsidRPr="00C601A2">
              <w:rPr>
                <w:rFonts w:cs="Calibri"/>
                <w:szCs w:val="18"/>
              </w:rPr>
              <w:t>)</w:t>
            </w:r>
          </w:p>
        </w:tc>
        <w:tc>
          <w:tcPr>
            <w:tcW w:w="1020" w:type="dxa"/>
          </w:tcPr>
          <w:p w14:paraId="2DD2A597" w14:textId="78F509C9" w:rsidR="00752BED" w:rsidRPr="00C601A2"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A57CBF">
              <w:t>0.01</w:t>
            </w:r>
          </w:p>
        </w:tc>
        <w:tc>
          <w:tcPr>
            <w:tcW w:w="1304" w:type="dxa"/>
          </w:tcPr>
          <w:p w14:paraId="0527609C" w14:textId="73B3DADF" w:rsidR="00752BED" w:rsidRPr="00752BED"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b/>
                <w:bCs/>
                <w:szCs w:val="18"/>
              </w:rPr>
            </w:pPr>
            <w:r w:rsidRPr="00752BED">
              <w:rPr>
                <w:b/>
                <w:bCs/>
              </w:rPr>
              <w:t>0.011</w:t>
            </w:r>
          </w:p>
        </w:tc>
        <w:tc>
          <w:tcPr>
            <w:tcW w:w="1191" w:type="dxa"/>
          </w:tcPr>
          <w:p w14:paraId="52B1F07A" w14:textId="42E86DC3" w:rsidR="00752BED" w:rsidRPr="00C601A2"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2014–2</w:t>
            </w:r>
            <w:r w:rsidR="00446504">
              <w:rPr>
                <w:rFonts w:cs="Calibri"/>
                <w:szCs w:val="18"/>
              </w:rPr>
              <w:t>4</w:t>
            </w:r>
          </w:p>
        </w:tc>
        <w:tc>
          <w:tcPr>
            <w:tcW w:w="2041" w:type="dxa"/>
          </w:tcPr>
          <w:p w14:paraId="0F634DD1" w14:textId="77777777" w:rsidR="00752BED" w:rsidRPr="00C601A2" w:rsidRDefault="00752BED" w:rsidP="00752BED">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sidRPr="00C601A2">
              <w:rPr>
                <w:rFonts w:cs="Calibri"/>
                <w:szCs w:val="18"/>
              </w:rPr>
              <w:t>Decrease</w:t>
            </w:r>
          </w:p>
        </w:tc>
      </w:tr>
      <w:tr w:rsidR="00752BED" w:rsidRPr="00C601A2" w14:paraId="336F3AD8" w14:textId="77777777" w:rsidTr="007B2FAB">
        <w:tc>
          <w:tcPr>
            <w:cnfStyle w:val="001000000000" w:firstRow="0" w:lastRow="0" w:firstColumn="1" w:lastColumn="0" w:oddVBand="0" w:evenVBand="0" w:oddHBand="0" w:evenHBand="0" w:firstRowFirstColumn="0" w:firstRowLastColumn="0" w:lastRowFirstColumn="0" w:lastRowLastColumn="0"/>
            <w:tcW w:w="3798" w:type="dxa"/>
          </w:tcPr>
          <w:p w14:paraId="1FCEB2B8" w14:textId="7B4C1ABD" w:rsidR="00752BED" w:rsidRPr="00C601A2" w:rsidRDefault="00752BED" w:rsidP="00752BED">
            <w:pPr>
              <w:pStyle w:val="TableText"/>
              <w:rPr>
                <w:rFonts w:cs="Calibri"/>
                <w:szCs w:val="18"/>
              </w:rPr>
            </w:pPr>
            <w:r w:rsidRPr="00C601A2">
              <w:rPr>
                <w:rFonts w:cs="Calibri"/>
                <w:szCs w:val="18"/>
              </w:rPr>
              <w:t>Narrandera (</w:t>
            </w:r>
            <w:r w:rsidRPr="00C601A2">
              <w:rPr>
                <w:rFonts w:cs="Calibri"/>
                <w:color w:val="2B579A"/>
                <w:szCs w:val="18"/>
                <w:shd w:val="clear" w:color="auto" w:fill="E6E6E6"/>
              </w:rPr>
              <w:fldChar w:fldCharType="begin"/>
            </w:r>
            <w:r w:rsidRPr="00C601A2">
              <w:rPr>
                <w:rFonts w:cs="Calibri"/>
                <w:szCs w:val="18"/>
              </w:rPr>
              <w:instrText xml:space="preserve"> REF _Ref106047185 \h  \* MERGEFORMAT </w:instrText>
            </w:r>
            <w:r w:rsidRPr="00C601A2">
              <w:rPr>
                <w:rFonts w:cs="Calibri"/>
                <w:color w:val="2B579A"/>
                <w:szCs w:val="18"/>
                <w:shd w:val="clear" w:color="auto" w:fill="E6E6E6"/>
              </w:rPr>
            </w:r>
            <w:r w:rsidRPr="00C601A2">
              <w:rPr>
                <w:rFonts w:cs="Calibri"/>
                <w:color w:val="2B579A"/>
                <w:szCs w:val="18"/>
                <w:shd w:val="clear" w:color="auto" w:fill="E6E6E6"/>
              </w:rPr>
              <w:fldChar w:fldCharType="separate"/>
            </w:r>
            <w:r w:rsidR="00492712" w:rsidRPr="001B4152">
              <w:rPr>
                <w:szCs w:val="18"/>
              </w:rPr>
              <w:t xml:space="preserve">Figure </w:t>
            </w:r>
            <w:r w:rsidR="00492712" w:rsidRPr="001B4152">
              <w:rPr>
                <w:noProof/>
                <w:szCs w:val="18"/>
              </w:rPr>
              <w:t>A</w:t>
            </w:r>
            <w:r w:rsidR="00492712" w:rsidRPr="001B4152">
              <w:rPr>
                <w:szCs w:val="18"/>
              </w:rPr>
              <w:t>.</w:t>
            </w:r>
            <w:r w:rsidR="00492712" w:rsidRPr="001B4152">
              <w:rPr>
                <w:noProof/>
                <w:szCs w:val="18"/>
              </w:rPr>
              <w:t>36</w:t>
            </w:r>
            <w:r w:rsidRPr="00C601A2">
              <w:rPr>
                <w:rFonts w:cs="Calibri"/>
                <w:color w:val="2B579A"/>
                <w:szCs w:val="18"/>
                <w:shd w:val="clear" w:color="auto" w:fill="E6E6E6"/>
              </w:rPr>
              <w:fldChar w:fldCharType="end"/>
            </w:r>
            <w:r w:rsidRPr="00C601A2">
              <w:rPr>
                <w:rFonts w:cs="Calibri"/>
                <w:szCs w:val="18"/>
              </w:rPr>
              <w:t>)</w:t>
            </w:r>
          </w:p>
        </w:tc>
        <w:tc>
          <w:tcPr>
            <w:tcW w:w="1020" w:type="dxa"/>
          </w:tcPr>
          <w:p w14:paraId="57AAF5A3" w14:textId="2192400B" w:rsidR="00752BED" w:rsidRPr="00C601A2"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A57CBF">
              <w:t>0.22</w:t>
            </w:r>
          </w:p>
        </w:tc>
        <w:tc>
          <w:tcPr>
            <w:tcW w:w="1304" w:type="dxa"/>
          </w:tcPr>
          <w:p w14:paraId="549E6247" w14:textId="2A5F71ED" w:rsidR="00752BED" w:rsidRPr="00752BED"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b/>
                <w:bCs/>
                <w:szCs w:val="18"/>
              </w:rPr>
            </w:pPr>
            <w:r w:rsidRPr="00752BED">
              <w:rPr>
                <w:b/>
                <w:bCs/>
              </w:rPr>
              <w:t>0.001</w:t>
            </w:r>
          </w:p>
        </w:tc>
        <w:tc>
          <w:tcPr>
            <w:tcW w:w="1191" w:type="dxa"/>
          </w:tcPr>
          <w:p w14:paraId="5B2D257E" w14:textId="77777777" w:rsidR="00752BED" w:rsidRPr="00C601A2"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2014–19</w:t>
            </w:r>
          </w:p>
        </w:tc>
        <w:tc>
          <w:tcPr>
            <w:tcW w:w="2041" w:type="dxa"/>
          </w:tcPr>
          <w:p w14:paraId="6E043B98" w14:textId="77777777" w:rsidR="00752BED" w:rsidRPr="00C601A2" w:rsidRDefault="00752BED" w:rsidP="00752BED">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C601A2">
              <w:rPr>
                <w:rFonts w:cs="Calibri"/>
                <w:szCs w:val="18"/>
              </w:rPr>
              <w:t>Decrease</w:t>
            </w:r>
          </w:p>
        </w:tc>
      </w:tr>
    </w:tbl>
    <w:p w14:paraId="61895028" w14:textId="66BD7ACD" w:rsidR="0023086E" w:rsidRDefault="00055658" w:rsidP="0068424C">
      <w:pPr>
        <w:pStyle w:val="BodyTextExtraSpaceBefore"/>
      </w:pPr>
      <w:r>
        <w:t>M</w:t>
      </w:r>
      <w:r w:rsidR="009734DF" w:rsidRPr="00C601A2">
        <w:t>etabolic responses to flow in the Edward/Kolety</w:t>
      </w:r>
      <w:r w:rsidR="009734DF" w:rsidRPr="00C601A2">
        <w:rPr>
          <w:rFonts w:cs="Calibri"/>
        </w:rPr>
        <w:t>–</w:t>
      </w:r>
      <w:r w:rsidR="009734DF" w:rsidRPr="00C601A2">
        <w:t xml:space="preserve">Wakool river systems are consistent </w:t>
      </w:r>
      <w:r w:rsidR="00B57FE3">
        <w:t>–</w:t>
      </w:r>
      <w:r w:rsidR="009734DF" w:rsidRPr="00C601A2">
        <w:t xml:space="preserve"> most locations respond</w:t>
      </w:r>
      <w:r w:rsidR="0074251A">
        <w:t>ed</w:t>
      </w:r>
      <w:r w:rsidR="009734DF" w:rsidRPr="00C601A2">
        <w:t xml:space="preserve"> to increased flows with significant increases in ER and decreases in </w:t>
      </w:r>
      <w:r w:rsidR="00911DDE" w:rsidRPr="00C601A2">
        <w:t xml:space="preserve">GPP </w:t>
      </w:r>
      <w:r w:rsidR="009734DF" w:rsidRPr="00C601A2">
        <w:t>(</w:t>
      </w:r>
      <w:r w:rsidR="00FF277B">
        <w:t xml:space="preserve">see plots in </w:t>
      </w:r>
      <w:r w:rsidR="009179E2">
        <w:fldChar w:fldCharType="begin"/>
      </w:r>
      <w:r w:rsidR="009179E2">
        <w:instrText xml:space="preserve"> REF _Ref202036571 \n \h </w:instrText>
      </w:r>
      <w:r w:rsidR="009179E2">
        <w:fldChar w:fldCharType="separate"/>
      </w:r>
      <w:r w:rsidR="00492712">
        <w:t>Appendix A</w:t>
      </w:r>
      <w:r w:rsidR="009179E2">
        <w:fldChar w:fldCharType="end"/>
      </w:r>
      <w:r w:rsidR="009734DF" w:rsidRPr="00C601A2">
        <w:t>).</w:t>
      </w:r>
      <w:r w:rsidR="0068424C">
        <w:t xml:space="preserve"> </w:t>
      </w:r>
      <w:r w:rsidR="009734DF" w:rsidRPr="00C601A2">
        <w:t xml:space="preserve">Metabolic responses to flow in the Murrumbidgee River System at </w:t>
      </w:r>
      <w:proofErr w:type="spellStart"/>
      <w:r w:rsidR="009734DF" w:rsidRPr="00C601A2">
        <w:t>McKennas</w:t>
      </w:r>
      <w:proofErr w:type="spellEnd"/>
      <w:r w:rsidR="009734DF" w:rsidRPr="00C601A2">
        <w:t xml:space="preserve"> (location with </w:t>
      </w:r>
      <w:r w:rsidR="00334AAE" w:rsidRPr="00C601A2">
        <w:t>the largest</w:t>
      </w:r>
      <w:r w:rsidR="009734DF" w:rsidRPr="00C601A2">
        <w:t xml:space="preserve"> dataset in this Selected Area</w:t>
      </w:r>
      <w:r w:rsidR="003F5774">
        <w:t> </w:t>
      </w:r>
      <w:r w:rsidR="007412FB" w:rsidRPr="00C601A2">
        <w:t>2014</w:t>
      </w:r>
      <w:r w:rsidR="00625A1D" w:rsidRPr="00C601A2">
        <w:rPr>
          <w:rFonts w:cs="Calibri"/>
        </w:rPr>
        <w:t>–</w:t>
      </w:r>
      <w:r w:rsidR="007412FB" w:rsidRPr="00C601A2">
        <w:t>2</w:t>
      </w:r>
      <w:r w:rsidR="004634D9">
        <w:t>4</w:t>
      </w:r>
      <w:r w:rsidR="009734DF" w:rsidRPr="00C601A2">
        <w:t>) are dominated by small but significant increases in GPP (r</w:t>
      </w:r>
      <w:r w:rsidR="009734DF" w:rsidRPr="00C601A2">
        <w:rPr>
          <w:vertAlign w:val="superscript"/>
        </w:rPr>
        <w:t>2</w:t>
      </w:r>
      <w:r w:rsidR="003F5774">
        <w:t> </w:t>
      </w:r>
      <w:r w:rsidR="009734DF" w:rsidRPr="00C601A2">
        <w:t>=</w:t>
      </w:r>
      <w:r w:rsidR="000C7B42">
        <w:t> </w:t>
      </w:r>
      <w:r w:rsidR="009734DF" w:rsidRPr="00C601A2">
        <w:t xml:space="preserve">0.01, </w:t>
      </w:r>
      <w:r w:rsidR="009734DF" w:rsidRPr="00C601A2">
        <w:rPr>
          <w:i/>
          <w:iCs/>
        </w:rPr>
        <w:t>p</w:t>
      </w:r>
      <w:r w:rsidR="003F5774">
        <w:t> </w:t>
      </w:r>
      <w:r w:rsidR="009734DF" w:rsidRPr="00C601A2">
        <w:t>=</w:t>
      </w:r>
      <w:r w:rsidR="000C7B42">
        <w:t> </w:t>
      </w:r>
      <w:r w:rsidR="009734DF" w:rsidRPr="00C601A2">
        <w:t>0.01</w:t>
      </w:r>
      <w:r w:rsidR="0068542C">
        <w:t>1</w:t>
      </w:r>
      <w:r w:rsidR="009734DF" w:rsidRPr="00C601A2">
        <w:t xml:space="preserve">, </w:t>
      </w:r>
      <w:r w:rsidR="008C450F">
        <w:fldChar w:fldCharType="begin"/>
      </w:r>
      <w:r w:rsidR="008C450F">
        <w:instrText xml:space="preserve"> REF _Ref106047156 \h </w:instrText>
      </w:r>
      <w:r w:rsidR="0023086E">
        <w:instrText xml:space="preserve"> \* MERGEFORMAT </w:instrText>
      </w:r>
      <w:r w:rsidR="008C450F">
        <w:fldChar w:fldCharType="separate"/>
      </w:r>
      <w:r w:rsidR="00492712" w:rsidRPr="00C601A2">
        <w:t xml:space="preserve">Figure </w:t>
      </w:r>
      <w:r w:rsidR="00492712">
        <w:rPr>
          <w:noProof/>
        </w:rPr>
        <w:t>A</w:t>
      </w:r>
      <w:r w:rsidR="00492712" w:rsidRPr="00C601A2">
        <w:t>.</w:t>
      </w:r>
      <w:r w:rsidR="00492712">
        <w:rPr>
          <w:noProof/>
        </w:rPr>
        <w:t>35</w:t>
      </w:r>
      <w:r w:rsidR="008C450F">
        <w:fldChar w:fldCharType="end"/>
      </w:r>
      <w:r w:rsidR="009734DF" w:rsidRPr="00C601A2">
        <w:t>).</w:t>
      </w:r>
    </w:p>
    <w:p w14:paraId="4894D116" w14:textId="6569D021" w:rsidR="00D84187" w:rsidRPr="00C601A2" w:rsidRDefault="009734DF" w:rsidP="00143CC8">
      <w:pPr>
        <w:pStyle w:val="BodyText"/>
      </w:pPr>
      <w:r w:rsidRPr="00C601A2">
        <w:t>Metabolic responses to flow in the Lachlan River System are</w:t>
      </w:r>
      <w:r w:rsidR="001C234A">
        <w:t xml:space="preserve"> significant</w:t>
      </w:r>
      <w:r w:rsidR="00A34848">
        <w:t xml:space="preserve"> at all sites</w:t>
      </w:r>
      <w:r w:rsidR="00B97F9D">
        <w:t xml:space="preserve"> –</w:t>
      </w:r>
      <w:r w:rsidR="00440045" w:rsidRPr="00440045">
        <w:t xml:space="preserve"> </w:t>
      </w:r>
      <w:r w:rsidR="00440045">
        <w:t xml:space="preserve">overall </w:t>
      </w:r>
      <w:r w:rsidR="00D27E7B">
        <w:t xml:space="preserve">metabolic </w:t>
      </w:r>
      <w:r w:rsidR="00440045">
        <w:t xml:space="preserve">throughput </w:t>
      </w:r>
      <w:r w:rsidR="00B97F9D">
        <w:t xml:space="preserve">decreased </w:t>
      </w:r>
      <w:r w:rsidR="005F3F79">
        <w:t>at most</w:t>
      </w:r>
      <w:r w:rsidR="004205C7">
        <w:t xml:space="preserve"> locations</w:t>
      </w:r>
      <w:r w:rsidR="005F3F79">
        <w:t xml:space="preserve"> </w:t>
      </w:r>
      <w:r w:rsidR="00FC1C7B">
        <w:t>(</w:t>
      </w:r>
      <w:r w:rsidR="00FC1C7B">
        <w:fldChar w:fldCharType="begin"/>
      </w:r>
      <w:r w:rsidR="00FC1C7B">
        <w:instrText xml:space="preserve"> REF _Ref104533270 \h </w:instrText>
      </w:r>
      <w:r w:rsidR="00FC1C7B">
        <w:fldChar w:fldCharType="separate"/>
      </w:r>
      <w:r w:rsidR="00492712" w:rsidRPr="00C601A2">
        <w:t>Table</w:t>
      </w:r>
      <w:r w:rsidR="00492712">
        <w:t> </w:t>
      </w:r>
      <w:r w:rsidR="00835C8B">
        <w:rPr>
          <w:noProof/>
        </w:rPr>
        <w:t>4</w:t>
      </w:r>
      <w:r w:rsidR="00492712">
        <w:t>.</w:t>
      </w:r>
      <w:r w:rsidR="00492712">
        <w:rPr>
          <w:noProof/>
        </w:rPr>
        <w:t>1</w:t>
      </w:r>
      <w:r w:rsidR="00FC1C7B">
        <w:fldChar w:fldCharType="end"/>
      </w:r>
      <w:r w:rsidR="00FC1C7B">
        <w:t>).</w:t>
      </w:r>
      <w:r w:rsidR="00A34848">
        <w:t xml:space="preserve"> </w:t>
      </w:r>
      <w:r w:rsidR="00D84187" w:rsidRPr="00C601A2">
        <w:t xml:space="preserve">Contrasting metabolic responses to flow at </w:t>
      </w:r>
      <w:r w:rsidR="00314C52">
        <w:t>2</w:t>
      </w:r>
      <w:r w:rsidR="00314C52" w:rsidRPr="00C601A2">
        <w:t xml:space="preserve"> </w:t>
      </w:r>
      <w:r w:rsidR="00D84187" w:rsidRPr="00C601A2">
        <w:t>geographically similar sites in the Goulburn River highlighted the high level of context dependency that can exist within Selected Areas (</w:t>
      </w:r>
      <w:r w:rsidR="00B138D2">
        <w:fldChar w:fldCharType="begin"/>
      </w:r>
      <w:r w:rsidR="00B138D2">
        <w:instrText xml:space="preserve"> REF _Ref169184466 \h </w:instrText>
      </w:r>
      <w:r w:rsidR="00B138D2">
        <w:fldChar w:fldCharType="separate"/>
      </w:r>
      <w:r w:rsidR="00492712" w:rsidRPr="00C601A2">
        <w:t>Figure</w:t>
      </w:r>
      <w:r w:rsidR="00492712">
        <w:t> </w:t>
      </w:r>
      <w:r w:rsidR="00835C8B">
        <w:rPr>
          <w:noProof/>
        </w:rPr>
        <w:t>4</w:t>
      </w:r>
      <w:r w:rsidR="00492712">
        <w:t>.</w:t>
      </w:r>
      <w:r w:rsidR="00492712">
        <w:rPr>
          <w:noProof/>
        </w:rPr>
        <w:t>4</w:t>
      </w:r>
      <w:r w:rsidR="00B138D2">
        <w:fldChar w:fldCharType="end"/>
      </w:r>
      <w:r w:rsidR="00B138D2">
        <w:t xml:space="preserve"> and </w:t>
      </w:r>
      <w:r w:rsidR="00D84187" w:rsidRPr="00C601A2">
        <w:rPr>
          <w:color w:val="2B579A"/>
          <w:shd w:val="clear" w:color="auto" w:fill="E6E6E6"/>
        </w:rPr>
        <w:fldChar w:fldCharType="begin"/>
      </w:r>
      <w:r w:rsidR="00D84187" w:rsidRPr="00C601A2">
        <w:instrText xml:space="preserve"> REF _Ref101940799 \h </w:instrText>
      </w:r>
      <w:r w:rsidR="00D84187">
        <w:rPr>
          <w:color w:val="2B579A"/>
          <w:shd w:val="clear" w:color="auto" w:fill="E6E6E6"/>
        </w:rPr>
        <w:instrText xml:space="preserve"> \* MERGEFORMAT </w:instrText>
      </w:r>
      <w:r w:rsidR="00D84187" w:rsidRPr="00C601A2">
        <w:rPr>
          <w:color w:val="2B579A"/>
          <w:shd w:val="clear" w:color="auto" w:fill="E6E6E6"/>
        </w:rPr>
      </w:r>
      <w:r w:rsidR="00D84187" w:rsidRPr="00C601A2">
        <w:rPr>
          <w:color w:val="2B579A"/>
          <w:shd w:val="clear" w:color="auto" w:fill="E6E6E6"/>
        </w:rPr>
        <w:fldChar w:fldCharType="separate"/>
      </w:r>
      <w:r w:rsidR="00492712" w:rsidRPr="00C601A2">
        <w:t>Figure</w:t>
      </w:r>
      <w:r w:rsidR="00492712">
        <w:t> </w:t>
      </w:r>
      <w:r w:rsidR="00835C8B">
        <w:t>4</w:t>
      </w:r>
      <w:r w:rsidR="00492712">
        <w:t>.5</w:t>
      </w:r>
      <w:r w:rsidR="00D84187" w:rsidRPr="00C601A2">
        <w:rPr>
          <w:color w:val="2B579A"/>
          <w:shd w:val="clear" w:color="auto" w:fill="E6E6E6"/>
        </w:rPr>
        <w:fldChar w:fldCharType="end"/>
      </w:r>
      <w:r w:rsidR="00D84187" w:rsidRPr="00C601A2">
        <w:t xml:space="preserve">). At the Loch Garry Gauge, increased flow drives a relatively strong reduction in GPP (indicated by the size and direction of the </w:t>
      </w:r>
      <w:proofErr w:type="spellStart"/>
      <w:r w:rsidR="00D84187" w:rsidRPr="00C601A2">
        <w:t>envfit</w:t>
      </w:r>
      <w:proofErr w:type="spellEnd"/>
      <w:r w:rsidR="00D84187" w:rsidRPr="00C601A2">
        <w:t xml:space="preserve"> environmental vector arrow in the right-hand panel of plots (</w:t>
      </w:r>
      <w:r w:rsidR="00F600B2">
        <w:rPr>
          <w:color w:val="2B579A"/>
          <w:shd w:val="clear" w:color="auto" w:fill="E6E6E6"/>
        </w:rPr>
        <w:fldChar w:fldCharType="begin"/>
      </w:r>
      <w:r w:rsidR="00F600B2">
        <w:instrText xml:space="preserve"> REF _Ref169184466 \h </w:instrText>
      </w:r>
      <w:r w:rsidR="00F600B2">
        <w:rPr>
          <w:color w:val="2B579A"/>
          <w:shd w:val="clear" w:color="auto" w:fill="E6E6E6"/>
        </w:rPr>
      </w:r>
      <w:r w:rsidR="00F600B2">
        <w:rPr>
          <w:color w:val="2B579A"/>
          <w:shd w:val="clear" w:color="auto" w:fill="E6E6E6"/>
        </w:rPr>
        <w:fldChar w:fldCharType="separate"/>
      </w:r>
      <w:r w:rsidR="00492712" w:rsidRPr="00C601A2">
        <w:t>Figure</w:t>
      </w:r>
      <w:r w:rsidR="00492712">
        <w:t> </w:t>
      </w:r>
      <w:r w:rsidR="00835C8B">
        <w:rPr>
          <w:noProof/>
        </w:rPr>
        <w:t>4</w:t>
      </w:r>
      <w:r w:rsidR="00492712">
        <w:t>.</w:t>
      </w:r>
      <w:r w:rsidR="00492712">
        <w:rPr>
          <w:noProof/>
        </w:rPr>
        <w:t>4</w:t>
      </w:r>
      <w:r w:rsidR="00F600B2">
        <w:rPr>
          <w:color w:val="2B579A"/>
          <w:shd w:val="clear" w:color="auto" w:fill="E6E6E6"/>
        </w:rPr>
        <w:fldChar w:fldCharType="end"/>
      </w:r>
      <w:r w:rsidR="00D84187" w:rsidRPr="00C601A2">
        <w:t>) (r</w:t>
      </w:r>
      <w:r w:rsidR="00D84187" w:rsidRPr="00C601A2">
        <w:rPr>
          <w:vertAlign w:val="superscript"/>
        </w:rPr>
        <w:t>2</w:t>
      </w:r>
      <w:r w:rsidR="00D84187">
        <w:t> </w:t>
      </w:r>
      <w:r w:rsidR="00D84187" w:rsidRPr="00C601A2">
        <w:t xml:space="preserve">= 0.15, </w:t>
      </w:r>
      <w:r w:rsidR="00D84187" w:rsidRPr="00C601A2">
        <w:rPr>
          <w:i/>
          <w:iCs/>
        </w:rPr>
        <w:t>p</w:t>
      </w:r>
      <w:r w:rsidR="00D84187" w:rsidRPr="00C601A2">
        <w:t> = 0.001)</w:t>
      </w:r>
      <w:r w:rsidR="00E06C0B">
        <w:t>.</w:t>
      </w:r>
      <w:r w:rsidR="00D84187" w:rsidRPr="00C601A2">
        <w:t xml:space="preserve"> </w:t>
      </w:r>
      <w:r w:rsidR="00E06C0B">
        <w:t>A</w:t>
      </w:r>
      <w:r w:rsidR="00D84187" w:rsidRPr="00C601A2">
        <w:t>t McCoys Bridge</w:t>
      </w:r>
      <w:r w:rsidR="00F600B2">
        <w:t xml:space="preserve"> </w:t>
      </w:r>
      <w:r w:rsidR="00F600B2" w:rsidRPr="00C601A2">
        <w:t>(</w:t>
      </w:r>
      <w:r w:rsidR="00F600B2" w:rsidRPr="00C601A2">
        <w:rPr>
          <w:color w:val="2B579A"/>
          <w:shd w:val="clear" w:color="auto" w:fill="E6E6E6"/>
        </w:rPr>
        <w:fldChar w:fldCharType="begin"/>
      </w:r>
      <w:r w:rsidR="00F600B2" w:rsidRPr="00C601A2">
        <w:instrText xml:space="preserve"> REF _Ref101940799 \h </w:instrText>
      </w:r>
      <w:r w:rsidR="00F600B2">
        <w:rPr>
          <w:color w:val="2B579A"/>
          <w:shd w:val="clear" w:color="auto" w:fill="E6E6E6"/>
        </w:rPr>
        <w:instrText xml:space="preserve"> \* MERGEFORMAT </w:instrText>
      </w:r>
      <w:r w:rsidR="00F600B2" w:rsidRPr="00C601A2">
        <w:rPr>
          <w:color w:val="2B579A"/>
          <w:shd w:val="clear" w:color="auto" w:fill="E6E6E6"/>
        </w:rPr>
      </w:r>
      <w:r w:rsidR="00F600B2" w:rsidRPr="00C601A2">
        <w:rPr>
          <w:color w:val="2B579A"/>
          <w:shd w:val="clear" w:color="auto" w:fill="E6E6E6"/>
        </w:rPr>
        <w:fldChar w:fldCharType="separate"/>
      </w:r>
      <w:r w:rsidR="00492712" w:rsidRPr="00C601A2">
        <w:t>Figure</w:t>
      </w:r>
      <w:r w:rsidR="00492712">
        <w:t> </w:t>
      </w:r>
      <w:r w:rsidR="00835C8B">
        <w:t>4</w:t>
      </w:r>
      <w:r w:rsidR="00492712">
        <w:t>.5</w:t>
      </w:r>
      <w:r w:rsidR="00F600B2" w:rsidRPr="00C601A2">
        <w:rPr>
          <w:color w:val="2B579A"/>
          <w:shd w:val="clear" w:color="auto" w:fill="E6E6E6"/>
        </w:rPr>
        <w:fldChar w:fldCharType="end"/>
      </w:r>
      <w:r w:rsidR="00F600B2" w:rsidRPr="00C601A2">
        <w:t>)</w:t>
      </w:r>
      <w:r w:rsidR="00D84187" w:rsidRPr="00C601A2">
        <w:t xml:space="preserve">, increased flow reduces </w:t>
      </w:r>
      <w:r w:rsidR="00B474B3">
        <w:t xml:space="preserve">both </w:t>
      </w:r>
      <w:r w:rsidR="00D84187" w:rsidRPr="00C601A2">
        <w:t>rates of ER</w:t>
      </w:r>
      <w:r w:rsidR="00A87186">
        <w:t xml:space="preserve"> and GPP</w:t>
      </w:r>
      <w:r w:rsidR="00D84187" w:rsidRPr="00C601A2">
        <w:t xml:space="preserve"> </w:t>
      </w:r>
      <w:r w:rsidR="00B474B3">
        <w:t xml:space="preserve">, </w:t>
      </w:r>
      <w:r w:rsidR="00B377C0">
        <w:t xml:space="preserve">with the arrow pointing down the diagonal line </w:t>
      </w:r>
      <w:r w:rsidR="00286CFD">
        <w:t>(</w:t>
      </w:r>
      <w:r w:rsidR="00D84187" w:rsidRPr="00C601A2">
        <w:t>r</w:t>
      </w:r>
      <w:r w:rsidR="00D84187" w:rsidRPr="00C601A2">
        <w:rPr>
          <w:vertAlign w:val="superscript"/>
        </w:rPr>
        <w:t>2</w:t>
      </w:r>
      <w:r w:rsidR="00D84187" w:rsidRPr="00C601A2">
        <w:t> = 0.1</w:t>
      </w:r>
      <w:r w:rsidR="00D84187">
        <w:t>9</w:t>
      </w:r>
      <w:r w:rsidR="00D84187" w:rsidRPr="00C601A2">
        <w:t xml:space="preserve">, </w:t>
      </w:r>
      <w:r w:rsidR="00D84187" w:rsidRPr="00C601A2">
        <w:rPr>
          <w:i/>
          <w:iCs/>
        </w:rPr>
        <w:t>p</w:t>
      </w:r>
      <w:r w:rsidR="00D84187" w:rsidRPr="00C601A2">
        <w:t xml:space="preserve"> = 0.001). </w:t>
      </w:r>
      <w:r w:rsidR="00D84187">
        <w:t>I</w:t>
      </w:r>
      <w:r w:rsidR="00D84187" w:rsidRPr="00C601A2" w:rsidDel="00C41831">
        <w:t xml:space="preserve">n </w:t>
      </w:r>
      <w:r w:rsidR="00D84187" w:rsidRPr="00C601A2">
        <w:t xml:space="preserve">the Lower Murray River, the dominant metabolic response </w:t>
      </w:r>
      <w:r w:rsidR="00D84187">
        <w:t>among all sites</w:t>
      </w:r>
      <w:r w:rsidR="00D84187" w:rsidRPr="00C601A2">
        <w:t xml:space="preserve"> to increased flow is a decrease in GPP and slight increase in ER (L</w:t>
      </w:r>
      <w:r w:rsidR="00D84187">
        <w:t>ock 1,</w:t>
      </w:r>
      <w:r w:rsidR="00D84187" w:rsidRPr="00C601A2">
        <w:t xml:space="preserve"> r</w:t>
      </w:r>
      <w:r w:rsidR="00D84187" w:rsidRPr="00C601A2">
        <w:rPr>
          <w:vertAlign w:val="superscript"/>
        </w:rPr>
        <w:t>2</w:t>
      </w:r>
      <w:r w:rsidR="00D84187">
        <w:t> </w:t>
      </w:r>
      <w:r w:rsidR="00D84187" w:rsidRPr="00C601A2">
        <w:t>= 0.09</w:t>
      </w:r>
      <w:r w:rsidR="00D84187">
        <w:t xml:space="preserve"> </w:t>
      </w:r>
      <w:r w:rsidR="00D84187" w:rsidRPr="00C601A2">
        <w:rPr>
          <w:i/>
          <w:iCs/>
        </w:rPr>
        <w:t>p</w:t>
      </w:r>
      <w:r w:rsidR="00D84187">
        <w:t> </w:t>
      </w:r>
      <w:r w:rsidR="00D84187" w:rsidRPr="00C601A2">
        <w:t>= 0.001</w:t>
      </w:r>
      <w:r w:rsidR="00D84187">
        <w:t>; Lock 4,</w:t>
      </w:r>
      <w:r w:rsidR="00D84187" w:rsidRPr="00C601A2">
        <w:t xml:space="preserve"> r</w:t>
      </w:r>
      <w:r w:rsidR="00D84187" w:rsidRPr="00C601A2">
        <w:rPr>
          <w:vertAlign w:val="superscript"/>
        </w:rPr>
        <w:t>2</w:t>
      </w:r>
      <w:r w:rsidR="00D84187">
        <w:t> </w:t>
      </w:r>
      <w:r w:rsidR="00D84187" w:rsidRPr="00C601A2">
        <w:t>= 0.</w:t>
      </w:r>
      <w:r w:rsidR="00D84187">
        <w:t xml:space="preserve">43 </w:t>
      </w:r>
      <w:r w:rsidR="00D84187" w:rsidRPr="00C601A2">
        <w:rPr>
          <w:i/>
          <w:iCs/>
        </w:rPr>
        <w:t>p</w:t>
      </w:r>
      <w:r w:rsidR="00D84187">
        <w:t> </w:t>
      </w:r>
      <w:r w:rsidR="00D84187" w:rsidRPr="00C601A2">
        <w:t>= 0.001</w:t>
      </w:r>
      <w:r w:rsidR="00D84187">
        <w:t xml:space="preserve">; </w:t>
      </w:r>
      <w:r w:rsidR="00D84187" w:rsidRPr="00C601A2">
        <w:t>L</w:t>
      </w:r>
      <w:r w:rsidR="00D84187">
        <w:t xml:space="preserve">ock 6, </w:t>
      </w:r>
      <w:r w:rsidR="00D84187" w:rsidRPr="00C601A2">
        <w:t>r</w:t>
      </w:r>
      <w:r w:rsidR="00D84187" w:rsidRPr="00C601A2">
        <w:rPr>
          <w:vertAlign w:val="superscript"/>
        </w:rPr>
        <w:t>2</w:t>
      </w:r>
      <w:r w:rsidR="00D84187">
        <w:t> </w:t>
      </w:r>
      <w:r w:rsidR="00D84187" w:rsidRPr="00C601A2">
        <w:t>= 0.</w:t>
      </w:r>
      <w:r w:rsidR="00D84187">
        <w:t xml:space="preserve">41 </w:t>
      </w:r>
      <w:r w:rsidR="00D84187" w:rsidRPr="00C601A2">
        <w:rPr>
          <w:i/>
          <w:iCs/>
        </w:rPr>
        <w:t>p</w:t>
      </w:r>
      <w:r w:rsidR="00D84187">
        <w:t> </w:t>
      </w:r>
      <w:r w:rsidR="00D84187" w:rsidRPr="00C601A2">
        <w:t xml:space="preserve">= 0.001) (see </w:t>
      </w:r>
      <w:r w:rsidR="00D84187" w:rsidRPr="00C601A2">
        <w:rPr>
          <w:color w:val="2B579A"/>
          <w:shd w:val="clear" w:color="auto" w:fill="E6E6E6"/>
        </w:rPr>
        <w:fldChar w:fldCharType="begin"/>
      </w:r>
      <w:r w:rsidR="00D84187" w:rsidRPr="00C601A2">
        <w:instrText xml:space="preserve"> REF _Ref106044252 \h </w:instrText>
      </w:r>
      <w:r w:rsidR="00D84187">
        <w:rPr>
          <w:color w:val="2B579A"/>
          <w:shd w:val="clear" w:color="auto" w:fill="E6E6E6"/>
        </w:rPr>
        <w:instrText xml:space="preserve"> \* MERGEFORMAT </w:instrText>
      </w:r>
      <w:r w:rsidR="00D84187" w:rsidRPr="00C601A2">
        <w:rPr>
          <w:color w:val="2B579A"/>
          <w:shd w:val="clear" w:color="auto" w:fill="E6E6E6"/>
        </w:rPr>
      </w:r>
      <w:r w:rsidR="00D84187" w:rsidRPr="00C601A2">
        <w:rPr>
          <w:color w:val="2B579A"/>
          <w:shd w:val="clear" w:color="auto" w:fill="E6E6E6"/>
        </w:rPr>
        <w:fldChar w:fldCharType="separate"/>
      </w:r>
      <w:r w:rsidR="00492712" w:rsidRPr="00C601A2">
        <w:t xml:space="preserve">Figure </w:t>
      </w:r>
      <w:r w:rsidR="00492712">
        <w:rPr>
          <w:noProof/>
        </w:rPr>
        <w:t>A</w:t>
      </w:r>
      <w:r w:rsidR="00492712" w:rsidRPr="00C601A2">
        <w:t>.</w:t>
      </w:r>
      <w:r w:rsidR="00492712">
        <w:rPr>
          <w:noProof/>
        </w:rPr>
        <w:t>30</w:t>
      </w:r>
      <w:r w:rsidR="00D84187" w:rsidRPr="00C601A2">
        <w:rPr>
          <w:color w:val="2B579A"/>
          <w:shd w:val="clear" w:color="auto" w:fill="E6E6E6"/>
        </w:rPr>
        <w:fldChar w:fldCharType="end"/>
      </w:r>
      <w:r w:rsidR="00D84187">
        <w:t>–</w:t>
      </w:r>
      <w:r w:rsidR="00D84187" w:rsidRPr="00C601A2">
        <w:rPr>
          <w:color w:val="2B579A"/>
          <w:shd w:val="clear" w:color="auto" w:fill="E6E6E6"/>
        </w:rPr>
        <w:fldChar w:fldCharType="begin"/>
      </w:r>
      <w:r w:rsidR="00D84187" w:rsidRPr="00C601A2">
        <w:instrText xml:space="preserve"> REF _Ref106044257 \h </w:instrText>
      </w:r>
      <w:r w:rsidR="00D84187">
        <w:rPr>
          <w:color w:val="2B579A"/>
          <w:shd w:val="clear" w:color="auto" w:fill="E6E6E6"/>
        </w:rPr>
        <w:instrText xml:space="preserve"> \* MERGEFORMAT </w:instrText>
      </w:r>
      <w:r w:rsidR="00D84187" w:rsidRPr="00C601A2">
        <w:rPr>
          <w:color w:val="2B579A"/>
          <w:shd w:val="clear" w:color="auto" w:fill="E6E6E6"/>
        </w:rPr>
      </w:r>
      <w:r w:rsidR="00D84187" w:rsidRPr="00C601A2">
        <w:rPr>
          <w:color w:val="2B579A"/>
          <w:shd w:val="clear" w:color="auto" w:fill="E6E6E6"/>
        </w:rPr>
        <w:fldChar w:fldCharType="separate"/>
      </w:r>
      <w:r w:rsidR="00492712" w:rsidRPr="00C601A2">
        <w:t xml:space="preserve">Figure </w:t>
      </w:r>
      <w:r w:rsidR="00492712">
        <w:rPr>
          <w:noProof/>
        </w:rPr>
        <w:t>A</w:t>
      </w:r>
      <w:r w:rsidR="00492712" w:rsidRPr="00C601A2">
        <w:t>.</w:t>
      </w:r>
      <w:r w:rsidR="00492712">
        <w:rPr>
          <w:noProof/>
        </w:rPr>
        <w:t>32</w:t>
      </w:r>
      <w:r w:rsidR="00D84187" w:rsidRPr="00C601A2">
        <w:rPr>
          <w:color w:val="2B579A"/>
          <w:shd w:val="clear" w:color="auto" w:fill="E6E6E6"/>
        </w:rPr>
        <w:fldChar w:fldCharType="end"/>
      </w:r>
      <w:r w:rsidR="00D84187">
        <w:t>,</w:t>
      </w:r>
      <w:r w:rsidR="009179E2">
        <w:t xml:space="preserve"> </w:t>
      </w:r>
      <w:r w:rsidR="009179E2">
        <w:fldChar w:fldCharType="begin"/>
      </w:r>
      <w:r w:rsidR="009179E2">
        <w:instrText xml:space="preserve"> REF _Ref202036586 \n \h </w:instrText>
      </w:r>
      <w:r w:rsidR="009179E2">
        <w:fldChar w:fldCharType="separate"/>
      </w:r>
      <w:r w:rsidR="00492712">
        <w:t>Appendix A</w:t>
      </w:r>
      <w:r w:rsidR="009179E2">
        <w:fldChar w:fldCharType="end"/>
      </w:r>
      <w:r w:rsidR="00D84187" w:rsidRPr="00C601A2">
        <w:t>).</w:t>
      </w:r>
    </w:p>
    <w:p w14:paraId="138AA200" w14:textId="50298482" w:rsidR="006A27BC" w:rsidRDefault="006A27BC" w:rsidP="005B413B">
      <w:pPr>
        <w:pStyle w:val="Heading3"/>
      </w:pPr>
      <w:r>
        <w:lastRenderedPageBreak/>
        <w:t>Implications</w:t>
      </w:r>
    </w:p>
    <w:p w14:paraId="69671E85" w14:textId="6D07D52A" w:rsidR="008C24A5" w:rsidRDefault="033A160B" w:rsidP="009734DF">
      <w:pPr>
        <w:pStyle w:val="BodyText"/>
      </w:pPr>
      <w:r w:rsidRPr="00C601A2">
        <w:t>We expect that channel and floodplain morphology (both at the site and immediately upstream) will be a strong driver of context-dependent metabolic responses to flow. For example, in shallow river channels with low banks, a small increase in flow volume may lead to relatively large increases in inundated surface area. Such increases to wetted area are likely to increase metabolic throughput by creating proportionally larger surface</w:t>
      </w:r>
      <w:r w:rsidR="006277D1">
        <w:t>-</w:t>
      </w:r>
      <w:r w:rsidRPr="00C601A2">
        <w:t>area</w:t>
      </w:r>
      <w:r w:rsidR="006277D1">
        <w:t>-</w:t>
      </w:r>
      <w:r w:rsidRPr="00C601A2">
        <w:t>to</w:t>
      </w:r>
      <w:r w:rsidR="006277D1">
        <w:t>-</w:t>
      </w:r>
      <w:r w:rsidRPr="00C601A2">
        <w:t xml:space="preserve">volume ratios, leading to </w:t>
      </w:r>
      <w:r w:rsidR="002D145A">
        <w:t>a larger</w:t>
      </w:r>
      <w:r w:rsidR="002D145A" w:rsidRPr="00C601A2">
        <w:t xml:space="preserve"> </w:t>
      </w:r>
      <w:r w:rsidRPr="00C601A2">
        <w:t xml:space="preserve">photic zone and potential increases in rates of GPP (noting lag times for autotrophic communities to </w:t>
      </w:r>
      <w:r w:rsidR="002D145A">
        <w:t>establish</w:t>
      </w:r>
      <w:r w:rsidRPr="00C601A2">
        <w:t xml:space="preserve">). In such circumstances, there is also a greater likelihood of incorporating more terrestrial organic carbon from litter, </w:t>
      </w:r>
      <w:r w:rsidR="00BD7AB3">
        <w:t xml:space="preserve">which </w:t>
      </w:r>
      <w:r w:rsidRPr="00C601A2">
        <w:t>also driv</w:t>
      </w:r>
      <w:r w:rsidR="00BD7AB3">
        <w:t>es</w:t>
      </w:r>
      <w:r w:rsidRPr="00C601A2">
        <w:t xml:space="preserve"> up rates of ER. In contrast, even moderate increases in flow volume that occur in river reaches that are deeply incised are likely to lead to only small increases in wetted surface area. Here</w:t>
      </w:r>
      <w:r w:rsidR="00227492">
        <w:t>,</w:t>
      </w:r>
      <w:r w:rsidRPr="00C601A2">
        <w:t xml:space="preserve"> we would expect metabolic throughput to decrease, since any increases in surface area are likely to be exceeded by dilution and disturbance influences. Conversion of metabolic data from volumetric rates to areal rates w</w:t>
      </w:r>
      <w:r w:rsidR="006F1394">
        <w:t>ould</w:t>
      </w:r>
      <w:r w:rsidRPr="00C601A2">
        <w:t xml:space="preserve"> allow for better comparison of metabolic responses between sites and valleys</w:t>
      </w:r>
      <w:r w:rsidR="00726CF8">
        <w:t>.</w:t>
      </w:r>
      <w:r w:rsidRPr="00C601A2">
        <w:t xml:space="preserve"> </w:t>
      </w:r>
      <w:r w:rsidR="009A17A0">
        <w:t>F</w:t>
      </w:r>
      <w:r w:rsidRPr="00C601A2">
        <w:t xml:space="preserve">or this to occur, </w:t>
      </w:r>
      <w:r w:rsidR="009A17A0">
        <w:t xml:space="preserve">however, </w:t>
      </w:r>
      <w:r w:rsidRPr="00C601A2">
        <w:t>accurate bathymetry is required for each location. Currently this information is not available for all sites</w:t>
      </w:r>
      <w:r w:rsidR="00944701">
        <w:t>,</w:t>
      </w:r>
      <w:r w:rsidRPr="00C601A2">
        <w:t xml:space="preserve"> and we strongly encourage collection of these data in future monitoring activities.</w:t>
      </w:r>
    </w:p>
    <w:p w14:paraId="126A89CA" w14:textId="77777777" w:rsidR="006452AE" w:rsidRDefault="006452AE" w:rsidP="009734DF">
      <w:pPr>
        <w:pStyle w:val="BodyText"/>
      </w:pPr>
    </w:p>
    <w:p w14:paraId="01D6E862" w14:textId="77777777" w:rsidR="006452AE" w:rsidRDefault="006452AE" w:rsidP="009734DF">
      <w:pPr>
        <w:pStyle w:val="BodyText"/>
        <w:sectPr w:rsidR="006452AE" w:rsidSect="000E21A8">
          <w:pgSz w:w="11906" w:h="16838" w:code="9"/>
          <w:pgMar w:top="1134" w:right="1134" w:bottom="1134" w:left="1134" w:header="510" w:footer="510" w:gutter="0"/>
          <w:cols w:space="284"/>
          <w:docGrid w:linePitch="360"/>
        </w:sectPr>
      </w:pPr>
    </w:p>
    <w:p w14:paraId="6102434A" w14:textId="6CB59601" w:rsidR="00184E63" w:rsidRPr="00C601A2" w:rsidDel="00F709C7" w:rsidRDefault="00184E63" w:rsidP="00816B09">
      <w:pPr>
        <w:pStyle w:val="CaptionWithNote"/>
      </w:pPr>
      <w:bookmarkStart w:id="167" w:name="_Ref169184466"/>
      <w:bookmarkStart w:id="168" w:name="_Toc193363435"/>
      <w:bookmarkStart w:id="169" w:name="_Toc194788951"/>
      <w:bookmarkStart w:id="170" w:name="_Toc202187884"/>
      <w:r w:rsidRPr="00C601A2">
        <w:lastRenderedPageBreak/>
        <w:t>Figure</w:t>
      </w:r>
      <w:r w:rsidR="00B37CAF">
        <w:t> </w:t>
      </w:r>
      <w:r>
        <w:fldChar w:fldCharType="begin"/>
      </w:r>
      <w:r>
        <w:instrText>STYLEREF 1 \s</w:instrText>
      </w:r>
      <w:r>
        <w:fldChar w:fldCharType="separate"/>
      </w:r>
      <w:r w:rsidR="00835C8B">
        <w:rPr>
          <w:noProof/>
        </w:rPr>
        <w:t>4</w:t>
      </w:r>
      <w:r>
        <w:fldChar w:fldCharType="end"/>
      </w:r>
      <w:r w:rsidR="00505064">
        <w:t>.</w:t>
      </w:r>
      <w:r>
        <w:fldChar w:fldCharType="begin"/>
      </w:r>
      <w:r>
        <w:instrText>SEQ Figure \* ARABIC \s 1</w:instrText>
      </w:r>
      <w:r>
        <w:fldChar w:fldCharType="separate"/>
      </w:r>
      <w:r w:rsidR="00492712">
        <w:rPr>
          <w:noProof/>
        </w:rPr>
        <w:t>4</w:t>
      </w:r>
      <w:r>
        <w:fldChar w:fldCharType="end"/>
      </w:r>
      <w:bookmarkEnd w:id="167"/>
      <w:r w:rsidRPr="00C601A2">
        <w:t xml:space="preserve"> Relationship between stream metabolism and flow at </w:t>
      </w:r>
      <w:r w:rsidR="00F91331">
        <w:t>Loch Garry gauge</w:t>
      </w:r>
      <w:r w:rsidR="00EF0658">
        <w:t>,</w:t>
      </w:r>
      <w:r w:rsidRPr="00C601A2">
        <w:t xml:space="preserve"> Goulburn River</w:t>
      </w:r>
      <w:bookmarkEnd w:id="168"/>
      <w:bookmarkEnd w:id="169"/>
      <w:bookmarkEnd w:id="170"/>
    </w:p>
    <w:p w14:paraId="2EDC5822" w14:textId="031A9BB7" w:rsidR="00184E63" w:rsidRDefault="00184E63" w:rsidP="00816B09">
      <w:pPr>
        <w:pStyle w:val="CaptionNote"/>
        <w:rPr>
          <w:b/>
          <w:bCs/>
        </w:rPr>
      </w:pPr>
      <w:r w:rsidRPr="00C601A2" w:rsidDel="00F709C7">
        <w:t xml:space="preserve">Left-hand panels display </w:t>
      </w:r>
      <w:r w:rsidRPr="00C601A2">
        <w:t>gross primary production (</w:t>
      </w:r>
      <w:r w:rsidRPr="00C601A2" w:rsidDel="00F709C7">
        <w:t>GPP</w:t>
      </w:r>
      <w:r w:rsidRPr="00C601A2">
        <w:t>)</w:t>
      </w:r>
      <w:r w:rsidRPr="00C601A2" w:rsidDel="00F709C7">
        <w:t xml:space="preserve">, </w:t>
      </w:r>
      <w:r w:rsidRPr="00C601A2">
        <w:t>ecosystem respiration (</w:t>
      </w:r>
      <w:r w:rsidRPr="00C601A2" w:rsidDel="00F709C7">
        <w:t>ER</w:t>
      </w:r>
      <w:r w:rsidRPr="00C601A2">
        <w:t>)</w:t>
      </w:r>
      <w:r w:rsidRPr="00C601A2" w:rsidDel="00F709C7">
        <w:t xml:space="preserve"> and </w:t>
      </w:r>
      <w:r w:rsidRPr="00C601A2">
        <w:t>net ecosystem production (</w:t>
      </w:r>
      <w:r w:rsidRPr="00C601A2" w:rsidDel="00F709C7">
        <w:t>NEP</w:t>
      </w:r>
      <w:r w:rsidRPr="00C601A2">
        <w:t>)</w:t>
      </w:r>
      <w:r w:rsidRPr="00C601A2" w:rsidDel="00F709C7">
        <w:t xml:space="preserve"> values</w:t>
      </w:r>
      <w:r w:rsidRPr="00C601A2">
        <w:t xml:space="preserve"> (green dots)</w:t>
      </w:r>
      <w:r w:rsidRPr="00C601A2" w:rsidDel="00F709C7">
        <w:t xml:space="preserve"> in response to flow (black line) and </w:t>
      </w:r>
      <w:r w:rsidRPr="00E902E9" w:rsidDel="00F709C7">
        <w:t>Commonwealth environmental water (</w:t>
      </w:r>
      <w:r w:rsidR="00E16DE2">
        <w:t>pink</w:t>
      </w:r>
      <w:r w:rsidRPr="00E902E9" w:rsidDel="00F709C7">
        <w:t xml:space="preserve"> line)</w:t>
      </w:r>
      <w:r w:rsidRPr="00C601A2" w:rsidDel="00F709C7">
        <w:t>. Right-hand panels depict metabolic fingerprints (without kernel</w:t>
      </w:r>
      <w:r w:rsidR="00EA1C94">
        <w:t>-</w:t>
      </w:r>
      <w:r w:rsidRPr="00C601A2" w:rsidDel="00F709C7">
        <w:t xml:space="preserve">density regions displayed), </w:t>
      </w:r>
      <w:r w:rsidR="00107E9E">
        <w:t>and</w:t>
      </w:r>
      <w:r w:rsidR="00107E9E" w:rsidRPr="00C601A2" w:rsidDel="00F709C7">
        <w:t xml:space="preserve"> </w:t>
      </w:r>
      <w:r w:rsidRPr="00C601A2" w:rsidDel="00F709C7">
        <w:t>colo</w:t>
      </w:r>
      <w:r w:rsidRPr="00C601A2">
        <w:t>u</w:t>
      </w:r>
      <w:r w:rsidRPr="00C601A2" w:rsidDel="00F709C7">
        <w:t xml:space="preserve">ration of data points reflect </w:t>
      </w:r>
      <w:proofErr w:type="spellStart"/>
      <w:r w:rsidRPr="00C601A2" w:rsidDel="00F709C7">
        <w:t>logFlow</w:t>
      </w:r>
      <w:proofErr w:type="spellEnd"/>
      <w:r w:rsidRPr="00C601A2">
        <w:t xml:space="preserve"> (flow on a log scale)</w:t>
      </w:r>
      <w:r w:rsidRPr="00C601A2" w:rsidDel="00F709C7">
        <w:t>.</w:t>
      </w:r>
      <w:r>
        <w:t xml:space="preserve"> </w:t>
      </w:r>
      <w:r w:rsidRPr="00C601A2" w:rsidDel="00F709C7">
        <w:t xml:space="preserve">Length of the </w:t>
      </w:r>
      <w:proofErr w:type="spellStart"/>
      <w:r w:rsidRPr="00C601A2" w:rsidDel="00F709C7">
        <w:t>envfit</w:t>
      </w:r>
      <w:proofErr w:type="spellEnd"/>
      <w:r w:rsidRPr="00C601A2" w:rsidDel="00F709C7">
        <w:t xml:space="preserve"> environmental vector arrow (j) indicates the strength (r</w:t>
      </w:r>
      <w:r w:rsidRPr="00C601A2">
        <w:rPr>
          <w:vertAlign w:val="superscript"/>
        </w:rPr>
        <w:t>2</w:t>
      </w:r>
      <w:r w:rsidRPr="00C601A2" w:rsidDel="00F709C7">
        <w:t xml:space="preserve">) and direction of long-term metabolic response to flow, </w:t>
      </w:r>
      <w:r w:rsidR="00107E9E">
        <w:t>and</w:t>
      </w:r>
      <w:r w:rsidR="00107E9E" w:rsidRPr="00C601A2" w:rsidDel="00F709C7">
        <w:t xml:space="preserve"> </w:t>
      </w:r>
      <w:r w:rsidRPr="00C601A2" w:rsidDel="00F709C7">
        <w:t>significant responses</w:t>
      </w:r>
      <w:r w:rsidR="00107E9E">
        <w:t xml:space="preserve"> are</w:t>
      </w:r>
      <w:r w:rsidRPr="00C601A2" w:rsidDel="00F709C7">
        <w:t xml:space="preserve"> indicated at the top of the plot by </w:t>
      </w:r>
      <w:r w:rsidRPr="00C601A2" w:rsidDel="00F709C7">
        <w:rPr>
          <w:i/>
          <w:iCs/>
        </w:rPr>
        <w:t>p</w:t>
      </w:r>
      <w:r>
        <w:t> </w:t>
      </w:r>
      <w:r w:rsidRPr="00C601A2" w:rsidDel="00F709C7">
        <w:t>&lt;</w:t>
      </w:r>
      <w:r>
        <w:t> </w:t>
      </w:r>
      <w:r w:rsidRPr="00C601A2" w:rsidDel="00F709C7">
        <w:t>0.05</w:t>
      </w:r>
      <w:r>
        <w:t>.</w:t>
      </w:r>
    </w:p>
    <w:p w14:paraId="06533610" w14:textId="4188AB79" w:rsidR="00294370" w:rsidRDefault="00F4413F" w:rsidP="00294370">
      <w:pPr>
        <w:pStyle w:val="Figure"/>
      </w:pPr>
      <w:r>
        <w:rPr>
          <w:noProof/>
        </w:rPr>
        <w:drawing>
          <wp:inline distT="0" distB="0" distL="0" distR="0" wp14:anchorId="600DF420" wp14:editId="725961D5">
            <wp:extent cx="9224028" cy="4610100"/>
            <wp:effectExtent l="0" t="0" r="0" b="0"/>
            <wp:docPr id="1920905961" name="Picture 1" descr="4 plots - 3 line and scatter plots showing GPP, ER and NEP. Larger scatter plot showing ER:GPP relationship GPP on x-axis, ER on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05961" name="Picture 1" descr="4 plots - 3 line and scatter plots showing GPP, ER and NEP. Larger scatter plot showing ER:GPP relationship GPP on x-axis, ER on y-axis)"/>
                    <pic:cNvPicPr/>
                  </pic:nvPicPr>
                  <pic:blipFill>
                    <a:blip r:embed="rId52"/>
                    <a:stretch>
                      <a:fillRect/>
                    </a:stretch>
                  </pic:blipFill>
                  <pic:spPr>
                    <a:xfrm>
                      <a:off x="0" y="0"/>
                      <a:ext cx="9229823" cy="4612996"/>
                    </a:xfrm>
                    <a:prstGeom prst="rect">
                      <a:avLst/>
                    </a:prstGeom>
                  </pic:spPr>
                </pic:pic>
              </a:graphicData>
            </a:graphic>
          </wp:inline>
        </w:drawing>
      </w:r>
    </w:p>
    <w:p w14:paraId="0E2F7420" w14:textId="14E2875F" w:rsidR="009734DF" w:rsidRPr="00C601A2" w:rsidDel="00F709C7" w:rsidRDefault="7D925343" w:rsidP="00816B09">
      <w:pPr>
        <w:pStyle w:val="CaptionWithNote"/>
      </w:pPr>
      <w:bookmarkStart w:id="171" w:name="_Ref101940799"/>
      <w:bookmarkStart w:id="172" w:name="_Toc193363436"/>
      <w:bookmarkStart w:id="173" w:name="_Toc194788952"/>
      <w:bookmarkStart w:id="174" w:name="_Toc202187885"/>
      <w:r w:rsidRPr="00C601A2">
        <w:lastRenderedPageBreak/>
        <w:t>Figure</w:t>
      </w:r>
      <w:r w:rsidR="00B37CAF">
        <w:t> </w:t>
      </w:r>
      <w:r>
        <w:fldChar w:fldCharType="begin"/>
      </w:r>
      <w:r>
        <w:instrText>STYLEREF 1 \s</w:instrText>
      </w:r>
      <w:r>
        <w:fldChar w:fldCharType="separate"/>
      </w:r>
      <w:r w:rsidR="00835C8B">
        <w:rPr>
          <w:noProof/>
        </w:rPr>
        <w:t>4</w:t>
      </w:r>
      <w:r>
        <w:fldChar w:fldCharType="end"/>
      </w:r>
      <w:r w:rsidR="00505064">
        <w:t>.</w:t>
      </w:r>
      <w:r>
        <w:fldChar w:fldCharType="begin"/>
      </w:r>
      <w:r>
        <w:instrText>SEQ Figure \* ARABIC \s 1</w:instrText>
      </w:r>
      <w:r>
        <w:fldChar w:fldCharType="separate"/>
      </w:r>
      <w:r w:rsidR="00492712">
        <w:rPr>
          <w:noProof/>
        </w:rPr>
        <w:t>5</w:t>
      </w:r>
      <w:r>
        <w:fldChar w:fldCharType="end"/>
      </w:r>
      <w:bookmarkEnd w:id="171"/>
      <w:r w:rsidRPr="00C601A2">
        <w:t xml:space="preserve"> Relationship between stream metabolism and flow at </w:t>
      </w:r>
      <w:r w:rsidR="00EF0658">
        <w:t>Mc</w:t>
      </w:r>
      <w:r w:rsidR="003A3768">
        <w:t>Coys Bridge,</w:t>
      </w:r>
      <w:r w:rsidR="0056799D" w:rsidRPr="00C601A2">
        <w:t xml:space="preserve"> </w:t>
      </w:r>
      <w:r w:rsidRPr="00C601A2">
        <w:t>Goulburn River</w:t>
      </w:r>
      <w:bookmarkEnd w:id="172"/>
      <w:bookmarkEnd w:id="173"/>
      <w:bookmarkEnd w:id="174"/>
    </w:p>
    <w:p w14:paraId="027877DD" w14:textId="40417954" w:rsidR="00294370" w:rsidRDefault="00294370" w:rsidP="00816B09">
      <w:pPr>
        <w:pStyle w:val="CaptionNote"/>
        <w:rPr>
          <w:b/>
          <w:bCs/>
        </w:rPr>
      </w:pPr>
      <w:r w:rsidRPr="00C601A2" w:rsidDel="00F709C7">
        <w:t xml:space="preserve">Left-hand panels display </w:t>
      </w:r>
      <w:r w:rsidRPr="00C601A2">
        <w:t>gross primary production (</w:t>
      </w:r>
      <w:r w:rsidRPr="00C601A2" w:rsidDel="00F709C7">
        <w:t>GPP</w:t>
      </w:r>
      <w:r w:rsidRPr="00C601A2">
        <w:t>)</w:t>
      </w:r>
      <w:r w:rsidRPr="00C601A2" w:rsidDel="00F709C7">
        <w:t xml:space="preserve">, </w:t>
      </w:r>
      <w:r w:rsidRPr="00C601A2">
        <w:t>ecosystem respiration (</w:t>
      </w:r>
      <w:r w:rsidRPr="00C601A2" w:rsidDel="00F709C7">
        <w:t>ER</w:t>
      </w:r>
      <w:r w:rsidRPr="00C601A2">
        <w:t>)</w:t>
      </w:r>
      <w:r w:rsidRPr="00C601A2" w:rsidDel="00F709C7">
        <w:t xml:space="preserve"> and </w:t>
      </w:r>
      <w:r w:rsidRPr="00C601A2">
        <w:t>net ecosystem production (</w:t>
      </w:r>
      <w:r w:rsidRPr="00C601A2" w:rsidDel="00F709C7">
        <w:t>NEP</w:t>
      </w:r>
      <w:r w:rsidRPr="00C601A2">
        <w:t>)</w:t>
      </w:r>
      <w:r w:rsidRPr="00C601A2" w:rsidDel="00F709C7">
        <w:t xml:space="preserve"> values</w:t>
      </w:r>
      <w:r w:rsidRPr="00C601A2">
        <w:t xml:space="preserve"> (green dots)</w:t>
      </w:r>
      <w:r w:rsidRPr="00C601A2" w:rsidDel="00F709C7">
        <w:t xml:space="preserve"> in response to flow (black line) and </w:t>
      </w:r>
      <w:r w:rsidRPr="00E902E9" w:rsidDel="00F709C7">
        <w:t>Commonwealth environmental water (</w:t>
      </w:r>
      <w:r w:rsidR="00E16DE2">
        <w:t>pink</w:t>
      </w:r>
      <w:r w:rsidRPr="00E902E9" w:rsidDel="00F709C7">
        <w:t xml:space="preserve"> line)</w:t>
      </w:r>
      <w:r w:rsidRPr="00C601A2" w:rsidDel="00F709C7">
        <w:t>. Right-hand panels depict metabolic fingerprints (without kernel</w:t>
      </w:r>
      <w:r w:rsidR="00EA1C94">
        <w:t>-</w:t>
      </w:r>
      <w:r w:rsidRPr="00C601A2" w:rsidDel="00F709C7">
        <w:t xml:space="preserve">density regions displayed), </w:t>
      </w:r>
      <w:r w:rsidR="00794CDC">
        <w:t>and</w:t>
      </w:r>
      <w:r w:rsidR="00794CDC" w:rsidRPr="00C601A2" w:rsidDel="00F709C7">
        <w:t xml:space="preserve"> </w:t>
      </w:r>
      <w:r w:rsidRPr="00C601A2" w:rsidDel="00F709C7">
        <w:t>colo</w:t>
      </w:r>
      <w:r w:rsidRPr="00C601A2">
        <w:t>u</w:t>
      </w:r>
      <w:r w:rsidRPr="00C601A2" w:rsidDel="00F709C7">
        <w:t xml:space="preserve">ration of data points reflect </w:t>
      </w:r>
      <w:proofErr w:type="spellStart"/>
      <w:r w:rsidRPr="00C601A2" w:rsidDel="00F709C7">
        <w:t>logFlow</w:t>
      </w:r>
      <w:proofErr w:type="spellEnd"/>
      <w:r w:rsidRPr="00C601A2">
        <w:t xml:space="preserve"> (flow on a log scale)</w:t>
      </w:r>
      <w:r w:rsidRPr="00C601A2" w:rsidDel="00F709C7">
        <w:t>.</w:t>
      </w:r>
      <w:r>
        <w:t xml:space="preserve"> </w:t>
      </w:r>
      <w:r w:rsidRPr="00C601A2" w:rsidDel="00F709C7">
        <w:t xml:space="preserve">Length of the </w:t>
      </w:r>
      <w:proofErr w:type="spellStart"/>
      <w:r w:rsidRPr="00C601A2" w:rsidDel="00F709C7">
        <w:t>envfit</w:t>
      </w:r>
      <w:proofErr w:type="spellEnd"/>
      <w:r w:rsidRPr="00C601A2" w:rsidDel="00F709C7">
        <w:t xml:space="preserve"> environmental vector arrow (j) indicates the strength (r</w:t>
      </w:r>
      <w:r w:rsidRPr="00C601A2">
        <w:rPr>
          <w:vertAlign w:val="superscript"/>
        </w:rPr>
        <w:t>2</w:t>
      </w:r>
      <w:r w:rsidRPr="00C601A2" w:rsidDel="00F709C7">
        <w:t xml:space="preserve">) and direction of long-term metabolic response to flow, </w:t>
      </w:r>
      <w:r w:rsidR="00794CDC">
        <w:t>and</w:t>
      </w:r>
      <w:r w:rsidRPr="00C601A2" w:rsidDel="00F709C7">
        <w:t xml:space="preserve"> significant responses</w:t>
      </w:r>
      <w:r w:rsidR="00794CDC">
        <w:t xml:space="preserve"> are</w:t>
      </w:r>
      <w:r w:rsidRPr="00C601A2" w:rsidDel="00F709C7">
        <w:t xml:space="preserve"> indicated at the top of the plot by </w:t>
      </w:r>
      <w:r w:rsidRPr="00C601A2" w:rsidDel="00F709C7">
        <w:rPr>
          <w:i/>
          <w:iCs/>
        </w:rPr>
        <w:t>p</w:t>
      </w:r>
      <w:r>
        <w:t> </w:t>
      </w:r>
      <w:r w:rsidRPr="00C601A2" w:rsidDel="00F709C7">
        <w:t>&lt;</w:t>
      </w:r>
      <w:r>
        <w:t> </w:t>
      </w:r>
      <w:r w:rsidRPr="00C601A2" w:rsidDel="00F709C7">
        <w:t>0.05</w:t>
      </w:r>
      <w:r w:rsidR="00B37CAF">
        <w:t>.</w:t>
      </w:r>
    </w:p>
    <w:p w14:paraId="0B339D0E" w14:textId="7B563725" w:rsidR="00294370" w:rsidRPr="00C601A2" w:rsidDel="00F709C7" w:rsidRDefault="005E415B" w:rsidP="0023127F">
      <w:pPr>
        <w:pStyle w:val="Figure"/>
      </w:pPr>
      <w:r>
        <w:rPr>
          <w:noProof/>
        </w:rPr>
        <w:drawing>
          <wp:inline distT="0" distB="0" distL="0" distR="0" wp14:anchorId="261365A2" wp14:editId="5BA6AB5D">
            <wp:extent cx="9300260" cy="4648200"/>
            <wp:effectExtent l="0" t="0" r="0" b="0"/>
            <wp:docPr id="1821386909" name="Picture 1" descr="4 plots - 3 line and scatter plots showing GPP, ER and NEP. Larger scatter plot showing ER:GPP relationship GPP on x-axis, ER on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86909" name="Picture 1" descr="4 plots - 3 line and scatter plots showing GPP, ER and NEP. Larger scatter plot showing ER:GPP relationship GPP on x-axis, ER on y-axis)"/>
                    <pic:cNvPicPr/>
                  </pic:nvPicPr>
                  <pic:blipFill>
                    <a:blip r:embed="rId53"/>
                    <a:stretch>
                      <a:fillRect/>
                    </a:stretch>
                  </pic:blipFill>
                  <pic:spPr>
                    <a:xfrm>
                      <a:off x="0" y="0"/>
                      <a:ext cx="9308839" cy="4652488"/>
                    </a:xfrm>
                    <a:prstGeom prst="rect">
                      <a:avLst/>
                    </a:prstGeom>
                  </pic:spPr>
                </pic:pic>
              </a:graphicData>
            </a:graphic>
          </wp:inline>
        </w:drawing>
      </w:r>
    </w:p>
    <w:p w14:paraId="48FFA83A" w14:textId="5F0C8274" w:rsidR="00294370" w:rsidRPr="00294370" w:rsidRDefault="00294370" w:rsidP="00294370">
      <w:pPr>
        <w:pStyle w:val="BodyText"/>
        <w:sectPr w:rsidR="00294370" w:rsidRPr="00294370" w:rsidSect="000E21A8">
          <w:pgSz w:w="16838" w:h="11906" w:orient="landscape" w:code="9"/>
          <w:pgMar w:top="1134" w:right="1134" w:bottom="1134" w:left="1134" w:header="510" w:footer="510" w:gutter="0"/>
          <w:cols w:space="284"/>
          <w:docGrid w:linePitch="360"/>
        </w:sectPr>
      </w:pPr>
    </w:p>
    <w:p w14:paraId="1EA7B287" w14:textId="17CD05DE" w:rsidR="008F0847" w:rsidRPr="008F0847" w:rsidRDefault="008F0847" w:rsidP="008F0847">
      <w:pPr>
        <w:pStyle w:val="Heading3"/>
      </w:pPr>
      <w:r>
        <w:lastRenderedPageBreak/>
        <w:t>S</w:t>
      </w:r>
      <w:r w:rsidRPr="00C601A2">
        <w:t>alinity regimes</w:t>
      </w:r>
    </w:p>
    <w:p w14:paraId="65F9C01E" w14:textId="5B4EBAE2" w:rsidR="002F1FE6" w:rsidRDefault="00A74D6F" w:rsidP="001A7C95">
      <w:pPr>
        <w:pStyle w:val="BodyText"/>
      </w:pPr>
      <w:r w:rsidRPr="00C601A2">
        <w:t xml:space="preserve">The addition of </w:t>
      </w:r>
      <w:r w:rsidR="00B37CAF">
        <w:t>CEW</w:t>
      </w:r>
      <w:r w:rsidRPr="00C601A2">
        <w:t xml:space="preserve"> helped to maintain river salinity below 800</w:t>
      </w:r>
      <w:r w:rsidR="00CF5A52">
        <w:t> </w:t>
      </w:r>
      <w:r w:rsidR="00CF5A52" w:rsidRPr="00C601A2">
        <w:t xml:space="preserve">µS/cm </w:t>
      </w:r>
      <w:r w:rsidR="00CF5A52">
        <w:t>(electrical conductivity)</w:t>
      </w:r>
      <w:r w:rsidRPr="00C601A2">
        <w:t xml:space="preserve"> at Morgan</w:t>
      </w:r>
      <w:r w:rsidR="00B91CB8">
        <w:t xml:space="preserve"> – </w:t>
      </w:r>
      <w:r w:rsidRPr="00C601A2">
        <w:t>a river management target of the M</w:t>
      </w:r>
      <w:r w:rsidR="008B0E79" w:rsidRPr="00C601A2">
        <w:t>urray–</w:t>
      </w:r>
      <w:r w:rsidRPr="00C601A2">
        <w:t>D</w:t>
      </w:r>
      <w:r w:rsidR="008B0E79" w:rsidRPr="00C601A2">
        <w:t xml:space="preserve">arling </w:t>
      </w:r>
      <w:r w:rsidRPr="00C601A2">
        <w:t>B</w:t>
      </w:r>
      <w:r w:rsidR="008B0E79" w:rsidRPr="00C601A2">
        <w:t xml:space="preserve">asin </w:t>
      </w:r>
      <w:r w:rsidRPr="00C601A2">
        <w:t>A</w:t>
      </w:r>
      <w:r w:rsidR="008B0E79" w:rsidRPr="00C601A2">
        <w:t>uthority</w:t>
      </w:r>
      <w:r w:rsidR="006F3572">
        <w:t xml:space="preserve"> </w:t>
      </w:r>
      <w:r w:rsidRPr="00C601A2">
        <w:t>and SA Water</w:t>
      </w:r>
      <w:r w:rsidR="00B91CB8">
        <w:t> –</w:t>
      </w:r>
      <w:r w:rsidRPr="00C601A2">
        <w:t xml:space="preserve"> by diluting salt in the Lower Murray River channel </w:t>
      </w:r>
      <w:r w:rsidRPr="00C601A2">
        <w:rPr>
          <w:noProof/>
        </w:rPr>
        <w:t>(Ye et al. 202</w:t>
      </w:r>
      <w:r w:rsidR="00345BCF">
        <w:rPr>
          <w:noProof/>
        </w:rPr>
        <w:t>5</w:t>
      </w:r>
      <w:r w:rsidRPr="00C601A2">
        <w:rPr>
          <w:noProof/>
        </w:rPr>
        <w:t>)</w:t>
      </w:r>
      <w:r w:rsidRPr="00C601A2">
        <w:t>. In low</w:t>
      </w:r>
      <w:r w:rsidR="0063666D">
        <w:t xml:space="preserve"> </w:t>
      </w:r>
      <w:r w:rsidRPr="00C601A2">
        <w:t xml:space="preserve">flow years, </w:t>
      </w:r>
      <w:r w:rsidR="00DB752B">
        <w:t>CEW</w:t>
      </w:r>
      <w:r w:rsidRPr="00C601A2">
        <w:t xml:space="preserve"> has also become increasingly important for sustaining salt export from the Basin and for limiting salt import to the Coorong.</w:t>
      </w:r>
      <w:r w:rsidR="002F1FE6" w:rsidRPr="002F1FE6">
        <w:t xml:space="preserve"> </w:t>
      </w:r>
      <w:r w:rsidR="002F1FE6" w:rsidRPr="00C601A2">
        <w:t>The salt export objective in the Basin Plan aims to ensure adequate removal of salt from the Basin, and this target has been set at 2 million tonnes per year. Commonwealth environmental water has played a key role in salt export from the Basin; however, salt export remains below the Basin Plan target. Since 2014–15,</w:t>
      </w:r>
      <w:r w:rsidR="00B313F2">
        <w:t xml:space="preserve"> </w:t>
      </w:r>
      <w:r w:rsidR="0063666D">
        <w:t xml:space="preserve">CEW </w:t>
      </w:r>
      <w:r w:rsidR="002F1FE6" w:rsidRPr="00C601A2">
        <w:t>has been responsible for an additional 4</w:t>
      </w:r>
      <w:r w:rsidR="002F1FE6">
        <w:t>.</w:t>
      </w:r>
      <w:r w:rsidR="001F2B50">
        <w:t>3</w:t>
      </w:r>
      <w:r w:rsidR="00304931">
        <w:t>7</w:t>
      </w:r>
      <w:r w:rsidR="002F1FE6" w:rsidRPr="00C601A2">
        <w:t xml:space="preserve"> million tonnes of salt exported through the barrages and has reduced salt import by </w:t>
      </w:r>
      <w:r w:rsidR="00ED48F1">
        <w:t>almost</w:t>
      </w:r>
      <w:r w:rsidR="002F1FE6" w:rsidRPr="00C601A2">
        <w:t xml:space="preserve"> 2</w:t>
      </w:r>
      <w:r w:rsidR="00ED48F1">
        <w:t>9</w:t>
      </w:r>
      <w:r w:rsidR="002F1FE6" w:rsidRPr="00C601A2">
        <w:t> million tonnes since 2014</w:t>
      </w:r>
      <w:r w:rsidR="002F1FE6">
        <w:t>–15</w:t>
      </w:r>
      <w:r w:rsidR="002F1FE6" w:rsidRPr="00C601A2">
        <w:t xml:space="preserve"> (</w:t>
      </w:r>
      <w:r w:rsidR="002F1FE6" w:rsidRPr="00C601A2">
        <w:rPr>
          <w:color w:val="2B579A"/>
          <w:shd w:val="clear" w:color="auto" w:fill="E6E6E6"/>
        </w:rPr>
        <w:fldChar w:fldCharType="begin"/>
      </w:r>
      <w:r w:rsidR="002F1FE6" w:rsidRPr="00C601A2">
        <w:instrText xml:space="preserve"> REF _Ref68618459 \h </w:instrText>
      </w:r>
      <w:r w:rsidR="002F1FE6">
        <w:rPr>
          <w:color w:val="2B579A"/>
          <w:shd w:val="clear" w:color="auto" w:fill="E6E6E6"/>
        </w:rPr>
        <w:instrText xml:space="preserve"> \* MERGEFORMAT </w:instrText>
      </w:r>
      <w:r w:rsidR="002F1FE6" w:rsidRPr="00C601A2">
        <w:rPr>
          <w:color w:val="2B579A"/>
          <w:shd w:val="clear" w:color="auto" w:fill="E6E6E6"/>
        </w:rPr>
      </w:r>
      <w:r w:rsidR="002F1FE6" w:rsidRPr="00C601A2">
        <w:rPr>
          <w:color w:val="2B579A"/>
          <w:shd w:val="clear" w:color="auto" w:fill="E6E6E6"/>
        </w:rPr>
        <w:fldChar w:fldCharType="separate"/>
      </w:r>
      <w:r w:rsidR="00492712" w:rsidRPr="00C601A2">
        <w:t>Table</w:t>
      </w:r>
      <w:r w:rsidR="00492712">
        <w:t> </w:t>
      </w:r>
      <w:r w:rsidR="00835C8B">
        <w:t>4</w:t>
      </w:r>
      <w:r w:rsidR="00492712">
        <w:t>.2</w:t>
      </w:r>
      <w:r w:rsidR="002F1FE6" w:rsidRPr="00C601A2">
        <w:rPr>
          <w:color w:val="2B579A"/>
          <w:shd w:val="clear" w:color="auto" w:fill="E6E6E6"/>
        </w:rPr>
        <w:fldChar w:fldCharType="end"/>
      </w:r>
      <w:r w:rsidR="002F1FE6" w:rsidRPr="00C601A2">
        <w:t>).</w:t>
      </w:r>
    </w:p>
    <w:p w14:paraId="4CD24723" w14:textId="69E70CE3" w:rsidR="00355E28" w:rsidRDefault="00A74D6F" w:rsidP="00CB7F9C">
      <w:pPr>
        <w:pStyle w:val="CaptionWithNote"/>
        <w:ind w:right="2692"/>
      </w:pPr>
      <w:bookmarkStart w:id="175" w:name="_Ref68618459"/>
      <w:bookmarkStart w:id="176" w:name="_Toc183533682"/>
      <w:bookmarkStart w:id="177" w:name="_Toc202187938"/>
      <w:r w:rsidRPr="00C601A2">
        <w:t>Table</w:t>
      </w:r>
      <w:r w:rsidR="00B37CAF">
        <w:t> </w:t>
      </w:r>
      <w:fldSimple w:instr=" STYLEREF 1 \s ">
        <w:r w:rsidR="00835C8B">
          <w:rPr>
            <w:noProof/>
          </w:rPr>
          <w:t>4</w:t>
        </w:r>
      </w:fldSimple>
      <w:r w:rsidR="00F60AE8">
        <w:t>.</w:t>
      </w:r>
      <w:fldSimple w:instr=" SEQ Table \* ARABIC \s 1 ">
        <w:r w:rsidR="00492712">
          <w:rPr>
            <w:noProof/>
          </w:rPr>
          <w:t>2</w:t>
        </w:r>
      </w:fldSimple>
      <w:bookmarkEnd w:id="175"/>
      <w:r w:rsidRPr="00C601A2">
        <w:t xml:space="preserve"> </w:t>
      </w:r>
      <w:r w:rsidR="00CF0478">
        <w:t>Ten</w:t>
      </w:r>
      <w:r w:rsidRPr="00C601A2">
        <w:t>-year record of modelled additional salt export (tonnes) due to Commonwealth environmental water (CEW) through the barrages to the Coorong estuary and reduction in import of salt through the Murray Mouth into the Coorong from the Southern Ocean attributable to CEW</w:t>
      </w:r>
      <w:bookmarkEnd w:id="176"/>
      <w:bookmarkEnd w:id="177"/>
    </w:p>
    <w:p w14:paraId="2CA5358A" w14:textId="23EF9ABC" w:rsidR="000143E4" w:rsidRDefault="005E1941" w:rsidP="00F00BA1">
      <w:pPr>
        <w:pStyle w:val="CaptionNote"/>
        <w:ind w:right="2550"/>
        <w:rPr>
          <w:noProof/>
        </w:rPr>
      </w:pPr>
      <w:r>
        <w:rPr>
          <w:lang w:val="en-US"/>
        </w:rPr>
        <w:t>S</w:t>
      </w:r>
      <w:r w:rsidR="00355E28" w:rsidRPr="00C601A2">
        <w:rPr>
          <w:lang w:val="en-US"/>
        </w:rPr>
        <w:t>alt export and salinity</w:t>
      </w:r>
      <w:r>
        <w:rPr>
          <w:lang w:val="en-US"/>
        </w:rPr>
        <w:t xml:space="preserve"> estimates</w:t>
      </w:r>
      <w:r w:rsidR="001308F6">
        <w:rPr>
          <w:lang w:val="en-US"/>
        </w:rPr>
        <w:t xml:space="preserve"> </w:t>
      </w:r>
      <w:r w:rsidR="00735733">
        <w:rPr>
          <w:lang w:val="en-US"/>
        </w:rPr>
        <w:t xml:space="preserve">for </w:t>
      </w:r>
      <w:r w:rsidR="001308F6">
        <w:rPr>
          <w:lang w:val="en-US"/>
        </w:rPr>
        <w:t>2014–17</w:t>
      </w:r>
      <w:r w:rsidR="00355E28" w:rsidRPr="00C601A2">
        <w:rPr>
          <w:lang w:val="en-US"/>
        </w:rPr>
        <w:t xml:space="preserve"> are from the large domain model previously used in the </w:t>
      </w:r>
      <w:proofErr w:type="gramStart"/>
      <w:r w:rsidR="00355E28" w:rsidRPr="00C601A2">
        <w:rPr>
          <w:lang w:val="en-US"/>
        </w:rPr>
        <w:t>L</w:t>
      </w:r>
      <w:r w:rsidR="000E1235">
        <w:rPr>
          <w:lang w:val="en-US"/>
        </w:rPr>
        <w:t xml:space="preserve">ong </w:t>
      </w:r>
      <w:r w:rsidR="00355E28" w:rsidRPr="00C601A2">
        <w:rPr>
          <w:lang w:val="en-US"/>
        </w:rPr>
        <w:t>T</w:t>
      </w:r>
      <w:r w:rsidR="000E1235">
        <w:rPr>
          <w:lang w:val="en-US"/>
        </w:rPr>
        <w:t>erm</w:t>
      </w:r>
      <w:proofErr w:type="gramEnd"/>
      <w:r w:rsidR="000E1235">
        <w:rPr>
          <w:lang w:val="en-US"/>
        </w:rPr>
        <w:t xml:space="preserve"> </w:t>
      </w:r>
      <w:r w:rsidR="00355E28" w:rsidRPr="00C601A2">
        <w:rPr>
          <w:lang w:val="en-US"/>
        </w:rPr>
        <w:t>I</w:t>
      </w:r>
      <w:r w:rsidR="000E1235">
        <w:rPr>
          <w:lang w:val="en-US"/>
        </w:rPr>
        <w:t xml:space="preserve">ntervention </w:t>
      </w:r>
      <w:r w:rsidR="00355E28" w:rsidRPr="00C601A2">
        <w:rPr>
          <w:lang w:val="en-US"/>
        </w:rPr>
        <w:t>M</w:t>
      </w:r>
      <w:r w:rsidR="000E1235">
        <w:rPr>
          <w:lang w:val="en-US"/>
        </w:rPr>
        <w:t>onitoring Project</w:t>
      </w:r>
      <w:r w:rsidR="00355E28" w:rsidRPr="00C601A2">
        <w:rPr>
          <w:lang w:val="en-US"/>
        </w:rPr>
        <w:t xml:space="preserve"> reporting. </w:t>
      </w:r>
      <w:r>
        <w:rPr>
          <w:lang w:val="en-US"/>
        </w:rPr>
        <w:t>Results</w:t>
      </w:r>
      <w:r w:rsidR="00355E28" w:rsidRPr="00C601A2">
        <w:rPr>
          <w:lang w:val="en-US"/>
        </w:rPr>
        <w:t xml:space="preserve"> f</w:t>
      </w:r>
      <w:r w:rsidR="001308F6">
        <w:rPr>
          <w:lang w:val="en-US"/>
        </w:rPr>
        <w:t>rom 2017</w:t>
      </w:r>
      <w:r w:rsidR="00355E28">
        <w:rPr>
          <w:rFonts w:cs="Calibri"/>
          <w:lang w:val="en-US"/>
        </w:rPr>
        <w:t>–</w:t>
      </w:r>
      <w:r w:rsidR="00355E28" w:rsidRPr="00C601A2">
        <w:rPr>
          <w:lang w:val="en-US"/>
        </w:rPr>
        <w:t xml:space="preserve">18 </w:t>
      </w:r>
      <w:r w:rsidR="00CA60B6">
        <w:rPr>
          <w:lang w:val="en-US"/>
        </w:rPr>
        <w:t xml:space="preserve">onwards </w:t>
      </w:r>
      <w:r w:rsidR="00355E28" w:rsidRPr="00C601A2">
        <w:rPr>
          <w:lang w:val="en-US"/>
        </w:rPr>
        <w:t>are from the new high-resolution Coorong</w:t>
      </w:r>
      <w:r w:rsidR="00355E28">
        <w:rPr>
          <w:lang w:val="en-US"/>
        </w:rPr>
        <w:t>-</w:t>
      </w:r>
      <w:r w:rsidR="00355E28" w:rsidRPr="00C601A2">
        <w:rPr>
          <w:lang w:val="en-US"/>
        </w:rPr>
        <w:t>only model, which uses a different method for barrage flow calculation and has a more accurate specification of salinity and salt flux.</w:t>
      </w:r>
      <w:r w:rsidR="004F0CC8" w:rsidRPr="00C601A2">
        <w:t xml:space="preserve"> </w:t>
      </w:r>
      <w:r w:rsidR="004F0CC8" w:rsidRPr="00C601A2">
        <w:rPr>
          <w:noProof/>
        </w:rPr>
        <w:t>(</w:t>
      </w:r>
      <w:r w:rsidR="00A34FE2">
        <w:rPr>
          <w:noProof/>
        </w:rPr>
        <w:t>Sourc</w:t>
      </w:r>
      <w:r w:rsidR="00A92ACE">
        <w:rPr>
          <w:noProof/>
        </w:rPr>
        <w:t>e</w:t>
      </w:r>
      <w:r w:rsidR="00A34FE2">
        <w:rPr>
          <w:noProof/>
        </w:rPr>
        <w:t xml:space="preserve">: </w:t>
      </w:r>
      <w:r w:rsidR="004F0CC8" w:rsidRPr="00C601A2">
        <w:rPr>
          <w:noProof/>
        </w:rPr>
        <w:t>Ye et al. 202</w:t>
      </w:r>
      <w:r w:rsidR="008D6850">
        <w:rPr>
          <w:noProof/>
        </w:rPr>
        <w:t>5)</w:t>
      </w:r>
      <w:r w:rsidR="00ED67B3">
        <w:rPr>
          <w:noProof/>
        </w:rPr>
        <w:t>.</w:t>
      </w:r>
    </w:p>
    <w:tbl>
      <w:tblPr>
        <w:tblStyle w:val="TableFlow-MER"/>
        <w:tblW w:w="6865" w:type="dxa"/>
        <w:tblLook w:val="0460" w:firstRow="1" w:lastRow="1" w:firstColumn="0" w:lastColumn="0" w:noHBand="0" w:noVBand="1"/>
      </w:tblPr>
      <w:tblGrid>
        <w:gridCol w:w="1624"/>
        <w:gridCol w:w="2229"/>
        <w:gridCol w:w="3012"/>
      </w:tblGrid>
      <w:tr w:rsidR="00055028" w:rsidRPr="00055028" w14:paraId="7075BBD6" w14:textId="77777777" w:rsidTr="001B4152">
        <w:trPr>
          <w:cnfStyle w:val="100000000000" w:firstRow="1" w:lastRow="0" w:firstColumn="0" w:lastColumn="0" w:oddVBand="0" w:evenVBand="0" w:oddHBand="0" w:evenHBand="0" w:firstRowFirstColumn="0" w:firstRowLastColumn="0" w:lastRowFirstColumn="0" w:lastRowLastColumn="0"/>
          <w:trHeight w:val="579"/>
        </w:trPr>
        <w:tc>
          <w:tcPr>
            <w:tcW w:w="1624" w:type="dxa"/>
            <w:hideMark/>
          </w:tcPr>
          <w:p w14:paraId="6054F688" w14:textId="3EB5FC4B" w:rsidR="00055028" w:rsidRPr="00055028" w:rsidRDefault="005101D0" w:rsidP="00614894">
            <w:pPr>
              <w:pStyle w:val="ColumnHeading"/>
            </w:pPr>
            <w:r>
              <w:t>Year</w:t>
            </w:r>
          </w:p>
        </w:tc>
        <w:tc>
          <w:tcPr>
            <w:tcW w:w="2229" w:type="dxa"/>
            <w:hideMark/>
          </w:tcPr>
          <w:p w14:paraId="3682B7BE" w14:textId="6BBA7C6A" w:rsidR="00055028" w:rsidRPr="00055028" w:rsidRDefault="004B0938" w:rsidP="00614894">
            <w:pPr>
              <w:pStyle w:val="ColumnHeading"/>
              <w:rPr>
                <w:color w:val="FFFFFF" w:themeColor="background1"/>
              </w:rPr>
            </w:pPr>
            <w:r>
              <w:rPr>
                <w:bCs w:val="0"/>
                <w:color w:val="FFFFFF" w:themeColor="background1"/>
              </w:rPr>
              <w:t>Barrages</w:t>
            </w:r>
            <w:r w:rsidR="006B2417">
              <w:rPr>
                <w:bCs w:val="0"/>
                <w:color w:val="FFFFFF" w:themeColor="background1"/>
              </w:rPr>
              <w:t>,</w:t>
            </w:r>
            <w:r w:rsidR="00994EB4">
              <w:rPr>
                <w:bCs w:val="0"/>
                <w:color w:val="FFFFFF" w:themeColor="background1"/>
              </w:rPr>
              <w:t xml:space="preserve"> </w:t>
            </w:r>
            <w:r w:rsidR="00994EB4">
              <w:rPr>
                <w:color w:val="FFFFFF" w:themeColor="background1"/>
              </w:rPr>
              <w:t>a</w:t>
            </w:r>
            <w:r w:rsidR="00055028" w:rsidRPr="00055028">
              <w:rPr>
                <w:color w:val="FFFFFF" w:themeColor="background1"/>
              </w:rPr>
              <w:t>dditional export of salt due to CEW (tonnes)</w:t>
            </w:r>
          </w:p>
        </w:tc>
        <w:tc>
          <w:tcPr>
            <w:tcW w:w="3012" w:type="dxa"/>
            <w:hideMark/>
          </w:tcPr>
          <w:p w14:paraId="4FCFC2EC" w14:textId="6C43CD24" w:rsidR="00055028" w:rsidRPr="00055028" w:rsidRDefault="004B0938" w:rsidP="00614894">
            <w:pPr>
              <w:pStyle w:val="ColumnHeading"/>
              <w:rPr>
                <w:color w:val="FFFFFF" w:themeColor="background1"/>
              </w:rPr>
            </w:pPr>
            <w:r>
              <w:rPr>
                <w:bCs w:val="0"/>
                <w:color w:val="FFFFFF" w:themeColor="background1"/>
              </w:rPr>
              <w:t>Murray Mouth</w:t>
            </w:r>
            <w:r w:rsidR="006B2417">
              <w:rPr>
                <w:bCs w:val="0"/>
                <w:color w:val="FFFFFF" w:themeColor="background1"/>
              </w:rPr>
              <w:t xml:space="preserve">, </w:t>
            </w:r>
            <w:r w:rsidR="00994EB4">
              <w:rPr>
                <w:color w:val="FFFFFF" w:themeColor="background1"/>
              </w:rPr>
              <w:t>r</w:t>
            </w:r>
            <w:r w:rsidR="00055028" w:rsidRPr="00055028">
              <w:rPr>
                <w:color w:val="FFFFFF" w:themeColor="background1"/>
              </w:rPr>
              <w:t>eduction of salt import at the Murray Mouth (tonnes)</w:t>
            </w:r>
          </w:p>
        </w:tc>
      </w:tr>
      <w:tr w:rsidR="00055028" w:rsidRPr="00055028" w14:paraId="0918F807" w14:textId="77777777" w:rsidTr="001B4152">
        <w:trPr>
          <w:cnfStyle w:val="000000100000" w:firstRow="0" w:lastRow="0" w:firstColumn="0" w:lastColumn="0" w:oddVBand="0" w:evenVBand="0" w:oddHBand="1" w:evenHBand="0" w:firstRowFirstColumn="0" w:firstRowLastColumn="0" w:lastRowFirstColumn="0" w:lastRowLastColumn="0"/>
          <w:trHeight w:val="293"/>
        </w:trPr>
        <w:tc>
          <w:tcPr>
            <w:tcW w:w="1624" w:type="dxa"/>
            <w:hideMark/>
          </w:tcPr>
          <w:p w14:paraId="6FB3F45B" w14:textId="77777777" w:rsidR="00055028" w:rsidRPr="00994EB4" w:rsidRDefault="00055028" w:rsidP="00614894">
            <w:pPr>
              <w:pStyle w:val="TableText"/>
            </w:pPr>
            <w:r w:rsidRPr="00994EB4">
              <w:t>2014–15</w:t>
            </w:r>
          </w:p>
        </w:tc>
        <w:tc>
          <w:tcPr>
            <w:tcW w:w="2229" w:type="dxa"/>
            <w:tcMar>
              <w:right w:w="454" w:type="dxa"/>
            </w:tcMar>
            <w:hideMark/>
          </w:tcPr>
          <w:p w14:paraId="65B22B63" w14:textId="77777777" w:rsidR="00055028" w:rsidRPr="00CE02A6" w:rsidRDefault="00055028" w:rsidP="001B4152">
            <w:pPr>
              <w:pStyle w:val="TableTextRight"/>
            </w:pPr>
            <w:r w:rsidRPr="00CE02A6">
              <w:t>285,064</w:t>
            </w:r>
          </w:p>
        </w:tc>
        <w:tc>
          <w:tcPr>
            <w:tcW w:w="3012" w:type="dxa"/>
            <w:tcMar>
              <w:right w:w="454" w:type="dxa"/>
            </w:tcMar>
            <w:hideMark/>
          </w:tcPr>
          <w:p w14:paraId="7F375731" w14:textId="77777777" w:rsidR="00055028" w:rsidRPr="00CE02A6" w:rsidRDefault="00055028" w:rsidP="001B4152">
            <w:pPr>
              <w:pStyle w:val="TableTextRight"/>
            </w:pPr>
            <w:r w:rsidRPr="00CE02A6">
              <w:t>3,044,700</w:t>
            </w:r>
          </w:p>
        </w:tc>
      </w:tr>
      <w:tr w:rsidR="00055028" w:rsidRPr="00055028" w14:paraId="52C917A4" w14:textId="77777777" w:rsidTr="001B4152">
        <w:trPr>
          <w:trHeight w:val="293"/>
        </w:trPr>
        <w:tc>
          <w:tcPr>
            <w:tcW w:w="1624" w:type="dxa"/>
            <w:hideMark/>
          </w:tcPr>
          <w:p w14:paraId="1DEFD686" w14:textId="77777777" w:rsidR="00055028" w:rsidRPr="00994EB4" w:rsidRDefault="00055028" w:rsidP="00614894">
            <w:pPr>
              <w:pStyle w:val="TableText"/>
            </w:pPr>
            <w:r w:rsidRPr="00994EB4">
              <w:t>2015–16</w:t>
            </w:r>
          </w:p>
        </w:tc>
        <w:tc>
          <w:tcPr>
            <w:tcW w:w="2229" w:type="dxa"/>
            <w:tcMar>
              <w:right w:w="454" w:type="dxa"/>
            </w:tcMar>
            <w:hideMark/>
          </w:tcPr>
          <w:p w14:paraId="15058C14" w14:textId="77777777" w:rsidR="00055028" w:rsidRPr="00CE02A6" w:rsidRDefault="00055028" w:rsidP="001B4152">
            <w:pPr>
              <w:pStyle w:val="TableTextRight"/>
            </w:pPr>
            <w:r w:rsidRPr="00CE02A6">
              <w:t>251,632</w:t>
            </w:r>
          </w:p>
        </w:tc>
        <w:tc>
          <w:tcPr>
            <w:tcW w:w="3012" w:type="dxa"/>
            <w:tcMar>
              <w:right w:w="454" w:type="dxa"/>
            </w:tcMar>
            <w:hideMark/>
          </w:tcPr>
          <w:p w14:paraId="10DB93FD" w14:textId="77777777" w:rsidR="00055028" w:rsidRPr="00CE02A6" w:rsidRDefault="00055028" w:rsidP="001B4152">
            <w:pPr>
              <w:pStyle w:val="TableTextRight"/>
            </w:pPr>
            <w:r w:rsidRPr="00CE02A6">
              <w:t>4,591,269</w:t>
            </w:r>
          </w:p>
        </w:tc>
      </w:tr>
      <w:tr w:rsidR="00055028" w:rsidRPr="00055028" w14:paraId="448CEE5B" w14:textId="77777777" w:rsidTr="001B4152">
        <w:trPr>
          <w:cnfStyle w:val="000000100000" w:firstRow="0" w:lastRow="0" w:firstColumn="0" w:lastColumn="0" w:oddVBand="0" w:evenVBand="0" w:oddHBand="1" w:evenHBand="0" w:firstRowFirstColumn="0" w:firstRowLastColumn="0" w:lastRowFirstColumn="0" w:lastRowLastColumn="0"/>
          <w:trHeight w:val="293"/>
        </w:trPr>
        <w:tc>
          <w:tcPr>
            <w:tcW w:w="1624" w:type="dxa"/>
            <w:hideMark/>
          </w:tcPr>
          <w:p w14:paraId="079CDA67" w14:textId="77777777" w:rsidR="00055028" w:rsidRPr="00994EB4" w:rsidRDefault="00055028" w:rsidP="00614894">
            <w:pPr>
              <w:pStyle w:val="TableText"/>
            </w:pPr>
            <w:r w:rsidRPr="00994EB4">
              <w:t>2016–17</w:t>
            </w:r>
          </w:p>
        </w:tc>
        <w:tc>
          <w:tcPr>
            <w:tcW w:w="2229" w:type="dxa"/>
            <w:tcMar>
              <w:right w:w="454" w:type="dxa"/>
            </w:tcMar>
            <w:hideMark/>
          </w:tcPr>
          <w:p w14:paraId="27736382" w14:textId="77777777" w:rsidR="00055028" w:rsidRPr="00CE02A6" w:rsidRDefault="00055028" w:rsidP="001B4152">
            <w:pPr>
              <w:pStyle w:val="TableTextRight"/>
            </w:pPr>
            <w:r w:rsidRPr="00CE02A6">
              <w:t>120,867</w:t>
            </w:r>
          </w:p>
        </w:tc>
        <w:tc>
          <w:tcPr>
            <w:tcW w:w="3012" w:type="dxa"/>
            <w:tcMar>
              <w:right w:w="454" w:type="dxa"/>
            </w:tcMar>
            <w:hideMark/>
          </w:tcPr>
          <w:p w14:paraId="10BD2DA6" w14:textId="77777777" w:rsidR="00055028" w:rsidRPr="00CE02A6" w:rsidRDefault="00055028" w:rsidP="001B4152">
            <w:pPr>
              <w:pStyle w:val="TableTextRight"/>
            </w:pPr>
            <w:r w:rsidRPr="00CE02A6">
              <w:t>519,292</w:t>
            </w:r>
          </w:p>
        </w:tc>
      </w:tr>
      <w:tr w:rsidR="00055028" w:rsidRPr="00055028" w14:paraId="12DD8079" w14:textId="77777777" w:rsidTr="001B4152">
        <w:trPr>
          <w:trHeight w:val="293"/>
        </w:trPr>
        <w:tc>
          <w:tcPr>
            <w:tcW w:w="1624" w:type="dxa"/>
            <w:hideMark/>
          </w:tcPr>
          <w:p w14:paraId="6DA0E39C" w14:textId="77777777" w:rsidR="00055028" w:rsidRPr="00994EB4" w:rsidRDefault="00055028" w:rsidP="00614894">
            <w:pPr>
              <w:pStyle w:val="TableText"/>
            </w:pPr>
            <w:r w:rsidRPr="00994EB4">
              <w:t>2017–18</w:t>
            </w:r>
          </w:p>
        </w:tc>
        <w:tc>
          <w:tcPr>
            <w:tcW w:w="2229" w:type="dxa"/>
            <w:tcMar>
              <w:right w:w="454" w:type="dxa"/>
            </w:tcMar>
            <w:hideMark/>
          </w:tcPr>
          <w:p w14:paraId="5048CD9C" w14:textId="77777777" w:rsidR="00055028" w:rsidRPr="00CE02A6" w:rsidRDefault="00055028" w:rsidP="001B4152">
            <w:pPr>
              <w:pStyle w:val="TableTextRight"/>
            </w:pPr>
            <w:r w:rsidRPr="00CE02A6">
              <w:t>685,354</w:t>
            </w:r>
          </w:p>
        </w:tc>
        <w:tc>
          <w:tcPr>
            <w:tcW w:w="3012" w:type="dxa"/>
            <w:tcMar>
              <w:right w:w="454" w:type="dxa"/>
            </w:tcMar>
            <w:hideMark/>
          </w:tcPr>
          <w:p w14:paraId="1404AFEB" w14:textId="77777777" w:rsidR="00055028" w:rsidRPr="00CE02A6" w:rsidRDefault="00055028" w:rsidP="001B4152">
            <w:pPr>
              <w:pStyle w:val="TableTextRight"/>
            </w:pPr>
            <w:r w:rsidRPr="00CE02A6">
              <w:t>3,773,721</w:t>
            </w:r>
          </w:p>
        </w:tc>
      </w:tr>
      <w:tr w:rsidR="00055028" w:rsidRPr="00055028" w14:paraId="0C67CDC7" w14:textId="77777777" w:rsidTr="001B4152">
        <w:trPr>
          <w:cnfStyle w:val="000000100000" w:firstRow="0" w:lastRow="0" w:firstColumn="0" w:lastColumn="0" w:oddVBand="0" w:evenVBand="0" w:oddHBand="1" w:evenHBand="0" w:firstRowFirstColumn="0" w:firstRowLastColumn="0" w:lastRowFirstColumn="0" w:lastRowLastColumn="0"/>
          <w:trHeight w:val="293"/>
        </w:trPr>
        <w:tc>
          <w:tcPr>
            <w:tcW w:w="1624" w:type="dxa"/>
            <w:hideMark/>
          </w:tcPr>
          <w:p w14:paraId="56965AFA" w14:textId="77777777" w:rsidR="00055028" w:rsidRPr="00994EB4" w:rsidRDefault="00055028" w:rsidP="00614894">
            <w:pPr>
              <w:pStyle w:val="TableText"/>
            </w:pPr>
            <w:r w:rsidRPr="00994EB4">
              <w:t>2018–19</w:t>
            </w:r>
          </w:p>
        </w:tc>
        <w:tc>
          <w:tcPr>
            <w:tcW w:w="2229" w:type="dxa"/>
            <w:tcMar>
              <w:right w:w="454" w:type="dxa"/>
            </w:tcMar>
            <w:hideMark/>
          </w:tcPr>
          <w:p w14:paraId="612D0B6D" w14:textId="77777777" w:rsidR="00055028" w:rsidRPr="00CE02A6" w:rsidRDefault="00055028" w:rsidP="001B4152">
            <w:pPr>
              <w:pStyle w:val="TableTextRight"/>
            </w:pPr>
            <w:r w:rsidRPr="00CE02A6">
              <w:t>782,742</w:t>
            </w:r>
          </w:p>
        </w:tc>
        <w:tc>
          <w:tcPr>
            <w:tcW w:w="3012" w:type="dxa"/>
            <w:tcMar>
              <w:right w:w="454" w:type="dxa"/>
            </w:tcMar>
            <w:hideMark/>
          </w:tcPr>
          <w:p w14:paraId="181C2FF0" w14:textId="77777777" w:rsidR="00055028" w:rsidRPr="00CE02A6" w:rsidRDefault="00055028" w:rsidP="001B4152">
            <w:pPr>
              <w:pStyle w:val="TableTextRight"/>
            </w:pPr>
            <w:r w:rsidRPr="00CE02A6">
              <w:t>5,114,634</w:t>
            </w:r>
          </w:p>
        </w:tc>
      </w:tr>
      <w:tr w:rsidR="00055028" w:rsidRPr="00055028" w14:paraId="09AA6CD3" w14:textId="77777777" w:rsidTr="001B4152">
        <w:trPr>
          <w:trHeight w:val="293"/>
        </w:trPr>
        <w:tc>
          <w:tcPr>
            <w:tcW w:w="1624" w:type="dxa"/>
            <w:hideMark/>
          </w:tcPr>
          <w:p w14:paraId="054DF8A1" w14:textId="77777777" w:rsidR="00055028" w:rsidRPr="00994EB4" w:rsidRDefault="00055028" w:rsidP="00614894">
            <w:pPr>
              <w:pStyle w:val="TableText"/>
            </w:pPr>
            <w:r w:rsidRPr="00994EB4">
              <w:t xml:space="preserve">2019–20 </w:t>
            </w:r>
          </w:p>
        </w:tc>
        <w:tc>
          <w:tcPr>
            <w:tcW w:w="2229" w:type="dxa"/>
            <w:tcMar>
              <w:right w:w="454" w:type="dxa"/>
            </w:tcMar>
            <w:hideMark/>
          </w:tcPr>
          <w:p w14:paraId="1B47E7D8" w14:textId="77777777" w:rsidR="00055028" w:rsidRPr="00CE02A6" w:rsidRDefault="00055028" w:rsidP="001B4152">
            <w:pPr>
              <w:pStyle w:val="TableTextRight"/>
            </w:pPr>
            <w:r w:rsidRPr="00CE02A6">
              <w:t>677,122</w:t>
            </w:r>
          </w:p>
        </w:tc>
        <w:tc>
          <w:tcPr>
            <w:tcW w:w="3012" w:type="dxa"/>
            <w:tcMar>
              <w:right w:w="454" w:type="dxa"/>
            </w:tcMar>
            <w:hideMark/>
          </w:tcPr>
          <w:p w14:paraId="30961B84" w14:textId="77777777" w:rsidR="00055028" w:rsidRPr="00CE02A6" w:rsidRDefault="00055028" w:rsidP="001B4152">
            <w:pPr>
              <w:pStyle w:val="TableTextRight"/>
            </w:pPr>
            <w:r w:rsidRPr="00CE02A6">
              <w:t>3,994,755</w:t>
            </w:r>
          </w:p>
        </w:tc>
      </w:tr>
      <w:tr w:rsidR="00055028" w:rsidRPr="00055028" w14:paraId="3F6F7ADF" w14:textId="77777777" w:rsidTr="001B4152">
        <w:trPr>
          <w:cnfStyle w:val="000000100000" w:firstRow="0" w:lastRow="0" w:firstColumn="0" w:lastColumn="0" w:oddVBand="0" w:evenVBand="0" w:oddHBand="1" w:evenHBand="0" w:firstRowFirstColumn="0" w:firstRowLastColumn="0" w:lastRowFirstColumn="0" w:lastRowLastColumn="0"/>
          <w:trHeight w:val="293"/>
        </w:trPr>
        <w:tc>
          <w:tcPr>
            <w:tcW w:w="1624" w:type="dxa"/>
            <w:hideMark/>
          </w:tcPr>
          <w:p w14:paraId="6A1D9445" w14:textId="77777777" w:rsidR="00055028" w:rsidRPr="00994EB4" w:rsidRDefault="00055028" w:rsidP="00614894">
            <w:pPr>
              <w:pStyle w:val="TableText"/>
            </w:pPr>
            <w:r w:rsidRPr="00994EB4">
              <w:t>2020–21</w:t>
            </w:r>
          </w:p>
        </w:tc>
        <w:tc>
          <w:tcPr>
            <w:tcW w:w="2229" w:type="dxa"/>
            <w:tcMar>
              <w:right w:w="454" w:type="dxa"/>
            </w:tcMar>
            <w:hideMark/>
          </w:tcPr>
          <w:p w14:paraId="0BCE0F0F" w14:textId="77777777" w:rsidR="00055028" w:rsidRPr="00CE02A6" w:rsidRDefault="00055028" w:rsidP="001B4152">
            <w:pPr>
              <w:pStyle w:val="TableTextRight"/>
            </w:pPr>
            <w:r w:rsidRPr="00CE02A6">
              <w:t>601,890</w:t>
            </w:r>
          </w:p>
        </w:tc>
        <w:tc>
          <w:tcPr>
            <w:tcW w:w="3012" w:type="dxa"/>
            <w:tcMar>
              <w:right w:w="454" w:type="dxa"/>
            </w:tcMar>
            <w:hideMark/>
          </w:tcPr>
          <w:p w14:paraId="7B246CD1" w14:textId="77777777" w:rsidR="00055028" w:rsidRPr="00CE02A6" w:rsidRDefault="00055028" w:rsidP="001B4152">
            <w:pPr>
              <w:pStyle w:val="TableTextRight"/>
            </w:pPr>
            <w:r w:rsidRPr="00CE02A6">
              <w:t>4,351,454</w:t>
            </w:r>
          </w:p>
        </w:tc>
      </w:tr>
      <w:tr w:rsidR="00055028" w:rsidRPr="00055028" w14:paraId="1857094A" w14:textId="77777777" w:rsidTr="001B4152">
        <w:trPr>
          <w:trHeight w:val="293"/>
        </w:trPr>
        <w:tc>
          <w:tcPr>
            <w:tcW w:w="1624" w:type="dxa"/>
            <w:hideMark/>
          </w:tcPr>
          <w:p w14:paraId="32C99B0C" w14:textId="77777777" w:rsidR="00055028" w:rsidRPr="00994EB4" w:rsidRDefault="00055028" w:rsidP="00614894">
            <w:pPr>
              <w:pStyle w:val="TableText"/>
            </w:pPr>
            <w:r w:rsidRPr="00994EB4">
              <w:t>2021–22</w:t>
            </w:r>
          </w:p>
        </w:tc>
        <w:tc>
          <w:tcPr>
            <w:tcW w:w="2229" w:type="dxa"/>
            <w:tcMar>
              <w:right w:w="454" w:type="dxa"/>
            </w:tcMar>
            <w:hideMark/>
          </w:tcPr>
          <w:p w14:paraId="7B4DF39F" w14:textId="77777777" w:rsidR="00055028" w:rsidRPr="00CE02A6" w:rsidRDefault="00055028" w:rsidP="001B4152">
            <w:pPr>
              <w:pStyle w:val="TableTextRight"/>
            </w:pPr>
            <w:r w:rsidRPr="00CE02A6">
              <w:t>596,979</w:t>
            </w:r>
          </w:p>
        </w:tc>
        <w:tc>
          <w:tcPr>
            <w:tcW w:w="3012" w:type="dxa"/>
            <w:tcMar>
              <w:right w:w="454" w:type="dxa"/>
            </w:tcMar>
            <w:hideMark/>
          </w:tcPr>
          <w:p w14:paraId="788819E9" w14:textId="77777777" w:rsidR="00055028" w:rsidRPr="00CE02A6" w:rsidRDefault="00055028" w:rsidP="001B4152">
            <w:pPr>
              <w:pStyle w:val="TableTextRight"/>
            </w:pPr>
            <w:r w:rsidRPr="00CE02A6">
              <w:t>570,010</w:t>
            </w:r>
          </w:p>
        </w:tc>
      </w:tr>
      <w:tr w:rsidR="00055028" w:rsidRPr="00055028" w14:paraId="0661CE8F" w14:textId="77777777" w:rsidTr="001B4152">
        <w:trPr>
          <w:cnfStyle w:val="000000100000" w:firstRow="0" w:lastRow="0" w:firstColumn="0" w:lastColumn="0" w:oddVBand="0" w:evenVBand="0" w:oddHBand="1" w:evenHBand="0" w:firstRowFirstColumn="0" w:firstRowLastColumn="0" w:lastRowFirstColumn="0" w:lastRowLastColumn="0"/>
          <w:trHeight w:val="293"/>
        </w:trPr>
        <w:tc>
          <w:tcPr>
            <w:tcW w:w="1624" w:type="dxa"/>
            <w:hideMark/>
          </w:tcPr>
          <w:p w14:paraId="5E0C2948" w14:textId="0021C7CE" w:rsidR="00055028" w:rsidRPr="00994EB4" w:rsidRDefault="00055028" w:rsidP="00614894">
            <w:pPr>
              <w:pStyle w:val="TableText"/>
            </w:pPr>
            <w:r w:rsidRPr="00994EB4">
              <w:t>2022</w:t>
            </w:r>
            <w:r w:rsidR="00885A53">
              <w:t>–</w:t>
            </w:r>
            <w:r w:rsidRPr="00994EB4">
              <w:t>23</w:t>
            </w:r>
          </w:p>
        </w:tc>
        <w:tc>
          <w:tcPr>
            <w:tcW w:w="2229" w:type="dxa"/>
            <w:tcMar>
              <w:right w:w="454" w:type="dxa"/>
            </w:tcMar>
            <w:hideMark/>
          </w:tcPr>
          <w:p w14:paraId="1398A15A" w14:textId="77777777" w:rsidR="00055028" w:rsidRPr="00CE02A6" w:rsidRDefault="00055028" w:rsidP="001B4152">
            <w:pPr>
              <w:pStyle w:val="TableTextRight"/>
            </w:pPr>
            <w:r w:rsidRPr="00CE02A6">
              <w:t>151,252</w:t>
            </w:r>
          </w:p>
        </w:tc>
        <w:tc>
          <w:tcPr>
            <w:tcW w:w="3012" w:type="dxa"/>
            <w:tcMar>
              <w:right w:w="454" w:type="dxa"/>
            </w:tcMar>
            <w:hideMark/>
          </w:tcPr>
          <w:p w14:paraId="6172A647" w14:textId="77777777" w:rsidR="00055028" w:rsidRPr="00CE02A6" w:rsidRDefault="00055028" w:rsidP="001B4152">
            <w:pPr>
              <w:pStyle w:val="TableTextRight"/>
            </w:pPr>
            <w:r w:rsidRPr="00CE02A6">
              <w:t>117,688</w:t>
            </w:r>
          </w:p>
        </w:tc>
      </w:tr>
      <w:tr w:rsidR="00E53E89" w:rsidRPr="00055028" w14:paraId="01688DED" w14:textId="77777777" w:rsidTr="001B4152">
        <w:trPr>
          <w:trHeight w:val="293"/>
        </w:trPr>
        <w:tc>
          <w:tcPr>
            <w:tcW w:w="1624" w:type="dxa"/>
          </w:tcPr>
          <w:p w14:paraId="03782F94" w14:textId="4256358E" w:rsidR="00480FC9" w:rsidRPr="00994EB4" w:rsidRDefault="00480FC9" w:rsidP="00480FC9">
            <w:pPr>
              <w:pStyle w:val="TableText"/>
            </w:pPr>
            <w:r>
              <w:t>2023–24</w:t>
            </w:r>
          </w:p>
        </w:tc>
        <w:tc>
          <w:tcPr>
            <w:tcW w:w="2229" w:type="dxa"/>
            <w:tcMar>
              <w:right w:w="454" w:type="dxa"/>
            </w:tcMar>
          </w:tcPr>
          <w:p w14:paraId="34C6052D" w14:textId="0051655A" w:rsidR="00480FC9" w:rsidRPr="00CE02A6" w:rsidRDefault="00480FC9" w:rsidP="001B4152">
            <w:pPr>
              <w:pStyle w:val="TableTextRight"/>
            </w:pPr>
            <w:r w:rsidRPr="00CE02A6">
              <w:t>221,272</w:t>
            </w:r>
          </w:p>
        </w:tc>
        <w:tc>
          <w:tcPr>
            <w:tcW w:w="3012" w:type="dxa"/>
            <w:tcMar>
              <w:right w:w="454" w:type="dxa"/>
            </w:tcMar>
          </w:tcPr>
          <w:p w14:paraId="2BC162F8" w14:textId="4DA9DC3A" w:rsidR="00480FC9" w:rsidRPr="00CE02A6" w:rsidRDefault="00480FC9" w:rsidP="001B4152">
            <w:pPr>
              <w:pStyle w:val="TableTextRight"/>
            </w:pPr>
            <w:r w:rsidRPr="00CE02A6">
              <w:t>2,854,965</w:t>
            </w:r>
          </w:p>
        </w:tc>
      </w:tr>
      <w:tr w:rsidR="00055028" w:rsidRPr="00055028" w14:paraId="26DA8B6C" w14:textId="77777777" w:rsidTr="001B4152">
        <w:trPr>
          <w:cnfStyle w:val="010000000000" w:firstRow="0" w:lastRow="1" w:firstColumn="0" w:lastColumn="0" w:oddVBand="0" w:evenVBand="0" w:oddHBand="0" w:evenHBand="0" w:firstRowFirstColumn="0" w:firstRowLastColumn="0" w:lastRowFirstColumn="0" w:lastRowLastColumn="0"/>
          <w:trHeight w:val="293"/>
        </w:trPr>
        <w:tc>
          <w:tcPr>
            <w:tcW w:w="1624" w:type="dxa"/>
            <w:hideMark/>
          </w:tcPr>
          <w:p w14:paraId="713DF27A" w14:textId="77777777" w:rsidR="00055028" w:rsidRPr="00055028" w:rsidRDefault="00055028" w:rsidP="00614894">
            <w:pPr>
              <w:pStyle w:val="TableText"/>
            </w:pPr>
            <w:r w:rsidRPr="00055028">
              <w:t>Total</w:t>
            </w:r>
          </w:p>
        </w:tc>
        <w:tc>
          <w:tcPr>
            <w:tcW w:w="2229" w:type="dxa"/>
            <w:tcMar>
              <w:right w:w="454" w:type="dxa"/>
            </w:tcMar>
            <w:hideMark/>
          </w:tcPr>
          <w:p w14:paraId="708C2ACD" w14:textId="3A0FF152" w:rsidR="00055028" w:rsidRPr="00CE02A6" w:rsidRDefault="00345BCF" w:rsidP="001B4152">
            <w:pPr>
              <w:pStyle w:val="TableTextRight"/>
            </w:pPr>
            <w:r w:rsidRPr="00CE02A6">
              <w:t>4,374,174</w:t>
            </w:r>
          </w:p>
        </w:tc>
        <w:tc>
          <w:tcPr>
            <w:tcW w:w="3012" w:type="dxa"/>
            <w:tcMar>
              <w:right w:w="454" w:type="dxa"/>
            </w:tcMar>
            <w:hideMark/>
          </w:tcPr>
          <w:p w14:paraId="4C52FDAC" w14:textId="10A9AB29" w:rsidR="00055028" w:rsidRPr="00CE02A6" w:rsidRDefault="00345BCF" w:rsidP="001B4152">
            <w:pPr>
              <w:pStyle w:val="TableTextRight"/>
            </w:pPr>
            <w:r w:rsidRPr="00CE02A6">
              <w:t>28,932,488</w:t>
            </w:r>
          </w:p>
        </w:tc>
      </w:tr>
    </w:tbl>
    <w:p w14:paraId="4062BDC3" w14:textId="2CDAE136" w:rsidR="004A56C8" w:rsidRDefault="00AA5F93" w:rsidP="004A56C8">
      <w:pPr>
        <w:pStyle w:val="Heading1"/>
      </w:pPr>
      <w:bookmarkStart w:id="178" w:name="_Toc74846177"/>
      <w:bookmarkStart w:id="179" w:name="_Ref194309684"/>
      <w:bookmarkStart w:id="180" w:name="_Toc202187857"/>
      <w:bookmarkStart w:id="181" w:name="_Ref139004818"/>
      <w:bookmarkStart w:id="182" w:name="_Toc169543876"/>
      <w:bookmarkStart w:id="183" w:name="_Toc71298450"/>
      <w:bookmarkEnd w:id="139"/>
      <w:bookmarkEnd w:id="178"/>
      <w:r>
        <w:lastRenderedPageBreak/>
        <w:t>C</w:t>
      </w:r>
      <w:r w:rsidR="004A56C8">
        <w:t>ontribution</w:t>
      </w:r>
      <w:r>
        <w:t xml:space="preserve"> of C</w:t>
      </w:r>
      <w:r w:rsidR="00E12AA7">
        <w:t>ommonwealth environmental water</w:t>
      </w:r>
      <w:r w:rsidR="004A56C8">
        <w:t xml:space="preserve"> to </w:t>
      </w:r>
      <w:r w:rsidR="00E555BF">
        <w:t xml:space="preserve">river </w:t>
      </w:r>
      <w:r w:rsidR="00964683">
        <w:t>g</w:t>
      </w:r>
      <w:r w:rsidR="004A56C8">
        <w:t xml:space="preserve">ross </w:t>
      </w:r>
      <w:r w:rsidR="00964683">
        <w:t>p</w:t>
      </w:r>
      <w:r w:rsidR="004A56C8">
        <w:t xml:space="preserve">rimary </w:t>
      </w:r>
      <w:r w:rsidR="00964683">
        <w:t>p</w:t>
      </w:r>
      <w:r w:rsidR="004A56C8">
        <w:t>roduction 2014</w:t>
      </w:r>
      <w:r w:rsidR="003E4B63">
        <w:t>–</w:t>
      </w:r>
      <w:r w:rsidR="004A56C8">
        <w:t>24</w:t>
      </w:r>
      <w:r w:rsidR="00A460D7">
        <w:t xml:space="preserve"> – counterfactual analyses</w:t>
      </w:r>
      <w:bookmarkEnd w:id="179"/>
      <w:bookmarkEnd w:id="180"/>
    </w:p>
    <w:p w14:paraId="4C62671C" w14:textId="65845282" w:rsidR="003D5BD1" w:rsidRPr="00095705" w:rsidRDefault="00FD29CE" w:rsidP="003D5BD1">
      <w:pPr>
        <w:pStyle w:val="BodyText"/>
        <w:rPr>
          <w:i/>
          <w:iCs/>
        </w:rPr>
      </w:pPr>
      <w:r w:rsidRPr="00095705">
        <w:rPr>
          <w:i/>
          <w:iCs/>
        </w:rPr>
        <w:t>Counterfactual analyses were introduced in 2025 for the 2023–24 evaluation</w:t>
      </w:r>
      <w:r w:rsidR="00095705" w:rsidRPr="00095705">
        <w:rPr>
          <w:i/>
          <w:iCs/>
        </w:rPr>
        <w:t>. Further details on the method are documented in companion methods report (O’Sullivan and Cuddy 2025).</w:t>
      </w:r>
    </w:p>
    <w:p w14:paraId="3D66EF5C" w14:textId="797765D3" w:rsidR="008A7F6B" w:rsidRPr="008A7F6B" w:rsidRDefault="008A7F6B" w:rsidP="001B4152">
      <w:pPr>
        <w:pStyle w:val="Heading2"/>
      </w:pPr>
      <w:bookmarkStart w:id="184" w:name="_Toc202187858"/>
      <w:r>
        <w:t>Key findings</w:t>
      </w:r>
      <w:bookmarkEnd w:id="184"/>
    </w:p>
    <w:p w14:paraId="7A2CBB7C" w14:textId="5705E2DC" w:rsidR="00CE3D5E" w:rsidRDefault="000B7534" w:rsidP="00FB75A6">
      <w:pPr>
        <w:pStyle w:val="Boxedlistbulletgreen"/>
      </w:pPr>
      <w:r>
        <w:t xml:space="preserve">GPP was sensitive to </w:t>
      </w:r>
      <w:r w:rsidR="00F37C9D">
        <w:t>Commonwealth environmental water</w:t>
      </w:r>
      <w:r w:rsidR="007951FB">
        <w:t xml:space="preserve">. </w:t>
      </w:r>
      <w:r w:rsidR="00CE3D5E">
        <w:t>Counterfactual modelling revealed that C</w:t>
      </w:r>
      <w:r w:rsidR="00F955D7">
        <w:t>ommonwealth environmental water</w:t>
      </w:r>
      <w:r w:rsidR="00CE3D5E">
        <w:t xml:space="preserve"> most often suppressed riverine GPP, potentially limiting proliferation of algae during warm and low</w:t>
      </w:r>
      <w:r w:rsidR="005E49ED">
        <w:t xml:space="preserve"> </w:t>
      </w:r>
      <w:r w:rsidR="00CE3D5E">
        <w:t xml:space="preserve">flow periods. </w:t>
      </w:r>
    </w:p>
    <w:p w14:paraId="21218F1E" w14:textId="6B6B97F1" w:rsidR="00CE3D5E" w:rsidRDefault="00CE3D5E" w:rsidP="00FB75A6">
      <w:pPr>
        <w:pStyle w:val="Boxedlistbulletgreen"/>
      </w:pPr>
      <w:r>
        <w:t>C</w:t>
      </w:r>
      <w:r w:rsidR="00F955D7">
        <w:t>ommonwealth environmental water</w:t>
      </w:r>
      <w:r>
        <w:t xml:space="preserve"> reduced annual GPP by a mean of 5.</w:t>
      </w:r>
      <w:r w:rsidR="00A147C1">
        <w:t>2</w:t>
      </w:r>
      <w:r>
        <w:t>% (range 0.3% to 17.</w:t>
      </w:r>
      <w:r w:rsidR="00A147C1">
        <w:t>1</w:t>
      </w:r>
      <w:r>
        <w:t>% among site and years). On individual days with C</w:t>
      </w:r>
      <w:r w:rsidR="00F955D7">
        <w:t>ommonwealth environmental water</w:t>
      </w:r>
      <w:r>
        <w:t xml:space="preserve"> contribution, daily GPP was a mean of 15% lower than the counterfactual scenario (range </w:t>
      </w:r>
      <w:r w:rsidR="00A147C1">
        <w:t>0</w:t>
      </w:r>
      <w:r>
        <w:t>.5% to 43% among sites and years).</w:t>
      </w:r>
    </w:p>
    <w:p w14:paraId="1F7C2A2C" w14:textId="35708A74" w:rsidR="00CE3D5E" w:rsidRDefault="00CE3D5E" w:rsidP="00FB75A6">
      <w:pPr>
        <w:pStyle w:val="Boxedlistbulletgreen"/>
      </w:pPr>
      <w:r>
        <w:t>C</w:t>
      </w:r>
      <w:r w:rsidR="001021B4">
        <w:t>ommonwealth environmental water</w:t>
      </w:r>
      <w:r>
        <w:t xml:space="preserve"> bolstered riverine GPP in rare instances where </w:t>
      </w:r>
      <w:r w:rsidR="00A20F80">
        <w:t>the water</w:t>
      </w:r>
      <w:r>
        <w:t xml:space="preserve"> contributed to very high discharges (e.g. when extending a flood recession), supporting the boom</w:t>
      </w:r>
      <w:r w:rsidR="00693A7E">
        <w:t>–</w:t>
      </w:r>
      <w:r>
        <w:t>bust nature of the lowland river</w:t>
      </w:r>
      <w:r w:rsidR="00C90716">
        <w:t>–</w:t>
      </w:r>
      <w:r>
        <w:t>floodplain systems.</w:t>
      </w:r>
    </w:p>
    <w:p w14:paraId="796A9D44" w14:textId="19B0DF35" w:rsidR="00CE3D5E" w:rsidRDefault="008A7F6B" w:rsidP="003569C4">
      <w:pPr>
        <w:pStyle w:val="Heading2"/>
      </w:pPr>
      <w:bookmarkStart w:id="185" w:name="_Toc202187859"/>
      <w:r>
        <w:t>Overview of a</w:t>
      </w:r>
      <w:r w:rsidR="00CE3D5E">
        <w:t>pproach</w:t>
      </w:r>
      <w:bookmarkEnd w:id="185"/>
    </w:p>
    <w:p w14:paraId="0A203E41" w14:textId="316FA209" w:rsidR="00CE3D5E" w:rsidRDefault="00CE3D5E" w:rsidP="00CE3D5E">
      <w:pPr>
        <w:pStyle w:val="BodyText"/>
      </w:pPr>
      <w:r w:rsidRPr="424120B9">
        <w:t xml:space="preserve">We performed counterfactual modelling to estimate the </w:t>
      </w:r>
      <w:r>
        <w:t>contribution</w:t>
      </w:r>
      <w:r w:rsidRPr="424120B9">
        <w:t xml:space="preserve"> of CEW </w:t>
      </w:r>
      <w:r>
        <w:t>to</w:t>
      </w:r>
      <w:r w:rsidRPr="424120B9">
        <w:t xml:space="preserve"> riverine GPP</w:t>
      </w:r>
      <w:r w:rsidRPr="3DAA27A0">
        <w:t xml:space="preserve"> </w:t>
      </w:r>
      <w:r w:rsidRPr="7917E5F2">
        <w:t>across the entire 2014</w:t>
      </w:r>
      <w:r w:rsidR="00B57FE3">
        <w:t>–</w:t>
      </w:r>
      <w:r w:rsidRPr="7917E5F2">
        <w:t xml:space="preserve">24 </w:t>
      </w:r>
      <w:r>
        <w:t xml:space="preserve">monitoring </w:t>
      </w:r>
      <w:r w:rsidRPr="367243A1">
        <w:t>period.</w:t>
      </w:r>
      <w:r w:rsidRPr="424120B9">
        <w:t xml:space="preserve"> </w:t>
      </w:r>
      <w:r>
        <w:t>Briefly, t</w:t>
      </w:r>
      <w:r w:rsidRPr="424120B9">
        <w:t xml:space="preserve">his involved </w:t>
      </w:r>
      <w:r w:rsidR="0040162E">
        <w:t>2</w:t>
      </w:r>
      <w:r w:rsidR="0040162E" w:rsidRPr="424120B9">
        <w:t xml:space="preserve"> </w:t>
      </w:r>
      <w:r w:rsidRPr="424120B9">
        <w:t>steps</w:t>
      </w:r>
      <w:r>
        <w:t>:</w:t>
      </w:r>
    </w:p>
    <w:p w14:paraId="63AEADBB" w14:textId="371F1389" w:rsidR="00A96AAC" w:rsidRDefault="00CE3D5E" w:rsidP="00CE3D5E">
      <w:pPr>
        <w:pStyle w:val="BodyText"/>
      </w:pPr>
      <w:r>
        <w:t xml:space="preserve">First, we </w:t>
      </w:r>
      <w:r w:rsidRPr="0023393E">
        <w:t xml:space="preserve">constructed a statistical model to describe how measured daily GPP responded to </w:t>
      </w:r>
      <w:r w:rsidR="00160ADD">
        <w:t xml:space="preserve">2 </w:t>
      </w:r>
      <w:r w:rsidRPr="0023393E">
        <w:t>known key drivers: solar radiation and flow (</w:t>
      </w:r>
      <w:proofErr w:type="spellStart"/>
      <w:r w:rsidRPr="0023393E">
        <w:t>Giling</w:t>
      </w:r>
      <w:proofErr w:type="spellEnd"/>
      <w:r w:rsidRPr="0023393E">
        <w:t xml:space="preserve"> </w:t>
      </w:r>
      <w:r w:rsidRPr="004A4DBC">
        <w:t>et al.</w:t>
      </w:r>
      <w:r w:rsidRPr="0023393E">
        <w:rPr>
          <w:i/>
          <w:iCs/>
        </w:rPr>
        <w:t xml:space="preserve"> </w:t>
      </w:r>
      <w:r w:rsidRPr="0023393E">
        <w:t>2025).</w:t>
      </w:r>
      <w:r>
        <w:t xml:space="preserve"> </w:t>
      </w:r>
      <w:r w:rsidR="002C4AD8">
        <w:t>Daily s</w:t>
      </w:r>
      <w:r>
        <w:t>olar radiation was sourced f</w:t>
      </w:r>
      <w:r w:rsidR="0040162E">
        <w:t>r</w:t>
      </w:r>
      <w:r>
        <w:t xml:space="preserve">om SILO Australian climate data (Jeffrey </w:t>
      </w:r>
      <w:r w:rsidRPr="004A4DBC">
        <w:t>et al.</w:t>
      </w:r>
      <w:r>
        <w:rPr>
          <w:i/>
          <w:iCs/>
        </w:rPr>
        <w:t xml:space="preserve"> </w:t>
      </w:r>
      <w:r>
        <w:t>2001) and</w:t>
      </w:r>
      <w:r w:rsidR="002C4AD8">
        <w:t xml:space="preserve"> averaged to the mean daily radiation for each calendar month. This </w:t>
      </w:r>
      <w:r w:rsidR="00C84009">
        <w:t>was</w:t>
      </w:r>
      <w:r w:rsidR="002C4AD8">
        <w:t xml:space="preserve"> to reduce </w:t>
      </w:r>
      <w:r>
        <w:t xml:space="preserve">potential issues of </w:t>
      </w:r>
      <w:r w:rsidR="002C4AD8">
        <w:t xml:space="preserve">model </w:t>
      </w:r>
      <w:r>
        <w:t>circularity</w:t>
      </w:r>
      <w:r w:rsidR="002C4AD8">
        <w:t xml:space="preserve"> because </w:t>
      </w:r>
      <w:r>
        <w:t>sub-daily</w:t>
      </w:r>
      <w:r w:rsidR="002C4AD8">
        <w:t xml:space="preserve"> variation in sun</w:t>
      </w:r>
      <w:r>
        <w:t xml:space="preserve">light </w:t>
      </w:r>
      <w:r w:rsidR="002C4AD8">
        <w:t xml:space="preserve">is used to </w:t>
      </w:r>
      <w:r>
        <w:t>model GPP</w:t>
      </w:r>
      <w:r w:rsidR="002C4AD8">
        <w:t xml:space="preserve"> in the first place. Using a mean daily value</w:t>
      </w:r>
      <w:r w:rsidR="00A96AAC">
        <w:t xml:space="preserve"> for each month</w:t>
      </w:r>
      <w:r w:rsidR="002C4AD8">
        <w:t xml:space="preserve"> helps to understand broad-scale climate drivers while</w:t>
      </w:r>
      <w:r w:rsidR="00A96AAC">
        <w:t xml:space="preserve"> limiting this circularity in the analysis</w:t>
      </w:r>
      <w:r w:rsidR="002C4AD8">
        <w:t xml:space="preserve"> (</w:t>
      </w:r>
      <w:proofErr w:type="spellStart"/>
      <w:r w:rsidRPr="004B1F13">
        <w:t>Giling</w:t>
      </w:r>
      <w:proofErr w:type="spellEnd"/>
      <w:r w:rsidRPr="004B1F13">
        <w:t xml:space="preserve"> et al. 2025)</w:t>
      </w:r>
      <w:r>
        <w:t xml:space="preserve">. Daily discharge was standardised to a proportion of </w:t>
      </w:r>
      <w:r w:rsidR="00A96AAC">
        <w:t xml:space="preserve">the </w:t>
      </w:r>
      <w:r>
        <w:t xml:space="preserve">maximum daily flow for each site (over </w:t>
      </w:r>
      <w:r w:rsidR="00606CE7">
        <w:t xml:space="preserve">the </w:t>
      </w:r>
      <w:r>
        <w:t>entire monitoring period). This enable</w:t>
      </w:r>
      <w:r w:rsidR="00975932">
        <w:t>d</w:t>
      </w:r>
      <w:r>
        <w:t xml:space="preserve"> </w:t>
      </w:r>
      <w:r w:rsidR="00975932">
        <w:t xml:space="preserve">us to </w:t>
      </w:r>
      <w:r>
        <w:t>assess how changes in flow within</w:t>
      </w:r>
      <w:r w:rsidR="007F422A">
        <w:t xml:space="preserve"> a</w:t>
      </w:r>
      <w:r>
        <w:t xml:space="preserve"> site affected GPP, rather than </w:t>
      </w:r>
      <w:r w:rsidR="009C5960">
        <w:t xml:space="preserve">focusing on </w:t>
      </w:r>
      <w:r>
        <w:t xml:space="preserve">the effect of differences in flow magnitude among sites. </w:t>
      </w:r>
    </w:p>
    <w:p w14:paraId="12010388" w14:textId="6C11D0A6" w:rsidR="00CE3D5E" w:rsidRDefault="00A96AAC" w:rsidP="00CE3D5E">
      <w:pPr>
        <w:pStyle w:val="BodyText"/>
      </w:pPr>
      <w:r>
        <w:t xml:space="preserve">We hypothesised that solar radiation would linearly affect log-transformed GPP </w:t>
      </w:r>
      <w:r w:rsidRPr="0023393E">
        <w:t>(</w:t>
      </w:r>
      <w:proofErr w:type="spellStart"/>
      <w:r w:rsidRPr="0023393E">
        <w:t>Giling</w:t>
      </w:r>
      <w:proofErr w:type="spellEnd"/>
      <w:r w:rsidRPr="0023393E">
        <w:t xml:space="preserve"> </w:t>
      </w:r>
      <w:r w:rsidRPr="004A4DBC">
        <w:t>et al.</w:t>
      </w:r>
      <w:r w:rsidRPr="0023393E">
        <w:rPr>
          <w:i/>
          <w:iCs/>
        </w:rPr>
        <w:t xml:space="preserve"> </w:t>
      </w:r>
      <w:r w:rsidRPr="0023393E">
        <w:t>2025)</w:t>
      </w:r>
      <w:r>
        <w:t xml:space="preserve"> but that flow may have more complex non-linear effects. Therefore, w</w:t>
      </w:r>
      <w:r w:rsidR="00CE3D5E" w:rsidRPr="0023393E">
        <w:t>e used a generalised additive model</w:t>
      </w:r>
      <w:r w:rsidR="00FA4473">
        <w:t xml:space="preserve"> (GAM)</w:t>
      </w:r>
      <w:r w:rsidR="00CE3D5E" w:rsidRPr="0023393E">
        <w:t xml:space="preserve"> that allowed for</w:t>
      </w:r>
      <w:r w:rsidR="00FA4473">
        <w:t xml:space="preserve"> both a linear effect of solar radiation and</w:t>
      </w:r>
      <w:r w:rsidR="00CE3D5E" w:rsidRPr="0023393E">
        <w:t xml:space="preserve"> </w:t>
      </w:r>
      <w:r w:rsidR="00C84009">
        <w:t xml:space="preserve">potential </w:t>
      </w:r>
      <w:r w:rsidR="00CE3D5E" w:rsidRPr="0023393E">
        <w:t xml:space="preserve">non-linear patterns in the </w:t>
      </w:r>
      <w:r w:rsidR="00C84009">
        <w:t xml:space="preserve">effect of flow on </w:t>
      </w:r>
      <w:r w:rsidR="00CE3D5E" w:rsidRPr="0023393E">
        <w:t>GPP</w:t>
      </w:r>
      <w:r w:rsidR="00FA4473">
        <w:t xml:space="preserve">, </w:t>
      </w:r>
      <w:r>
        <w:t xml:space="preserve">the latter </w:t>
      </w:r>
      <w:r w:rsidR="00FA4473">
        <w:t>fit with a smooth curve (also called a spline)</w:t>
      </w:r>
      <w:r w:rsidR="00CE3D5E" w:rsidRPr="0023393E">
        <w:t>. We</w:t>
      </w:r>
      <w:r w:rsidR="00CE3D5E">
        <w:t xml:space="preserve"> </w:t>
      </w:r>
      <w:r w:rsidR="00CE3D5E" w:rsidRPr="0023393E">
        <w:t>test</w:t>
      </w:r>
      <w:r w:rsidR="00CE3D5E">
        <w:t xml:space="preserve">ed for the importance of an </w:t>
      </w:r>
      <w:r w:rsidR="00CE3D5E" w:rsidRPr="0023393E">
        <w:t xml:space="preserve">interaction between </w:t>
      </w:r>
      <w:r w:rsidR="00CE3D5E">
        <w:t xml:space="preserve">the </w:t>
      </w:r>
      <w:r w:rsidR="00022605">
        <w:t>2</w:t>
      </w:r>
      <w:r w:rsidR="00DB7598">
        <w:t xml:space="preserve"> </w:t>
      </w:r>
      <w:r w:rsidR="00CE3D5E">
        <w:t xml:space="preserve">drivers and whether flow responses varied by site by fitting models of varying complexity and selecting the best supported model with </w:t>
      </w:r>
      <w:r w:rsidR="00CE3D5E" w:rsidRPr="0023393E">
        <w:t>Akaike information criterion</w:t>
      </w:r>
      <w:r w:rsidR="002C4AD8">
        <w:t xml:space="preserve"> (AIC; a metric to evaluate how well a model fits data that penalises models for more complexity</w:t>
      </w:r>
      <w:r w:rsidR="004A253D">
        <w:t>)</w:t>
      </w:r>
      <w:r w:rsidR="00CE3D5E">
        <w:t>.</w:t>
      </w:r>
    </w:p>
    <w:p w14:paraId="4BF1298F" w14:textId="473EE1F1" w:rsidR="00CE3D5E" w:rsidRPr="0023393E" w:rsidRDefault="00A96AAC" w:rsidP="00CE3D5E">
      <w:pPr>
        <w:pStyle w:val="BodyText"/>
      </w:pPr>
      <w:r>
        <w:lastRenderedPageBreak/>
        <w:t>Second</w:t>
      </w:r>
      <w:r w:rsidR="00CE3D5E">
        <w:t>, w</w:t>
      </w:r>
      <w:r w:rsidR="00CE3D5E" w:rsidRPr="0023393E">
        <w:t>e used th</w:t>
      </w:r>
      <w:r w:rsidR="00CE3D5E">
        <w:t>e best</w:t>
      </w:r>
      <w:r w:rsidR="00CE3D5E" w:rsidRPr="0023393E">
        <w:t xml:space="preserve"> model to predict new timeseries of daily GPP </w:t>
      </w:r>
      <w:r w:rsidR="00CE3D5E">
        <w:t xml:space="preserve">at each site </w:t>
      </w:r>
      <w:r w:rsidR="00CE3D5E" w:rsidRPr="0023393E">
        <w:t xml:space="preserve">under both the observed flow scenario </w:t>
      </w:r>
      <w:r w:rsidR="00940EB5">
        <w:t xml:space="preserve">(with CEW) </w:t>
      </w:r>
      <w:r w:rsidR="00CE3D5E" w:rsidRPr="0023393E">
        <w:t xml:space="preserve">and the counterfactual scenario </w:t>
      </w:r>
      <w:r w:rsidR="00EB697B">
        <w:t>(</w:t>
      </w:r>
      <w:r w:rsidR="00CE3D5E" w:rsidRPr="0023393E">
        <w:t>without CEW</w:t>
      </w:r>
      <w:r w:rsidR="00EB697B">
        <w:t>)</w:t>
      </w:r>
      <w:r w:rsidR="00CE3D5E">
        <w:t>.</w:t>
      </w:r>
      <w:r w:rsidR="00CE3D5E" w:rsidRPr="0023393E">
        <w:t xml:space="preserve"> </w:t>
      </w:r>
      <w:r w:rsidR="00CE3D5E">
        <w:t>Predicted factual and predicted counterfactual rates were summarised to weekly means for visualisation.</w:t>
      </w:r>
    </w:p>
    <w:p w14:paraId="7DD432C7" w14:textId="526EBB36" w:rsidR="00CE3D5E" w:rsidRDefault="00CE3D5E" w:rsidP="00CE3D5E">
      <w:pPr>
        <w:pStyle w:val="BodyText"/>
      </w:pPr>
      <w:r>
        <w:t>For this analysis</w:t>
      </w:r>
      <w:r w:rsidR="0043138D">
        <w:t>,</w:t>
      </w:r>
      <w:r>
        <w:t xml:space="preserve"> we selected a </w:t>
      </w:r>
      <w:r w:rsidRPr="1F4A26D3">
        <w:t>subset of sites and years with high data availability</w:t>
      </w:r>
      <w:r>
        <w:t xml:space="preserve"> (≥</w:t>
      </w:r>
      <w:r w:rsidR="00FE7B03">
        <w:t> </w:t>
      </w:r>
      <w:r>
        <w:t>100 valid GPP estimates per year). T</w:t>
      </w:r>
      <w:r w:rsidR="00DF4B96">
        <w:t xml:space="preserve">aking </w:t>
      </w:r>
      <w:r w:rsidR="00C84009">
        <w:t>this</w:t>
      </w:r>
      <w:r w:rsidR="00DF4B96">
        <w:t xml:space="preserve"> subset</w:t>
      </w:r>
      <w:r>
        <w:t xml:space="preserve"> resulted in a dataset that included </w:t>
      </w:r>
      <w:r w:rsidRPr="1F4A26D3">
        <w:t xml:space="preserve">28 sites across 6 </w:t>
      </w:r>
      <w:r w:rsidR="00FE7B03">
        <w:t>S</w:t>
      </w:r>
      <w:r w:rsidRPr="1F4A26D3">
        <w:t xml:space="preserve">elected </w:t>
      </w:r>
      <w:r w:rsidR="00FE7B03">
        <w:t>A</w:t>
      </w:r>
      <w:r w:rsidRPr="1F4A26D3">
        <w:t>reas, each with between 1 and 9 years of data</w:t>
      </w:r>
      <w:r>
        <w:t xml:space="preserve"> (</w:t>
      </w:r>
      <w:r w:rsidRPr="1F4A26D3">
        <w:t>totalling 99 year-site combinations and 16,629 daily GPP estimates).</w:t>
      </w:r>
    </w:p>
    <w:p w14:paraId="55FBF3F0" w14:textId="2592FABE" w:rsidR="00C114C7" w:rsidRDefault="00C114C7" w:rsidP="001B4152">
      <w:pPr>
        <w:pStyle w:val="Heading2"/>
      </w:pPr>
      <w:bookmarkStart w:id="186" w:name="_Toc202187860"/>
      <w:r>
        <w:t>Outcomes</w:t>
      </w:r>
      <w:bookmarkEnd w:id="186"/>
    </w:p>
    <w:p w14:paraId="50AD08B5" w14:textId="1D25F411" w:rsidR="00CE3D5E" w:rsidRDefault="00CE3D5E" w:rsidP="001B4152">
      <w:pPr>
        <w:pStyle w:val="Heading3"/>
      </w:pPr>
      <w:r>
        <w:t xml:space="preserve">Effect of solar radiation and flow on </w:t>
      </w:r>
      <w:r w:rsidR="005E6B46">
        <w:t>gross primary producti</w:t>
      </w:r>
      <w:r w:rsidR="00A262E5">
        <w:t>on</w:t>
      </w:r>
      <w:r w:rsidR="006F3572">
        <w:t xml:space="preserve"> </w:t>
      </w:r>
    </w:p>
    <w:p w14:paraId="1933F0E2" w14:textId="6A31CCDA" w:rsidR="00CE3D5E" w:rsidRDefault="00CE3D5E" w:rsidP="00CE3D5E">
      <w:pPr>
        <w:pStyle w:val="BodyText"/>
      </w:pPr>
      <w:r>
        <w:t xml:space="preserve">The highest quality model </w:t>
      </w:r>
      <w:r w:rsidR="00FA4473">
        <w:t xml:space="preserve">included </w:t>
      </w:r>
      <w:r>
        <w:t xml:space="preserve">an additive </w:t>
      </w:r>
      <w:r w:rsidR="00FA4473">
        <w:t xml:space="preserve">linear </w:t>
      </w:r>
      <w:r>
        <w:t>effect of mean monthly solar radiation</w:t>
      </w:r>
      <w:r w:rsidR="00FA4473">
        <w:t xml:space="preserve"> </w:t>
      </w:r>
      <w:r>
        <w:t xml:space="preserve">and </w:t>
      </w:r>
      <w:r w:rsidR="00FA4473">
        <w:t xml:space="preserve">non-linear effect of </w:t>
      </w:r>
      <w:r>
        <w:t xml:space="preserve">flow proportion. Adding interactions or site-specific flow relationships increased </w:t>
      </w:r>
      <w:r w:rsidR="002469DC">
        <w:t xml:space="preserve">the </w:t>
      </w:r>
      <w:r w:rsidR="00FA4473">
        <w:t>AIC</w:t>
      </w:r>
      <w:r>
        <w:t xml:space="preserve">, indicating these additional variables did not improve predictive power (goodness-of-fit) enough to be favoured over a simpler (i.e. more </w:t>
      </w:r>
      <w:r w:rsidRPr="004B1F13">
        <w:t>parsimonious</w:t>
      </w:r>
      <w:r>
        <w:t>) model.</w:t>
      </w:r>
      <w:r w:rsidR="0037186E">
        <w:t xml:space="preserve"> </w:t>
      </w:r>
    </w:p>
    <w:p w14:paraId="78ACBB81" w14:textId="265535D7" w:rsidR="00CE3D5E" w:rsidRDefault="00046A2F" w:rsidP="00CE3D5E">
      <w:pPr>
        <w:pStyle w:val="BodyText"/>
      </w:pPr>
      <w:r>
        <w:t>T</w:t>
      </w:r>
      <w:r w:rsidR="00CE3D5E">
        <w:t>he best model explained 46% of the variation in daily GPP. Solar radiation increased GPP</w:t>
      </w:r>
      <w:r w:rsidR="00ED2AF6">
        <w:t xml:space="preserve"> </w:t>
      </w:r>
      <w:r w:rsidR="00CE3D5E">
        <w:t>whil</w:t>
      </w:r>
      <w:r w:rsidR="002D1716">
        <w:t>e</w:t>
      </w:r>
      <w:r w:rsidR="00CE3D5E">
        <w:t xml:space="preserve"> flow proportion had highly non-linear effects on GPP (</w:t>
      </w:r>
      <w:r w:rsidR="00CE3D5E">
        <w:fldChar w:fldCharType="begin"/>
      </w:r>
      <w:r w:rsidR="00CE3D5E">
        <w:instrText xml:space="preserve"> REF _Ref192602256 \h </w:instrText>
      </w:r>
      <w:r w:rsidR="00CE3D5E">
        <w:fldChar w:fldCharType="separate"/>
      </w:r>
      <w:r w:rsidR="00492712">
        <w:t>Figure </w:t>
      </w:r>
      <w:r w:rsidR="00835C8B">
        <w:rPr>
          <w:noProof/>
        </w:rPr>
        <w:t>5</w:t>
      </w:r>
      <w:r w:rsidR="00492712">
        <w:t>.</w:t>
      </w:r>
      <w:r w:rsidR="00492712">
        <w:rPr>
          <w:noProof/>
        </w:rPr>
        <w:t>1</w:t>
      </w:r>
      <w:r w:rsidR="00CE3D5E">
        <w:fldChar w:fldCharType="end"/>
      </w:r>
      <w:r w:rsidR="00CE3D5E">
        <w:t>). At lower flows (&lt;</w:t>
      </w:r>
      <w:r w:rsidR="00EE7427">
        <w:t> </w:t>
      </w:r>
      <w:r w:rsidR="00CE3D5E">
        <w:t>20% of maximum site flow, flow ha</w:t>
      </w:r>
      <w:r w:rsidR="00ED2AF6">
        <w:t>d</w:t>
      </w:r>
      <w:r w:rsidR="00CE3D5E">
        <w:t xml:space="preserve"> a strong negative effect of GPP.</w:t>
      </w:r>
      <w:r w:rsidR="00ED2AF6">
        <w:t xml:space="preserve"> The flow component represented by </w:t>
      </w:r>
      <w:r w:rsidR="005E4FA7">
        <w:t xml:space="preserve">approximately </w:t>
      </w:r>
      <w:r w:rsidR="00ED2AF6">
        <w:t xml:space="preserve">20% of maximum flow will differ among </w:t>
      </w:r>
      <w:proofErr w:type="gramStart"/>
      <w:r w:rsidR="00ED2AF6">
        <w:t>sites, but</w:t>
      </w:r>
      <w:proofErr w:type="gramEnd"/>
      <w:r w:rsidR="00ED2AF6">
        <w:t xml:space="preserve"> often corresponded to between a large fresh and bankfull flows.</w:t>
      </w:r>
      <w:r w:rsidR="00CE3D5E">
        <w:t xml:space="preserve"> Similar </w:t>
      </w:r>
      <w:r w:rsidR="00ED2AF6">
        <w:t xml:space="preserve">negative effects of flows </w:t>
      </w:r>
      <w:r w:rsidR="00CE3D5E">
        <w:t>have been observed in many systems globally and may be due to disturbance, shading</w:t>
      </w:r>
      <w:r>
        <w:t>,</w:t>
      </w:r>
      <w:r w:rsidR="00CE3D5E">
        <w:t xml:space="preserve"> or dilution effects (Bernhardt et al. 2018). At higher flows, flow has a moderate </w:t>
      </w:r>
      <w:r w:rsidR="008C6EA1">
        <w:t xml:space="preserve">but inconsistent </w:t>
      </w:r>
      <w:r w:rsidR="00CE3D5E">
        <w:t xml:space="preserve">positive effect on daily GPP. This is perhaps due to bank and floodplain inundation increasing nutrient availability or the amount of shallow well-lit wetted areas. </w:t>
      </w:r>
      <w:r w:rsidR="008C6EA1">
        <w:t>We note that these results from higher flows are less certain, as the method for estimating GPP does not work well at high flows and data is limited.</w:t>
      </w:r>
      <w:r w:rsidR="00CE3D5E">
        <w:t xml:space="preserve"> It is</w:t>
      </w:r>
      <w:r w:rsidR="008C6EA1">
        <w:t xml:space="preserve"> also</w:t>
      </w:r>
      <w:r w:rsidR="00CE3D5E">
        <w:t xml:space="preserve"> important to note that most daily flows are &lt; 20% of maximum daily flow within a site (94% of all days, 96% of days that had a CEW contribution)</w:t>
      </w:r>
      <w:r w:rsidR="005E4FA7">
        <w:t>. Therefore,</w:t>
      </w:r>
      <w:r w:rsidR="00CE3D5E">
        <w:t xml:space="preserve"> increases in flow </w:t>
      </w:r>
      <w:r w:rsidR="005E4FA7">
        <w:t xml:space="preserve">generally decrease </w:t>
      </w:r>
      <w:r w:rsidR="00CE3D5E">
        <w:t>GPP</w:t>
      </w:r>
      <w:r w:rsidR="005E4FA7">
        <w:t xml:space="preserve"> because flows are normally less than bank full</w:t>
      </w:r>
      <w:r w:rsidR="00CE3D5E">
        <w:t>.</w:t>
      </w:r>
    </w:p>
    <w:p w14:paraId="6F0D0C00" w14:textId="2844D1E7" w:rsidR="00F60AE8" w:rsidRDefault="00F60AE8" w:rsidP="00F60AE8">
      <w:pPr>
        <w:pStyle w:val="Caption"/>
      </w:pPr>
      <w:bookmarkStart w:id="187" w:name="_Ref202039371"/>
      <w:bookmarkStart w:id="188" w:name="_Toc202187939"/>
      <w:r>
        <w:t xml:space="preserve">Table </w:t>
      </w:r>
      <w:fldSimple w:instr=" STYLEREF 1 \s ">
        <w:r w:rsidR="00835C8B">
          <w:rPr>
            <w:noProof/>
          </w:rPr>
          <w:t>5</w:t>
        </w:r>
      </w:fldSimple>
      <w:r>
        <w:t>.</w:t>
      </w:r>
      <w:fldSimple w:instr=" SEQ Table \* ARABIC \s 1 ">
        <w:r w:rsidR="00492712">
          <w:rPr>
            <w:noProof/>
          </w:rPr>
          <w:t>1</w:t>
        </w:r>
      </w:fldSimple>
      <w:bookmarkEnd w:id="187"/>
      <w:r>
        <w:t xml:space="preserve"> Results of best supported GAM model</w:t>
      </w:r>
      <w:bookmarkEnd w:id="188"/>
    </w:p>
    <w:p w14:paraId="6DF91FD5" w14:textId="000DE240" w:rsidR="00581B28" w:rsidRPr="00581B28" w:rsidRDefault="00581B28" w:rsidP="00581B28">
      <w:pPr>
        <w:pStyle w:val="CaptionNote"/>
      </w:pPr>
      <w:r>
        <w:t>The best supported model did not include an interaction term or site-specific effect of flow</w:t>
      </w:r>
      <w:r w:rsidR="00AE6FCC">
        <w:t xml:space="preserve">. The specific </w:t>
      </w:r>
      <w:r>
        <w:t>formula</w:t>
      </w:r>
      <w:r w:rsidR="00AE6FCC">
        <w:t xml:space="preserve"> was:</w:t>
      </w:r>
      <w:r>
        <w:t xml:space="preserve"> </w:t>
      </w:r>
      <w:r w:rsidRPr="00581B28">
        <w:t>log10GPP ~ mean</w:t>
      </w:r>
      <w:r w:rsidR="00AE6FCC">
        <w:t xml:space="preserve"> daily </w:t>
      </w:r>
      <w:r w:rsidRPr="00581B28">
        <w:t>radiation + s(Flow</w:t>
      </w:r>
      <w:r w:rsidR="00AE6FCC">
        <w:t xml:space="preserve"> </w:t>
      </w:r>
      <w:r w:rsidR="00AE6FCC" w:rsidRPr="00581B28">
        <w:t>prop</w:t>
      </w:r>
      <w:r w:rsidR="00AE6FCC">
        <w:t>ortion</w:t>
      </w:r>
      <w:r w:rsidRPr="00581B28">
        <w:t>) + s(</w:t>
      </w:r>
      <w:r w:rsidR="00AE6FCC">
        <w:t>Site</w:t>
      </w:r>
      <w:r w:rsidRPr="00581B28">
        <w:t>, bs = "re")</w:t>
      </w:r>
      <w:r>
        <w:t xml:space="preserve">. </w:t>
      </w:r>
      <w:r w:rsidR="00CD1A18">
        <w:t>Effective degrees of freedom (</w:t>
      </w:r>
      <w:proofErr w:type="spellStart"/>
      <w:r w:rsidR="00CD1A18">
        <w:t>edf</w:t>
      </w:r>
      <w:proofErr w:type="spellEnd"/>
      <w:r w:rsidR="00CD1A18">
        <w:t xml:space="preserve">) represent the complexity of the </w:t>
      </w:r>
      <w:r w:rsidR="00AE6FCC">
        <w:t>spline</w:t>
      </w:r>
      <w:r w:rsidR="00CD1A18">
        <w:t xml:space="preserve">, with </w:t>
      </w:r>
      <w:proofErr w:type="spellStart"/>
      <w:r w:rsidR="00CD1A18">
        <w:t>edf</w:t>
      </w:r>
      <w:proofErr w:type="spellEnd"/>
      <w:r w:rsidR="00CD1A18">
        <w:t xml:space="preserve"> = 1 a linear relationship and </w:t>
      </w:r>
      <w:proofErr w:type="spellStart"/>
      <w:r w:rsidR="00CD1A18">
        <w:t>edf</w:t>
      </w:r>
      <w:proofErr w:type="spellEnd"/>
      <w:r w:rsidR="00CD1A18">
        <w:t xml:space="preserve"> &gt; 1 a </w:t>
      </w:r>
      <w:r w:rsidR="005B2C8A">
        <w:t xml:space="preserve">more complex </w:t>
      </w:r>
      <w:r w:rsidR="00CD1A18">
        <w:t>non-linear relationship.</w:t>
      </w:r>
      <w:r w:rsidR="00FE0EF0">
        <w:t xml:space="preserve"> The significant p-values for the smooth terms indicate there is a</w:t>
      </w:r>
      <w:r w:rsidR="004430F7">
        <w:t xml:space="preserve">n association </w:t>
      </w:r>
      <w:r w:rsidR="00FE0EF0">
        <w:t xml:space="preserve">between </w:t>
      </w:r>
      <w:r w:rsidR="004430F7">
        <w:t>log</w:t>
      </w:r>
      <w:r w:rsidR="00AE6FCC">
        <w:t xml:space="preserve">-transformed </w:t>
      </w:r>
      <w:r w:rsidR="004430F7">
        <w:t xml:space="preserve">GPP and </w:t>
      </w:r>
      <w:r w:rsidR="00FE0EF0">
        <w:t>th</w:t>
      </w:r>
      <w:r w:rsidR="004430F7">
        <w:t>is</w:t>
      </w:r>
      <w:r w:rsidR="00FE0EF0">
        <w:t xml:space="preserve"> variable</w:t>
      </w:r>
      <w:r w:rsidR="00AE6FCC">
        <w:t>.</w:t>
      </w:r>
    </w:p>
    <w:tbl>
      <w:tblPr>
        <w:tblStyle w:val="TableFlow-MER"/>
        <w:tblW w:w="0" w:type="auto"/>
        <w:tblLayout w:type="fixed"/>
        <w:tblLook w:val="04A0" w:firstRow="1" w:lastRow="0" w:firstColumn="1" w:lastColumn="0" w:noHBand="0" w:noVBand="1"/>
      </w:tblPr>
      <w:tblGrid>
        <w:gridCol w:w="2439"/>
        <w:gridCol w:w="3402"/>
        <w:gridCol w:w="1417"/>
        <w:gridCol w:w="1134"/>
      </w:tblGrid>
      <w:tr w:rsidR="00224E3A" w14:paraId="6700F59F" w14:textId="77777777" w:rsidTr="001B41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3EEE5D5" w14:textId="651F5241" w:rsidR="00224E3A" w:rsidRPr="001B4152" w:rsidRDefault="00224E3A" w:rsidP="001B4152">
            <w:pPr>
              <w:pStyle w:val="ColumnHeading"/>
            </w:pPr>
            <w:r>
              <w:t>Model term</w:t>
            </w:r>
          </w:p>
        </w:tc>
        <w:tc>
          <w:tcPr>
            <w:tcW w:w="3402" w:type="dxa"/>
          </w:tcPr>
          <w:p w14:paraId="3EF3F458" w14:textId="088B03FC" w:rsidR="00224E3A" w:rsidRPr="001B4152" w:rsidRDefault="00A35FFD" w:rsidP="001B4152">
            <w:pPr>
              <w:pStyle w:val="ColumnHeading"/>
              <w:cnfStyle w:val="100000000000" w:firstRow="1" w:lastRow="0" w:firstColumn="0" w:lastColumn="0" w:oddVBand="0" w:evenVBand="0" w:oddHBand="0" w:evenHBand="0" w:firstRowFirstColumn="0" w:firstRowLastColumn="0" w:lastRowFirstColumn="0" w:lastRowLastColumn="0"/>
            </w:pPr>
            <w:r>
              <w:t>Result</w:t>
            </w:r>
          </w:p>
        </w:tc>
        <w:tc>
          <w:tcPr>
            <w:tcW w:w="1417" w:type="dxa"/>
          </w:tcPr>
          <w:p w14:paraId="2FF1B740" w14:textId="1D11EACC" w:rsidR="00224E3A" w:rsidRPr="001B4152" w:rsidRDefault="00224E3A" w:rsidP="001B4152">
            <w:pPr>
              <w:pStyle w:val="ColumnHeading"/>
              <w:cnfStyle w:val="100000000000" w:firstRow="1" w:lastRow="0" w:firstColumn="0" w:lastColumn="0" w:oddVBand="0" w:evenVBand="0" w:oddHBand="0" w:evenHBand="0" w:firstRowFirstColumn="0" w:firstRowLastColumn="0" w:lastRowFirstColumn="0" w:lastRowLastColumn="0"/>
            </w:pPr>
            <w:r w:rsidRPr="001B4152">
              <w:t>Statistical test</w:t>
            </w:r>
          </w:p>
        </w:tc>
        <w:tc>
          <w:tcPr>
            <w:tcW w:w="1134" w:type="dxa"/>
          </w:tcPr>
          <w:p w14:paraId="670FDF93" w14:textId="11A78637" w:rsidR="00224E3A" w:rsidRPr="001B4152" w:rsidRDefault="00224E3A" w:rsidP="001B4152">
            <w:pPr>
              <w:pStyle w:val="ColumnHeading"/>
              <w:cnfStyle w:val="100000000000" w:firstRow="1" w:lastRow="0" w:firstColumn="0" w:lastColumn="0" w:oddVBand="0" w:evenVBand="0" w:oddHBand="0" w:evenHBand="0" w:firstRowFirstColumn="0" w:firstRowLastColumn="0" w:lastRowFirstColumn="0" w:lastRowLastColumn="0"/>
            </w:pPr>
            <w:r w:rsidRPr="001B4152">
              <w:t>p</w:t>
            </w:r>
            <w:r w:rsidR="00FE0EF0">
              <w:t>-</w:t>
            </w:r>
            <w:r w:rsidRPr="001B4152">
              <w:t>value</w:t>
            </w:r>
          </w:p>
        </w:tc>
      </w:tr>
      <w:tr w:rsidR="00224E3A" w14:paraId="70B9580A" w14:textId="77777777" w:rsidTr="001B41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D0EAFF" w:themeFill="accent2" w:themeFillTint="1A"/>
          </w:tcPr>
          <w:p w14:paraId="11C851D8" w14:textId="3E933215" w:rsidR="00224E3A" w:rsidRPr="004A45BD" w:rsidRDefault="00224E3A" w:rsidP="001B4152">
            <w:pPr>
              <w:pStyle w:val="RowHeading"/>
            </w:pPr>
            <w:r w:rsidRPr="004A45BD">
              <w:t>Parametric coefficients</w:t>
            </w:r>
          </w:p>
        </w:tc>
        <w:tc>
          <w:tcPr>
            <w:tcW w:w="3402" w:type="dxa"/>
            <w:shd w:val="clear" w:color="auto" w:fill="D0EAFF" w:themeFill="accent2" w:themeFillTint="1A"/>
          </w:tcPr>
          <w:p w14:paraId="4CF8913A" w14:textId="0A1BE056" w:rsidR="00224E3A" w:rsidRPr="004A45BD" w:rsidRDefault="00224E3A" w:rsidP="001B4152">
            <w:pPr>
              <w:pStyle w:val="RowHeading"/>
              <w:cnfStyle w:val="000000100000" w:firstRow="0" w:lastRow="0" w:firstColumn="0" w:lastColumn="0" w:oddVBand="0" w:evenVBand="0" w:oddHBand="1" w:evenHBand="0" w:firstRowFirstColumn="0" w:firstRowLastColumn="0" w:lastRowFirstColumn="0" w:lastRowLastColumn="0"/>
            </w:pPr>
          </w:p>
        </w:tc>
        <w:tc>
          <w:tcPr>
            <w:tcW w:w="0" w:type="dxa"/>
            <w:shd w:val="clear" w:color="auto" w:fill="D0EAFF" w:themeFill="accent2" w:themeFillTint="1A"/>
          </w:tcPr>
          <w:p w14:paraId="76E83C07" w14:textId="3C9A88AA" w:rsidR="00224E3A" w:rsidRPr="004A45BD" w:rsidRDefault="00224E3A" w:rsidP="001B4152">
            <w:pPr>
              <w:pStyle w:val="RowHeading"/>
              <w:cnfStyle w:val="000000100000" w:firstRow="0" w:lastRow="0" w:firstColumn="0" w:lastColumn="0" w:oddVBand="0" w:evenVBand="0" w:oddHBand="1" w:evenHBand="0" w:firstRowFirstColumn="0" w:firstRowLastColumn="0" w:lastRowFirstColumn="0" w:lastRowLastColumn="0"/>
            </w:pPr>
          </w:p>
        </w:tc>
        <w:tc>
          <w:tcPr>
            <w:tcW w:w="0" w:type="dxa"/>
            <w:shd w:val="clear" w:color="auto" w:fill="D0EAFF" w:themeFill="accent2" w:themeFillTint="1A"/>
          </w:tcPr>
          <w:p w14:paraId="4653D034" w14:textId="672C7858" w:rsidR="00224E3A" w:rsidRPr="004A45BD" w:rsidRDefault="00224E3A" w:rsidP="001B4152">
            <w:pPr>
              <w:pStyle w:val="RowHeading"/>
              <w:cnfStyle w:val="000000100000" w:firstRow="0" w:lastRow="0" w:firstColumn="0" w:lastColumn="0" w:oddVBand="0" w:evenVBand="0" w:oddHBand="1" w:evenHBand="0" w:firstRowFirstColumn="0" w:firstRowLastColumn="0" w:lastRowFirstColumn="0" w:lastRowLastColumn="0"/>
            </w:pPr>
          </w:p>
        </w:tc>
      </w:tr>
      <w:tr w:rsidR="004A45BD" w14:paraId="582FBFF7" w14:textId="77777777" w:rsidTr="004A45BD">
        <w:tc>
          <w:tcPr>
            <w:cnfStyle w:val="001000000000" w:firstRow="0" w:lastRow="0" w:firstColumn="1" w:lastColumn="0" w:oddVBand="0" w:evenVBand="0" w:oddHBand="0" w:evenHBand="0" w:firstRowFirstColumn="0" w:firstRowLastColumn="0" w:lastRowFirstColumn="0" w:lastRowLastColumn="0"/>
            <w:tcW w:w="2439" w:type="dxa"/>
          </w:tcPr>
          <w:p w14:paraId="4AD7762C" w14:textId="63AAC6A2" w:rsidR="004A45BD" w:rsidRPr="004A45BD" w:rsidRDefault="004A45BD" w:rsidP="001B4152">
            <w:pPr>
              <w:pStyle w:val="TableText"/>
            </w:pPr>
            <w:r w:rsidRPr="004A45BD">
              <w:t>Intercept</w:t>
            </w:r>
          </w:p>
        </w:tc>
        <w:tc>
          <w:tcPr>
            <w:tcW w:w="3402" w:type="dxa"/>
          </w:tcPr>
          <w:p w14:paraId="46DD621B" w14:textId="7C793C41" w:rsidR="004A45BD" w:rsidRPr="004A45BD" w:rsidRDefault="004A45BD" w:rsidP="001B4152">
            <w:pPr>
              <w:pStyle w:val="TableText"/>
              <w:cnfStyle w:val="000000000000" w:firstRow="0" w:lastRow="0" w:firstColumn="0" w:lastColumn="0" w:oddVBand="0" w:evenVBand="0" w:oddHBand="0" w:evenHBand="0" w:firstRowFirstColumn="0" w:firstRowLastColumn="0" w:lastRowFirstColumn="0" w:lastRowLastColumn="0"/>
            </w:pPr>
            <w:r>
              <w:t>e</w:t>
            </w:r>
            <w:r w:rsidRPr="004A45BD">
              <w:t>stimate</w:t>
            </w:r>
            <w:r>
              <w:t xml:space="preserve"> (mean </w:t>
            </w:r>
            <w:r w:rsidRPr="00AA7E35">
              <w:rPr>
                <w:rFonts w:cs="Calibri"/>
              </w:rPr>
              <w:t>±</w:t>
            </w:r>
            <w:r>
              <w:rPr>
                <w:rFonts w:cs="Calibri"/>
              </w:rPr>
              <w:t xml:space="preserve"> SE)</w:t>
            </w:r>
            <w:r>
              <w:t xml:space="preserve"> </w:t>
            </w:r>
            <w:r w:rsidRPr="004A45BD">
              <w:t xml:space="preserve">= 0.109 </w:t>
            </w:r>
            <w:r w:rsidRPr="004A45BD">
              <w:rPr>
                <w:rFonts w:cs="Calibri"/>
              </w:rPr>
              <w:t>±</w:t>
            </w:r>
            <w:r w:rsidRPr="004A45BD">
              <w:t xml:space="preserve"> 0.025 </w:t>
            </w:r>
          </w:p>
        </w:tc>
        <w:tc>
          <w:tcPr>
            <w:tcW w:w="1417" w:type="dxa"/>
          </w:tcPr>
          <w:p w14:paraId="360983C5" w14:textId="55F83A3E" w:rsidR="004A45BD" w:rsidRPr="004A45BD" w:rsidRDefault="004A45BD" w:rsidP="001B4152">
            <w:pPr>
              <w:pStyle w:val="TableText"/>
              <w:cnfStyle w:val="000000000000" w:firstRow="0" w:lastRow="0" w:firstColumn="0" w:lastColumn="0" w:oddVBand="0" w:evenVBand="0" w:oddHBand="0" w:evenHBand="0" w:firstRowFirstColumn="0" w:firstRowLastColumn="0" w:lastRowFirstColumn="0" w:lastRowLastColumn="0"/>
            </w:pPr>
            <w:r w:rsidRPr="004A45BD">
              <w:t>t = 4.36</w:t>
            </w:r>
          </w:p>
        </w:tc>
        <w:tc>
          <w:tcPr>
            <w:tcW w:w="1134" w:type="dxa"/>
          </w:tcPr>
          <w:p w14:paraId="2610EDDE" w14:textId="411D5E47" w:rsidR="004A45BD" w:rsidRPr="004A45BD" w:rsidRDefault="004A45BD" w:rsidP="001B4152">
            <w:pPr>
              <w:pStyle w:val="TableText"/>
              <w:cnfStyle w:val="000000000000" w:firstRow="0" w:lastRow="0" w:firstColumn="0" w:lastColumn="0" w:oddVBand="0" w:evenVBand="0" w:oddHBand="0" w:evenHBand="0" w:firstRowFirstColumn="0" w:firstRowLastColumn="0" w:lastRowFirstColumn="0" w:lastRowLastColumn="0"/>
            </w:pPr>
            <w:r w:rsidRPr="004A45BD">
              <w:t>p &lt; 0.001</w:t>
            </w:r>
          </w:p>
        </w:tc>
      </w:tr>
      <w:tr w:rsidR="004A45BD" w14:paraId="2F1E8C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tcPr>
          <w:p w14:paraId="034DA500" w14:textId="58E7F328" w:rsidR="004A45BD" w:rsidRPr="004A45BD" w:rsidRDefault="004A45BD" w:rsidP="001B4152">
            <w:pPr>
              <w:pStyle w:val="TableText"/>
            </w:pPr>
            <w:r w:rsidRPr="004A45BD">
              <w:t>Solar radiation</w:t>
            </w:r>
          </w:p>
        </w:tc>
        <w:tc>
          <w:tcPr>
            <w:tcW w:w="3402" w:type="dxa"/>
          </w:tcPr>
          <w:p w14:paraId="54BF9497" w14:textId="6509915D" w:rsidR="004A45BD" w:rsidRPr="004A45BD" w:rsidRDefault="004A45BD" w:rsidP="001B4152">
            <w:pPr>
              <w:pStyle w:val="TableText"/>
              <w:cnfStyle w:val="000000100000" w:firstRow="0" w:lastRow="0" w:firstColumn="0" w:lastColumn="0" w:oddVBand="0" w:evenVBand="0" w:oddHBand="1" w:evenHBand="0" w:firstRowFirstColumn="0" w:firstRowLastColumn="0" w:lastRowFirstColumn="0" w:lastRowLastColumn="0"/>
            </w:pPr>
            <w:r>
              <w:t>e</w:t>
            </w:r>
            <w:r w:rsidRPr="00AA7E35">
              <w:t>stimate</w:t>
            </w:r>
            <w:r>
              <w:t xml:space="preserve"> (mean </w:t>
            </w:r>
            <w:r w:rsidRPr="00AA7E35">
              <w:rPr>
                <w:rFonts w:cs="Calibri"/>
              </w:rPr>
              <w:t>±</w:t>
            </w:r>
            <w:r>
              <w:rPr>
                <w:rFonts w:cs="Calibri"/>
              </w:rPr>
              <w:t xml:space="preserve"> SE)</w:t>
            </w:r>
            <w:r>
              <w:t xml:space="preserve"> </w:t>
            </w:r>
            <w:r w:rsidRPr="004A45BD">
              <w:t xml:space="preserve">= 0.015 </w:t>
            </w:r>
            <w:r w:rsidRPr="004A45BD">
              <w:rPr>
                <w:rFonts w:cs="Calibri"/>
              </w:rPr>
              <w:t xml:space="preserve">± 0.000 </w:t>
            </w:r>
          </w:p>
        </w:tc>
        <w:tc>
          <w:tcPr>
            <w:tcW w:w="1417" w:type="dxa"/>
          </w:tcPr>
          <w:p w14:paraId="54B44969" w14:textId="73B3FA23" w:rsidR="004A45BD" w:rsidRPr="004A45BD" w:rsidRDefault="004A45BD" w:rsidP="001B4152">
            <w:pPr>
              <w:pStyle w:val="TableText"/>
              <w:cnfStyle w:val="000000100000" w:firstRow="0" w:lastRow="0" w:firstColumn="0" w:lastColumn="0" w:oddVBand="0" w:evenVBand="0" w:oddHBand="1" w:evenHBand="0" w:firstRowFirstColumn="0" w:firstRowLastColumn="0" w:lastRowFirstColumn="0" w:lastRowLastColumn="0"/>
            </w:pPr>
            <w:r w:rsidRPr="004A45BD">
              <w:t>t = 83.5</w:t>
            </w:r>
          </w:p>
        </w:tc>
        <w:tc>
          <w:tcPr>
            <w:tcW w:w="1134" w:type="dxa"/>
          </w:tcPr>
          <w:p w14:paraId="237128D9" w14:textId="2743E4F9" w:rsidR="004A45BD" w:rsidRPr="004A45BD" w:rsidRDefault="004A45BD" w:rsidP="001B4152">
            <w:pPr>
              <w:pStyle w:val="TableText"/>
              <w:cnfStyle w:val="000000100000" w:firstRow="0" w:lastRow="0" w:firstColumn="0" w:lastColumn="0" w:oddVBand="0" w:evenVBand="0" w:oddHBand="1" w:evenHBand="0" w:firstRowFirstColumn="0" w:firstRowLastColumn="0" w:lastRowFirstColumn="0" w:lastRowLastColumn="0"/>
            </w:pPr>
            <w:r w:rsidRPr="004A45BD">
              <w:t>p &lt; 0.001</w:t>
            </w:r>
          </w:p>
        </w:tc>
      </w:tr>
      <w:tr w:rsidR="00224E3A" w14:paraId="5FD7F9C1" w14:textId="77777777" w:rsidTr="001B4152">
        <w:tc>
          <w:tcPr>
            <w:cnfStyle w:val="001000000000" w:firstRow="0" w:lastRow="0" w:firstColumn="1" w:lastColumn="0" w:oddVBand="0" w:evenVBand="0" w:oddHBand="0" w:evenHBand="0" w:firstRowFirstColumn="0" w:firstRowLastColumn="0" w:lastRowFirstColumn="0" w:lastRowLastColumn="0"/>
            <w:tcW w:w="0" w:type="dxa"/>
            <w:shd w:val="clear" w:color="auto" w:fill="D0EAFF" w:themeFill="accent2" w:themeFillTint="1A"/>
          </w:tcPr>
          <w:p w14:paraId="69754E81" w14:textId="69D33273" w:rsidR="00224E3A" w:rsidRPr="004A45BD" w:rsidRDefault="00224E3A" w:rsidP="001B4152">
            <w:pPr>
              <w:pStyle w:val="RowHeading"/>
            </w:pPr>
            <w:r w:rsidRPr="004A45BD">
              <w:t>Smooth terms</w:t>
            </w:r>
          </w:p>
        </w:tc>
        <w:tc>
          <w:tcPr>
            <w:tcW w:w="3402" w:type="dxa"/>
            <w:shd w:val="clear" w:color="auto" w:fill="D0EAFF" w:themeFill="accent2" w:themeFillTint="1A"/>
          </w:tcPr>
          <w:p w14:paraId="54519808" w14:textId="3C989213" w:rsidR="00224E3A" w:rsidRPr="004A45BD" w:rsidRDefault="00224E3A" w:rsidP="001B4152">
            <w:pPr>
              <w:pStyle w:val="RowHeading"/>
              <w:cnfStyle w:val="000000000000" w:firstRow="0" w:lastRow="0" w:firstColumn="0" w:lastColumn="0" w:oddVBand="0" w:evenVBand="0" w:oddHBand="0" w:evenHBand="0" w:firstRowFirstColumn="0" w:firstRowLastColumn="0" w:lastRowFirstColumn="0" w:lastRowLastColumn="0"/>
            </w:pPr>
          </w:p>
        </w:tc>
        <w:tc>
          <w:tcPr>
            <w:tcW w:w="0" w:type="dxa"/>
            <w:shd w:val="clear" w:color="auto" w:fill="D0EAFF" w:themeFill="accent2" w:themeFillTint="1A"/>
          </w:tcPr>
          <w:p w14:paraId="59425DB2" w14:textId="3FD14C45" w:rsidR="00224E3A" w:rsidRPr="004A45BD" w:rsidRDefault="00224E3A" w:rsidP="001B4152">
            <w:pPr>
              <w:pStyle w:val="RowHeading"/>
              <w:cnfStyle w:val="000000000000" w:firstRow="0" w:lastRow="0" w:firstColumn="0" w:lastColumn="0" w:oddVBand="0" w:evenVBand="0" w:oddHBand="0" w:evenHBand="0" w:firstRowFirstColumn="0" w:firstRowLastColumn="0" w:lastRowFirstColumn="0" w:lastRowLastColumn="0"/>
            </w:pPr>
          </w:p>
        </w:tc>
        <w:tc>
          <w:tcPr>
            <w:tcW w:w="0" w:type="dxa"/>
            <w:shd w:val="clear" w:color="auto" w:fill="D0EAFF" w:themeFill="accent2" w:themeFillTint="1A"/>
          </w:tcPr>
          <w:p w14:paraId="621159FE" w14:textId="01EAEF66" w:rsidR="00224E3A" w:rsidRPr="004A45BD" w:rsidRDefault="00224E3A" w:rsidP="001B4152">
            <w:pPr>
              <w:pStyle w:val="RowHeading"/>
              <w:cnfStyle w:val="000000000000" w:firstRow="0" w:lastRow="0" w:firstColumn="0" w:lastColumn="0" w:oddVBand="0" w:evenVBand="0" w:oddHBand="0" w:evenHBand="0" w:firstRowFirstColumn="0" w:firstRowLastColumn="0" w:lastRowFirstColumn="0" w:lastRowLastColumn="0"/>
            </w:pPr>
          </w:p>
        </w:tc>
      </w:tr>
      <w:tr w:rsidR="004A45BD" w14:paraId="26573B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9" w:type="dxa"/>
          </w:tcPr>
          <w:p w14:paraId="41DF1EDA" w14:textId="4D609270" w:rsidR="004A45BD" w:rsidRPr="004A45BD" w:rsidRDefault="004A45BD" w:rsidP="001B4152">
            <w:pPr>
              <w:pStyle w:val="TableText"/>
            </w:pPr>
            <w:r w:rsidRPr="004A45BD">
              <w:t>s(Flow proportion)</w:t>
            </w:r>
          </w:p>
        </w:tc>
        <w:tc>
          <w:tcPr>
            <w:tcW w:w="3402" w:type="dxa"/>
          </w:tcPr>
          <w:p w14:paraId="27AF6D82" w14:textId="1D75E203" w:rsidR="004A45BD" w:rsidRPr="004A45BD" w:rsidRDefault="004A45BD" w:rsidP="001B4152">
            <w:pPr>
              <w:pStyle w:val="TableText"/>
              <w:cnfStyle w:val="000000100000" w:firstRow="0" w:lastRow="0" w:firstColumn="0" w:lastColumn="0" w:oddVBand="0" w:evenVBand="0" w:oddHBand="1" w:evenHBand="0" w:firstRowFirstColumn="0" w:firstRowLastColumn="0" w:lastRowFirstColumn="0" w:lastRowLastColumn="0"/>
            </w:pPr>
            <w:proofErr w:type="spellStart"/>
            <w:r w:rsidRPr="004A45BD">
              <w:rPr>
                <w:color w:val="auto"/>
              </w:rPr>
              <w:t>edf</w:t>
            </w:r>
            <w:proofErr w:type="spellEnd"/>
            <w:r w:rsidRPr="004A45BD">
              <w:rPr>
                <w:color w:val="auto"/>
              </w:rPr>
              <w:t xml:space="preserve"> = 8.80</w:t>
            </w:r>
          </w:p>
        </w:tc>
        <w:tc>
          <w:tcPr>
            <w:tcW w:w="1417" w:type="dxa"/>
          </w:tcPr>
          <w:p w14:paraId="1008E5AD" w14:textId="7C576C2B" w:rsidR="004A45BD" w:rsidRPr="004A45BD" w:rsidRDefault="004A45BD" w:rsidP="001B4152">
            <w:pPr>
              <w:pStyle w:val="TableText"/>
              <w:cnfStyle w:val="000000100000" w:firstRow="0" w:lastRow="0" w:firstColumn="0" w:lastColumn="0" w:oddVBand="0" w:evenVBand="0" w:oddHBand="1" w:evenHBand="0" w:firstRowFirstColumn="0" w:firstRowLastColumn="0" w:lastRowFirstColumn="0" w:lastRowLastColumn="0"/>
            </w:pPr>
            <w:r w:rsidRPr="004A45BD">
              <w:t>F = 325.4</w:t>
            </w:r>
          </w:p>
        </w:tc>
        <w:tc>
          <w:tcPr>
            <w:tcW w:w="1134" w:type="dxa"/>
          </w:tcPr>
          <w:p w14:paraId="405FE255" w14:textId="7787544B" w:rsidR="004A45BD" w:rsidRPr="004A45BD" w:rsidRDefault="004A45BD" w:rsidP="001B4152">
            <w:pPr>
              <w:pStyle w:val="TableText"/>
              <w:cnfStyle w:val="000000100000" w:firstRow="0" w:lastRow="0" w:firstColumn="0" w:lastColumn="0" w:oddVBand="0" w:evenVBand="0" w:oddHBand="1" w:evenHBand="0" w:firstRowFirstColumn="0" w:firstRowLastColumn="0" w:lastRowFirstColumn="0" w:lastRowLastColumn="0"/>
            </w:pPr>
            <w:r w:rsidRPr="004A45BD">
              <w:t>p &lt; 0.001</w:t>
            </w:r>
          </w:p>
        </w:tc>
      </w:tr>
      <w:tr w:rsidR="004A45BD" w14:paraId="5E338F94" w14:textId="77777777">
        <w:tc>
          <w:tcPr>
            <w:cnfStyle w:val="001000000000" w:firstRow="0" w:lastRow="0" w:firstColumn="1" w:lastColumn="0" w:oddVBand="0" w:evenVBand="0" w:oddHBand="0" w:evenHBand="0" w:firstRowFirstColumn="0" w:firstRowLastColumn="0" w:lastRowFirstColumn="0" w:lastRowLastColumn="0"/>
            <w:tcW w:w="2439" w:type="dxa"/>
          </w:tcPr>
          <w:p w14:paraId="32F71339" w14:textId="0F3CE1A7" w:rsidR="004A45BD" w:rsidRPr="004A45BD" w:rsidRDefault="004A45BD" w:rsidP="001B4152">
            <w:pPr>
              <w:pStyle w:val="TableText"/>
            </w:pPr>
            <w:r w:rsidRPr="004A45BD">
              <w:t>s(Sample site)</w:t>
            </w:r>
          </w:p>
        </w:tc>
        <w:tc>
          <w:tcPr>
            <w:tcW w:w="3402" w:type="dxa"/>
          </w:tcPr>
          <w:p w14:paraId="4BA94840" w14:textId="0ED9774F" w:rsidR="004A45BD" w:rsidRPr="004A45BD" w:rsidRDefault="004A45BD" w:rsidP="001B4152">
            <w:pPr>
              <w:pStyle w:val="TableText"/>
              <w:cnfStyle w:val="000000000000" w:firstRow="0" w:lastRow="0" w:firstColumn="0" w:lastColumn="0" w:oddVBand="0" w:evenVBand="0" w:oddHBand="0" w:evenHBand="0" w:firstRowFirstColumn="0" w:firstRowLastColumn="0" w:lastRowFirstColumn="0" w:lastRowLastColumn="0"/>
            </w:pPr>
            <w:proofErr w:type="spellStart"/>
            <w:r w:rsidRPr="004A45BD">
              <w:t>edf</w:t>
            </w:r>
            <w:proofErr w:type="spellEnd"/>
            <w:r w:rsidRPr="004A45BD">
              <w:t xml:space="preserve"> = 26.9</w:t>
            </w:r>
          </w:p>
        </w:tc>
        <w:tc>
          <w:tcPr>
            <w:tcW w:w="1417" w:type="dxa"/>
          </w:tcPr>
          <w:p w14:paraId="38459139" w14:textId="2F95D85D" w:rsidR="004A45BD" w:rsidRPr="004A45BD" w:rsidRDefault="004A45BD" w:rsidP="001B4152">
            <w:pPr>
              <w:pStyle w:val="TableText"/>
              <w:cnfStyle w:val="000000000000" w:firstRow="0" w:lastRow="0" w:firstColumn="0" w:lastColumn="0" w:oddVBand="0" w:evenVBand="0" w:oddHBand="0" w:evenHBand="0" w:firstRowFirstColumn="0" w:firstRowLastColumn="0" w:lastRowFirstColumn="0" w:lastRowLastColumn="0"/>
            </w:pPr>
            <w:r w:rsidRPr="004A45BD">
              <w:t>F = 255.0</w:t>
            </w:r>
          </w:p>
        </w:tc>
        <w:tc>
          <w:tcPr>
            <w:tcW w:w="1134" w:type="dxa"/>
          </w:tcPr>
          <w:p w14:paraId="5FE1069B" w14:textId="1271FDDB" w:rsidR="004A45BD" w:rsidRPr="004A45BD" w:rsidRDefault="004A45BD" w:rsidP="001B4152">
            <w:pPr>
              <w:pStyle w:val="TableText"/>
              <w:cnfStyle w:val="000000000000" w:firstRow="0" w:lastRow="0" w:firstColumn="0" w:lastColumn="0" w:oddVBand="0" w:evenVBand="0" w:oddHBand="0" w:evenHBand="0" w:firstRowFirstColumn="0" w:firstRowLastColumn="0" w:lastRowFirstColumn="0" w:lastRowLastColumn="0"/>
            </w:pPr>
            <w:r w:rsidRPr="004A45BD">
              <w:t>p &lt; 0.001</w:t>
            </w:r>
          </w:p>
        </w:tc>
      </w:tr>
    </w:tbl>
    <w:p w14:paraId="2EAC7264" w14:textId="77777777" w:rsidR="00224E3A" w:rsidRPr="00224E3A" w:rsidRDefault="00224E3A" w:rsidP="00224E3A">
      <w:pPr>
        <w:pStyle w:val="BodyText"/>
      </w:pPr>
    </w:p>
    <w:p w14:paraId="02631270" w14:textId="3BCAC987" w:rsidR="00EA7227" w:rsidRDefault="00CE3D5E" w:rsidP="00492712">
      <w:pPr>
        <w:pStyle w:val="CaptionWithNote"/>
      </w:pPr>
      <w:bookmarkStart w:id="189" w:name="_Ref192602256"/>
      <w:bookmarkStart w:id="190" w:name="_Toc202187886"/>
      <w:bookmarkStart w:id="191" w:name="_Toc193363437"/>
      <w:bookmarkStart w:id="192" w:name="_Toc194788953"/>
      <w:r>
        <w:lastRenderedPageBreak/>
        <w:t>Figure</w:t>
      </w:r>
      <w:r w:rsidR="00783F78">
        <w:t> </w:t>
      </w:r>
      <w:r>
        <w:fldChar w:fldCharType="begin"/>
      </w:r>
      <w:r>
        <w:instrText>STYLEREF 1 \s</w:instrText>
      </w:r>
      <w:r>
        <w:fldChar w:fldCharType="separate"/>
      </w:r>
      <w:r w:rsidR="00835C8B">
        <w:rPr>
          <w:noProof/>
        </w:rPr>
        <w:t>5</w:t>
      </w:r>
      <w:r>
        <w:fldChar w:fldCharType="end"/>
      </w:r>
      <w:r>
        <w:t>.</w:t>
      </w:r>
      <w:r>
        <w:fldChar w:fldCharType="begin"/>
      </w:r>
      <w:r>
        <w:instrText>SEQ Figure \* ARABIC \s 1</w:instrText>
      </w:r>
      <w:r>
        <w:fldChar w:fldCharType="separate"/>
      </w:r>
      <w:r w:rsidR="00492712">
        <w:rPr>
          <w:noProof/>
        </w:rPr>
        <w:t>1</w:t>
      </w:r>
      <w:r>
        <w:fldChar w:fldCharType="end"/>
      </w:r>
      <w:bookmarkEnd w:id="189"/>
      <w:r>
        <w:t xml:space="preserve"> Plot of </w:t>
      </w:r>
      <w:r w:rsidR="00FA2BE1">
        <w:t>generalised additive model</w:t>
      </w:r>
      <w:r w:rsidR="00286D23">
        <w:t xml:space="preserve"> (GAM)</w:t>
      </w:r>
      <w:r>
        <w:t xml:space="preserve"> results</w:t>
      </w:r>
      <w:bookmarkEnd w:id="190"/>
    </w:p>
    <w:p w14:paraId="15A246EA" w14:textId="751E3E77" w:rsidR="00CE3D5E" w:rsidRDefault="00CE3D5E" w:rsidP="003569C4">
      <w:pPr>
        <w:pStyle w:val="CaptionNote"/>
      </w:pPr>
      <w:r>
        <w:t xml:space="preserve">Panel A shows modelled </w:t>
      </w:r>
      <w:r w:rsidR="001E0A50">
        <w:t xml:space="preserve">linear </w:t>
      </w:r>
      <w:r>
        <w:t xml:space="preserve">effect of </w:t>
      </w:r>
      <w:r w:rsidR="005F021E">
        <w:t xml:space="preserve">monthly </w:t>
      </w:r>
      <w:r>
        <w:t xml:space="preserve">mean daily solar radiation </w:t>
      </w:r>
      <w:r w:rsidR="00B234CE">
        <w:t xml:space="preserve">(x-axis) </w:t>
      </w:r>
      <w:r>
        <w:t xml:space="preserve">on log-transformed </w:t>
      </w:r>
      <w:r w:rsidR="00156E9F">
        <w:t>gross primary producti</w:t>
      </w:r>
      <w:r w:rsidR="00A262E5">
        <w:t>on</w:t>
      </w:r>
      <w:r w:rsidR="00156E9F">
        <w:t xml:space="preserve"> (</w:t>
      </w:r>
      <w:r>
        <w:t>GPP</w:t>
      </w:r>
      <w:r w:rsidR="00156E9F">
        <w:t>)</w:t>
      </w:r>
      <w:r w:rsidR="00B234CE">
        <w:t xml:space="preserve"> (y-axis)</w:t>
      </w:r>
      <w:r>
        <w:t xml:space="preserve">. Panel B shows modelled </w:t>
      </w:r>
      <w:r w:rsidR="001E0A50">
        <w:t xml:space="preserve">non-linear </w:t>
      </w:r>
      <w:r>
        <w:t xml:space="preserve">effect of daily flow proportion (where 1 is the maximum flow observed at a site) </w:t>
      </w:r>
      <w:r w:rsidR="00CE46DF">
        <w:t xml:space="preserve">(x-axis) </w:t>
      </w:r>
      <w:r>
        <w:t>on log-transformed GPP</w:t>
      </w:r>
      <w:r w:rsidR="00CE46DF">
        <w:t xml:space="preserve"> (y-axis)</w:t>
      </w:r>
      <w:r>
        <w:t>.</w:t>
      </w:r>
      <w:bookmarkEnd w:id="191"/>
      <w:bookmarkEnd w:id="192"/>
    </w:p>
    <w:p w14:paraId="1AA222F1" w14:textId="18CCD5A3" w:rsidR="00CE3D5E" w:rsidRDefault="00CE3D5E" w:rsidP="004A4DBC">
      <w:pPr>
        <w:pStyle w:val="Figure"/>
      </w:pPr>
      <w:r>
        <w:rPr>
          <w:noProof/>
        </w:rPr>
        <w:drawing>
          <wp:inline distT="0" distB="0" distL="0" distR="0" wp14:anchorId="1A527FA6" wp14:editId="45A86E29">
            <wp:extent cx="5681749" cy="3157715"/>
            <wp:effectExtent l="0" t="0" r="0" b="5080"/>
            <wp:docPr id="674929250" name="Picture 674929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29250" name="Picture 674929250">
                      <a:extLst>
                        <a:ext uri="{C183D7F6-B498-43B3-948B-1728B52AA6E4}">
                          <adec:decorative xmlns:adec="http://schemas.microsoft.com/office/drawing/2017/decorative" val="1"/>
                        </a:ext>
                      </a:extLst>
                    </pic:cNvPr>
                    <pic:cNvPicPr/>
                  </pic:nvPicPr>
                  <pic:blipFill>
                    <a:blip r:embed="rId54"/>
                    <a:stretch>
                      <a:fillRect/>
                    </a:stretch>
                  </pic:blipFill>
                  <pic:spPr bwMode="auto">
                    <a:xfrm>
                      <a:off x="0" y="0"/>
                      <a:ext cx="5681749" cy="3157715"/>
                    </a:xfrm>
                    <a:prstGeom prst="rect">
                      <a:avLst/>
                    </a:prstGeom>
                    <a:extLst>
                      <a:ext uri="{53640926-AAD7-44D8-BBD7-CCE9431645EC}">
                        <a14:shadowObscured xmlns:a14="http://schemas.microsoft.com/office/drawing/2010/main"/>
                      </a:ext>
                    </a:extLst>
                  </pic:spPr>
                </pic:pic>
              </a:graphicData>
            </a:graphic>
          </wp:inline>
        </w:drawing>
      </w:r>
    </w:p>
    <w:p w14:paraId="59232987" w14:textId="1AFA06BE" w:rsidR="00CE3D5E" w:rsidRDefault="00CE3D5E" w:rsidP="001B4152">
      <w:pPr>
        <w:pStyle w:val="Heading3"/>
      </w:pPr>
      <w:r>
        <w:t xml:space="preserve">Effect of </w:t>
      </w:r>
      <w:r w:rsidR="00156E9F">
        <w:t xml:space="preserve">Commonwealth environmental water </w:t>
      </w:r>
      <w:r>
        <w:t>on rates</w:t>
      </w:r>
      <w:r w:rsidR="00156E9F">
        <w:t xml:space="preserve"> of gross primary producti</w:t>
      </w:r>
      <w:r w:rsidR="00A262E5">
        <w:t>on</w:t>
      </w:r>
    </w:p>
    <w:p w14:paraId="34FCFFCD" w14:textId="576C07C3" w:rsidR="00CE3D5E" w:rsidRDefault="00CE3D5E" w:rsidP="004A4DBC">
      <w:pPr>
        <w:pStyle w:val="BodyText"/>
      </w:pPr>
      <w:r>
        <w:t xml:space="preserve">We assessed </w:t>
      </w:r>
      <w:r w:rsidR="00046E62">
        <w:t xml:space="preserve">the effect of </w:t>
      </w:r>
      <w:r>
        <w:t xml:space="preserve">CEW </w:t>
      </w:r>
      <w:r w:rsidR="00046E62">
        <w:t>on</w:t>
      </w:r>
      <w:r>
        <w:t xml:space="preserve"> riverine </w:t>
      </w:r>
      <w:r w:rsidR="007F13E1">
        <w:t>GPP</w:t>
      </w:r>
      <w:r>
        <w:t xml:space="preserve"> by applying the solar radiation and flow relationships to all days under both the observed and counterfactual flow scenario</w:t>
      </w:r>
      <w:r w:rsidR="00CA195C">
        <w:t>s</w:t>
      </w:r>
      <w:r>
        <w:t xml:space="preserve">. By increasing flow, CEW reduced annual riverine GPP (i.e. the counterfactual scenario had elevated GPP) across all sites and years. Specifically, </w:t>
      </w:r>
      <w:r w:rsidRPr="0073336F">
        <w:t xml:space="preserve">CEW reduced annual </w:t>
      </w:r>
      <w:r>
        <w:t xml:space="preserve">total </w:t>
      </w:r>
      <w:r w:rsidRPr="0073336F">
        <w:t>GPP by a mean of 5.</w:t>
      </w:r>
      <w:r w:rsidR="00D64AE4">
        <w:t>2</w:t>
      </w:r>
      <w:r w:rsidRPr="0073336F">
        <w:t>% (range 0.3% to 17.</w:t>
      </w:r>
      <w:r w:rsidR="00D64AE4">
        <w:t>1</w:t>
      </w:r>
      <w:r w:rsidRPr="0073336F">
        <w:t>% among site and years).</w:t>
      </w:r>
      <w:r>
        <w:t xml:space="preserve"> </w:t>
      </w:r>
      <w:r w:rsidRPr="0073336F">
        <w:t xml:space="preserve">On individual days with </w:t>
      </w:r>
      <w:r>
        <w:t xml:space="preserve">a </w:t>
      </w:r>
      <w:r w:rsidRPr="0073336F">
        <w:t>CEW contribution</w:t>
      </w:r>
      <w:r>
        <w:t xml:space="preserve"> to flow</w:t>
      </w:r>
      <w:r w:rsidRPr="0073336F">
        <w:t xml:space="preserve">, daily GPP was a mean of 15% lower than the counterfactual scenario (range </w:t>
      </w:r>
      <w:r w:rsidR="00D64AE4">
        <w:t>0</w:t>
      </w:r>
      <w:r w:rsidRPr="0073336F">
        <w:t>.5% to 43% among sites and years).</w:t>
      </w:r>
      <w:r>
        <w:t xml:space="preserve"> These patterns were observed despite the non-linear flow relationship because most daily flows (and nearly all CEW) are much lower than the flood peaks, thus occur in the region of </w:t>
      </w:r>
      <w:r w:rsidR="00305CA9">
        <w:fldChar w:fldCharType="begin"/>
      </w:r>
      <w:r w:rsidR="00305CA9">
        <w:instrText xml:space="preserve"> REF _Ref192602256 \h </w:instrText>
      </w:r>
      <w:r w:rsidR="00305CA9">
        <w:fldChar w:fldCharType="separate"/>
      </w:r>
      <w:r w:rsidR="00492712">
        <w:t>Figure </w:t>
      </w:r>
      <w:r w:rsidR="00835C8B">
        <w:rPr>
          <w:noProof/>
        </w:rPr>
        <w:t>5</w:t>
      </w:r>
      <w:r w:rsidR="00492712">
        <w:t>.</w:t>
      </w:r>
      <w:r w:rsidR="00492712">
        <w:rPr>
          <w:noProof/>
        </w:rPr>
        <w:t>1</w:t>
      </w:r>
      <w:r w:rsidR="00305CA9">
        <w:fldChar w:fldCharType="end"/>
      </w:r>
      <w:r>
        <w:t>B where flows negatively impact GPP.</w:t>
      </w:r>
    </w:p>
    <w:p w14:paraId="68EE3A8E" w14:textId="769E74B3" w:rsidR="00CE3D5E" w:rsidRDefault="00CE3D5E" w:rsidP="004A4DBC">
      <w:pPr>
        <w:pStyle w:val="BodyText"/>
      </w:pPr>
      <w:r>
        <w:t xml:space="preserve">The high variation in CEW </w:t>
      </w:r>
      <w:r w:rsidR="00046E62">
        <w:t>effect on</w:t>
      </w:r>
      <w:r>
        <w:t xml:space="preserve"> annual GPP among sites and years was driven by variation in CEW contribution to annual flow (</w:t>
      </w:r>
      <w:r w:rsidR="00F249CB">
        <w:fldChar w:fldCharType="begin"/>
      </w:r>
      <w:r w:rsidR="00F249CB">
        <w:instrText xml:space="preserve"> REF _Ref202175893 \h </w:instrText>
      </w:r>
      <w:r w:rsidR="00F249CB">
        <w:fldChar w:fldCharType="separate"/>
      </w:r>
      <w:r w:rsidR="00F249CB">
        <w:t>Figure </w:t>
      </w:r>
      <w:r w:rsidR="00835C8B">
        <w:rPr>
          <w:noProof/>
        </w:rPr>
        <w:t>5</w:t>
      </w:r>
      <w:r w:rsidR="00F249CB">
        <w:t>.</w:t>
      </w:r>
      <w:r w:rsidR="00F249CB">
        <w:rPr>
          <w:noProof/>
        </w:rPr>
        <w:t>2</w:t>
      </w:r>
      <w:r w:rsidR="00F249CB">
        <w:fldChar w:fldCharType="end"/>
      </w:r>
      <w:r>
        <w:t xml:space="preserve">). Years with relatively more CEW generally produced the largest predicted reductions in total annual GPP compared to the counterfactual. For instance, in some years at </w:t>
      </w:r>
      <w:r w:rsidR="00E930E9">
        <w:t xml:space="preserve">sites in the </w:t>
      </w:r>
      <w:r>
        <w:t xml:space="preserve">Lower Murray </w:t>
      </w:r>
      <w:r w:rsidR="00E930E9">
        <w:t xml:space="preserve">River </w:t>
      </w:r>
      <w:r w:rsidR="00345F5B">
        <w:t>S</w:t>
      </w:r>
      <w:r>
        <w:t xml:space="preserve">elected </w:t>
      </w:r>
      <w:r w:rsidR="00345F5B">
        <w:t>A</w:t>
      </w:r>
      <w:r>
        <w:t>rea, CEW contributed around 40% of annual flow, which was predicted to have reduced annual GPP by &gt;</w:t>
      </w:r>
      <w:r w:rsidR="00E930E9">
        <w:t> </w:t>
      </w:r>
      <w:r>
        <w:t>14% (</w:t>
      </w:r>
      <w:r>
        <w:fldChar w:fldCharType="begin"/>
      </w:r>
      <w:r>
        <w:instrText xml:space="preserve"> REF _Ref192621477 \h </w:instrText>
      </w:r>
      <w:r>
        <w:fldChar w:fldCharType="separate"/>
      </w:r>
      <w:r w:rsidR="00492712">
        <w:t>Figure </w:t>
      </w:r>
      <w:r w:rsidR="00835C8B">
        <w:rPr>
          <w:noProof/>
        </w:rPr>
        <w:t>5</w:t>
      </w:r>
      <w:r w:rsidR="00492712">
        <w:t>.</w:t>
      </w:r>
      <w:r w:rsidR="00492712">
        <w:rPr>
          <w:noProof/>
        </w:rPr>
        <w:t>3</w:t>
      </w:r>
      <w:r>
        <w:fldChar w:fldCharType="end"/>
      </w:r>
      <w:r>
        <w:t>). However, there was some variation in this effect, driven by the types of flows support</w:t>
      </w:r>
      <w:r w:rsidR="00203706">
        <w:t>ed</w:t>
      </w:r>
      <w:r>
        <w:t xml:space="preserve"> by CEW. In one year at Hopwood (Edward</w:t>
      </w:r>
      <w:r w:rsidR="00203706">
        <w:t>/Kolety–</w:t>
      </w:r>
      <w:r>
        <w:t xml:space="preserve">Wakool </w:t>
      </w:r>
      <w:r w:rsidR="006F3572">
        <w:t>r</w:t>
      </w:r>
      <w:r w:rsidR="00203706">
        <w:t>iver systems S</w:t>
      </w:r>
      <w:r>
        <w:t xml:space="preserve">elected </w:t>
      </w:r>
      <w:r w:rsidR="00203706">
        <w:t>A</w:t>
      </w:r>
      <w:r>
        <w:t>rea), a 7% contribution of CEW to annual flow was also predicted to have reduced annual GPP by &gt; 14% (</w:t>
      </w:r>
      <w:r>
        <w:fldChar w:fldCharType="begin"/>
      </w:r>
      <w:r>
        <w:instrText xml:space="preserve"> REF _Ref192621659 \h </w:instrText>
      </w:r>
      <w:r>
        <w:fldChar w:fldCharType="separate"/>
      </w:r>
      <w:r w:rsidR="00492712">
        <w:t>Figure </w:t>
      </w:r>
      <w:r w:rsidR="00835C8B">
        <w:rPr>
          <w:noProof/>
        </w:rPr>
        <w:t>5</w:t>
      </w:r>
      <w:r w:rsidR="00492712">
        <w:t>.</w:t>
      </w:r>
      <w:r w:rsidR="00492712">
        <w:rPr>
          <w:noProof/>
        </w:rPr>
        <w:t>4</w:t>
      </w:r>
      <w:r>
        <w:fldChar w:fldCharType="end"/>
      </w:r>
      <w:r>
        <w:t>). This was because CEW flows occurred at low total flows and</w:t>
      </w:r>
      <w:r w:rsidR="007B29F0">
        <w:t xml:space="preserve"> </w:t>
      </w:r>
      <w:r w:rsidR="00D34251">
        <w:t xml:space="preserve">the low CEW contribution to flow </w:t>
      </w:r>
      <w:r w:rsidR="007B29F0">
        <w:t>was</w:t>
      </w:r>
      <w:r>
        <w:t xml:space="preserve"> exacerbated by large flows earlier in the water year that did not include CEW.</w:t>
      </w:r>
    </w:p>
    <w:p w14:paraId="79B2110B" w14:textId="3663F4E6" w:rsidR="00235E2D" w:rsidRDefault="00CE3D5E" w:rsidP="001B4152">
      <w:pPr>
        <w:pStyle w:val="BodyText"/>
      </w:pPr>
      <w:r>
        <w:t>Much less often, CEW was predicted to have increased daily GPP rates. For example, in 2016</w:t>
      </w:r>
      <w:r w:rsidR="00B57FE3">
        <w:t>–</w:t>
      </w:r>
      <w:r>
        <w:t xml:space="preserve">17, CEW was used at high total flows to prolong a flood recession in the Lachlan River </w:t>
      </w:r>
      <w:r w:rsidR="00B57FE3">
        <w:t>–</w:t>
      </w:r>
      <w:r>
        <w:t xml:space="preserve"> the aim </w:t>
      </w:r>
      <w:r w:rsidR="009A3D11">
        <w:t>was to</w:t>
      </w:r>
      <w:r>
        <w:t xml:space="preserve"> creat</w:t>
      </w:r>
      <w:r w:rsidR="009A3D11">
        <w:t>e</w:t>
      </w:r>
      <w:r>
        <w:t xml:space="preserve"> a more natural drawdown to maintain water quality (</w:t>
      </w:r>
      <w:r>
        <w:fldChar w:fldCharType="begin"/>
      </w:r>
      <w:r>
        <w:instrText xml:space="preserve"> REF _Ref192621435 \h </w:instrText>
      </w:r>
      <w:r w:rsidR="00235E2D">
        <w:instrText xml:space="preserve"> \* MERGEFORMAT </w:instrText>
      </w:r>
      <w:r>
        <w:fldChar w:fldCharType="separate"/>
      </w:r>
      <w:r w:rsidR="00492712">
        <w:t>Figure </w:t>
      </w:r>
      <w:r w:rsidR="00835C8B">
        <w:t>5</w:t>
      </w:r>
      <w:r w:rsidR="00492712">
        <w:t>.5</w:t>
      </w:r>
      <w:r>
        <w:fldChar w:fldCharType="end"/>
      </w:r>
      <w:r>
        <w:t>). Over</w:t>
      </w:r>
      <w:r w:rsidR="00981486">
        <w:t xml:space="preserve"> </w:t>
      </w:r>
      <w:r w:rsidR="009A3D11">
        <w:t xml:space="preserve">2 </w:t>
      </w:r>
      <w:r>
        <w:t>weeks</w:t>
      </w:r>
      <w:r w:rsidR="009A3D11">
        <w:t>,</w:t>
      </w:r>
      <w:r>
        <w:t xml:space="preserve"> this action was predicted to have increased GPP relative to the counterfactual, as the flows were above the threshold </w:t>
      </w:r>
      <w:r w:rsidR="006E7537">
        <w:t xml:space="preserve">shown </w:t>
      </w:r>
      <w:r>
        <w:t>in</w:t>
      </w:r>
      <w:r w:rsidR="00D34251">
        <w:t xml:space="preserve"> </w:t>
      </w:r>
      <w:r w:rsidR="00D34251">
        <w:fldChar w:fldCharType="begin"/>
      </w:r>
      <w:r w:rsidR="00D34251">
        <w:instrText xml:space="preserve"> REF _Ref192602256 \h </w:instrText>
      </w:r>
      <w:r w:rsidR="00235E2D">
        <w:instrText xml:space="preserve"> \* MERGEFORMAT </w:instrText>
      </w:r>
      <w:r w:rsidR="00D34251">
        <w:fldChar w:fldCharType="separate"/>
      </w:r>
      <w:r w:rsidR="00492712">
        <w:t>Figure </w:t>
      </w:r>
      <w:r w:rsidR="00835C8B">
        <w:t>5</w:t>
      </w:r>
      <w:r w:rsidR="00492712">
        <w:t>.1</w:t>
      </w:r>
      <w:r w:rsidR="00D34251">
        <w:fldChar w:fldCharType="end"/>
      </w:r>
      <w:r w:rsidR="00D34251">
        <w:t>B</w:t>
      </w:r>
      <w:r w:rsidR="006E7537">
        <w:t>,</w:t>
      </w:r>
      <w:r>
        <w:t xml:space="preserve"> where flows started to positively affect GPP.</w:t>
      </w:r>
      <w:bookmarkStart w:id="193" w:name="_Ref192620232"/>
      <w:bookmarkStart w:id="194" w:name="_Toc193363438"/>
      <w:bookmarkStart w:id="195" w:name="_Toc194788954"/>
    </w:p>
    <w:p w14:paraId="14296D09" w14:textId="60DB792F" w:rsidR="00CE3D5E" w:rsidRDefault="00235E2D" w:rsidP="004A4DBC">
      <w:pPr>
        <w:pStyle w:val="CaptionWithNote"/>
      </w:pPr>
      <w:bookmarkStart w:id="196" w:name="_Ref202175893"/>
      <w:bookmarkStart w:id="197" w:name="_Toc202187887"/>
      <w:r>
        <w:lastRenderedPageBreak/>
        <w:t>F</w:t>
      </w:r>
      <w:r w:rsidR="00CE3D5E">
        <w:t>igure</w:t>
      </w:r>
      <w:r w:rsidR="007B29F0">
        <w:t> </w:t>
      </w:r>
      <w:r w:rsidR="00CE3D5E">
        <w:fldChar w:fldCharType="begin"/>
      </w:r>
      <w:r w:rsidR="00CE3D5E">
        <w:instrText>STYLEREF 1 \s</w:instrText>
      </w:r>
      <w:r w:rsidR="00CE3D5E">
        <w:fldChar w:fldCharType="separate"/>
      </w:r>
      <w:r w:rsidR="00835C8B">
        <w:rPr>
          <w:noProof/>
        </w:rPr>
        <w:t>5</w:t>
      </w:r>
      <w:r w:rsidR="00CE3D5E">
        <w:fldChar w:fldCharType="end"/>
      </w:r>
      <w:r w:rsidR="00CE3D5E">
        <w:t>.</w:t>
      </w:r>
      <w:r w:rsidR="00CE3D5E">
        <w:fldChar w:fldCharType="begin"/>
      </w:r>
      <w:r w:rsidR="00CE3D5E">
        <w:instrText>SEQ Figure \* ARABIC \s 1</w:instrText>
      </w:r>
      <w:r w:rsidR="00CE3D5E">
        <w:fldChar w:fldCharType="separate"/>
      </w:r>
      <w:r w:rsidR="00492712">
        <w:rPr>
          <w:noProof/>
        </w:rPr>
        <w:t>2</w:t>
      </w:r>
      <w:r w:rsidR="00CE3D5E">
        <w:fldChar w:fldCharType="end"/>
      </w:r>
      <w:bookmarkEnd w:id="193"/>
      <w:bookmarkEnd w:id="196"/>
      <w:r w:rsidR="00CE3D5E">
        <w:t xml:space="preserve"> Effect of </w:t>
      </w:r>
      <w:r w:rsidR="00D9461D">
        <w:t xml:space="preserve">Commonwealth environmental water </w:t>
      </w:r>
      <w:r w:rsidR="00CE3D5E">
        <w:t xml:space="preserve">contribution to flow on the predicted change in annual </w:t>
      </w:r>
      <w:r w:rsidR="00D9461D">
        <w:t>gross primary producti</w:t>
      </w:r>
      <w:r w:rsidR="00A262E5">
        <w:t>on</w:t>
      </w:r>
      <w:r w:rsidR="00D9461D">
        <w:t xml:space="preserve"> </w:t>
      </w:r>
      <w:r w:rsidR="00CE3D5E">
        <w:t>compared to the counterfactual scenario</w:t>
      </w:r>
      <w:bookmarkEnd w:id="194"/>
      <w:bookmarkEnd w:id="195"/>
      <w:bookmarkEnd w:id="197"/>
    </w:p>
    <w:p w14:paraId="1448B45C" w14:textId="66662EAB" w:rsidR="00CE3D5E" w:rsidRPr="003E2D00" w:rsidRDefault="00F9349E" w:rsidP="00CE3D5E">
      <w:pPr>
        <w:pStyle w:val="CaptionNote"/>
      </w:pPr>
      <w:r>
        <w:t>Scatter plot</w:t>
      </w:r>
      <w:r w:rsidR="00AB742D">
        <w:t xml:space="preserve"> with e</w:t>
      </w:r>
      <w:r w:rsidR="00CE3D5E" w:rsidRPr="00505064">
        <w:t xml:space="preserve">ach point </w:t>
      </w:r>
      <w:r w:rsidR="00AB742D">
        <w:t xml:space="preserve">being </w:t>
      </w:r>
      <w:r w:rsidR="00CE3D5E" w:rsidRPr="00505064">
        <w:t>one year at one site.</w:t>
      </w:r>
      <w:r w:rsidR="00CE3D5E">
        <w:t xml:space="preserve"> Colour indicates the </w:t>
      </w:r>
      <w:r w:rsidR="00BA548E">
        <w:t>S</w:t>
      </w:r>
      <w:r w:rsidR="00CE3D5E">
        <w:t xml:space="preserve">elected </w:t>
      </w:r>
      <w:r w:rsidR="00BA548E">
        <w:t>A</w:t>
      </w:r>
      <w:r w:rsidR="00CE3D5E">
        <w:t>rea.</w:t>
      </w:r>
      <w:r w:rsidR="00CE3D5E" w:rsidRPr="00B62E7C">
        <w:t xml:space="preserve"> </w:t>
      </w:r>
      <w:r w:rsidR="00CE3D5E" w:rsidRPr="00505064">
        <w:t xml:space="preserve">There </w:t>
      </w:r>
      <w:r w:rsidR="00CE3D5E">
        <w:t>was</w:t>
      </w:r>
      <w:r w:rsidR="00CE3D5E" w:rsidRPr="00505064">
        <w:t xml:space="preserve"> a</w:t>
      </w:r>
      <w:r w:rsidR="00CE3D5E">
        <w:t xml:space="preserve"> significant</w:t>
      </w:r>
      <w:r w:rsidR="00CE3D5E" w:rsidRPr="00505064">
        <w:t xml:space="preserve"> </w:t>
      </w:r>
      <w:r w:rsidR="00CE3D5E">
        <w:t>negative</w:t>
      </w:r>
      <w:r w:rsidR="00CE3D5E" w:rsidRPr="00505064">
        <w:t xml:space="preserve"> relationship between </w:t>
      </w:r>
      <w:r w:rsidR="00AB742D">
        <w:t xml:space="preserve">proportion of </w:t>
      </w:r>
      <w:r w:rsidR="00CE3D5E" w:rsidRPr="00505064">
        <w:t xml:space="preserve">CEW </w:t>
      </w:r>
      <w:r w:rsidR="00AB742D">
        <w:t xml:space="preserve">contribution </w:t>
      </w:r>
      <w:r w:rsidR="00CE3D5E" w:rsidRPr="00505064">
        <w:t xml:space="preserve">to </w:t>
      </w:r>
      <w:r w:rsidR="00AB742D">
        <w:t xml:space="preserve">annual </w:t>
      </w:r>
      <w:r w:rsidR="00CE3D5E" w:rsidRPr="00505064">
        <w:t xml:space="preserve">flow </w:t>
      </w:r>
      <w:r w:rsidR="00AB742D">
        <w:t xml:space="preserve">(x-axis) </w:t>
      </w:r>
      <w:r w:rsidR="00CE3D5E" w:rsidRPr="00505064">
        <w:t xml:space="preserve">and </w:t>
      </w:r>
      <w:r w:rsidR="00CE3D5E">
        <w:t xml:space="preserve">the percent change in </w:t>
      </w:r>
      <w:r w:rsidR="00D3037D">
        <w:t xml:space="preserve">effect of CEW on annual </w:t>
      </w:r>
      <w:r w:rsidR="00C11E53">
        <w:t>gross primary production (</w:t>
      </w:r>
      <w:r w:rsidR="00CE3D5E" w:rsidRPr="00505064">
        <w:t>GPP</w:t>
      </w:r>
      <w:r w:rsidR="00C11E53">
        <w:t>)</w:t>
      </w:r>
      <w:r w:rsidR="00CE3D5E">
        <w:t xml:space="preserve"> </w:t>
      </w:r>
      <w:r w:rsidR="00D3037D">
        <w:t xml:space="preserve">(y-axis) </w:t>
      </w:r>
      <w:r w:rsidR="00CE3D5E">
        <w:t>between the observed and counterfactual scenarios (t</w:t>
      </w:r>
      <w:r w:rsidR="00DB57A3">
        <w:t> </w:t>
      </w:r>
      <w:r w:rsidR="00CE3D5E">
        <w:t>=</w:t>
      </w:r>
      <w:r w:rsidR="00DB57A3">
        <w:t> </w:t>
      </w:r>
      <w:r w:rsidR="00CE3D5E">
        <w:t>9.36, p</w:t>
      </w:r>
      <w:r w:rsidR="00DB57A3">
        <w:t> </w:t>
      </w:r>
      <w:r w:rsidR="00CE3D5E">
        <w:t>&lt;</w:t>
      </w:r>
      <w:r w:rsidR="00DB57A3">
        <w:t> </w:t>
      </w:r>
      <w:r w:rsidR="00CE3D5E">
        <w:t>0.001, R</w:t>
      </w:r>
      <w:r w:rsidR="00CE3D5E" w:rsidRPr="00B62E7C">
        <w:rPr>
          <w:vertAlign w:val="superscript"/>
        </w:rPr>
        <w:t>2</w:t>
      </w:r>
      <w:r w:rsidR="00E412FD" w:rsidRPr="004A4DBC">
        <w:t> </w:t>
      </w:r>
      <w:r w:rsidR="00CE3D5E">
        <w:t>=</w:t>
      </w:r>
      <w:r w:rsidR="00E412FD">
        <w:t> </w:t>
      </w:r>
      <w:r w:rsidR="00CE3D5E">
        <w:t>0.47)</w:t>
      </w:r>
      <w:r w:rsidR="00CE3D5E" w:rsidRPr="00505064">
        <w:t>.</w:t>
      </w:r>
    </w:p>
    <w:p w14:paraId="443BE8D7" w14:textId="29E99ABF" w:rsidR="00CE3D5E" w:rsidRDefault="002C07A3" w:rsidP="004A4DBC">
      <w:pPr>
        <w:pStyle w:val="Figure"/>
      </w:pPr>
      <w:r>
        <w:rPr>
          <w:noProof/>
        </w:rPr>
        <w:drawing>
          <wp:inline distT="0" distB="0" distL="0" distR="0" wp14:anchorId="1565EC12" wp14:editId="0087EE14">
            <wp:extent cx="5036617" cy="2684678"/>
            <wp:effectExtent l="0" t="0" r="0" b="1905"/>
            <wp:docPr id="107101811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18110" name="Picture 13">
                      <a:extLst>
                        <a:ext uri="{C183D7F6-B498-43B3-948B-1728B52AA6E4}">
                          <adec:decorative xmlns:adec="http://schemas.microsoft.com/office/drawing/2017/decorative" val="1"/>
                        </a:ext>
                      </a:extLst>
                    </pic:cNvPr>
                    <pic:cNvPicPr>
                      <a:picLocks noChangeAspect="1" noChangeArrowheads="1"/>
                    </pic:cNvPicPr>
                  </pic:nvPicPr>
                  <pic:blipFill>
                    <a:blip r:embed="rId55"/>
                    <a:stretch>
                      <a:fillRect/>
                    </a:stretch>
                  </pic:blipFill>
                  <pic:spPr bwMode="auto">
                    <a:xfrm>
                      <a:off x="0" y="0"/>
                      <a:ext cx="5049073" cy="2691317"/>
                    </a:xfrm>
                    <a:prstGeom prst="rect">
                      <a:avLst/>
                    </a:prstGeom>
                    <a:noFill/>
                    <a:ln>
                      <a:noFill/>
                    </a:ln>
                  </pic:spPr>
                </pic:pic>
              </a:graphicData>
            </a:graphic>
          </wp:inline>
        </w:drawing>
      </w:r>
    </w:p>
    <w:p w14:paraId="57FFEF0D" w14:textId="5421FF6C" w:rsidR="004C516C" w:rsidRDefault="00CE3D5E" w:rsidP="003569C4">
      <w:pPr>
        <w:pStyle w:val="CaptionWithNote"/>
      </w:pPr>
      <w:bookmarkStart w:id="198" w:name="_Ref192621477"/>
      <w:bookmarkStart w:id="199" w:name="_Toc202187888"/>
      <w:bookmarkStart w:id="200" w:name="_Toc193363439"/>
      <w:bookmarkStart w:id="201" w:name="_Toc194788955"/>
      <w:r>
        <w:t>Figure</w:t>
      </w:r>
      <w:r w:rsidR="00BA548E">
        <w:t> </w:t>
      </w:r>
      <w:r w:rsidRPr="003569C4">
        <w:rPr>
          <w:b w:val="0"/>
        </w:rPr>
        <w:fldChar w:fldCharType="begin"/>
      </w:r>
      <w:r>
        <w:instrText xml:space="preserve"> STYLEREF 1 \s </w:instrText>
      </w:r>
      <w:r w:rsidRPr="003569C4">
        <w:rPr>
          <w:b w:val="0"/>
        </w:rPr>
        <w:fldChar w:fldCharType="separate"/>
      </w:r>
      <w:r w:rsidR="00835C8B">
        <w:rPr>
          <w:noProof/>
        </w:rPr>
        <w:t>5</w:t>
      </w:r>
      <w:r w:rsidRPr="003569C4">
        <w:rPr>
          <w:b w:val="0"/>
        </w:rPr>
        <w:fldChar w:fldCharType="end"/>
      </w:r>
      <w:r>
        <w:t>.</w:t>
      </w:r>
      <w:r w:rsidRPr="003569C4">
        <w:rPr>
          <w:b w:val="0"/>
        </w:rPr>
        <w:fldChar w:fldCharType="begin"/>
      </w:r>
      <w:r>
        <w:instrText xml:space="preserve"> SEQ Figure \* ARABIC \s 1 </w:instrText>
      </w:r>
      <w:r w:rsidRPr="003569C4">
        <w:rPr>
          <w:b w:val="0"/>
        </w:rPr>
        <w:fldChar w:fldCharType="separate"/>
      </w:r>
      <w:r w:rsidR="00492712">
        <w:rPr>
          <w:noProof/>
        </w:rPr>
        <w:t>3</w:t>
      </w:r>
      <w:r w:rsidRPr="003569C4">
        <w:rPr>
          <w:b w:val="0"/>
        </w:rPr>
        <w:fldChar w:fldCharType="end"/>
      </w:r>
      <w:bookmarkEnd w:id="198"/>
      <w:r w:rsidRPr="00505064">
        <w:t xml:space="preserve"> </w:t>
      </w:r>
      <w:r>
        <w:t xml:space="preserve">Counterfactual </w:t>
      </w:r>
      <w:r w:rsidR="008642B5">
        <w:t>gross primary producti</w:t>
      </w:r>
      <w:r w:rsidR="00A262E5">
        <w:t>on</w:t>
      </w:r>
      <w:r w:rsidR="008642B5">
        <w:t xml:space="preserve"> (</w:t>
      </w:r>
      <w:r>
        <w:t>GPP</w:t>
      </w:r>
      <w:r w:rsidR="008642B5">
        <w:t>)</w:t>
      </w:r>
      <w:r>
        <w:t xml:space="preserve"> predictions for one site </w:t>
      </w:r>
      <w:r w:rsidR="000A7147">
        <w:t>i</w:t>
      </w:r>
      <w:r>
        <w:t xml:space="preserve">n the Lower Murray River </w:t>
      </w:r>
      <w:r w:rsidR="000A7147">
        <w:t xml:space="preserve">Selected Area </w:t>
      </w:r>
      <w:r>
        <w:t xml:space="preserve">over </w:t>
      </w:r>
      <w:r w:rsidR="008642B5">
        <w:t>2</w:t>
      </w:r>
      <w:r>
        <w:t xml:space="preserve"> years</w:t>
      </w:r>
      <w:bookmarkEnd w:id="199"/>
    </w:p>
    <w:p w14:paraId="10A3C7E0" w14:textId="0E315AF9" w:rsidR="00CE3D5E" w:rsidRDefault="00CE3D5E" w:rsidP="001B4152">
      <w:pPr>
        <w:pStyle w:val="CaptionNote"/>
      </w:pPr>
      <w:r>
        <w:t xml:space="preserve">This is an example of a site with high </w:t>
      </w:r>
      <w:r w:rsidR="001F3B0A">
        <w:t>CEW</w:t>
      </w:r>
      <w:r w:rsidR="005641DA">
        <w:t xml:space="preserve"> </w:t>
      </w:r>
      <w:r>
        <w:t xml:space="preserve">contributions that had a large effect on GPP, lowering annual totals by 17% </w:t>
      </w:r>
      <w:r w:rsidR="0033074D">
        <w:t xml:space="preserve">in 2015–16 </w:t>
      </w:r>
      <w:r>
        <w:t>and 14% in 2017</w:t>
      </w:r>
      <w:r w:rsidR="00B57FE3">
        <w:t>–</w:t>
      </w:r>
      <w:r>
        <w:t>18.</w:t>
      </w:r>
      <w:bookmarkEnd w:id="200"/>
      <w:bookmarkEnd w:id="201"/>
    </w:p>
    <w:p w14:paraId="76378595" w14:textId="3A1C6419" w:rsidR="00CE3D5E" w:rsidRDefault="005D1889" w:rsidP="00CE3D5E">
      <w:pPr>
        <w:pStyle w:val="CaptionNote"/>
      </w:pPr>
      <w:r>
        <w:t>X</w:t>
      </w:r>
      <w:r w:rsidR="00546AEF">
        <w:t>-axis is time</w:t>
      </w:r>
      <w:r w:rsidR="00D91E35">
        <w:t>: l</w:t>
      </w:r>
      <w:r w:rsidR="00EC73BB">
        <w:t xml:space="preserve">eft plot </w:t>
      </w:r>
      <w:r w:rsidR="00964112">
        <w:t>1 1</w:t>
      </w:r>
      <w:r w:rsidR="00EC73BB">
        <w:t xml:space="preserve">uly 2015 to </w:t>
      </w:r>
      <w:r w:rsidR="00964112">
        <w:t xml:space="preserve">30 June </w:t>
      </w:r>
      <w:r w:rsidR="00EC73BB">
        <w:t xml:space="preserve">2016, right plot </w:t>
      </w:r>
      <w:r w:rsidR="00964112">
        <w:t xml:space="preserve">1 </w:t>
      </w:r>
      <w:r w:rsidR="00EC73BB">
        <w:t xml:space="preserve">July 2017 to </w:t>
      </w:r>
      <w:r w:rsidR="00964112">
        <w:t xml:space="preserve">30 June 2018. </w:t>
      </w:r>
      <w:r>
        <w:t xml:space="preserve">Y-axis </w:t>
      </w:r>
      <w:r w:rsidR="00CE3D5E">
        <w:t xml:space="preserve">Large green circles show the modelled </w:t>
      </w:r>
      <w:r w:rsidR="00146B93">
        <w:t xml:space="preserve">weekly </w:t>
      </w:r>
      <w:r w:rsidR="00CE3D5E">
        <w:t xml:space="preserve">mean GPP under the observed flow scenario </w:t>
      </w:r>
      <w:r w:rsidR="00515BBE">
        <w:t xml:space="preserve">(with CEW) </w:t>
      </w:r>
      <w:r w:rsidR="00CE3D5E">
        <w:t xml:space="preserve">and small black circles show the modelled </w:t>
      </w:r>
      <w:r w:rsidR="00515BBE">
        <w:t xml:space="preserve">weekly </w:t>
      </w:r>
      <w:r w:rsidR="00CE3D5E">
        <w:t>mean GPP under the counterfactual flow scenario</w:t>
      </w:r>
      <w:r w:rsidR="00515BBE">
        <w:t xml:space="preserve"> (without CEW)</w:t>
      </w:r>
      <w:r w:rsidR="00CE3D5E">
        <w:t>. The vertical black lines indicate the difference between the rates for</w:t>
      </w:r>
      <w:r w:rsidR="003C5D73">
        <w:t xml:space="preserve"> the</w:t>
      </w:r>
      <w:r w:rsidR="00CE3D5E">
        <w:t xml:space="preserve"> </w:t>
      </w:r>
      <w:r w:rsidR="00BE0729">
        <w:t>2 </w:t>
      </w:r>
      <w:r w:rsidR="00CE3D5E">
        <w:t xml:space="preserve">scenarios. The shaded hydrograph shows the flow at the closest gauge, </w:t>
      </w:r>
      <w:r w:rsidR="005641DA">
        <w:t>and</w:t>
      </w:r>
      <w:r w:rsidR="006F3572">
        <w:t xml:space="preserve"> </w:t>
      </w:r>
      <w:r w:rsidR="00CE3D5E">
        <w:t xml:space="preserve">the daily </w:t>
      </w:r>
      <w:r w:rsidR="00F54EBC">
        <w:t>Commonwealth environmental water (</w:t>
      </w:r>
      <w:r w:rsidR="00CE3D5E">
        <w:t>CEW</w:t>
      </w:r>
      <w:r w:rsidR="00F54EBC">
        <w:t>)</w:t>
      </w:r>
      <w:r w:rsidR="00CE3D5E">
        <w:t xml:space="preserve"> contribution </w:t>
      </w:r>
      <w:r w:rsidR="005641DA">
        <w:t xml:space="preserve">is </w:t>
      </w:r>
      <w:r w:rsidR="00CE3D5E">
        <w:t>shaded blue.</w:t>
      </w:r>
    </w:p>
    <w:p w14:paraId="4B0CA196" w14:textId="77777777" w:rsidR="00CE3D5E" w:rsidRDefault="00CE3D5E" w:rsidP="004A4DBC">
      <w:pPr>
        <w:pStyle w:val="Figure"/>
      </w:pPr>
      <w:r>
        <w:rPr>
          <w:noProof/>
        </w:rPr>
        <w:drawing>
          <wp:inline distT="0" distB="0" distL="0" distR="0" wp14:anchorId="150C4E65" wp14:editId="1718F9CF">
            <wp:extent cx="6124574" cy="2724150"/>
            <wp:effectExtent l="0" t="0" r="0" b="0"/>
            <wp:docPr id="1863074195" name="Picture 1863074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74195" name="Picture 1863074195">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a:ext>
                      </a:extLst>
                    </a:blip>
                    <a:stretch>
                      <a:fillRect/>
                    </a:stretch>
                  </pic:blipFill>
                  <pic:spPr>
                    <a:xfrm>
                      <a:off x="0" y="0"/>
                      <a:ext cx="6124574" cy="2724150"/>
                    </a:xfrm>
                    <a:prstGeom prst="rect">
                      <a:avLst/>
                    </a:prstGeom>
                  </pic:spPr>
                </pic:pic>
              </a:graphicData>
            </a:graphic>
          </wp:inline>
        </w:drawing>
      </w:r>
    </w:p>
    <w:p w14:paraId="58F1E1B2" w14:textId="72A640CB" w:rsidR="004C516C" w:rsidRDefault="00CE3D5E" w:rsidP="004A4DBC">
      <w:pPr>
        <w:pStyle w:val="CaptionWithNote"/>
      </w:pPr>
      <w:bookmarkStart w:id="202" w:name="_Ref192621659"/>
      <w:bookmarkStart w:id="203" w:name="_Toc202187889"/>
      <w:bookmarkStart w:id="204" w:name="_Toc193363440"/>
      <w:bookmarkStart w:id="205" w:name="_Toc194788956"/>
      <w:r>
        <w:lastRenderedPageBreak/>
        <w:t>Figure</w:t>
      </w:r>
      <w:r w:rsidR="00CA195C">
        <w:t> </w:t>
      </w:r>
      <w:r w:rsidRPr="003569C4">
        <w:rPr>
          <w:b w:val="0"/>
        </w:rPr>
        <w:fldChar w:fldCharType="begin"/>
      </w:r>
      <w:r>
        <w:instrText xml:space="preserve"> STYLEREF 1 \s </w:instrText>
      </w:r>
      <w:r w:rsidRPr="003569C4">
        <w:rPr>
          <w:b w:val="0"/>
        </w:rPr>
        <w:fldChar w:fldCharType="separate"/>
      </w:r>
      <w:r w:rsidR="00835C8B">
        <w:rPr>
          <w:noProof/>
        </w:rPr>
        <w:t>5</w:t>
      </w:r>
      <w:r w:rsidRPr="003569C4">
        <w:rPr>
          <w:b w:val="0"/>
        </w:rPr>
        <w:fldChar w:fldCharType="end"/>
      </w:r>
      <w:r>
        <w:t>.</w:t>
      </w:r>
      <w:r w:rsidRPr="003569C4">
        <w:rPr>
          <w:b w:val="0"/>
        </w:rPr>
        <w:fldChar w:fldCharType="begin"/>
      </w:r>
      <w:r>
        <w:instrText xml:space="preserve"> SEQ Figure \* ARABIC \s 1 </w:instrText>
      </w:r>
      <w:r w:rsidRPr="003569C4">
        <w:rPr>
          <w:b w:val="0"/>
        </w:rPr>
        <w:fldChar w:fldCharType="separate"/>
      </w:r>
      <w:r w:rsidR="00492712">
        <w:rPr>
          <w:noProof/>
        </w:rPr>
        <w:t>4</w:t>
      </w:r>
      <w:r w:rsidRPr="003569C4">
        <w:rPr>
          <w:b w:val="0"/>
        </w:rPr>
        <w:fldChar w:fldCharType="end"/>
      </w:r>
      <w:bookmarkEnd w:id="202"/>
      <w:r>
        <w:t xml:space="preserve"> Counterfactual </w:t>
      </w:r>
      <w:r w:rsidR="009A273A">
        <w:t>gross primary producti</w:t>
      </w:r>
      <w:r w:rsidR="00A262E5">
        <w:t>on</w:t>
      </w:r>
      <w:r w:rsidR="009A273A">
        <w:t xml:space="preserve"> (</w:t>
      </w:r>
      <w:r>
        <w:t>GPP</w:t>
      </w:r>
      <w:r w:rsidR="009A273A">
        <w:t>)</w:t>
      </w:r>
      <w:r>
        <w:t xml:space="preserve"> predictions for Hopwood in the Edward</w:t>
      </w:r>
      <w:r w:rsidR="000A7147">
        <w:t>/Kolety–</w:t>
      </w:r>
      <w:r>
        <w:t xml:space="preserve">Wakool </w:t>
      </w:r>
      <w:r w:rsidR="00725AFA">
        <w:t xml:space="preserve">river systems </w:t>
      </w:r>
      <w:r w:rsidR="000A7147">
        <w:t>S</w:t>
      </w:r>
      <w:r>
        <w:t xml:space="preserve">elected </w:t>
      </w:r>
      <w:r w:rsidR="000A7147">
        <w:t>A</w:t>
      </w:r>
      <w:r>
        <w:t>rea in 2016</w:t>
      </w:r>
      <w:r w:rsidR="00B57FE3">
        <w:t>–</w:t>
      </w:r>
      <w:r>
        <w:t>17</w:t>
      </w:r>
      <w:bookmarkEnd w:id="203"/>
    </w:p>
    <w:p w14:paraId="127F4EF4" w14:textId="5BFB049D" w:rsidR="00CE3D5E" w:rsidRDefault="00CE3D5E" w:rsidP="001B4152">
      <w:pPr>
        <w:pStyle w:val="CaptionNote"/>
      </w:pPr>
      <w:r>
        <w:t xml:space="preserve">This example demonstrates </w:t>
      </w:r>
      <w:r w:rsidR="000A7147">
        <w:t xml:space="preserve">that </w:t>
      </w:r>
      <w:r>
        <w:t xml:space="preserve">a small volume of </w:t>
      </w:r>
      <w:r w:rsidR="00E42E18">
        <w:t>C</w:t>
      </w:r>
      <w:r w:rsidR="000D279A">
        <w:t>EW</w:t>
      </w:r>
      <w:r w:rsidR="00E42E18">
        <w:t xml:space="preserve"> </w:t>
      </w:r>
      <w:r>
        <w:t xml:space="preserve">(when expressed as a percent of annual discharge) </w:t>
      </w:r>
      <w:r w:rsidR="000A7147">
        <w:t xml:space="preserve">can </w:t>
      </w:r>
      <w:r>
        <w:t>hav</w:t>
      </w:r>
      <w:r w:rsidR="000A7147">
        <w:t>e</w:t>
      </w:r>
      <w:r>
        <w:t xml:space="preserve"> a large impact on annual GPP.</w:t>
      </w:r>
      <w:bookmarkEnd w:id="204"/>
      <w:bookmarkEnd w:id="205"/>
    </w:p>
    <w:p w14:paraId="39049E03" w14:textId="7A876F5D" w:rsidR="00CE3D5E" w:rsidRDefault="000D279A" w:rsidP="00CE3D5E">
      <w:pPr>
        <w:pStyle w:val="CaptionNote"/>
      </w:pPr>
      <w:r>
        <w:t xml:space="preserve">X-axis is time, </w:t>
      </w:r>
      <w:r w:rsidR="00A45FF0">
        <w:t xml:space="preserve">1 July 2016 to 30 June 2017. </w:t>
      </w:r>
      <w:r w:rsidR="00CE3D5E">
        <w:t xml:space="preserve">Large green circles show the modelled </w:t>
      </w:r>
      <w:r w:rsidR="00A45FF0">
        <w:t xml:space="preserve">weekly </w:t>
      </w:r>
      <w:r w:rsidR="00CE3D5E">
        <w:t xml:space="preserve">mean GPP under the observed flow scenario </w:t>
      </w:r>
      <w:r w:rsidR="00A45FF0">
        <w:t xml:space="preserve">(with CEW) </w:t>
      </w:r>
      <w:r w:rsidR="00CE3D5E">
        <w:t>and small black circles show the modelled mean daily GPP under the counterfactual flow scenario</w:t>
      </w:r>
      <w:r w:rsidR="00A45FF0">
        <w:t xml:space="preserve"> (without CEW)</w:t>
      </w:r>
      <w:r w:rsidR="00CE3D5E">
        <w:t xml:space="preserve">. The vertical black lines indicate the difference between the rates for </w:t>
      </w:r>
      <w:r w:rsidR="003C5D73">
        <w:t>the 2 </w:t>
      </w:r>
      <w:r w:rsidR="00CE3D5E">
        <w:t xml:space="preserve">scenarios. The shaded hydrograph shows the flow at the closest gauge, </w:t>
      </w:r>
      <w:r w:rsidR="00EA5BEA">
        <w:t xml:space="preserve">and </w:t>
      </w:r>
      <w:r w:rsidR="00CE3D5E">
        <w:t xml:space="preserve">the daily CEW contribution </w:t>
      </w:r>
      <w:r w:rsidR="00EA5BEA">
        <w:t xml:space="preserve">is </w:t>
      </w:r>
      <w:r w:rsidR="00CE3D5E">
        <w:t>shaded blue.</w:t>
      </w:r>
    </w:p>
    <w:p w14:paraId="6912D99A" w14:textId="5FCDCFAE" w:rsidR="002C07A3" w:rsidRPr="002C07A3" w:rsidRDefault="002C07A3" w:rsidP="002C07A3">
      <w:r>
        <w:rPr>
          <w:noProof/>
        </w:rPr>
        <w:drawing>
          <wp:inline distT="0" distB="0" distL="0" distR="0" wp14:anchorId="42FE6955" wp14:editId="5964F861">
            <wp:extent cx="4216201" cy="2956956"/>
            <wp:effectExtent l="0" t="0" r="0" b="0"/>
            <wp:docPr id="174142047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20472" name="Picture 12">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26306" cy="2964043"/>
                    </a:xfrm>
                    <a:prstGeom prst="rect">
                      <a:avLst/>
                    </a:prstGeom>
                    <a:noFill/>
                  </pic:spPr>
                </pic:pic>
              </a:graphicData>
            </a:graphic>
          </wp:inline>
        </w:drawing>
      </w:r>
    </w:p>
    <w:p w14:paraId="58B589DD" w14:textId="066F8289" w:rsidR="006F091F" w:rsidRPr="006F091F" w:rsidRDefault="00CE3D5E" w:rsidP="006F091F">
      <w:pPr>
        <w:pStyle w:val="CaptionWithNote"/>
      </w:pPr>
      <w:bookmarkStart w:id="206" w:name="_Ref192621435"/>
      <w:bookmarkStart w:id="207" w:name="_Toc202187890"/>
      <w:bookmarkStart w:id="208" w:name="_Toc193363441"/>
      <w:bookmarkStart w:id="209" w:name="_Toc194788957"/>
      <w:r>
        <w:t>Figure</w:t>
      </w:r>
      <w:r w:rsidR="009C5050">
        <w:t> </w:t>
      </w:r>
      <w:r>
        <w:fldChar w:fldCharType="begin"/>
      </w:r>
      <w:r>
        <w:instrText>STYLEREF 1 \s</w:instrText>
      </w:r>
      <w:r>
        <w:fldChar w:fldCharType="separate"/>
      </w:r>
      <w:r w:rsidR="00835C8B">
        <w:rPr>
          <w:noProof/>
        </w:rPr>
        <w:t>5</w:t>
      </w:r>
      <w:r>
        <w:fldChar w:fldCharType="end"/>
      </w:r>
      <w:r>
        <w:t>.</w:t>
      </w:r>
      <w:r>
        <w:fldChar w:fldCharType="begin"/>
      </w:r>
      <w:r>
        <w:instrText>SEQ Figure \* ARABIC \s 1</w:instrText>
      </w:r>
      <w:r>
        <w:fldChar w:fldCharType="separate"/>
      </w:r>
      <w:r w:rsidR="00492712">
        <w:rPr>
          <w:noProof/>
        </w:rPr>
        <w:t>5</w:t>
      </w:r>
      <w:r>
        <w:fldChar w:fldCharType="end"/>
      </w:r>
      <w:bookmarkEnd w:id="206"/>
      <w:r>
        <w:t xml:space="preserve"> Counterfactual </w:t>
      </w:r>
      <w:r w:rsidR="00EA5BEA">
        <w:t>gross primary producti</w:t>
      </w:r>
      <w:r w:rsidR="00A262E5">
        <w:t>on</w:t>
      </w:r>
      <w:r w:rsidR="00EA5BEA">
        <w:t xml:space="preserve"> (</w:t>
      </w:r>
      <w:r>
        <w:t>GPP</w:t>
      </w:r>
      <w:r w:rsidR="00EA5BEA">
        <w:t>)</w:t>
      </w:r>
      <w:r>
        <w:t xml:space="preserve"> predictions for Lane’s Bridge in the Lachlan River </w:t>
      </w:r>
      <w:r w:rsidR="00D702BC">
        <w:t xml:space="preserve">System </w:t>
      </w:r>
      <w:r w:rsidR="00EA5BEA">
        <w:t>S</w:t>
      </w:r>
      <w:r>
        <w:t xml:space="preserve">elected </w:t>
      </w:r>
      <w:r w:rsidR="00EA5BEA">
        <w:t>A</w:t>
      </w:r>
      <w:r>
        <w:t>rea</w:t>
      </w:r>
      <w:bookmarkEnd w:id="207"/>
    </w:p>
    <w:p w14:paraId="25E5F8BC" w14:textId="006E0E3E" w:rsidR="00CE3D5E" w:rsidRDefault="00CE3D5E" w:rsidP="001B4152">
      <w:pPr>
        <w:pStyle w:val="CaptionNote"/>
      </w:pPr>
      <w:r>
        <w:t>This e</w:t>
      </w:r>
      <w:r w:rsidRPr="00505064">
        <w:t xml:space="preserve">xample </w:t>
      </w:r>
      <w:r>
        <w:t xml:space="preserve">demonstrates </w:t>
      </w:r>
      <w:r w:rsidRPr="00505064">
        <w:t xml:space="preserve">how </w:t>
      </w:r>
      <w:r>
        <w:t xml:space="preserve">the modelled </w:t>
      </w:r>
      <w:r w:rsidRPr="00505064">
        <w:t xml:space="preserve">non-linear effect of flow on GPP can </w:t>
      </w:r>
      <w:r>
        <w:t>produce both positive and negative contribution</w:t>
      </w:r>
      <w:r w:rsidR="00ED16A5">
        <w:t>s</w:t>
      </w:r>
      <w:r>
        <w:t xml:space="preserve"> of </w:t>
      </w:r>
      <w:r w:rsidR="00EB69D5">
        <w:t>C</w:t>
      </w:r>
      <w:r w:rsidR="00336B8B">
        <w:t>EW</w:t>
      </w:r>
      <w:r w:rsidR="00EB69D5">
        <w:t xml:space="preserve"> </w:t>
      </w:r>
      <w:r>
        <w:t>to GPP under different flow contexts.</w:t>
      </w:r>
      <w:bookmarkEnd w:id="208"/>
      <w:bookmarkEnd w:id="209"/>
      <w:r>
        <w:t xml:space="preserve"> </w:t>
      </w:r>
    </w:p>
    <w:p w14:paraId="0283FDEC" w14:textId="442B5AE7" w:rsidR="00CE3D5E" w:rsidRDefault="00D91E35" w:rsidP="00CE3D5E">
      <w:pPr>
        <w:pStyle w:val="CaptionNote"/>
      </w:pPr>
      <w:r>
        <w:t xml:space="preserve">X-axis is time: left plot 1 1uly 2016 to 30 June 2017, right plot 1 July 2017 to 30 June 2018. </w:t>
      </w:r>
      <w:r w:rsidR="00CE3D5E">
        <w:t xml:space="preserve">Large green circles show the modelled mean daily GPP under the observed flow scenario </w:t>
      </w:r>
      <w:r w:rsidR="00336B8B">
        <w:t xml:space="preserve">(with CEW) </w:t>
      </w:r>
      <w:r w:rsidR="00CE3D5E">
        <w:t>and small black circles show the modelled mean daily GPP under the counterfactual flow scenario</w:t>
      </w:r>
      <w:r w:rsidR="00336B8B">
        <w:t xml:space="preserve"> (without CEW)</w:t>
      </w:r>
      <w:r w:rsidR="00CE3D5E">
        <w:t xml:space="preserve">. The vertical black lines indicate the difference between the rates for </w:t>
      </w:r>
      <w:r w:rsidR="00EB69D5">
        <w:t>the 2 </w:t>
      </w:r>
      <w:r w:rsidR="00CE3D5E">
        <w:t xml:space="preserve">scenarios. The shaded hydrograph shows the flow at the closest gauge, </w:t>
      </w:r>
      <w:r w:rsidR="00F044F4">
        <w:t xml:space="preserve">and </w:t>
      </w:r>
      <w:r w:rsidR="00CE3D5E">
        <w:t xml:space="preserve">the daily CEW contribution </w:t>
      </w:r>
      <w:r w:rsidR="00F044F4">
        <w:t xml:space="preserve">is </w:t>
      </w:r>
      <w:r w:rsidR="00CE3D5E">
        <w:t>shaded blue.</w:t>
      </w:r>
    </w:p>
    <w:p w14:paraId="1CB0EE00" w14:textId="77777777" w:rsidR="00CE3D5E" w:rsidRDefault="00CE3D5E" w:rsidP="004A4DBC">
      <w:pPr>
        <w:pStyle w:val="Figure"/>
      </w:pPr>
      <w:r>
        <w:rPr>
          <w:noProof/>
        </w:rPr>
        <w:drawing>
          <wp:inline distT="0" distB="0" distL="0" distR="0" wp14:anchorId="3C420B35" wp14:editId="190C22F7">
            <wp:extent cx="6124574" cy="2733675"/>
            <wp:effectExtent l="0" t="0" r="0" b="0"/>
            <wp:docPr id="124584173" name="Picture 124584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84173" name="Picture 124584173">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a:ext>
                      </a:extLst>
                    </a:blip>
                    <a:stretch>
                      <a:fillRect/>
                    </a:stretch>
                  </pic:blipFill>
                  <pic:spPr>
                    <a:xfrm>
                      <a:off x="0" y="0"/>
                      <a:ext cx="6124574" cy="2733675"/>
                    </a:xfrm>
                    <a:prstGeom prst="rect">
                      <a:avLst/>
                    </a:prstGeom>
                  </pic:spPr>
                </pic:pic>
              </a:graphicData>
            </a:graphic>
          </wp:inline>
        </w:drawing>
      </w:r>
    </w:p>
    <w:p w14:paraId="0AF78A1A" w14:textId="77777777" w:rsidR="00CE3D5E" w:rsidRDefault="00CE3D5E" w:rsidP="00B12216">
      <w:pPr>
        <w:pStyle w:val="Heading2"/>
      </w:pPr>
      <w:bookmarkStart w:id="210" w:name="_Toc202187861"/>
      <w:r>
        <w:lastRenderedPageBreak/>
        <w:t>Implications</w:t>
      </w:r>
      <w:bookmarkEnd w:id="210"/>
    </w:p>
    <w:p w14:paraId="5579B5E6" w14:textId="0C9D88E2" w:rsidR="00CE3D5E" w:rsidRPr="001B55E0" w:rsidRDefault="00BC6AA0" w:rsidP="001B4152">
      <w:pPr>
        <w:pStyle w:val="ListBullet"/>
        <w:keepNext/>
        <w:keepLines/>
      </w:pPr>
      <w:r w:rsidRPr="001B55E0">
        <w:t xml:space="preserve">Riverine productivity regimes are sensitive to </w:t>
      </w:r>
      <w:r w:rsidR="00CE3D5E" w:rsidRPr="001B55E0">
        <w:t>CEW</w:t>
      </w:r>
      <w:r w:rsidR="00C817DC" w:rsidRPr="001B55E0">
        <w:t>.</w:t>
      </w:r>
    </w:p>
    <w:p w14:paraId="39442A12" w14:textId="77777777" w:rsidR="00CE3D5E" w:rsidRPr="001B55E0" w:rsidRDefault="00CE3D5E" w:rsidP="001B4152">
      <w:pPr>
        <w:pStyle w:val="ListBullet"/>
        <w:keepNext/>
        <w:keepLines/>
      </w:pPr>
      <w:r w:rsidRPr="001B55E0">
        <w:t>Delivering CEW at flows lower than large freshes will generally reduce daily GPP (by a daily average of 15%), contributing to lower annual rates of productivity. This could potentially limit the proliferation of some unwanted algal groups that can occur at low flows.</w:t>
      </w:r>
    </w:p>
    <w:p w14:paraId="070ED580" w14:textId="16E0D1AE" w:rsidR="00CE3D5E" w:rsidRPr="001B55E0" w:rsidRDefault="004F12D7" w:rsidP="001B4152">
      <w:pPr>
        <w:pStyle w:val="ListBullet"/>
        <w:keepNext/>
        <w:keepLines/>
      </w:pPr>
      <w:r w:rsidRPr="001B55E0">
        <w:t>I</w:t>
      </w:r>
      <w:r w:rsidR="00CE3D5E" w:rsidRPr="001B55E0">
        <w:t>nteractions between solar radiation and flow drivers</w:t>
      </w:r>
      <w:r w:rsidRPr="001B55E0">
        <w:t xml:space="preserve"> were not strong</w:t>
      </w:r>
      <w:r w:rsidR="00CE3D5E" w:rsidRPr="001B55E0">
        <w:t xml:space="preserve">, indicating flow increases will reduce GPP by similar amounts at different times of year. </w:t>
      </w:r>
    </w:p>
    <w:p w14:paraId="3F23B28D" w14:textId="1A60CDE1" w:rsidR="00CE3D5E" w:rsidRPr="001B55E0" w:rsidRDefault="00CE3D5E" w:rsidP="001B4152">
      <w:pPr>
        <w:pStyle w:val="ListBullet"/>
        <w:keepNext/>
        <w:keepLines/>
      </w:pPr>
      <w:r w:rsidRPr="001B55E0">
        <w:t>CEW bolstered riverine GPP in rare instances where CEW contributed to very high discharges (e.g. when extending a flood recession), supporting the boom</w:t>
      </w:r>
      <w:r w:rsidR="00963EEA" w:rsidRPr="001B55E0">
        <w:t>–</w:t>
      </w:r>
      <w:r w:rsidRPr="001B55E0">
        <w:t>bust nature of the lowland river-floodplain systems.</w:t>
      </w:r>
    </w:p>
    <w:bookmarkEnd w:id="181"/>
    <w:bookmarkEnd w:id="182"/>
    <w:bookmarkEnd w:id="183"/>
    <w:p w14:paraId="035DCEDF" w14:textId="77777777" w:rsidR="00387EAA" w:rsidRPr="00387EAA" w:rsidRDefault="00387EAA" w:rsidP="00387EAA">
      <w:pPr>
        <w:pStyle w:val="BodyText"/>
      </w:pPr>
    </w:p>
    <w:p w14:paraId="6CEA9FF3" w14:textId="17C56960" w:rsidR="00F00BA1" w:rsidRPr="00F00BA1" w:rsidRDefault="00F00BA1" w:rsidP="00F00BA1">
      <w:pPr>
        <w:pStyle w:val="BodyText"/>
        <w:sectPr w:rsidR="00F00BA1" w:rsidRPr="00F00BA1" w:rsidSect="000E21A8">
          <w:pgSz w:w="11906" w:h="16838" w:code="9"/>
          <w:pgMar w:top="1134" w:right="1134" w:bottom="1134" w:left="1134" w:header="510" w:footer="510" w:gutter="0"/>
          <w:cols w:space="284"/>
          <w:docGrid w:linePitch="360"/>
        </w:sectPr>
      </w:pPr>
    </w:p>
    <w:p w14:paraId="3D591D0E" w14:textId="77777777" w:rsidR="000352CE" w:rsidRPr="00C601A2" w:rsidRDefault="000352CE" w:rsidP="000352CE">
      <w:pPr>
        <w:pStyle w:val="Heading1"/>
      </w:pPr>
      <w:bookmarkStart w:id="211" w:name="_Toc202187862"/>
      <w:bookmarkStart w:id="212" w:name="_Ref71271793"/>
      <w:bookmarkStart w:id="213" w:name="_Ref142290174"/>
      <w:bookmarkStart w:id="214" w:name="_Toc183533683"/>
      <w:r w:rsidRPr="00C601A2">
        <w:lastRenderedPageBreak/>
        <w:t>Contribution to Basin Plan objectives</w:t>
      </w:r>
      <w:bookmarkEnd w:id="211"/>
    </w:p>
    <w:p w14:paraId="4052801D" w14:textId="37994035" w:rsidR="000352CE" w:rsidRPr="00783676" w:rsidRDefault="000352CE" w:rsidP="000352CE">
      <w:pPr>
        <w:pStyle w:val="BodyText"/>
      </w:pPr>
      <w:r w:rsidRPr="004A4DBC">
        <w:rPr>
          <w:rStyle w:val="Italics"/>
          <w:i w:val="0"/>
        </w:rPr>
        <w:t>The Basin Plan sets high-level objectives to ensure that the water-dependent ecosystems of the</w:t>
      </w:r>
      <w:r>
        <w:rPr>
          <w:rStyle w:val="Italics"/>
          <w:i w:val="0"/>
        </w:rPr>
        <w:t xml:space="preserve"> </w:t>
      </w:r>
      <w:r w:rsidRPr="004A4DBC">
        <w:rPr>
          <w:rStyle w:val="Italics"/>
          <w:i w:val="0"/>
        </w:rPr>
        <w:t xml:space="preserve">Basin are resilient to climate change and other risks and threats (Basin Plan section 8.04). </w:t>
      </w:r>
      <w:proofErr w:type="gramStart"/>
      <w:r w:rsidRPr="004A4DBC">
        <w:rPr>
          <w:rStyle w:val="Italics"/>
          <w:i w:val="0"/>
        </w:rPr>
        <w:t>Particular objectives</w:t>
      </w:r>
      <w:proofErr w:type="gramEnd"/>
      <w:r w:rsidRPr="004A4DBC">
        <w:rPr>
          <w:rStyle w:val="Italics"/>
          <w:i w:val="0"/>
        </w:rPr>
        <w:t xml:space="preserve"> for the protection and restoration of water-dependent ecosystems are set in section 8.05</w:t>
      </w:r>
      <w:r w:rsidRPr="00ED026E">
        <w:rPr>
          <w:rStyle w:val="Italics"/>
          <w:i w:val="0"/>
        </w:rPr>
        <w:t>,</w:t>
      </w:r>
      <w:r w:rsidRPr="004A4DBC">
        <w:rPr>
          <w:rStyle w:val="Italics"/>
          <w:i w:val="0"/>
        </w:rPr>
        <w:t xml:space="preserve"> and for the protection and restoration of ecosystem functions of water-dependent ecosystems in section 8.06</w:t>
      </w:r>
      <w:r w:rsidRPr="00ED026E">
        <w:rPr>
          <w:rStyle w:val="Italics"/>
          <w:i w:val="0"/>
        </w:rPr>
        <w:t>.</w:t>
      </w:r>
      <w:r w:rsidRPr="004A4DBC">
        <w:rPr>
          <w:rStyle w:val="Italics"/>
          <w:i w:val="0"/>
        </w:rPr>
        <w:t xml:space="preserve"> </w:t>
      </w:r>
      <w:r w:rsidRPr="00ED026E">
        <w:rPr>
          <w:rStyle w:val="Italics"/>
          <w:i w:val="0"/>
        </w:rPr>
        <w:t>S</w:t>
      </w:r>
      <w:r w:rsidRPr="001B66CC">
        <w:rPr>
          <w:rStyle w:val="Italics"/>
          <w:i w:val="0"/>
        </w:rPr>
        <w:t>everal</w:t>
      </w:r>
      <w:r w:rsidRPr="004A4DBC">
        <w:rPr>
          <w:rStyle w:val="Italics"/>
          <w:i w:val="0"/>
        </w:rPr>
        <w:t xml:space="preserve"> </w:t>
      </w:r>
      <w:r w:rsidRPr="00ED026E">
        <w:rPr>
          <w:rStyle w:val="Italics"/>
          <w:i w:val="0"/>
        </w:rPr>
        <w:t xml:space="preserve">others </w:t>
      </w:r>
      <w:r w:rsidRPr="001B66CC">
        <w:rPr>
          <w:rStyle w:val="Italics"/>
          <w:i w:val="0"/>
        </w:rPr>
        <w:t>relat</w:t>
      </w:r>
      <w:r w:rsidRPr="00ED026E">
        <w:rPr>
          <w:rStyle w:val="Italics"/>
          <w:i w:val="0"/>
        </w:rPr>
        <w:t>e</w:t>
      </w:r>
      <w:r w:rsidRPr="004A4DBC">
        <w:rPr>
          <w:rStyle w:val="Italics"/>
          <w:i w:val="0"/>
        </w:rPr>
        <w:t xml:space="preserve"> to aspects of water quality (sections 9.08 and 9.14) and salt export (section 9.09).</w:t>
      </w:r>
      <w:r w:rsidR="00CF4506">
        <w:rPr>
          <w:rStyle w:val="Italics"/>
          <w:i w:val="0"/>
        </w:rPr>
        <w:t xml:space="preserve"> </w:t>
      </w:r>
      <w:r w:rsidR="00BC0F98">
        <w:rPr>
          <w:rStyle w:val="Italics"/>
          <w:i w:val="0"/>
        </w:rPr>
        <w:fldChar w:fldCharType="begin"/>
      </w:r>
      <w:r w:rsidR="00BC0F98">
        <w:rPr>
          <w:rStyle w:val="Italics"/>
          <w:i w:val="0"/>
        </w:rPr>
        <w:instrText xml:space="preserve"> REF _Ref202187941 \h </w:instrText>
      </w:r>
      <w:r w:rsidR="00BC0F98">
        <w:rPr>
          <w:rStyle w:val="Italics"/>
          <w:i w:val="0"/>
        </w:rPr>
      </w:r>
      <w:r w:rsidR="00BC0F98">
        <w:rPr>
          <w:rStyle w:val="Italics"/>
          <w:i w:val="0"/>
        </w:rPr>
        <w:fldChar w:fldCharType="separate"/>
      </w:r>
      <w:r w:rsidR="00BC0F98" w:rsidRPr="00C601A2">
        <w:t xml:space="preserve">Table </w:t>
      </w:r>
      <w:r w:rsidR="00BC0F98">
        <w:rPr>
          <w:noProof/>
        </w:rPr>
        <w:t>6</w:t>
      </w:r>
      <w:r w:rsidR="00BC0F98">
        <w:t>.</w:t>
      </w:r>
      <w:r w:rsidR="00BC0F98">
        <w:rPr>
          <w:noProof/>
        </w:rPr>
        <w:t>1</w:t>
      </w:r>
      <w:r w:rsidR="00BC0F98">
        <w:rPr>
          <w:rStyle w:val="Italics"/>
          <w:i w:val="0"/>
        </w:rPr>
        <w:fldChar w:fldCharType="end"/>
      </w:r>
      <w:r w:rsidR="00BC0F98">
        <w:rPr>
          <w:rStyle w:val="Italics"/>
          <w:i w:val="0"/>
        </w:rPr>
        <w:t xml:space="preserve"> </w:t>
      </w:r>
      <w:r>
        <w:t>details these objectives, expected outcomes, and measured and predicted outcomes for 2023–24 and 2014–24.</w:t>
      </w:r>
    </w:p>
    <w:p w14:paraId="05C0B7DB" w14:textId="6DF0521F" w:rsidR="005B3832" w:rsidRPr="00C601A2" w:rsidRDefault="00B74E4A" w:rsidP="002B3A7F">
      <w:pPr>
        <w:pStyle w:val="CaptionWithNote"/>
      </w:pPr>
      <w:bookmarkStart w:id="215" w:name="_Ref202187941"/>
      <w:bookmarkStart w:id="216" w:name="_Toc202187940"/>
      <w:r w:rsidRPr="00C601A2">
        <w:t xml:space="preserve">Table </w:t>
      </w:r>
      <w:fldSimple w:instr=" STYLEREF 1 \s ">
        <w:r w:rsidR="00835C8B">
          <w:rPr>
            <w:noProof/>
          </w:rPr>
          <w:t>6</w:t>
        </w:r>
      </w:fldSimple>
      <w:r w:rsidR="00F60AE8">
        <w:t>.</w:t>
      </w:r>
      <w:fldSimple w:instr=" SEQ Table \* ARABIC \s 1 ">
        <w:r w:rsidR="00492712">
          <w:rPr>
            <w:noProof/>
          </w:rPr>
          <w:t>1</w:t>
        </w:r>
      </w:fldSimple>
      <w:bookmarkEnd w:id="212"/>
      <w:bookmarkEnd w:id="213"/>
      <w:bookmarkEnd w:id="215"/>
      <w:r w:rsidR="0088029D" w:rsidRPr="00C601A2">
        <w:t xml:space="preserve"> Commonwealth </w:t>
      </w:r>
      <w:r w:rsidR="00DE21EF" w:rsidRPr="00C601A2">
        <w:t xml:space="preserve">Environmental Outcomes Framework </w:t>
      </w:r>
      <w:r w:rsidR="0088029D" w:rsidRPr="00C601A2">
        <w:t xml:space="preserve">for </w:t>
      </w:r>
      <w:r w:rsidR="00C810E7" w:rsidRPr="00C601A2">
        <w:t>food</w:t>
      </w:r>
      <w:r w:rsidR="005A7951" w:rsidRPr="00C601A2">
        <w:t xml:space="preserve"> </w:t>
      </w:r>
      <w:r w:rsidR="00C810E7" w:rsidRPr="00C601A2">
        <w:t>webs</w:t>
      </w:r>
      <w:r w:rsidR="005A7951" w:rsidRPr="00C601A2">
        <w:t xml:space="preserve"> and water quality</w:t>
      </w:r>
      <w:r w:rsidR="009042C2">
        <w:t xml:space="preserve">, </w:t>
      </w:r>
      <w:r w:rsidR="002A055F">
        <w:t xml:space="preserve">and </w:t>
      </w:r>
      <w:r w:rsidR="009042C2">
        <w:t>key findings for</w:t>
      </w:r>
      <w:r w:rsidR="008A207A">
        <w:t xml:space="preserve"> 202</w:t>
      </w:r>
      <w:r w:rsidR="006C6E13">
        <w:t>3</w:t>
      </w:r>
      <w:r w:rsidR="008A207A">
        <w:t>–2</w:t>
      </w:r>
      <w:r w:rsidR="006C6E13">
        <w:t>4</w:t>
      </w:r>
      <w:r w:rsidR="008A207A">
        <w:t xml:space="preserve"> and 2014–2</w:t>
      </w:r>
      <w:bookmarkEnd w:id="214"/>
      <w:r w:rsidR="006C6E13">
        <w:t>4</w:t>
      </w:r>
      <w:bookmarkEnd w:id="216"/>
    </w:p>
    <w:p w14:paraId="690BFF3B" w14:textId="401555F2" w:rsidR="00DA33AD" w:rsidRPr="00C601A2" w:rsidRDefault="00DA33AD" w:rsidP="007E149F">
      <w:pPr>
        <w:pStyle w:val="CaptionNote"/>
      </w:pPr>
      <w:r w:rsidRPr="00C601A2">
        <w:t>Bold numbers</w:t>
      </w:r>
      <w:r w:rsidR="00A434BA" w:rsidRPr="00C601A2">
        <w:t xml:space="preserve"> and letters</w:t>
      </w:r>
      <w:r w:rsidRPr="00C601A2">
        <w:t xml:space="preserve"> refer to specific sections of the </w:t>
      </w:r>
      <w:r w:rsidR="00A434BA" w:rsidRPr="004A4DBC">
        <w:t>Basin Plan</w:t>
      </w:r>
      <w:r w:rsidR="00A434BA" w:rsidRPr="0002111F">
        <w:rPr>
          <w:i/>
          <w:iCs/>
        </w:rPr>
        <w:t xml:space="preserve"> </w:t>
      </w:r>
      <w:r w:rsidR="00A434BA" w:rsidRPr="00C601A2">
        <w:t>objectives</w:t>
      </w:r>
      <w:r w:rsidR="00154536" w:rsidRPr="00C601A2">
        <w:t>.</w:t>
      </w:r>
      <w:r w:rsidR="00441D82">
        <w:t xml:space="preserve"> CEW = Commonwealth environmental water</w:t>
      </w:r>
      <w:r w:rsidR="00F5189C">
        <w:t>.</w:t>
      </w:r>
    </w:p>
    <w:tbl>
      <w:tblPr>
        <w:tblStyle w:val="TableFlow-MER"/>
        <w:tblW w:w="14618" w:type="dxa"/>
        <w:tblInd w:w="57" w:type="dxa"/>
        <w:tblLook w:val="04A0" w:firstRow="1" w:lastRow="0" w:firstColumn="1" w:lastColumn="0" w:noHBand="0" w:noVBand="1"/>
      </w:tblPr>
      <w:tblGrid>
        <w:gridCol w:w="2550"/>
        <w:gridCol w:w="1013"/>
        <w:gridCol w:w="2690"/>
        <w:gridCol w:w="2282"/>
        <w:gridCol w:w="2738"/>
        <w:gridCol w:w="3345"/>
      </w:tblGrid>
      <w:tr w:rsidR="0073197B" w:rsidRPr="00C601A2" w14:paraId="7BAC686D" w14:textId="77777777" w:rsidTr="00032D01">
        <w:trPr>
          <w:cnfStyle w:val="100000000000" w:firstRow="1" w:lastRow="0" w:firstColumn="0" w:lastColumn="0" w:oddVBand="0" w:evenVBand="0" w:oddHBand="0" w:evenHBand="0" w:firstRowFirstColumn="0" w:firstRowLastColumn="0" w:lastRowFirstColumn="0" w:lastRowLastColumn="0"/>
          <w:trHeight w:val="465"/>
          <w:tblHeader/>
        </w:trPr>
        <w:tc>
          <w:tcPr>
            <w:cnfStyle w:val="001000000000" w:firstRow="0" w:lastRow="0" w:firstColumn="1" w:lastColumn="0" w:oddVBand="0" w:evenVBand="0" w:oddHBand="0" w:evenHBand="0" w:firstRowFirstColumn="0" w:firstRowLastColumn="0" w:lastRowFirstColumn="0" w:lastRowLastColumn="0"/>
            <w:tcW w:w="2551" w:type="dxa"/>
            <w:shd w:val="clear" w:color="auto" w:fill="0070C0"/>
            <w:hideMark/>
          </w:tcPr>
          <w:p w14:paraId="274037FC" w14:textId="519AA3AD" w:rsidR="0088029D" w:rsidRPr="009D2F15" w:rsidRDefault="0088029D" w:rsidP="005A4DFB">
            <w:pPr>
              <w:pStyle w:val="ColumnHeading"/>
            </w:pPr>
            <w:r w:rsidRPr="009D2F15">
              <w:t>Basin Plan objectives</w:t>
            </w:r>
          </w:p>
        </w:tc>
        <w:tc>
          <w:tcPr>
            <w:tcW w:w="0" w:type="auto"/>
            <w:shd w:val="clear" w:color="auto" w:fill="79B2F7"/>
            <w:hideMark/>
          </w:tcPr>
          <w:p w14:paraId="65B09490" w14:textId="47347121" w:rsidR="0088029D" w:rsidRPr="00C601A2" w:rsidRDefault="0088029D" w:rsidP="009D2F15">
            <w:pPr>
              <w:pStyle w:val="RowHeading"/>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C601A2">
              <w:t>Basin outcomes</w:t>
            </w:r>
          </w:p>
        </w:tc>
        <w:tc>
          <w:tcPr>
            <w:tcW w:w="0" w:type="auto"/>
            <w:shd w:val="clear" w:color="auto" w:fill="92D050"/>
            <w:hideMark/>
          </w:tcPr>
          <w:p w14:paraId="4240463C" w14:textId="13E333F4" w:rsidR="0088029D" w:rsidRPr="00C601A2" w:rsidRDefault="00A55EB0" w:rsidP="009D2F15">
            <w:pPr>
              <w:pStyle w:val="RowHeading"/>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C601A2">
              <w:t>Long-term</w:t>
            </w:r>
            <w:r w:rsidR="0088029D" w:rsidRPr="00C601A2">
              <w:t xml:space="preserve"> expected outcomes</w:t>
            </w:r>
          </w:p>
        </w:tc>
        <w:tc>
          <w:tcPr>
            <w:tcW w:w="0" w:type="auto"/>
            <w:shd w:val="clear" w:color="auto" w:fill="D6E3BC"/>
            <w:hideMark/>
          </w:tcPr>
          <w:p w14:paraId="36D3312E" w14:textId="64AD3186" w:rsidR="0088029D" w:rsidRPr="00C601A2" w:rsidRDefault="0088029D" w:rsidP="009D2F15">
            <w:pPr>
              <w:pStyle w:val="RowHeading"/>
              <w:cnfStyle w:val="100000000000" w:firstRow="1" w:lastRow="0" w:firstColumn="0" w:lastColumn="0" w:oddVBand="0" w:evenVBand="0" w:oddHBand="0" w:evenHBand="0" w:firstRowFirstColumn="0" w:firstRowLastColumn="0" w:lastRowFirstColumn="0" w:lastRowLastColumn="0"/>
              <w:rPr>
                <w:rFonts w:ascii="Times New Roman" w:hAnsi="Times New Roman"/>
                <w:color w:val="3A3A3C" w:themeColor="accent3" w:themeShade="80"/>
                <w:sz w:val="24"/>
                <w:szCs w:val="24"/>
              </w:rPr>
            </w:pPr>
            <w:r w:rsidRPr="00C601A2">
              <w:rPr>
                <w:color w:val="3A3A3C" w:themeColor="accent3" w:themeShade="80"/>
              </w:rPr>
              <w:t>1</w:t>
            </w:r>
            <w:r w:rsidR="00B52257" w:rsidRPr="00C601A2">
              <w:rPr>
                <w:color w:val="3A3A3C" w:themeColor="accent3" w:themeShade="80"/>
              </w:rPr>
              <w:t>-</w:t>
            </w:r>
            <w:r w:rsidRPr="00C601A2">
              <w:rPr>
                <w:color w:val="3A3A3C" w:themeColor="accent3" w:themeShade="80"/>
              </w:rPr>
              <w:t>year expected outcomes</w:t>
            </w:r>
          </w:p>
        </w:tc>
        <w:tc>
          <w:tcPr>
            <w:tcW w:w="0" w:type="auto"/>
            <w:shd w:val="clear" w:color="auto" w:fill="D6E3BC"/>
            <w:hideMark/>
          </w:tcPr>
          <w:p w14:paraId="5F129331" w14:textId="6124CA6F" w:rsidR="0088029D" w:rsidRPr="00C601A2" w:rsidRDefault="0088029D" w:rsidP="009D2F15">
            <w:pPr>
              <w:pStyle w:val="RowHeading"/>
              <w:cnfStyle w:val="100000000000" w:firstRow="1" w:lastRow="0" w:firstColumn="0" w:lastColumn="0" w:oddVBand="0" w:evenVBand="0" w:oddHBand="0" w:evenHBand="0" w:firstRowFirstColumn="0" w:firstRowLastColumn="0" w:lastRowFirstColumn="0" w:lastRowLastColumn="0"/>
              <w:rPr>
                <w:rFonts w:ascii="Times New Roman" w:hAnsi="Times New Roman"/>
                <w:color w:val="3A3A3C" w:themeColor="accent3" w:themeShade="80"/>
                <w:sz w:val="24"/>
                <w:szCs w:val="24"/>
              </w:rPr>
            </w:pPr>
            <w:r w:rsidRPr="00C601A2">
              <w:rPr>
                <w:color w:val="3A3A3C" w:themeColor="accent3" w:themeShade="80"/>
              </w:rPr>
              <w:t>Measured and predicted 1</w:t>
            </w:r>
            <w:r w:rsidR="00B52257" w:rsidRPr="00C601A2">
              <w:rPr>
                <w:color w:val="3A3A3C" w:themeColor="accent3" w:themeShade="80"/>
              </w:rPr>
              <w:t>-</w:t>
            </w:r>
            <w:r w:rsidRPr="00C601A2">
              <w:rPr>
                <w:color w:val="3A3A3C" w:themeColor="accent3" w:themeShade="80"/>
              </w:rPr>
              <w:t>year outcomes </w:t>
            </w:r>
            <w:r w:rsidR="00682D38">
              <w:rPr>
                <w:color w:val="3A3A3C" w:themeColor="accent3" w:themeShade="80"/>
              </w:rPr>
              <w:t>202</w:t>
            </w:r>
            <w:r w:rsidR="006C6E13">
              <w:rPr>
                <w:color w:val="3A3A3C" w:themeColor="accent3" w:themeShade="80"/>
              </w:rPr>
              <w:t>3</w:t>
            </w:r>
            <w:r w:rsidR="00682D38">
              <w:rPr>
                <w:color w:val="3A3A3C" w:themeColor="accent3" w:themeShade="80"/>
              </w:rPr>
              <w:t>–2</w:t>
            </w:r>
            <w:r w:rsidR="006C6E13">
              <w:rPr>
                <w:color w:val="3A3A3C" w:themeColor="accent3" w:themeShade="80"/>
              </w:rPr>
              <w:t>4</w:t>
            </w:r>
          </w:p>
        </w:tc>
        <w:tc>
          <w:tcPr>
            <w:tcW w:w="3345" w:type="dxa"/>
            <w:shd w:val="clear" w:color="auto" w:fill="D6E3BC"/>
            <w:hideMark/>
          </w:tcPr>
          <w:p w14:paraId="66A5A4B4" w14:textId="47D51C74" w:rsidR="0088029D" w:rsidRPr="00C601A2" w:rsidRDefault="0088029D" w:rsidP="009D2F15">
            <w:pPr>
              <w:pStyle w:val="RowHeading"/>
              <w:cnfStyle w:val="100000000000" w:firstRow="1" w:lastRow="0" w:firstColumn="0" w:lastColumn="0" w:oddVBand="0" w:evenVBand="0" w:oddHBand="0" w:evenHBand="0" w:firstRowFirstColumn="0" w:firstRowLastColumn="0" w:lastRowFirstColumn="0" w:lastRowLastColumn="0"/>
              <w:rPr>
                <w:rFonts w:ascii="Times New Roman" w:hAnsi="Times New Roman"/>
                <w:color w:val="3A3A3C" w:themeColor="accent3" w:themeShade="80"/>
                <w:sz w:val="24"/>
                <w:szCs w:val="24"/>
              </w:rPr>
            </w:pPr>
            <w:r w:rsidRPr="00C601A2">
              <w:rPr>
                <w:color w:val="3A3A3C" w:themeColor="accent3" w:themeShade="80"/>
              </w:rPr>
              <w:t>Measured and predicted</w:t>
            </w:r>
            <w:r w:rsidR="00B30EB2" w:rsidRPr="00C601A2">
              <w:rPr>
                <w:color w:val="3A3A3C" w:themeColor="accent3" w:themeShade="80"/>
              </w:rPr>
              <w:t xml:space="preserve"> long-term</w:t>
            </w:r>
            <w:r w:rsidRPr="00C601A2">
              <w:rPr>
                <w:color w:val="3A3A3C" w:themeColor="accent3" w:themeShade="80"/>
              </w:rPr>
              <w:t xml:space="preserve"> outcomes </w:t>
            </w:r>
            <w:r w:rsidR="00682D38">
              <w:rPr>
                <w:color w:val="3A3A3C" w:themeColor="accent3" w:themeShade="80"/>
              </w:rPr>
              <w:t>2014–2</w:t>
            </w:r>
            <w:r w:rsidR="006C6E13">
              <w:rPr>
                <w:color w:val="3A3A3C" w:themeColor="accent3" w:themeShade="80"/>
              </w:rPr>
              <w:t>4</w:t>
            </w:r>
          </w:p>
        </w:tc>
      </w:tr>
      <w:tr w:rsidR="0073197B" w:rsidRPr="00C601A2" w14:paraId="5E34072E" w14:textId="77777777" w:rsidTr="00032D0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tcPr>
          <w:p w14:paraId="1F880483" w14:textId="133743D7" w:rsidR="005B3832" w:rsidRPr="00C601A2" w:rsidRDefault="00225062" w:rsidP="005A4DFB">
            <w:pPr>
              <w:pStyle w:val="TableText"/>
              <w:tabs>
                <w:tab w:val="left" w:pos="508"/>
              </w:tabs>
            </w:pPr>
            <w:r w:rsidRPr="00C601A2">
              <w:rPr>
                <w:b/>
              </w:rPr>
              <w:t>8.06</w:t>
            </w:r>
            <w:r w:rsidR="00F73587" w:rsidRPr="00C601A2">
              <w:tab/>
            </w:r>
            <w:r w:rsidRPr="00C601A2">
              <w:t>Protection and restoration of ecosystem functions of water-dependent ecosystems</w:t>
            </w:r>
          </w:p>
          <w:p w14:paraId="64EE3891" w14:textId="52B26763" w:rsidR="00BF4BE7" w:rsidRPr="00C601A2" w:rsidRDefault="00BF4BE7" w:rsidP="00642A73">
            <w:pPr>
              <w:pStyle w:val="TableText"/>
              <w:tabs>
                <w:tab w:val="left" w:pos="412"/>
              </w:tabs>
            </w:pPr>
            <w:r w:rsidRPr="00C601A2">
              <w:rPr>
                <w:b/>
              </w:rPr>
              <w:t>(3)</w:t>
            </w:r>
            <w:r w:rsidR="00A32780" w:rsidRPr="00C601A2">
              <w:tab/>
            </w:r>
            <w:r w:rsidRPr="00C601A2">
              <w:t>An objective is to protect and restore connectivity within and between water-dependent ecosystems, including by ensuring that:</w:t>
            </w:r>
          </w:p>
          <w:p w14:paraId="00F54868" w14:textId="6FD44715" w:rsidR="00BF4BE7" w:rsidRPr="00C601A2" w:rsidRDefault="00BF4BE7" w:rsidP="00C23649">
            <w:pPr>
              <w:pStyle w:val="TableText"/>
              <w:tabs>
                <w:tab w:val="left" w:pos="412"/>
              </w:tabs>
            </w:pPr>
            <w:r w:rsidRPr="00C601A2">
              <w:rPr>
                <w:b/>
              </w:rPr>
              <w:t>(c)</w:t>
            </w:r>
            <w:r w:rsidR="00A32780" w:rsidRPr="00C601A2">
              <w:tab/>
            </w:r>
            <w:r w:rsidRPr="00C601A2">
              <w:t>the Murray Mouth remains open at frequencies, for durations, and with passing flows, sufficient to enable the conveyance of salt, nutrients and sediment from the</w:t>
            </w:r>
            <w:r w:rsidR="006F3572">
              <w:t xml:space="preserve"> </w:t>
            </w:r>
            <w:r w:rsidRPr="00C601A2">
              <w:t>Basin to the ocean</w:t>
            </w:r>
          </w:p>
          <w:p w14:paraId="236FDA8C" w14:textId="519F6F94" w:rsidR="00BF4BE7" w:rsidRPr="00C601A2" w:rsidRDefault="00BF4BE7" w:rsidP="00C23649">
            <w:pPr>
              <w:pStyle w:val="TableText"/>
              <w:tabs>
                <w:tab w:val="left" w:pos="412"/>
              </w:tabs>
            </w:pPr>
            <w:r w:rsidRPr="00C601A2">
              <w:rPr>
                <w:b/>
              </w:rPr>
              <w:t>(d)</w:t>
            </w:r>
            <w:r w:rsidR="00A32780" w:rsidRPr="00C601A2">
              <w:tab/>
            </w:r>
            <w:r w:rsidRPr="00C601A2">
              <w:t>the Murray Mouth remains open at frequencies and for durations sufficient to ensure that the tidal exchanges maintain the Coorong’s water quality (</w:t>
            </w:r>
            <w:proofErr w:type="gramStart"/>
            <w:r w:rsidRPr="00C601A2">
              <w:t>in particular salinity</w:t>
            </w:r>
            <w:proofErr w:type="gramEnd"/>
            <w:r w:rsidRPr="00C601A2">
              <w:t xml:space="preserve"> levels) within the tolerance of </w:t>
            </w:r>
            <w:r w:rsidRPr="00C601A2">
              <w:lastRenderedPageBreak/>
              <w:t>the Coorong ecosystem’s resilience</w:t>
            </w:r>
          </w:p>
          <w:p w14:paraId="0CE4A8A4" w14:textId="2EC30D0D" w:rsidR="006533CB" w:rsidRPr="00C601A2" w:rsidRDefault="00BF4BE7" w:rsidP="00642A73">
            <w:pPr>
              <w:pStyle w:val="TableText"/>
              <w:tabs>
                <w:tab w:val="left" w:pos="412"/>
              </w:tabs>
            </w:pPr>
            <w:r w:rsidRPr="00C601A2">
              <w:rPr>
                <w:b/>
              </w:rPr>
              <w:t>(7)</w:t>
            </w:r>
            <w:r w:rsidR="00A32780" w:rsidRPr="00C601A2">
              <w:tab/>
            </w:r>
            <w:r w:rsidRPr="00C601A2">
              <w:t>An objective is to protect and restore ecological community structure, species interactions and food webs that sustain water-dependent ecosystems, including by protecting and restoring energy, carbon and nutrient dynamics, primary production and respiration.</w:t>
            </w:r>
          </w:p>
        </w:tc>
        <w:tc>
          <w:tcPr>
            <w:tcW w:w="0" w:type="auto"/>
          </w:tcPr>
          <w:p w14:paraId="3B264E15" w14:textId="64197073" w:rsidR="006533CB" w:rsidRPr="00C601A2" w:rsidRDefault="0067612C" w:rsidP="00642A73">
            <w:pPr>
              <w:pStyle w:val="TableText"/>
              <w:cnfStyle w:val="000000100000" w:firstRow="0" w:lastRow="0" w:firstColumn="0" w:lastColumn="0" w:oddVBand="0" w:evenVBand="0" w:oddHBand="1" w:evenHBand="0" w:firstRowFirstColumn="0" w:firstRowLastColumn="0" w:lastRowFirstColumn="0" w:lastRowLastColumn="0"/>
            </w:pPr>
            <w:r w:rsidRPr="00C601A2">
              <w:lastRenderedPageBreak/>
              <w:t xml:space="preserve">Food </w:t>
            </w:r>
            <w:r w:rsidR="00C21B5E" w:rsidRPr="00C601A2">
              <w:t>w</w:t>
            </w:r>
            <w:r w:rsidRPr="00C601A2">
              <w:t xml:space="preserve">ebs and </w:t>
            </w:r>
            <w:r w:rsidR="00C21B5E" w:rsidRPr="00C601A2">
              <w:t>w</w:t>
            </w:r>
            <w:r w:rsidRPr="00C601A2">
              <w:t xml:space="preserve">ater </w:t>
            </w:r>
            <w:r w:rsidR="00C21B5E" w:rsidRPr="00C601A2">
              <w:t>q</w:t>
            </w:r>
            <w:r w:rsidRPr="00C601A2">
              <w:t>uality</w:t>
            </w:r>
          </w:p>
        </w:tc>
        <w:tc>
          <w:tcPr>
            <w:tcW w:w="0" w:type="auto"/>
          </w:tcPr>
          <w:p w14:paraId="1FEB0B3A" w14:textId="0EEAF7F1" w:rsidR="00815BB3" w:rsidRPr="00C601A2" w:rsidRDefault="00815BB3" w:rsidP="00642A73">
            <w:pPr>
              <w:pStyle w:val="TableText"/>
              <w:cnfStyle w:val="000000100000" w:firstRow="0" w:lastRow="0" w:firstColumn="0" w:lastColumn="0" w:oddVBand="0" w:evenVBand="0" w:oddHBand="1" w:evenHBand="0" w:firstRowFirstColumn="0" w:firstRowLastColumn="0" w:lastRowFirstColumn="0" w:lastRowLastColumn="0"/>
            </w:pPr>
            <w:r w:rsidRPr="00C601A2">
              <w:t>Longer term targets from 1</w:t>
            </w:r>
            <w:r w:rsidR="00A434BA" w:rsidRPr="00C601A2">
              <w:t> </w:t>
            </w:r>
            <w:r w:rsidRPr="00C601A2">
              <w:t>July 2019</w:t>
            </w:r>
          </w:p>
          <w:p w14:paraId="6AE55DF8" w14:textId="099798DF"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(2)</w:t>
            </w:r>
            <w:r w:rsidR="00A32780" w:rsidRPr="00C601A2">
              <w:tab/>
            </w:r>
            <w:r w:rsidRPr="00C601A2">
              <w:t>There are improvements in the following:</w:t>
            </w:r>
          </w:p>
          <w:p w14:paraId="40C73173" w14:textId="0FF9E960"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(a)</w:t>
            </w:r>
            <w:r w:rsidR="00F73587" w:rsidRPr="00C601A2">
              <w:tab/>
            </w:r>
            <w:r w:rsidRPr="00C601A2">
              <w:t>flow regimes which include relevant flow components s</w:t>
            </w:r>
            <w:r w:rsidR="00C96D21" w:rsidRPr="00C601A2">
              <w:t>et out in paragraph 8.51(1)(b)</w:t>
            </w:r>
          </w:p>
          <w:p w14:paraId="6788FE88" w14:textId="017AB549"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(b)</w:t>
            </w:r>
            <w:r w:rsidR="00F73587" w:rsidRPr="00C601A2">
              <w:tab/>
            </w:r>
            <w:r w:rsidRPr="00C601A2">
              <w:t>hydrologic</w:t>
            </w:r>
            <w:r w:rsidR="00BD0835" w:rsidRPr="00C601A2">
              <w:t>al</w:t>
            </w:r>
            <w:r w:rsidRPr="00C601A2">
              <w:t xml:space="preserve"> connectivity between the river and floodplain and between hy</w:t>
            </w:r>
            <w:r w:rsidR="00C21504" w:rsidRPr="00C601A2">
              <w:t>drologically connected valleys</w:t>
            </w:r>
          </w:p>
          <w:p w14:paraId="579821AF" w14:textId="5B8967D7"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(c)</w:t>
            </w:r>
            <w:r w:rsidR="00A32780" w:rsidRPr="00C601A2">
              <w:tab/>
            </w:r>
            <w:r w:rsidRPr="00C601A2">
              <w:t>river, floodplain and wetland types</w:t>
            </w:r>
            <w:r w:rsidR="00BD0835" w:rsidRPr="00C601A2">
              <w:t>,</w:t>
            </w:r>
            <w:r w:rsidRPr="00C601A2">
              <w:t xml:space="preserve"> including the condition of priority environmental assets an</w:t>
            </w:r>
            <w:r w:rsidR="00C21504" w:rsidRPr="00C601A2">
              <w:t>d priority ecosystem functions</w:t>
            </w:r>
          </w:p>
          <w:p w14:paraId="7BEF58AB" w14:textId="41619765"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(d)</w:t>
            </w:r>
            <w:r w:rsidR="00F73587" w:rsidRPr="00C601A2">
              <w:tab/>
            </w:r>
            <w:r w:rsidRPr="00C601A2">
              <w:t>condition of the Coorong and Lower Lakes ecosystems a</w:t>
            </w:r>
            <w:r w:rsidR="00C21504" w:rsidRPr="00C601A2">
              <w:t>nd Murray Mouth opening regime</w:t>
            </w:r>
          </w:p>
          <w:p w14:paraId="5B7B56CB" w14:textId="57F9DF66"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(e)</w:t>
            </w:r>
            <w:r w:rsidR="00A32780" w:rsidRPr="00C601A2">
              <w:tab/>
            </w:r>
            <w:r w:rsidRPr="00C601A2">
              <w:t>condition, diversity, extent and contiguousness of nat</w:t>
            </w:r>
            <w:r w:rsidR="00C21504" w:rsidRPr="00C601A2">
              <w:t>ive water-dependent vegetation</w:t>
            </w:r>
          </w:p>
          <w:p w14:paraId="74C6A822" w14:textId="27FC2080"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lastRenderedPageBreak/>
              <w:t>(f)</w:t>
            </w:r>
            <w:r w:rsidR="00A32780" w:rsidRPr="00C601A2">
              <w:tab/>
            </w:r>
            <w:r w:rsidRPr="00C601A2">
              <w:t>recruitment and populations of native water-dependent species, including vegetation, bird</w:t>
            </w:r>
            <w:r w:rsidR="00C21504" w:rsidRPr="00C601A2">
              <w:t>s, fish and macroinvertebrates</w:t>
            </w:r>
          </w:p>
          <w:p w14:paraId="478E3F70" w14:textId="77777777" w:rsidR="006533CB"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(g)</w:t>
            </w:r>
            <w:r w:rsidR="00A32780" w:rsidRPr="00C601A2">
              <w:tab/>
            </w:r>
            <w:r w:rsidRPr="00C601A2">
              <w:t>the community structure of water-dependent ecosystems.</w:t>
            </w:r>
          </w:p>
        </w:tc>
        <w:tc>
          <w:tcPr>
            <w:tcW w:w="0" w:type="auto"/>
          </w:tcPr>
          <w:p w14:paraId="7487B60D" w14:textId="67368A4E" w:rsidR="00815BB3" w:rsidRPr="00C601A2" w:rsidRDefault="00815BB3" w:rsidP="00642A73">
            <w:pPr>
              <w:pStyle w:val="TableText"/>
              <w:cnfStyle w:val="000000100000" w:firstRow="0" w:lastRow="0" w:firstColumn="0" w:lastColumn="0" w:oddVBand="0" w:evenVBand="0" w:oddHBand="1" w:evenHBand="0" w:firstRowFirstColumn="0" w:firstRowLastColumn="0" w:lastRowFirstColumn="0" w:lastRowLastColumn="0"/>
            </w:pPr>
            <w:r w:rsidRPr="00C601A2">
              <w:lastRenderedPageBreak/>
              <w:t>Intermediate targets up to 30</w:t>
            </w:r>
            <w:r w:rsidR="00BD0835" w:rsidRPr="00C601A2">
              <w:t> </w:t>
            </w:r>
            <w:r w:rsidRPr="00C601A2">
              <w:t>June 2019</w:t>
            </w:r>
          </w:p>
          <w:p w14:paraId="6BFDD9B4" w14:textId="49E2B19F"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(1)</w:t>
            </w:r>
            <w:r w:rsidR="00A32780" w:rsidRPr="00C601A2">
              <w:tab/>
            </w:r>
            <w:r w:rsidRPr="00C601A2">
              <w:t>There is no loss of or degradation in the follo</w:t>
            </w:r>
            <w:r w:rsidR="00C21504" w:rsidRPr="00C601A2">
              <w:t>wing:</w:t>
            </w:r>
          </w:p>
          <w:p w14:paraId="7D2CE820" w14:textId="0E779D2E"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(a)</w:t>
            </w:r>
            <w:r w:rsidR="00F73587" w:rsidRPr="00C601A2">
              <w:tab/>
            </w:r>
            <w:r w:rsidRPr="00C601A2">
              <w:t>flow regimes which include relevant flow components s</w:t>
            </w:r>
            <w:r w:rsidR="00C21504" w:rsidRPr="00C601A2">
              <w:t>et out in paragraph 8.51(1)(b)</w:t>
            </w:r>
          </w:p>
          <w:p w14:paraId="1A4CF4D7" w14:textId="1DD5968D"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(b)</w:t>
            </w:r>
            <w:r w:rsidR="00F73587" w:rsidRPr="00C601A2">
              <w:tab/>
            </w:r>
            <w:r w:rsidRPr="00C601A2">
              <w:t>hydrologic</w:t>
            </w:r>
            <w:r w:rsidR="00BD0835" w:rsidRPr="00C601A2">
              <w:t>al</w:t>
            </w:r>
            <w:r w:rsidRPr="00C601A2">
              <w:t xml:space="preserve"> connectivity between the river and floodplain and between hy</w:t>
            </w:r>
            <w:r w:rsidR="00C21504" w:rsidRPr="00C601A2">
              <w:t>drologically connected valleys</w:t>
            </w:r>
          </w:p>
          <w:p w14:paraId="7AFF3804" w14:textId="25FD527A"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(c)</w:t>
            </w:r>
            <w:r w:rsidR="00A32780" w:rsidRPr="00C601A2">
              <w:tab/>
            </w:r>
            <w:r w:rsidRPr="00C601A2">
              <w:t>river, floodplain and wetland types</w:t>
            </w:r>
            <w:r w:rsidR="00BD0835" w:rsidRPr="00C601A2">
              <w:t>,</w:t>
            </w:r>
            <w:r w:rsidRPr="00C601A2">
              <w:t xml:space="preserve"> including the condition of priority environmental assets an</w:t>
            </w:r>
            <w:r w:rsidR="00C21504" w:rsidRPr="00C601A2">
              <w:t>d priority ecosystem functions</w:t>
            </w:r>
          </w:p>
          <w:p w14:paraId="375450B6" w14:textId="0251CF17"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(d)</w:t>
            </w:r>
            <w:r w:rsidR="00F73587" w:rsidRPr="00C601A2">
              <w:tab/>
            </w:r>
            <w:r w:rsidRPr="00C601A2">
              <w:t>condition of the Coorong and Lower Lakes ecosystems a</w:t>
            </w:r>
            <w:r w:rsidR="00C21504" w:rsidRPr="00C601A2">
              <w:t>nd Murray Mouth opening regime</w:t>
            </w:r>
          </w:p>
          <w:p w14:paraId="4D70BDE0" w14:textId="178264BF" w:rsidR="00815BB3"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lastRenderedPageBreak/>
              <w:t>(e)</w:t>
            </w:r>
            <w:r w:rsidR="00F73587" w:rsidRPr="00C601A2">
              <w:tab/>
            </w:r>
            <w:r w:rsidRPr="00C601A2">
              <w:t>condition, diversity, extent and contiguousness of native water-dep</w:t>
            </w:r>
            <w:r w:rsidR="00C21504" w:rsidRPr="00C601A2">
              <w:t>endent vegetation</w:t>
            </w:r>
          </w:p>
          <w:p w14:paraId="3724944A" w14:textId="509777C6" w:rsidR="006533CB" w:rsidRPr="00C601A2" w:rsidRDefault="00815BB3" w:rsidP="00642A73">
            <w:pPr>
              <w:pStyle w:val="TableText"/>
              <w:tabs>
                <w:tab w:val="left" w:pos="412"/>
              </w:tabs>
              <w:cnfStyle w:val="000000100000" w:firstRow="0" w:lastRow="0" w:firstColumn="0" w:lastColumn="0" w:oddVBand="0" w:evenVBand="0" w:oddHBand="1" w:evenHBand="0" w:firstRowFirstColumn="0" w:firstRowLastColumn="0" w:lastRowFirstColumn="0" w:lastRowLastColumn="0"/>
            </w:pPr>
            <w:r w:rsidRPr="00C601A2">
              <w:t>(f)</w:t>
            </w:r>
            <w:r w:rsidR="00F73587" w:rsidRPr="00C601A2">
              <w:tab/>
            </w:r>
            <w:r w:rsidRPr="00C601A2">
              <w:t>recruitment and populations of native, water-dependent species</w:t>
            </w:r>
            <w:r w:rsidR="00BD0835" w:rsidRPr="00C601A2">
              <w:t>,</w:t>
            </w:r>
            <w:r w:rsidRPr="00C601A2">
              <w:t xml:space="preserve"> including vegetation, birds, fish and macroinvertebrates.</w:t>
            </w:r>
          </w:p>
        </w:tc>
        <w:tc>
          <w:tcPr>
            <w:tcW w:w="0" w:type="auto"/>
          </w:tcPr>
          <w:p w14:paraId="1E64DA53" w14:textId="1C613A1D" w:rsidR="00C96D21" w:rsidRPr="00C601A2" w:rsidRDefault="00420E46" w:rsidP="00642A73">
            <w:pPr>
              <w:pStyle w:val="TableText"/>
              <w:cnfStyle w:val="000000100000" w:firstRow="0" w:lastRow="0" w:firstColumn="0" w:lastColumn="0" w:oddVBand="0" w:evenVBand="0" w:oddHBand="1" w:evenHBand="0" w:firstRowFirstColumn="0" w:firstRowLastColumn="0" w:lastRowFirstColumn="0" w:lastRowLastColumn="0"/>
              <w:rPr>
                <w:b/>
              </w:rPr>
            </w:pPr>
            <w:r w:rsidRPr="00C601A2">
              <w:rPr>
                <w:b/>
              </w:rPr>
              <w:lastRenderedPageBreak/>
              <w:t>8.06(3)</w:t>
            </w:r>
            <w:r w:rsidR="00162792" w:rsidRPr="00C601A2">
              <w:rPr>
                <w:b/>
              </w:rPr>
              <w:t>(</w:t>
            </w:r>
            <w:r w:rsidRPr="00C601A2">
              <w:rPr>
                <w:b/>
              </w:rPr>
              <w:t>c</w:t>
            </w:r>
            <w:r w:rsidR="00162792" w:rsidRPr="00C601A2">
              <w:rPr>
                <w:b/>
              </w:rPr>
              <w:t>),(</w:t>
            </w:r>
            <w:r w:rsidRPr="00C601A2">
              <w:rPr>
                <w:b/>
              </w:rPr>
              <w:t>d</w:t>
            </w:r>
            <w:r w:rsidR="00162792" w:rsidRPr="00C601A2">
              <w:rPr>
                <w:b/>
              </w:rPr>
              <w:t>)</w:t>
            </w:r>
          </w:p>
          <w:p w14:paraId="14D32A17" w14:textId="31BBE68D" w:rsidR="003825A1" w:rsidRDefault="003825A1" w:rsidP="00642A73">
            <w:pPr>
              <w:pStyle w:val="TableText"/>
              <w:cnfStyle w:val="000000100000" w:firstRow="0" w:lastRow="0" w:firstColumn="0" w:lastColumn="0" w:oddVBand="0" w:evenVBand="0" w:oddHBand="1" w:evenHBand="0" w:firstRowFirstColumn="0" w:firstRowLastColumn="0" w:lastRowFirstColumn="0" w:lastRowLastColumn="0"/>
            </w:pPr>
            <w:r w:rsidRPr="003825A1">
              <w:t>In 202</w:t>
            </w:r>
            <w:r w:rsidR="00962CDB">
              <w:t>3</w:t>
            </w:r>
            <w:r w:rsidRPr="003825A1">
              <w:t>–2</w:t>
            </w:r>
            <w:r w:rsidR="00962CDB">
              <w:t>4</w:t>
            </w:r>
            <w:r w:rsidRPr="003825A1">
              <w:t xml:space="preserve">, </w:t>
            </w:r>
            <w:r w:rsidR="008F25E4">
              <w:t>CEW</w:t>
            </w:r>
            <w:r w:rsidRPr="003825A1">
              <w:t xml:space="preserve"> was responsible for the export of </w:t>
            </w:r>
            <w:r w:rsidR="00D00017" w:rsidRPr="000C7A9C">
              <w:t>221,272</w:t>
            </w:r>
            <w:r w:rsidR="00FA2645">
              <w:t xml:space="preserve"> </w:t>
            </w:r>
            <w:r w:rsidRPr="003825A1">
              <w:t>tonnes of salt (</w:t>
            </w:r>
            <w:r w:rsidR="00D00017">
              <w:t>17</w:t>
            </w:r>
            <w:r w:rsidRPr="003825A1">
              <w:t>.</w:t>
            </w:r>
            <w:r w:rsidR="00D00017">
              <w:t>8</w:t>
            </w:r>
            <w:r w:rsidRPr="003825A1">
              <w:t>% of total salt exported) through the barrages (Ye et al. 202</w:t>
            </w:r>
            <w:r w:rsidR="00D00017">
              <w:t>5</w:t>
            </w:r>
            <w:r w:rsidRPr="003825A1">
              <w:t xml:space="preserve">). </w:t>
            </w:r>
            <w:r w:rsidR="008F25E4">
              <w:t>CEW</w:t>
            </w:r>
            <w:r w:rsidRPr="003825A1">
              <w:t xml:space="preserve"> decreased salt import at the Murray Mouth by approximately </w:t>
            </w:r>
            <w:r w:rsidR="0039732B" w:rsidRPr="00F64BF9">
              <w:t>2,854,965</w:t>
            </w:r>
            <w:r w:rsidR="0039732B">
              <w:t xml:space="preserve"> </w:t>
            </w:r>
            <w:r w:rsidRPr="003825A1">
              <w:t>tonnes in 202</w:t>
            </w:r>
            <w:r w:rsidR="0039732B">
              <w:t>3</w:t>
            </w:r>
            <w:r w:rsidRPr="003825A1">
              <w:t>–2</w:t>
            </w:r>
            <w:r w:rsidR="0039732B">
              <w:t>4</w:t>
            </w:r>
            <w:r w:rsidRPr="003825A1">
              <w:t xml:space="preserve"> (Ye et al. 202</w:t>
            </w:r>
            <w:r w:rsidR="0039732B">
              <w:t>5</w:t>
            </w:r>
            <w:r w:rsidRPr="003825A1">
              <w:t>).</w:t>
            </w:r>
          </w:p>
          <w:p w14:paraId="630B9221" w14:textId="5AEEC39C" w:rsidR="00C96D21" w:rsidRPr="00C601A2" w:rsidRDefault="00C96D21" w:rsidP="00642A73">
            <w:pPr>
              <w:pStyle w:val="TableText"/>
              <w:cnfStyle w:val="000000100000" w:firstRow="0" w:lastRow="0" w:firstColumn="0" w:lastColumn="0" w:oddVBand="0" w:evenVBand="0" w:oddHBand="1" w:evenHBand="0" w:firstRowFirstColumn="0" w:firstRowLastColumn="0" w:lastRowFirstColumn="0" w:lastRowLastColumn="0"/>
              <w:rPr>
                <w:b/>
              </w:rPr>
            </w:pPr>
            <w:r w:rsidRPr="00C601A2">
              <w:rPr>
                <w:b/>
              </w:rPr>
              <w:t>8.06(7)</w:t>
            </w:r>
          </w:p>
          <w:p w14:paraId="1159A43E" w14:textId="4565EAB8" w:rsidR="002C776E" w:rsidRPr="00C601A2" w:rsidRDefault="006C391C" w:rsidP="00642A73">
            <w:pPr>
              <w:pStyle w:val="TableText"/>
              <w:cnfStyle w:val="000000100000" w:firstRow="0" w:lastRow="0" w:firstColumn="0" w:lastColumn="0" w:oddVBand="0" w:evenVBand="0" w:oddHBand="1" w:evenHBand="0" w:firstRowFirstColumn="0" w:firstRowLastColumn="0" w:lastRowFirstColumn="0" w:lastRowLastColumn="0"/>
            </w:pPr>
            <w:r>
              <w:t>E</w:t>
            </w:r>
            <w:r w:rsidR="09A80E7E" w:rsidRPr="00C601A2">
              <w:t xml:space="preserve">vidence from </w:t>
            </w:r>
            <w:r w:rsidR="2005F204" w:rsidRPr="00C601A2">
              <w:t>S</w:t>
            </w:r>
            <w:r w:rsidR="09A80E7E" w:rsidRPr="00C601A2">
              <w:t xml:space="preserve">elected </w:t>
            </w:r>
            <w:r w:rsidR="2005F204" w:rsidRPr="00C601A2">
              <w:t>A</w:t>
            </w:r>
            <w:r w:rsidR="09A80E7E" w:rsidRPr="00C601A2">
              <w:t xml:space="preserve">reas that </w:t>
            </w:r>
            <w:r w:rsidR="008F25E4">
              <w:t>CEW</w:t>
            </w:r>
            <w:r w:rsidR="09A80E7E" w:rsidRPr="00C601A2">
              <w:t xml:space="preserve"> ha</w:t>
            </w:r>
            <w:r w:rsidR="2005F204" w:rsidRPr="00C601A2">
              <w:t>d</w:t>
            </w:r>
            <w:r w:rsidR="09A80E7E" w:rsidRPr="00C601A2">
              <w:t xml:space="preserve"> a positive influence on protecting and restoring energy, carbon and nutrient dynamics, primary production and respiration </w:t>
            </w:r>
            <w:r w:rsidR="2005F204" w:rsidRPr="00C601A2">
              <w:t>in</w:t>
            </w:r>
            <w:r w:rsidR="09A80E7E" w:rsidRPr="00C601A2">
              <w:t xml:space="preserve"> </w:t>
            </w:r>
            <w:r w:rsidR="00682D38">
              <w:t>202</w:t>
            </w:r>
            <w:r>
              <w:t>3</w:t>
            </w:r>
            <w:r w:rsidR="00682D38">
              <w:t>–2</w:t>
            </w:r>
            <w:r>
              <w:t xml:space="preserve">4 </w:t>
            </w:r>
            <w:r w:rsidR="00937B88">
              <w:rPr>
                <w:noProof/>
              </w:rPr>
              <w:t>reducing the risk of blackwater events and algal blooms</w:t>
            </w:r>
            <w:r w:rsidR="00A337D1">
              <w:rPr>
                <w:noProof/>
              </w:rPr>
              <w:t xml:space="preserve"> (</w:t>
            </w:r>
            <w:r w:rsidR="00661A49">
              <w:rPr>
                <w:noProof/>
              </w:rPr>
              <w:fldChar w:fldCharType="begin"/>
            </w:r>
            <w:r w:rsidR="00661A49">
              <w:rPr>
                <w:noProof/>
              </w:rPr>
              <w:instrText xml:space="preserve"> REF _Ref71212598 \h </w:instrText>
            </w:r>
            <w:r w:rsidR="00661A49">
              <w:rPr>
                <w:noProof/>
              </w:rPr>
            </w:r>
            <w:r w:rsidR="00661A49">
              <w:rPr>
                <w:noProof/>
              </w:rPr>
              <w:fldChar w:fldCharType="separate"/>
            </w:r>
            <w:r w:rsidR="00492712" w:rsidRPr="00C601A2">
              <w:t>Table</w:t>
            </w:r>
            <w:r w:rsidR="00492712">
              <w:t> </w:t>
            </w:r>
            <w:r w:rsidR="00835C8B">
              <w:rPr>
                <w:noProof/>
              </w:rPr>
              <w:t>3</w:t>
            </w:r>
            <w:r w:rsidR="00492712">
              <w:t>.</w:t>
            </w:r>
            <w:r w:rsidR="00492712">
              <w:rPr>
                <w:noProof/>
              </w:rPr>
              <w:t>3</w:t>
            </w:r>
            <w:r w:rsidR="00661A49">
              <w:rPr>
                <w:noProof/>
              </w:rPr>
              <w:fldChar w:fldCharType="end"/>
            </w:r>
            <w:r w:rsidR="00E14990">
              <w:rPr>
                <w:noProof/>
              </w:rPr>
              <w:t>)</w:t>
            </w:r>
            <w:r w:rsidR="00885A53">
              <w:rPr>
                <w:noProof/>
              </w:rPr>
              <w:t>.</w:t>
            </w:r>
          </w:p>
        </w:tc>
        <w:tc>
          <w:tcPr>
            <w:tcW w:w="3345" w:type="dxa"/>
          </w:tcPr>
          <w:p w14:paraId="1C5B8DF4" w14:textId="2FE0AD3D" w:rsidR="00C96D21" w:rsidRPr="00C601A2" w:rsidRDefault="00BF4BE7" w:rsidP="00642A73">
            <w:pPr>
              <w:pStyle w:val="TableText"/>
              <w:cnfStyle w:val="000000100000" w:firstRow="0" w:lastRow="0" w:firstColumn="0" w:lastColumn="0" w:oddVBand="0" w:evenVBand="0" w:oddHBand="1" w:evenHBand="0" w:firstRowFirstColumn="0" w:firstRowLastColumn="0" w:lastRowFirstColumn="0" w:lastRowLastColumn="0"/>
              <w:rPr>
                <w:b/>
              </w:rPr>
            </w:pPr>
            <w:r w:rsidRPr="00C601A2">
              <w:rPr>
                <w:b/>
              </w:rPr>
              <w:t>8.</w:t>
            </w:r>
            <w:r w:rsidR="00420E46" w:rsidRPr="00C601A2">
              <w:rPr>
                <w:b/>
              </w:rPr>
              <w:t>06(3)</w:t>
            </w:r>
            <w:r w:rsidR="00207307" w:rsidRPr="00C601A2">
              <w:rPr>
                <w:b/>
              </w:rPr>
              <w:t>(</w:t>
            </w:r>
            <w:r w:rsidR="00420E46" w:rsidRPr="00C601A2">
              <w:rPr>
                <w:b/>
              </w:rPr>
              <w:t>c</w:t>
            </w:r>
            <w:r w:rsidR="00207307" w:rsidRPr="00C601A2">
              <w:rPr>
                <w:b/>
              </w:rPr>
              <w:t>),</w:t>
            </w:r>
            <w:r w:rsidR="00162792" w:rsidRPr="00C601A2">
              <w:rPr>
                <w:b/>
              </w:rPr>
              <w:t>(</w:t>
            </w:r>
            <w:r w:rsidR="00420E46" w:rsidRPr="00C601A2">
              <w:rPr>
                <w:b/>
              </w:rPr>
              <w:t>d</w:t>
            </w:r>
            <w:r w:rsidR="00162792" w:rsidRPr="00C601A2">
              <w:rPr>
                <w:b/>
              </w:rPr>
              <w:t>)</w:t>
            </w:r>
          </w:p>
          <w:p w14:paraId="1FF34E57" w14:textId="7BE95885" w:rsidR="006533CB" w:rsidRPr="00C601A2" w:rsidRDefault="008F25E4" w:rsidP="00642A73">
            <w:pPr>
              <w:pStyle w:val="TableText"/>
              <w:cnfStyle w:val="000000100000" w:firstRow="0" w:lastRow="0" w:firstColumn="0" w:lastColumn="0" w:oddVBand="0" w:evenVBand="0" w:oddHBand="1" w:evenHBand="0" w:firstRowFirstColumn="0" w:firstRowLastColumn="0" w:lastRowFirstColumn="0" w:lastRowLastColumn="0"/>
            </w:pPr>
            <w:r>
              <w:t>CEW</w:t>
            </w:r>
            <w:r w:rsidR="00C96D21" w:rsidRPr="00C601A2">
              <w:t xml:space="preserve"> ha</w:t>
            </w:r>
            <w:r w:rsidR="00FD3BE8" w:rsidRPr="00C601A2">
              <w:t>d</w:t>
            </w:r>
            <w:r w:rsidR="00C96D21" w:rsidRPr="00C601A2">
              <w:t xml:space="preserve"> </w:t>
            </w:r>
            <w:r w:rsidR="00575A0B" w:rsidRPr="00C601A2">
              <w:t xml:space="preserve">an important </w:t>
            </w:r>
            <w:r w:rsidR="0066533C" w:rsidRPr="00C601A2">
              <w:t>role to play in meeting</w:t>
            </w:r>
            <w:r w:rsidR="00C96D21" w:rsidRPr="00C601A2">
              <w:t xml:space="preserve"> long-term objectives</w:t>
            </w:r>
            <w:r w:rsidR="0066533C" w:rsidRPr="00C601A2">
              <w:t xml:space="preserve"> to protect and restore connectivity within and between water-dependent ecosystems, particularly in the L</w:t>
            </w:r>
            <w:r w:rsidR="00BD0835" w:rsidRPr="00C601A2">
              <w:t>ower Murray River Selected Area</w:t>
            </w:r>
            <w:r w:rsidR="00703973" w:rsidRPr="00C601A2">
              <w:t xml:space="preserve">. </w:t>
            </w:r>
            <w:r w:rsidR="00CB3575" w:rsidRPr="00CB3575">
              <w:t xml:space="preserve">Since 2014–15, </w:t>
            </w:r>
            <w:r>
              <w:t>CEW</w:t>
            </w:r>
            <w:r w:rsidR="00CB3575" w:rsidRPr="00CB3575">
              <w:t xml:space="preserve"> has been responsible for an additional 4.</w:t>
            </w:r>
            <w:r w:rsidR="0039732B">
              <w:t>3</w:t>
            </w:r>
            <w:r w:rsidR="00CB3575" w:rsidRPr="00CB3575">
              <w:t xml:space="preserve"> million tonnes of salt exported through the barrages and has reduced salt import by more than 2</w:t>
            </w:r>
            <w:r w:rsidR="0039732B">
              <w:t>8</w:t>
            </w:r>
            <w:r w:rsidR="00CB3575" w:rsidRPr="00CB3575">
              <w:t xml:space="preserve"> million tonnes</w:t>
            </w:r>
            <w:r w:rsidR="0039732B">
              <w:t xml:space="preserve"> </w:t>
            </w:r>
            <w:r w:rsidR="00747EC0" w:rsidRPr="003825A1">
              <w:t>(Ye et al. 202</w:t>
            </w:r>
            <w:r w:rsidR="0039732B">
              <w:t>5</w:t>
            </w:r>
            <w:r w:rsidR="00747EC0" w:rsidRPr="003825A1">
              <w:t>)</w:t>
            </w:r>
            <w:r w:rsidR="00747EC0">
              <w:t>.</w:t>
            </w:r>
          </w:p>
          <w:p w14:paraId="6DED1571" w14:textId="5EBEA120" w:rsidR="002C776E" w:rsidRPr="00C601A2" w:rsidRDefault="002C776E" w:rsidP="00E902E9">
            <w:pPr>
              <w:pStyle w:val="TableText"/>
              <w:keepNext/>
              <w:cnfStyle w:val="000000100000" w:firstRow="0" w:lastRow="0" w:firstColumn="0" w:lastColumn="0" w:oddVBand="0" w:evenVBand="0" w:oddHBand="1" w:evenHBand="0" w:firstRowFirstColumn="0" w:firstRowLastColumn="0" w:lastRowFirstColumn="0" w:lastRowLastColumn="0"/>
              <w:rPr>
                <w:b/>
              </w:rPr>
            </w:pPr>
            <w:r w:rsidRPr="00C601A2">
              <w:rPr>
                <w:b/>
              </w:rPr>
              <w:t>8.06(7)</w:t>
            </w:r>
          </w:p>
          <w:p w14:paraId="5C9FF7F8" w14:textId="1B9F9B3E" w:rsidR="002C776E" w:rsidRDefault="2DC6B537" w:rsidP="00642A73">
            <w:pPr>
              <w:pStyle w:val="TableText"/>
              <w:cnfStyle w:val="000000100000" w:firstRow="0" w:lastRow="0" w:firstColumn="0" w:lastColumn="0" w:oddVBand="0" w:evenVBand="0" w:oddHBand="1" w:evenHBand="0" w:firstRowFirstColumn="0" w:firstRowLastColumn="0" w:lastRowFirstColumn="0" w:lastRowLastColumn="0"/>
            </w:pPr>
            <w:r w:rsidRPr="00C601A2">
              <w:t>E</w:t>
            </w:r>
            <w:r w:rsidR="09A80E7E" w:rsidRPr="00C601A2">
              <w:t xml:space="preserve">vidence from </w:t>
            </w:r>
            <w:r w:rsidR="0D8C91C2" w:rsidRPr="00C601A2">
              <w:t>S</w:t>
            </w:r>
            <w:r w:rsidR="09A80E7E" w:rsidRPr="00C601A2">
              <w:t xml:space="preserve">elected </w:t>
            </w:r>
            <w:r w:rsidR="0D8C91C2" w:rsidRPr="00C601A2">
              <w:t>A</w:t>
            </w:r>
            <w:r w:rsidR="09A80E7E" w:rsidRPr="00C601A2">
              <w:t xml:space="preserve">reas </w:t>
            </w:r>
            <w:r w:rsidR="00885A53">
              <w:t xml:space="preserve">indicates that </w:t>
            </w:r>
            <w:r w:rsidR="008F25E4">
              <w:t>CEW</w:t>
            </w:r>
            <w:r w:rsidR="09A80E7E" w:rsidRPr="00C601A2">
              <w:t xml:space="preserve"> ha</w:t>
            </w:r>
            <w:r w:rsidR="0D8C91C2" w:rsidRPr="00C601A2">
              <w:t>d</w:t>
            </w:r>
            <w:r w:rsidR="09A80E7E" w:rsidRPr="00C601A2">
              <w:t xml:space="preserve"> a positive influence on protecting and restoring energy, carbon and nutrient dynamics, primary production and respiration </w:t>
            </w:r>
            <w:r w:rsidR="0D8C91C2" w:rsidRPr="00C601A2">
              <w:t>in</w:t>
            </w:r>
            <w:r w:rsidR="09A80E7E" w:rsidRPr="00C601A2">
              <w:t xml:space="preserve"> </w:t>
            </w:r>
            <w:r w:rsidR="00682D38">
              <w:t>2014–2</w:t>
            </w:r>
            <w:r w:rsidR="006C391C">
              <w:t>4</w:t>
            </w:r>
            <w:r w:rsidR="00BD317E">
              <w:t>.</w:t>
            </w:r>
          </w:p>
          <w:p w14:paraId="36FE8B55" w14:textId="042621A9" w:rsidR="00773F99" w:rsidRPr="00C601A2" w:rsidRDefault="00773F99" w:rsidP="00642A73">
            <w:pPr>
              <w:pStyle w:val="TableText"/>
              <w:cnfStyle w:val="000000100000" w:firstRow="0" w:lastRow="0" w:firstColumn="0" w:lastColumn="0" w:oddVBand="0" w:evenVBand="0" w:oddHBand="1" w:evenHBand="0" w:firstRowFirstColumn="0" w:firstRowLastColumn="0" w:lastRowFirstColumn="0" w:lastRowLastColumn="0"/>
            </w:pPr>
            <w:r w:rsidRPr="00773F99">
              <w:t xml:space="preserve">CEW reduced annual GPP by a mean of 5.3% (range 0.3% to 17.5% among site and years). On individual days with CEW contribution, daily GPP was a mean of 15% lower than the counterfactual scenario </w:t>
            </w:r>
            <w:r w:rsidRPr="00773F99">
              <w:lastRenderedPageBreak/>
              <w:t>(range 6.5% to 43% among sites and years).</w:t>
            </w:r>
          </w:p>
        </w:tc>
      </w:tr>
      <w:tr w:rsidR="0073197B" w:rsidRPr="00C601A2" w14:paraId="225EC3F0" w14:textId="77777777" w:rsidTr="00032D01">
        <w:trPr>
          <w:trHeight w:val="300"/>
        </w:trPr>
        <w:tc>
          <w:tcPr>
            <w:cnfStyle w:val="001000000000" w:firstRow="0" w:lastRow="0" w:firstColumn="1" w:lastColumn="0" w:oddVBand="0" w:evenVBand="0" w:oddHBand="0" w:evenHBand="0" w:firstRowFirstColumn="0" w:firstRowLastColumn="0" w:lastRowFirstColumn="0" w:lastRowLastColumn="0"/>
            <w:tcW w:w="2551" w:type="dxa"/>
          </w:tcPr>
          <w:p w14:paraId="18BB5B62" w14:textId="1049EAED" w:rsidR="0066533C" w:rsidRPr="00C601A2" w:rsidRDefault="0066533C" w:rsidP="005A4DFB">
            <w:pPr>
              <w:pStyle w:val="TableText"/>
              <w:tabs>
                <w:tab w:val="left" w:pos="508"/>
              </w:tabs>
            </w:pPr>
            <w:r w:rsidRPr="00C601A2">
              <w:rPr>
                <w:b/>
              </w:rPr>
              <w:t>9.08</w:t>
            </w:r>
            <w:r w:rsidR="00A32780" w:rsidRPr="00C601A2">
              <w:tab/>
            </w:r>
            <w:r w:rsidR="00783676">
              <w:t>Objective to maintain</w:t>
            </w:r>
            <w:r w:rsidRPr="00C601A2">
              <w:t xml:space="preserve"> good levels of water quality</w:t>
            </w:r>
          </w:p>
        </w:tc>
        <w:tc>
          <w:tcPr>
            <w:tcW w:w="0" w:type="auto"/>
          </w:tcPr>
          <w:p w14:paraId="66AD8448" w14:textId="55AA9BC8" w:rsidR="0066533C" w:rsidRPr="00C601A2" w:rsidRDefault="0066533C" w:rsidP="00642A73">
            <w:pPr>
              <w:pStyle w:val="TableText"/>
              <w:cnfStyle w:val="000000000000" w:firstRow="0" w:lastRow="0" w:firstColumn="0" w:lastColumn="0" w:oddVBand="0" w:evenVBand="0" w:oddHBand="0" w:evenHBand="0" w:firstRowFirstColumn="0" w:firstRowLastColumn="0" w:lastRowFirstColumn="0" w:lastRowLastColumn="0"/>
            </w:pPr>
            <w:r w:rsidRPr="00C601A2">
              <w:t xml:space="preserve">Water </w:t>
            </w:r>
            <w:r w:rsidR="00C21B5E" w:rsidRPr="00C601A2">
              <w:t>q</w:t>
            </w:r>
            <w:r w:rsidRPr="00C601A2">
              <w:t>uality</w:t>
            </w:r>
          </w:p>
        </w:tc>
        <w:tc>
          <w:tcPr>
            <w:tcW w:w="0" w:type="auto"/>
          </w:tcPr>
          <w:p w14:paraId="29B8BB83" w14:textId="331BB0BD" w:rsidR="0066533C" w:rsidRPr="00C601A2" w:rsidRDefault="009B35FC" w:rsidP="00642A73">
            <w:pPr>
              <w:pStyle w:val="TableText"/>
              <w:cnfStyle w:val="000000000000" w:firstRow="0" w:lastRow="0" w:firstColumn="0" w:lastColumn="0" w:oddVBand="0" w:evenVBand="0" w:oddHBand="0" w:evenHBand="0" w:firstRowFirstColumn="0" w:firstRowLastColumn="0" w:lastRowFirstColumn="0" w:lastRowLastColumn="0"/>
            </w:pPr>
            <w:r w:rsidRPr="00C601A2">
              <w:t>If the value of a water quality characteristic (</w:t>
            </w:r>
            <w:r w:rsidR="00FD3BE8" w:rsidRPr="00C601A2">
              <w:t>e.g.</w:t>
            </w:r>
            <w:r w:rsidRPr="00C601A2">
              <w:t xml:space="preserve"> salinity, nutrients, pesticides, pH, turbidity) is at a level that is better than the target value for water quality set out in Part 4, an objective is to maintain that level.</w:t>
            </w:r>
          </w:p>
        </w:tc>
        <w:tc>
          <w:tcPr>
            <w:tcW w:w="0" w:type="auto"/>
          </w:tcPr>
          <w:p w14:paraId="2EFE6602" w14:textId="318BD59C" w:rsidR="0066533C" w:rsidRPr="00C601A2" w:rsidRDefault="00885A53" w:rsidP="00642A73">
            <w:pPr>
              <w:pStyle w:val="TableText"/>
              <w:cnfStyle w:val="000000000000" w:firstRow="0" w:lastRow="0" w:firstColumn="0" w:lastColumn="0" w:oddVBand="0" w:evenVBand="0" w:oddHBand="0" w:evenHBand="0" w:firstRowFirstColumn="0" w:firstRowLastColumn="0" w:lastRowFirstColumn="0" w:lastRowLastColumn="0"/>
            </w:pPr>
            <w:r>
              <w:t>None identified</w:t>
            </w:r>
          </w:p>
        </w:tc>
        <w:tc>
          <w:tcPr>
            <w:tcW w:w="0" w:type="auto"/>
          </w:tcPr>
          <w:p w14:paraId="5370BA59" w14:textId="5B0CF42B" w:rsidR="00F71112" w:rsidRPr="001B4152" w:rsidRDefault="00F71112" w:rsidP="00642A73">
            <w:pPr>
              <w:pStyle w:val="TableText"/>
              <w:cnfStyle w:val="000000000000" w:firstRow="0" w:lastRow="0" w:firstColumn="0" w:lastColumn="0" w:oddVBand="0" w:evenVBand="0" w:oddHBand="0" w:evenHBand="0" w:firstRowFirstColumn="0" w:firstRowLastColumn="0" w:lastRowFirstColumn="0" w:lastRowLastColumn="0"/>
              <w:rPr>
                <w:b/>
              </w:rPr>
            </w:pPr>
            <w:r w:rsidRPr="001B4152">
              <w:rPr>
                <w:b/>
              </w:rPr>
              <w:t>9.08</w:t>
            </w:r>
          </w:p>
          <w:p w14:paraId="709C3743" w14:textId="7C7B3EA3" w:rsidR="0066533C" w:rsidRPr="0073197B" w:rsidRDefault="009C61B8" w:rsidP="003C58E9">
            <w:pPr>
              <w:pStyle w:val="TableText"/>
              <w:cnfStyle w:val="000000000000" w:firstRow="0" w:lastRow="0" w:firstColumn="0" w:lastColumn="0" w:oddVBand="0" w:evenVBand="0" w:oddHBand="0" w:evenHBand="0" w:firstRowFirstColumn="0" w:firstRowLastColumn="0" w:lastRowFirstColumn="0" w:lastRowLastColumn="0"/>
              <w:rPr>
                <w:bCs/>
              </w:rPr>
            </w:pPr>
            <w:r w:rsidRPr="0073197B">
              <w:rPr>
                <w:bCs/>
              </w:rPr>
              <w:t>Environmental watering actions in</w:t>
            </w:r>
            <w:r w:rsidR="008702D7" w:rsidRPr="0073197B">
              <w:rPr>
                <w:bCs/>
              </w:rPr>
              <w:t xml:space="preserve"> </w:t>
            </w:r>
            <w:r w:rsidR="00682D38" w:rsidRPr="0073197B">
              <w:rPr>
                <w:bCs/>
              </w:rPr>
              <w:t>202</w:t>
            </w:r>
            <w:r w:rsidR="0073197B">
              <w:rPr>
                <w:bCs/>
              </w:rPr>
              <w:t>3</w:t>
            </w:r>
            <w:r w:rsidR="00682D38" w:rsidRPr="0073197B">
              <w:rPr>
                <w:bCs/>
              </w:rPr>
              <w:t>–2</w:t>
            </w:r>
            <w:r w:rsidR="0073197B">
              <w:rPr>
                <w:bCs/>
              </w:rPr>
              <w:t>4</w:t>
            </w:r>
            <w:r w:rsidRPr="0073197B">
              <w:rPr>
                <w:bCs/>
              </w:rPr>
              <w:t xml:space="preserve"> water </w:t>
            </w:r>
            <w:r w:rsidR="00E57E5E" w:rsidRPr="0073197B">
              <w:rPr>
                <w:bCs/>
              </w:rPr>
              <w:t xml:space="preserve">provided </w:t>
            </w:r>
            <w:r w:rsidR="00E57E5E" w:rsidRPr="0073197B">
              <w:rPr>
                <w:rFonts w:cs="Calibri"/>
                <w:bCs/>
                <w:szCs w:val="18"/>
                <w:lang w:val="en-US"/>
              </w:rPr>
              <w:t xml:space="preserve">benefits in terms of increasing oxygen concentrations and reducing the potential for blackwater events </w:t>
            </w:r>
            <w:r w:rsidR="00EB402F">
              <w:rPr>
                <w:rFonts w:cs="Calibri"/>
                <w:bCs/>
                <w:szCs w:val="18"/>
                <w:lang w:val="en-US"/>
              </w:rPr>
              <w:t>(</w:t>
            </w:r>
            <w:r w:rsidR="00120673">
              <w:rPr>
                <w:rFonts w:cs="Calibri"/>
                <w:bCs/>
                <w:szCs w:val="18"/>
                <w:lang w:val="en-US"/>
              </w:rPr>
              <w:fldChar w:fldCharType="begin"/>
            </w:r>
            <w:r w:rsidR="00120673">
              <w:rPr>
                <w:rFonts w:cs="Calibri"/>
                <w:bCs/>
                <w:szCs w:val="18"/>
                <w:lang w:val="en-US"/>
              </w:rPr>
              <w:instrText xml:space="preserve"> REF _Ref71212598 \h </w:instrText>
            </w:r>
            <w:r w:rsidR="00120673">
              <w:rPr>
                <w:rFonts w:cs="Calibri"/>
                <w:bCs/>
                <w:szCs w:val="18"/>
                <w:lang w:val="en-US"/>
              </w:rPr>
            </w:r>
            <w:r w:rsidR="00120673">
              <w:rPr>
                <w:rFonts w:cs="Calibri"/>
                <w:bCs/>
                <w:szCs w:val="18"/>
                <w:lang w:val="en-US"/>
              </w:rPr>
              <w:fldChar w:fldCharType="separate"/>
            </w:r>
            <w:r w:rsidR="00492712" w:rsidRPr="00C601A2">
              <w:t>Table</w:t>
            </w:r>
            <w:r w:rsidR="00492712">
              <w:t> </w:t>
            </w:r>
            <w:r w:rsidR="00835C8B">
              <w:rPr>
                <w:noProof/>
              </w:rPr>
              <w:t>3</w:t>
            </w:r>
            <w:r w:rsidR="00492712">
              <w:t>.</w:t>
            </w:r>
            <w:r w:rsidR="00492712">
              <w:rPr>
                <w:noProof/>
              </w:rPr>
              <w:t>3</w:t>
            </w:r>
            <w:r w:rsidR="00120673">
              <w:rPr>
                <w:rFonts w:cs="Calibri"/>
                <w:bCs/>
                <w:szCs w:val="18"/>
                <w:lang w:val="en-US"/>
              </w:rPr>
              <w:fldChar w:fldCharType="end"/>
            </w:r>
            <w:r w:rsidR="00EB402F">
              <w:rPr>
                <w:rFonts w:cs="Calibri"/>
                <w:bCs/>
                <w:szCs w:val="18"/>
                <w:lang w:val="en-US"/>
              </w:rPr>
              <w:t>)</w:t>
            </w:r>
            <w:r w:rsidR="00941D55">
              <w:rPr>
                <w:rFonts w:cs="Calibri"/>
                <w:bCs/>
                <w:szCs w:val="18"/>
                <w:lang w:val="en-US"/>
              </w:rPr>
              <w:t>.</w:t>
            </w:r>
          </w:p>
        </w:tc>
        <w:tc>
          <w:tcPr>
            <w:tcW w:w="3345" w:type="dxa"/>
          </w:tcPr>
          <w:p w14:paraId="52B6B39E" w14:textId="16265D39" w:rsidR="003362C1" w:rsidRPr="00C601A2" w:rsidRDefault="00F71112" w:rsidP="00642A73">
            <w:pPr>
              <w:pStyle w:val="TableText"/>
              <w:cnfStyle w:val="000000000000" w:firstRow="0" w:lastRow="0" w:firstColumn="0" w:lastColumn="0" w:oddVBand="0" w:evenVBand="0" w:oddHBand="0" w:evenHBand="0" w:firstRowFirstColumn="0" w:firstRowLastColumn="0" w:lastRowFirstColumn="0" w:lastRowLastColumn="0"/>
              <w:rPr>
                <w:b/>
              </w:rPr>
            </w:pPr>
            <w:r w:rsidRPr="00C601A2">
              <w:rPr>
                <w:b/>
              </w:rPr>
              <w:t>9.08</w:t>
            </w:r>
          </w:p>
          <w:p w14:paraId="3400EBB1" w14:textId="749457A9" w:rsidR="0066533C" w:rsidRPr="00C601A2" w:rsidRDefault="003644A7" w:rsidP="00642A73">
            <w:pPr>
              <w:pStyle w:val="TableText"/>
              <w:cnfStyle w:val="000000000000" w:firstRow="0" w:lastRow="0" w:firstColumn="0" w:lastColumn="0" w:oddVBand="0" w:evenVBand="0" w:oddHBand="0" w:evenHBand="0" w:firstRowFirstColumn="0" w:firstRowLastColumn="0" w:lastRowFirstColumn="0" w:lastRowLastColumn="0"/>
              <w:rPr>
                <w:b/>
              </w:rPr>
            </w:pPr>
            <w:r w:rsidRPr="00C601A2">
              <w:t xml:space="preserve">Water quality is difficult to assess across the </w:t>
            </w:r>
            <w:r w:rsidR="00A6747F" w:rsidRPr="00C601A2">
              <w:t>Basin</w:t>
            </w:r>
            <w:r w:rsidRPr="00C601A2">
              <w:t xml:space="preserve"> due to the high level of spatial and temporal baseline variation. However, there is s</w:t>
            </w:r>
            <w:r w:rsidR="003362C1" w:rsidRPr="00C601A2">
              <w:t xml:space="preserve">trong evidence that </w:t>
            </w:r>
            <w:r w:rsidR="008F25E4">
              <w:t>CEW</w:t>
            </w:r>
            <w:r w:rsidR="003362C1" w:rsidRPr="00C601A2">
              <w:t xml:space="preserve"> played an important role in maintain</w:t>
            </w:r>
            <w:r w:rsidR="00716CEF" w:rsidRPr="00C601A2">
              <w:t>ing</w:t>
            </w:r>
            <w:r w:rsidR="003362C1" w:rsidRPr="00C601A2">
              <w:t xml:space="preserve"> good levels of water quality</w:t>
            </w:r>
            <w:r w:rsidR="00716CEF" w:rsidRPr="00C601A2">
              <w:t xml:space="preserve"> </w:t>
            </w:r>
            <w:r w:rsidR="00CB02AD" w:rsidRPr="00C601A2">
              <w:t xml:space="preserve">in </w:t>
            </w:r>
            <w:r w:rsidR="00682D38">
              <w:t>2014–2</w:t>
            </w:r>
            <w:r w:rsidR="00C11376">
              <w:t>4</w:t>
            </w:r>
            <w:r w:rsidR="003362C1" w:rsidRPr="00C601A2">
              <w:t xml:space="preserve">. For example, </w:t>
            </w:r>
            <w:r w:rsidR="00716CEF" w:rsidRPr="00C601A2">
              <w:t xml:space="preserve">anoxic events in 2016 and the subsequent delivery of ameliorating flows (including through </w:t>
            </w:r>
            <w:r w:rsidR="008F25E4">
              <w:t>CEW</w:t>
            </w:r>
            <w:r w:rsidR="00716CEF" w:rsidRPr="00C601A2">
              <w:t>) demonstrated the utility of targeted watering actions designed to improve water quality</w:t>
            </w:r>
            <w:r w:rsidR="0099093D" w:rsidRPr="00C601A2">
              <w:t xml:space="preserve"> </w:t>
            </w:r>
            <w:r w:rsidR="00EC6DE3" w:rsidRPr="00C601A2">
              <w:rPr>
                <w:noProof/>
              </w:rPr>
              <w:t>(Grace 2020)</w:t>
            </w:r>
            <w:r w:rsidR="00186AD7">
              <w:t>.</w:t>
            </w:r>
            <w:r w:rsidR="00716CEF" w:rsidRPr="00C601A2">
              <w:t xml:space="preserve"> </w:t>
            </w:r>
            <w:r w:rsidR="008F25E4">
              <w:t>CEW</w:t>
            </w:r>
            <w:r w:rsidR="00420E46" w:rsidRPr="00C601A2">
              <w:t xml:space="preserve"> contribution</w:t>
            </w:r>
            <w:r w:rsidR="00266205">
              <w:t>s</w:t>
            </w:r>
            <w:r w:rsidR="00420E46" w:rsidRPr="00C601A2">
              <w:t xml:space="preserve"> to meeting salt export</w:t>
            </w:r>
            <w:r w:rsidR="00266205">
              <w:t xml:space="preserve"> targets</w:t>
            </w:r>
            <w:r w:rsidR="00420E46" w:rsidRPr="00C601A2">
              <w:t xml:space="preserve"> (see </w:t>
            </w:r>
            <w:r w:rsidR="00420E46" w:rsidRPr="00C601A2">
              <w:rPr>
                <w:b/>
              </w:rPr>
              <w:t xml:space="preserve">9.09 </w:t>
            </w:r>
            <w:r w:rsidR="00420E46" w:rsidRPr="00C601A2">
              <w:t xml:space="preserve">and </w:t>
            </w:r>
            <w:r w:rsidR="00420E46" w:rsidRPr="00C601A2">
              <w:rPr>
                <w:b/>
              </w:rPr>
              <w:t>9.14(5)</w:t>
            </w:r>
            <w:r w:rsidR="00345CF6" w:rsidRPr="00C601A2">
              <w:rPr>
                <w:b/>
              </w:rPr>
              <w:t>(</w:t>
            </w:r>
            <w:r w:rsidR="00420E46" w:rsidRPr="00C601A2">
              <w:rPr>
                <w:b/>
              </w:rPr>
              <w:t>c</w:t>
            </w:r>
            <w:r w:rsidR="00345CF6" w:rsidRPr="00C601A2">
              <w:rPr>
                <w:b/>
              </w:rPr>
              <w:t>)</w:t>
            </w:r>
            <w:r w:rsidR="00420E46" w:rsidRPr="00C601A2">
              <w:rPr>
                <w:b/>
              </w:rPr>
              <w:t xml:space="preserve"> </w:t>
            </w:r>
            <w:r w:rsidR="00420E46" w:rsidRPr="00C601A2">
              <w:t xml:space="preserve">below) </w:t>
            </w:r>
            <w:r w:rsidR="00266205">
              <w:t>have</w:t>
            </w:r>
            <w:r w:rsidR="00420E46" w:rsidRPr="00C601A2">
              <w:t xml:space="preserve"> also been significant.</w:t>
            </w:r>
          </w:p>
        </w:tc>
      </w:tr>
      <w:tr w:rsidR="0073197B" w:rsidRPr="00C601A2" w14:paraId="23C269A5" w14:textId="77777777" w:rsidTr="00032D0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tcPr>
          <w:p w14:paraId="104C16D5" w14:textId="23703C60" w:rsidR="00BD62CC" w:rsidRPr="00C601A2" w:rsidRDefault="00BD62CC" w:rsidP="005A4DFB">
            <w:pPr>
              <w:pStyle w:val="TableText"/>
              <w:tabs>
                <w:tab w:val="left" w:pos="508"/>
              </w:tabs>
            </w:pPr>
            <w:r w:rsidRPr="00C601A2">
              <w:rPr>
                <w:b/>
              </w:rPr>
              <w:t>9.09</w:t>
            </w:r>
            <w:r w:rsidR="00A32780" w:rsidRPr="00C601A2">
              <w:tab/>
            </w:r>
            <w:r w:rsidRPr="00C601A2">
              <w:t>Salt export</w:t>
            </w:r>
            <w:r w:rsidR="00783676">
              <w:t xml:space="preserve"> objective</w:t>
            </w:r>
          </w:p>
        </w:tc>
        <w:tc>
          <w:tcPr>
            <w:tcW w:w="0" w:type="auto"/>
          </w:tcPr>
          <w:p w14:paraId="52149CDB" w14:textId="653BBEE1" w:rsidR="00BD62CC" w:rsidRPr="00C601A2" w:rsidRDefault="00BD62CC" w:rsidP="00642A73">
            <w:pPr>
              <w:pStyle w:val="TableText"/>
              <w:cnfStyle w:val="000000100000" w:firstRow="0" w:lastRow="0" w:firstColumn="0" w:lastColumn="0" w:oddVBand="0" w:evenVBand="0" w:oddHBand="1" w:evenHBand="0" w:firstRowFirstColumn="0" w:firstRowLastColumn="0" w:lastRowFirstColumn="0" w:lastRowLastColumn="0"/>
            </w:pPr>
            <w:r w:rsidRPr="00C601A2">
              <w:t xml:space="preserve">Water </w:t>
            </w:r>
            <w:r w:rsidR="00C21B5E" w:rsidRPr="00C601A2">
              <w:t>q</w:t>
            </w:r>
            <w:r w:rsidRPr="00C601A2">
              <w:t>uality</w:t>
            </w:r>
          </w:p>
        </w:tc>
        <w:tc>
          <w:tcPr>
            <w:tcW w:w="0" w:type="auto"/>
          </w:tcPr>
          <w:p w14:paraId="7BD24F3A" w14:textId="4D77E113" w:rsidR="00BD62CC" w:rsidRPr="00C601A2" w:rsidRDefault="00716CEF" w:rsidP="00642A73">
            <w:pPr>
              <w:pStyle w:val="TableText"/>
              <w:cnfStyle w:val="000000100000" w:firstRow="0" w:lastRow="0" w:firstColumn="0" w:lastColumn="0" w:oddVBand="0" w:evenVBand="0" w:oddHBand="1" w:evenHBand="0" w:firstRowFirstColumn="0" w:firstRowLastColumn="0" w:lastRowFirstColumn="0" w:lastRowLastColumn="0"/>
            </w:pPr>
            <w:r w:rsidRPr="00C601A2">
              <w:t>The salt export objective is expected to be achieved by the discharge of an average of 2</w:t>
            </w:r>
            <w:r w:rsidR="00C21B5E" w:rsidRPr="00C601A2">
              <w:t> </w:t>
            </w:r>
            <w:r w:rsidRPr="00C601A2">
              <w:t xml:space="preserve">million tonnes of salt from the Murray </w:t>
            </w:r>
            <w:r w:rsidR="00CB02AD" w:rsidRPr="00C601A2">
              <w:t>River s</w:t>
            </w:r>
            <w:r w:rsidRPr="00C601A2">
              <w:t>ystem into the Southern Ocean each water accounting period.</w:t>
            </w:r>
          </w:p>
        </w:tc>
        <w:tc>
          <w:tcPr>
            <w:tcW w:w="0" w:type="auto"/>
          </w:tcPr>
          <w:p w14:paraId="4E3663D3" w14:textId="3AFAF333" w:rsidR="00BD62CC" w:rsidRPr="00C601A2" w:rsidRDefault="00BD62CC" w:rsidP="00642A73">
            <w:pPr>
              <w:pStyle w:val="TableText"/>
              <w:cnfStyle w:val="000000100000" w:firstRow="0" w:lastRow="0" w:firstColumn="0" w:lastColumn="0" w:oddVBand="0" w:evenVBand="0" w:oddHBand="1" w:evenHBand="0" w:firstRowFirstColumn="0" w:firstRowLastColumn="0" w:lastRowFirstColumn="0" w:lastRowLastColumn="0"/>
            </w:pPr>
            <w:r w:rsidRPr="00C601A2">
              <w:t>None identified</w:t>
            </w:r>
          </w:p>
        </w:tc>
        <w:tc>
          <w:tcPr>
            <w:tcW w:w="0" w:type="auto"/>
          </w:tcPr>
          <w:p w14:paraId="44F4F6FD" w14:textId="1A9E03DD" w:rsidR="001B2D66" w:rsidRPr="00C601A2" w:rsidRDefault="00420E46" w:rsidP="00642A73">
            <w:pPr>
              <w:pStyle w:val="TableText"/>
              <w:cnfStyle w:val="000000100000" w:firstRow="0" w:lastRow="0" w:firstColumn="0" w:lastColumn="0" w:oddVBand="0" w:evenVBand="0" w:oddHBand="1" w:evenHBand="0" w:firstRowFirstColumn="0" w:firstRowLastColumn="0" w:lastRowFirstColumn="0" w:lastRowLastColumn="0"/>
              <w:rPr>
                <w:b/>
              </w:rPr>
            </w:pPr>
            <w:r w:rsidRPr="00C601A2">
              <w:rPr>
                <w:b/>
              </w:rPr>
              <w:t>9.09</w:t>
            </w:r>
          </w:p>
          <w:p w14:paraId="17A063F5" w14:textId="51D93C00" w:rsidR="00BD62CC" w:rsidRPr="00C601A2" w:rsidRDefault="00E039DA" w:rsidP="00642A73">
            <w:pPr>
              <w:pStyle w:val="TableText"/>
              <w:cnfStyle w:val="000000100000" w:firstRow="0" w:lastRow="0" w:firstColumn="0" w:lastColumn="0" w:oddVBand="0" w:evenVBand="0" w:oddHBand="1" w:evenHBand="0" w:firstRowFirstColumn="0" w:firstRowLastColumn="0" w:lastRowFirstColumn="0" w:lastRowLastColumn="0"/>
            </w:pPr>
            <w:r w:rsidRPr="00C601A2">
              <w:t xml:space="preserve">In </w:t>
            </w:r>
            <w:r w:rsidR="00682D38">
              <w:t>202</w:t>
            </w:r>
            <w:r w:rsidR="00BE66A0">
              <w:t>3</w:t>
            </w:r>
            <w:r w:rsidR="00682D38">
              <w:t>–2</w:t>
            </w:r>
            <w:r w:rsidR="00BE66A0">
              <w:t>4</w:t>
            </w:r>
            <w:r w:rsidRPr="00C601A2">
              <w:t xml:space="preserve">, </w:t>
            </w:r>
            <w:r w:rsidR="008F25E4">
              <w:t>CEW</w:t>
            </w:r>
            <w:r w:rsidRPr="00C601A2">
              <w:t xml:space="preserve"> was responsible for the export of </w:t>
            </w:r>
            <w:r w:rsidR="00BE66A0" w:rsidRPr="00C47AB4">
              <w:t>221,272</w:t>
            </w:r>
            <w:r w:rsidR="00BE66A0">
              <w:t xml:space="preserve"> </w:t>
            </w:r>
            <w:r w:rsidRPr="00C601A2">
              <w:t>tonnes of salt</w:t>
            </w:r>
            <w:r w:rsidR="007C6910">
              <w:t xml:space="preserve"> (around </w:t>
            </w:r>
            <w:r w:rsidR="00BE66A0">
              <w:t>11</w:t>
            </w:r>
            <w:r w:rsidR="007C6910">
              <w:t>% of the Basin target)</w:t>
            </w:r>
            <w:r w:rsidRPr="00C601A2">
              <w:t xml:space="preserve"> </w:t>
            </w:r>
            <w:r w:rsidR="00D55065" w:rsidRPr="00C601A2">
              <w:rPr>
                <w:noProof/>
              </w:rPr>
              <w:t>(Ye et al. 202</w:t>
            </w:r>
            <w:r w:rsidR="00BE66A0">
              <w:rPr>
                <w:noProof/>
              </w:rPr>
              <w:t>5</w:t>
            </w:r>
            <w:r w:rsidR="00D55065" w:rsidRPr="00C601A2">
              <w:rPr>
                <w:noProof/>
              </w:rPr>
              <w:t>)</w:t>
            </w:r>
            <w:r w:rsidR="00266205">
              <w:rPr>
                <w:noProof/>
              </w:rPr>
              <w:t>.</w:t>
            </w:r>
          </w:p>
        </w:tc>
        <w:tc>
          <w:tcPr>
            <w:tcW w:w="3345" w:type="dxa"/>
          </w:tcPr>
          <w:p w14:paraId="134CEA58" w14:textId="30EE2D41" w:rsidR="001B2D66" w:rsidRPr="00C601A2" w:rsidRDefault="001B2D66" w:rsidP="00642A73">
            <w:pPr>
              <w:pStyle w:val="TableText"/>
              <w:cnfStyle w:val="000000100000" w:firstRow="0" w:lastRow="0" w:firstColumn="0" w:lastColumn="0" w:oddVBand="0" w:evenVBand="0" w:oddHBand="1" w:evenHBand="0" w:firstRowFirstColumn="0" w:firstRowLastColumn="0" w:lastRowFirstColumn="0" w:lastRowLastColumn="0"/>
              <w:rPr>
                <w:b/>
              </w:rPr>
            </w:pPr>
            <w:r w:rsidRPr="00C601A2">
              <w:rPr>
                <w:b/>
              </w:rPr>
              <w:t>9.09</w:t>
            </w:r>
          </w:p>
          <w:p w14:paraId="7F275A5C" w14:textId="001C757E" w:rsidR="00BD62CC" w:rsidRPr="00C601A2" w:rsidRDefault="008F25E4" w:rsidP="0099093D">
            <w:pPr>
              <w:pStyle w:val="TableText"/>
              <w:cnfStyle w:val="000000100000" w:firstRow="0" w:lastRow="0" w:firstColumn="0" w:lastColumn="0" w:oddVBand="0" w:evenVBand="0" w:oddHBand="1" w:evenHBand="0" w:firstRowFirstColumn="0" w:firstRowLastColumn="0" w:lastRowFirstColumn="0" w:lastRowLastColumn="0"/>
            </w:pPr>
            <w:r>
              <w:t>CEW</w:t>
            </w:r>
            <w:r w:rsidR="0099093D" w:rsidRPr="00C601A2">
              <w:t xml:space="preserve"> accounted for 80</w:t>
            </w:r>
            <w:r w:rsidR="003F1684">
              <w:t xml:space="preserve">% to </w:t>
            </w:r>
            <w:r w:rsidR="0099093D" w:rsidRPr="00C601A2">
              <w:t xml:space="preserve">100% of annual environmental flow releases through the barrages (the only mechanism for salt export </w:t>
            </w:r>
            <w:r w:rsidR="00FF668D" w:rsidRPr="00C601A2">
              <w:t xml:space="preserve">from </w:t>
            </w:r>
            <w:r w:rsidR="0099093D" w:rsidRPr="00C601A2">
              <w:t>the Basin) during the dry years (between 2014</w:t>
            </w:r>
            <w:r w:rsidR="00FF668D" w:rsidRPr="00C601A2">
              <w:rPr>
                <w:rFonts w:cs="Calibri"/>
              </w:rPr>
              <w:t>–</w:t>
            </w:r>
            <w:r w:rsidR="0099093D" w:rsidRPr="00C601A2">
              <w:t>15 and 2020</w:t>
            </w:r>
            <w:r w:rsidR="00FF668D" w:rsidRPr="00C601A2">
              <w:rPr>
                <w:rFonts w:cs="Calibri"/>
              </w:rPr>
              <w:t>–</w:t>
            </w:r>
            <w:r w:rsidR="0099093D" w:rsidRPr="00C601A2">
              <w:t>21 except for 2016</w:t>
            </w:r>
            <w:r w:rsidR="00FF668D" w:rsidRPr="00C601A2">
              <w:rPr>
                <w:rFonts w:cs="Calibri"/>
              </w:rPr>
              <w:t>–</w:t>
            </w:r>
            <w:r w:rsidR="0099093D" w:rsidRPr="00C601A2">
              <w:t>17)</w:t>
            </w:r>
            <w:r w:rsidR="008A0FF0" w:rsidRPr="00C601A2">
              <w:t>.</w:t>
            </w:r>
            <w:r w:rsidR="00F147DC" w:rsidRPr="00C601A2">
              <w:t xml:space="preserve"> </w:t>
            </w:r>
            <w:r w:rsidR="00FA2645" w:rsidRPr="00CB3575">
              <w:t xml:space="preserve">Since 2014–15, </w:t>
            </w:r>
            <w:r>
              <w:t>CEW</w:t>
            </w:r>
            <w:r w:rsidR="00FA2645" w:rsidRPr="00CB3575">
              <w:t xml:space="preserve"> has been responsible for an additional 4.</w:t>
            </w:r>
            <w:r w:rsidR="00BE66A0">
              <w:t>3</w:t>
            </w:r>
            <w:r w:rsidR="00266205">
              <w:t> </w:t>
            </w:r>
            <w:r w:rsidR="00FA2645" w:rsidRPr="00CB3575">
              <w:t xml:space="preserve">million tonnes of salt exported through the barrages </w:t>
            </w:r>
            <w:r w:rsidR="00AB2FBB">
              <w:t xml:space="preserve">(22% of the Basin target) </w:t>
            </w:r>
            <w:r w:rsidR="00FA2645" w:rsidRPr="00CB3575">
              <w:t>and has reduced salt import by more than 2</w:t>
            </w:r>
            <w:r w:rsidR="00BE66A0">
              <w:t>8</w:t>
            </w:r>
            <w:r w:rsidR="00FA2645" w:rsidRPr="00CB3575">
              <w:t xml:space="preserve"> </w:t>
            </w:r>
            <w:r w:rsidR="00FA2645" w:rsidRPr="00CB3575">
              <w:lastRenderedPageBreak/>
              <w:t>million tonnes since 2014</w:t>
            </w:r>
            <w:r w:rsidR="00266205">
              <w:t>–15</w:t>
            </w:r>
            <w:r w:rsidR="00FA2645">
              <w:t xml:space="preserve"> </w:t>
            </w:r>
            <w:r w:rsidR="00FA2645" w:rsidRPr="003825A1">
              <w:t>(Ye et al. 202</w:t>
            </w:r>
            <w:r w:rsidR="00BE66A0">
              <w:t>5</w:t>
            </w:r>
            <w:r w:rsidR="00FA2645" w:rsidRPr="003825A1">
              <w:t>)</w:t>
            </w:r>
            <w:r w:rsidR="00FA2645">
              <w:t>.</w:t>
            </w:r>
          </w:p>
        </w:tc>
      </w:tr>
      <w:tr w:rsidR="0073197B" w:rsidRPr="00C601A2" w14:paraId="29156F51" w14:textId="77777777" w:rsidTr="00032D01">
        <w:trPr>
          <w:trHeight w:val="300"/>
        </w:trPr>
        <w:tc>
          <w:tcPr>
            <w:cnfStyle w:val="001000000000" w:firstRow="0" w:lastRow="0" w:firstColumn="1" w:lastColumn="0" w:oddVBand="0" w:evenVBand="0" w:oddHBand="0" w:evenHBand="0" w:firstRowFirstColumn="0" w:firstRowLastColumn="0" w:lastRowFirstColumn="0" w:lastRowLastColumn="0"/>
            <w:tcW w:w="2551" w:type="dxa"/>
          </w:tcPr>
          <w:p w14:paraId="14A8A7CA" w14:textId="54719A35" w:rsidR="008271E7" w:rsidRPr="00C601A2" w:rsidRDefault="008271E7" w:rsidP="005A4DFB">
            <w:pPr>
              <w:pStyle w:val="TableText"/>
              <w:tabs>
                <w:tab w:val="left" w:pos="508"/>
              </w:tabs>
            </w:pPr>
            <w:r w:rsidRPr="00C601A2">
              <w:rPr>
                <w:b/>
              </w:rPr>
              <w:t>9.14</w:t>
            </w:r>
            <w:r w:rsidR="00A32780" w:rsidRPr="00C601A2">
              <w:tab/>
            </w:r>
            <w:r w:rsidRPr="00C601A2">
              <w:t>Targets for managing water flows</w:t>
            </w:r>
          </w:p>
          <w:p w14:paraId="7EE191F8" w14:textId="6FB71124" w:rsidR="008271E7" w:rsidRPr="00C601A2" w:rsidRDefault="008271E7" w:rsidP="00642A73">
            <w:pPr>
              <w:pStyle w:val="TableText"/>
              <w:tabs>
                <w:tab w:val="left" w:pos="412"/>
              </w:tabs>
            </w:pPr>
            <w:r w:rsidRPr="00C601A2">
              <w:t>(</w:t>
            </w:r>
            <w:r w:rsidRPr="00C601A2">
              <w:rPr>
                <w:b/>
              </w:rPr>
              <w:t>5)</w:t>
            </w:r>
            <w:r w:rsidR="00A32780" w:rsidRPr="00C601A2">
              <w:tab/>
            </w:r>
            <w:r w:rsidRPr="00C601A2">
              <w:t>For the purposes of subsections (1) to (4</w:t>
            </w:r>
            <w:r w:rsidR="00420E46" w:rsidRPr="00C601A2">
              <w:t>)</w:t>
            </w:r>
            <w:r w:rsidR="00783676">
              <w:t xml:space="preserve"> [not shown]</w:t>
            </w:r>
            <w:r w:rsidR="00420E46" w:rsidRPr="00C601A2">
              <w:t>, the following targets apply:</w:t>
            </w:r>
          </w:p>
          <w:p w14:paraId="4F06BC48" w14:textId="3EA646BA" w:rsidR="008271E7" w:rsidRPr="00C601A2" w:rsidRDefault="008271E7" w:rsidP="00642A73">
            <w:pPr>
              <w:pStyle w:val="TableText"/>
              <w:tabs>
                <w:tab w:val="left" w:pos="412"/>
              </w:tabs>
            </w:pPr>
            <w:r w:rsidRPr="00C601A2">
              <w:rPr>
                <w:b/>
              </w:rPr>
              <w:t>(a)</w:t>
            </w:r>
            <w:r w:rsidR="00A32780" w:rsidRPr="00C601A2">
              <w:tab/>
            </w:r>
            <w:r w:rsidR="00783676">
              <w:t xml:space="preserve">to </w:t>
            </w:r>
            <w:r w:rsidRPr="00C601A2">
              <w:t>maintain dissolved oxygen at a target va</w:t>
            </w:r>
            <w:r w:rsidR="00420E46" w:rsidRPr="00C601A2">
              <w:t>lue of at least 50% saturation</w:t>
            </w:r>
          </w:p>
          <w:p w14:paraId="670AD0AD" w14:textId="02068FC7" w:rsidR="008271E7" w:rsidRPr="00C601A2" w:rsidRDefault="008271E7" w:rsidP="00642A73">
            <w:pPr>
              <w:pStyle w:val="TableText"/>
              <w:tabs>
                <w:tab w:val="left" w:pos="412"/>
              </w:tabs>
            </w:pPr>
            <w:r w:rsidRPr="00C601A2">
              <w:rPr>
                <w:b/>
              </w:rPr>
              <w:t>(c)</w:t>
            </w:r>
            <w:r w:rsidR="00A32780" w:rsidRPr="00C601A2">
              <w:tab/>
            </w:r>
            <w:r w:rsidRPr="00C601A2">
              <w:t xml:space="preserve">the levels of salinity at the reporting sites set out in </w:t>
            </w:r>
            <w:r w:rsidR="00783676">
              <w:t>[</w:t>
            </w:r>
            <w:r w:rsidR="00CB02AD" w:rsidRPr="00C601A2">
              <w:t>column 3</w:t>
            </w:r>
            <w:r w:rsidR="00783676">
              <w:t>]</w:t>
            </w:r>
            <w:r w:rsidRPr="00C601A2">
              <w:t xml:space="preserve"> should not exceed the values set out in </w:t>
            </w:r>
            <w:r w:rsidR="00783676">
              <w:t>[</w:t>
            </w:r>
            <w:r w:rsidR="00CB02AD" w:rsidRPr="00C601A2">
              <w:t>column 3</w:t>
            </w:r>
            <w:r w:rsidR="00783676">
              <w:t>]</w:t>
            </w:r>
            <w:r w:rsidRPr="00C601A2">
              <w:t xml:space="preserve"> 95% of the time</w:t>
            </w:r>
          </w:p>
        </w:tc>
        <w:tc>
          <w:tcPr>
            <w:tcW w:w="0" w:type="auto"/>
          </w:tcPr>
          <w:p w14:paraId="24F46D9E" w14:textId="2367CD0B" w:rsidR="008271E7" w:rsidRPr="00C601A2" w:rsidRDefault="008271E7" w:rsidP="00642A73">
            <w:pPr>
              <w:pStyle w:val="TableText"/>
              <w:cnfStyle w:val="000000000000" w:firstRow="0" w:lastRow="0" w:firstColumn="0" w:lastColumn="0" w:oddVBand="0" w:evenVBand="0" w:oddHBand="0" w:evenHBand="0" w:firstRowFirstColumn="0" w:firstRowLastColumn="0" w:lastRowFirstColumn="0" w:lastRowLastColumn="0"/>
            </w:pPr>
            <w:r w:rsidRPr="00C601A2">
              <w:t xml:space="preserve">Water </w:t>
            </w:r>
            <w:r w:rsidR="00C21B5E" w:rsidRPr="00C601A2">
              <w:t>q</w:t>
            </w:r>
            <w:r w:rsidRPr="00C601A2">
              <w:t>uality</w:t>
            </w:r>
          </w:p>
        </w:tc>
        <w:tc>
          <w:tcPr>
            <w:tcW w:w="0" w:type="auto"/>
          </w:tcPr>
          <w:p w14:paraId="1D856555" w14:textId="44329859" w:rsidR="006A423E" w:rsidRPr="00C601A2" w:rsidRDefault="006A423E" w:rsidP="00642A73">
            <w:pPr>
              <w:pStyle w:val="TableText"/>
              <w:cnfStyle w:val="000000000000" w:firstRow="0" w:lastRow="0" w:firstColumn="0" w:lastColumn="0" w:oddVBand="0" w:evenVBand="0" w:oddHBand="0" w:evenHBand="0" w:firstRowFirstColumn="0" w:firstRowLastColumn="0" w:lastRowFirstColumn="0" w:lastRowLastColumn="0"/>
              <w:rPr>
                <w:b/>
              </w:rPr>
            </w:pPr>
            <w:r w:rsidRPr="00C601A2">
              <w:rPr>
                <w:b/>
              </w:rPr>
              <w:t>9.14(5)</w:t>
            </w:r>
            <w:r w:rsidR="00697A9C" w:rsidRPr="00C601A2">
              <w:rPr>
                <w:b/>
              </w:rPr>
              <w:t>(</w:t>
            </w:r>
            <w:r w:rsidRPr="00C601A2">
              <w:rPr>
                <w:b/>
              </w:rPr>
              <w:t>a</w:t>
            </w:r>
            <w:r w:rsidR="00697A9C" w:rsidRPr="00C601A2">
              <w:rPr>
                <w:b/>
              </w:rPr>
              <w:t>)</w:t>
            </w:r>
          </w:p>
          <w:p w14:paraId="39B82E04" w14:textId="51179B3D" w:rsidR="006A423E" w:rsidRPr="00C601A2" w:rsidRDefault="006A423E" w:rsidP="00642A73">
            <w:pPr>
              <w:pStyle w:val="TableText"/>
              <w:cnfStyle w:val="000000000000" w:firstRow="0" w:lastRow="0" w:firstColumn="0" w:lastColumn="0" w:oddVBand="0" w:evenVBand="0" w:oddHBand="0" w:evenHBand="0" w:firstRowFirstColumn="0" w:firstRowLastColumn="0" w:lastRowFirstColumn="0" w:lastRowLastColumn="0"/>
            </w:pPr>
            <w:r w:rsidRPr="00C601A2">
              <w:t>This equates to approximately 50% oxygen saturation at 25°C and 1</w:t>
            </w:r>
            <w:r w:rsidR="00CB02AD" w:rsidRPr="00C601A2">
              <w:t> </w:t>
            </w:r>
            <w:r w:rsidRPr="00C601A2">
              <w:t>atmosphere of pressure.</w:t>
            </w:r>
          </w:p>
          <w:p w14:paraId="7C9A1229" w14:textId="4ABB19C4" w:rsidR="00716CEF" w:rsidRPr="00C601A2" w:rsidRDefault="006A423E" w:rsidP="00642A73">
            <w:pPr>
              <w:pStyle w:val="TableText"/>
              <w:cnfStyle w:val="000000000000" w:firstRow="0" w:lastRow="0" w:firstColumn="0" w:lastColumn="0" w:oddVBand="0" w:evenVBand="0" w:oddHBand="0" w:evenHBand="0" w:firstRowFirstColumn="0" w:firstRowLastColumn="0" w:lastRowFirstColumn="0" w:lastRowLastColumn="0"/>
              <w:rPr>
                <w:b/>
              </w:rPr>
            </w:pPr>
            <w:r w:rsidRPr="00C601A2">
              <w:rPr>
                <w:b/>
              </w:rPr>
              <w:t>9.14</w:t>
            </w:r>
            <w:r w:rsidR="00716CEF" w:rsidRPr="00C601A2">
              <w:rPr>
                <w:b/>
              </w:rPr>
              <w:t>(5)</w:t>
            </w:r>
            <w:r w:rsidR="00697A9C" w:rsidRPr="00C601A2">
              <w:rPr>
                <w:b/>
              </w:rPr>
              <w:t>(</w:t>
            </w:r>
            <w:r w:rsidR="00420E46" w:rsidRPr="00C601A2">
              <w:rPr>
                <w:b/>
              </w:rPr>
              <w:t>c</w:t>
            </w:r>
            <w:r w:rsidR="00697A9C" w:rsidRPr="00C601A2">
              <w:rPr>
                <w:b/>
              </w:rPr>
              <w:t>)</w:t>
            </w:r>
          </w:p>
          <w:p w14:paraId="101BE8A1" w14:textId="6EEC474C" w:rsidR="00716CEF" w:rsidRPr="00C601A2" w:rsidRDefault="00716CEF" w:rsidP="00642A73">
            <w:pPr>
              <w:pStyle w:val="TableText"/>
              <w:cnfStyle w:val="000000000000" w:firstRow="0" w:lastRow="0" w:firstColumn="0" w:lastColumn="0" w:oddVBand="0" w:evenVBand="0" w:oddHBand="0" w:evenHBand="0" w:firstRowFirstColumn="0" w:firstRowLastColumn="0" w:lastRowFirstColumn="0" w:lastRowLastColumn="0"/>
            </w:pPr>
            <w:r w:rsidRPr="00C601A2">
              <w:t>Target values (</w:t>
            </w:r>
            <w:r w:rsidR="00266205">
              <w:t>electrical conductivity</w:t>
            </w:r>
            <w:r w:rsidRPr="00C601A2">
              <w:t>) (µS/cm)</w:t>
            </w:r>
            <w:r w:rsidR="006A423E" w:rsidRPr="00C601A2">
              <w:t>:</w:t>
            </w:r>
          </w:p>
          <w:p w14:paraId="60946389" w14:textId="1BB14B30" w:rsidR="00716CEF" w:rsidRPr="00C601A2" w:rsidRDefault="491030BC" w:rsidP="00E6729F">
            <w:pPr>
              <w:pStyle w:val="TableBullet"/>
              <w:cnfStyle w:val="000000000000" w:firstRow="0" w:lastRow="0" w:firstColumn="0" w:lastColumn="0" w:oddVBand="0" w:evenVBand="0" w:oddHBand="0" w:evenHBand="0" w:firstRowFirstColumn="0" w:firstRowLastColumn="0" w:lastRowFirstColumn="0" w:lastRowLastColumn="0"/>
            </w:pPr>
            <w:r>
              <w:t>Murray</w:t>
            </w:r>
            <w:r w:rsidR="37C4F75F">
              <w:t xml:space="preserve"> River</w:t>
            </w:r>
            <w:r>
              <w:t xml:space="preserve"> at Murray Bridge</w:t>
            </w:r>
            <w:r w:rsidR="00266205">
              <w:t> </w:t>
            </w:r>
            <w:r w:rsidR="37C4F75F">
              <w:t xml:space="preserve">– </w:t>
            </w:r>
            <w:r>
              <w:t>830</w:t>
            </w:r>
          </w:p>
          <w:p w14:paraId="0B186F51" w14:textId="7B9E3FEF" w:rsidR="00716CEF" w:rsidRPr="00C601A2" w:rsidRDefault="491030BC" w:rsidP="00E6729F">
            <w:pPr>
              <w:pStyle w:val="TableBullet"/>
              <w:cnfStyle w:val="000000000000" w:firstRow="0" w:lastRow="0" w:firstColumn="0" w:lastColumn="0" w:oddVBand="0" w:evenVBand="0" w:oddHBand="0" w:evenHBand="0" w:firstRowFirstColumn="0" w:firstRowLastColumn="0" w:lastRowFirstColumn="0" w:lastRowLastColumn="0"/>
            </w:pPr>
            <w:r>
              <w:t xml:space="preserve">Murray </w:t>
            </w:r>
            <w:r w:rsidR="37C4F75F">
              <w:t xml:space="preserve">River </w:t>
            </w:r>
            <w:r>
              <w:t>at Morgan</w:t>
            </w:r>
            <w:r w:rsidR="00266205">
              <w:t> </w:t>
            </w:r>
            <w:r w:rsidR="37C4F75F">
              <w:t>–</w:t>
            </w:r>
            <w:r>
              <w:t xml:space="preserve"> 800</w:t>
            </w:r>
          </w:p>
          <w:p w14:paraId="41F36D46" w14:textId="0107A951" w:rsidR="00716CEF" w:rsidRPr="00C601A2" w:rsidRDefault="491030BC" w:rsidP="00E6729F">
            <w:pPr>
              <w:pStyle w:val="TableBullet"/>
              <w:cnfStyle w:val="000000000000" w:firstRow="0" w:lastRow="0" w:firstColumn="0" w:lastColumn="0" w:oddVBand="0" w:evenVBand="0" w:oddHBand="0" w:evenHBand="0" w:firstRowFirstColumn="0" w:firstRowLastColumn="0" w:lastRowFirstColumn="0" w:lastRowLastColumn="0"/>
            </w:pPr>
            <w:r>
              <w:t>Murray</w:t>
            </w:r>
            <w:r w:rsidR="37C4F75F">
              <w:t xml:space="preserve"> River</w:t>
            </w:r>
            <w:r>
              <w:t xml:space="preserve"> at Lock 6</w:t>
            </w:r>
            <w:r w:rsidR="00266205">
              <w:t> </w:t>
            </w:r>
            <w:r w:rsidR="37C4F75F">
              <w:t>–</w:t>
            </w:r>
            <w:r>
              <w:t xml:space="preserve"> 580</w:t>
            </w:r>
          </w:p>
          <w:p w14:paraId="0D8050F2" w14:textId="1DF734B6" w:rsidR="00716CEF" w:rsidRPr="00C601A2" w:rsidRDefault="491030BC" w:rsidP="00E6729F">
            <w:pPr>
              <w:pStyle w:val="TableBullet"/>
              <w:cnfStyle w:val="000000000000" w:firstRow="0" w:lastRow="0" w:firstColumn="0" w:lastColumn="0" w:oddVBand="0" w:evenVBand="0" w:oddHBand="0" w:evenHBand="0" w:firstRowFirstColumn="0" w:firstRowLastColumn="0" w:lastRowFirstColumn="0" w:lastRowLastColumn="0"/>
            </w:pPr>
            <w:r>
              <w:t xml:space="preserve">Darling River </w:t>
            </w:r>
            <w:r w:rsidR="37C4F75F">
              <w:t>at</w:t>
            </w:r>
            <w:r>
              <w:t xml:space="preserve"> </w:t>
            </w:r>
            <w:proofErr w:type="spellStart"/>
            <w:r>
              <w:t>Burtundy</w:t>
            </w:r>
            <w:proofErr w:type="spellEnd"/>
            <w:r w:rsidR="00266205">
              <w:t> </w:t>
            </w:r>
            <w:r w:rsidR="37C4F75F">
              <w:t>–</w:t>
            </w:r>
            <w:r>
              <w:t xml:space="preserve"> 830</w:t>
            </w:r>
          </w:p>
          <w:p w14:paraId="501E0809" w14:textId="2FADEB02" w:rsidR="008271E7" w:rsidRPr="00C601A2" w:rsidRDefault="491030BC" w:rsidP="00E6729F">
            <w:pPr>
              <w:pStyle w:val="TableBullet"/>
              <w:cnfStyle w:val="000000000000" w:firstRow="0" w:lastRow="0" w:firstColumn="0" w:lastColumn="0" w:oddVBand="0" w:evenVBand="0" w:oddHBand="0" w:evenHBand="0" w:firstRowFirstColumn="0" w:firstRowLastColumn="0" w:lastRowFirstColumn="0" w:lastRowLastColumn="0"/>
            </w:pPr>
            <w:r>
              <w:t>Lower Lakes at Milang</w:t>
            </w:r>
            <w:r w:rsidR="00266205">
              <w:t> </w:t>
            </w:r>
            <w:r w:rsidR="37C4F75F">
              <w:t>–</w:t>
            </w:r>
            <w:r>
              <w:t xml:space="preserve"> 1</w:t>
            </w:r>
            <w:r w:rsidR="37C4F75F">
              <w:t>,</w:t>
            </w:r>
            <w:r>
              <w:t>000</w:t>
            </w:r>
          </w:p>
        </w:tc>
        <w:tc>
          <w:tcPr>
            <w:tcW w:w="0" w:type="auto"/>
          </w:tcPr>
          <w:p w14:paraId="2B271F9B" w14:textId="0C8A5BF4" w:rsidR="008271E7" w:rsidRPr="00C601A2" w:rsidRDefault="006A423E" w:rsidP="00642A73">
            <w:pPr>
              <w:pStyle w:val="TableText"/>
              <w:cnfStyle w:val="000000000000" w:firstRow="0" w:lastRow="0" w:firstColumn="0" w:lastColumn="0" w:oddVBand="0" w:evenVBand="0" w:oddHBand="0" w:evenHBand="0" w:firstRowFirstColumn="0" w:firstRowLastColumn="0" w:lastRowFirstColumn="0" w:lastRowLastColumn="0"/>
            </w:pPr>
            <w:r w:rsidRPr="00C601A2">
              <w:t>None identified </w:t>
            </w:r>
          </w:p>
        </w:tc>
        <w:tc>
          <w:tcPr>
            <w:tcW w:w="0" w:type="auto"/>
          </w:tcPr>
          <w:p w14:paraId="11E8CA06" w14:textId="77777777" w:rsidR="00AB0C3F" w:rsidRPr="00C601A2" w:rsidRDefault="00AB0C3F" w:rsidP="00AB0C3F">
            <w:pPr>
              <w:pStyle w:val="TableText"/>
              <w:cnfStyle w:val="000000000000" w:firstRow="0" w:lastRow="0" w:firstColumn="0" w:lastColumn="0" w:oddVBand="0" w:evenVBand="0" w:oddHBand="0" w:evenHBand="0" w:firstRowFirstColumn="0" w:firstRowLastColumn="0" w:lastRowFirstColumn="0" w:lastRowLastColumn="0"/>
              <w:rPr>
                <w:b/>
              </w:rPr>
            </w:pPr>
            <w:r w:rsidRPr="00C601A2">
              <w:rPr>
                <w:b/>
              </w:rPr>
              <w:t>9.14</w:t>
            </w:r>
          </w:p>
          <w:p w14:paraId="16F44B16" w14:textId="77701FBC" w:rsidR="00254A4D" w:rsidRPr="00C601A2" w:rsidRDefault="008F25E4" w:rsidP="00AB0C3F">
            <w:pPr>
              <w:pStyle w:val="TableText"/>
              <w:cnfStyle w:val="000000000000" w:firstRow="0" w:lastRow="0" w:firstColumn="0" w:lastColumn="0" w:oddVBand="0" w:evenVBand="0" w:oddHBand="0" w:evenHBand="0" w:firstRowFirstColumn="0" w:firstRowLastColumn="0" w:lastRowFirstColumn="0" w:lastRowLastColumn="0"/>
            </w:pPr>
            <w:r>
              <w:t>CEW</w:t>
            </w:r>
            <w:r w:rsidR="00254A4D" w:rsidRPr="00C601A2">
              <w:t xml:space="preserve"> contributed to maintenance of </w:t>
            </w:r>
            <w:r w:rsidR="007864EC">
              <w:t>electrical conductivity</w:t>
            </w:r>
            <w:r w:rsidR="00C54D42" w:rsidRPr="00C601A2">
              <w:t xml:space="preserve"> </w:t>
            </w:r>
            <w:r w:rsidR="00254A4D" w:rsidRPr="00C601A2">
              <w:t>below</w:t>
            </w:r>
            <w:r w:rsidR="00F6439E">
              <w:t xml:space="preserve"> </w:t>
            </w:r>
            <w:r w:rsidR="00254A4D" w:rsidRPr="00C601A2">
              <w:t>800</w:t>
            </w:r>
            <w:r w:rsidR="00E6729F" w:rsidRPr="00C601A2">
              <w:t> </w:t>
            </w:r>
            <w:r w:rsidR="00254A4D" w:rsidRPr="00C601A2">
              <w:t>µS/cm at Morgan</w:t>
            </w:r>
            <w:r w:rsidR="0091307D">
              <w:t xml:space="preserve"> </w:t>
            </w:r>
            <w:r w:rsidR="00D526EA">
              <w:rPr>
                <w:noProof/>
              </w:rPr>
              <w:t>(Ye et al. 202</w:t>
            </w:r>
            <w:r w:rsidR="00FA2645">
              <w:rPr>
                <w:noProof/>
              </w:rPr>
              <w:t>4</w:t>
            </w:r>
            <w:r w:rsidR="00D526EA">
              <w:rPr>
                <w:noProof/>
              </w:rPr>
              <w:t>)</w:t>
            </w:r>
            <w:r w:rsidR="00C54D42" w:rsidRPr="00C601A2">
              <w:t>.</w:t>
            </w:r>
            <w:r w:rsidR="00254A4D" w:rsidRPr="00C601A2">
              <w:t xml:space="preserve"> </w:t>
            </w:r>
          </w:p>
        </w:tc>
        <w:tc>
          <w:tcPr>
            <w:tcW w:w="3345" w:type="dxa"/>
          </w:tcPr>
          <w:p w14:paraId="1A75ACAF" w14:textId="09FF2E33" w:rsidR="006A423E" w:rsidRPr="00C601A2" w:rsidRDefault="006A423E" w:rsidP="00642A73">
            <w:pPr>
              <w:pStyle w:val="TableText"/>
              <w:cnfStyle w:val="000000000000" w:firstRow="0" w:lastRow="0" w:firstColumn="0" w:lastColumn="0" w:oddVBand="0" w:evenVBand="0" w:oddHBand="0" w:evenHBand="0" w:firstRowFirstColumn="0" w:firstRowLastColumn="0" w:lastRowFirstColumn="0" w:lastRowLastColumn="0"/>
              <w:rPr>
                <w:b/>
              </w:rPr>
            </w:pPr>
            <w:r w:rsidRPr="00C601A2">
              <w:rPr>
                <w:b/>
              </w:rPr>
              <w:t>9.14(5)</w:t>
            </w:r>
            <w:r w:rsidR="003B1ABB" w:rsidRPr="00C601A2">
              <w:rPr>
                <w:b/>
              </w:rPr>
              <w:t>(</w:t>
            </w:r>
            <w:r w:rsidRPr="00C601A2">
              <w:rPr>
                <w:b/>
              </w:rPr>
              <w:t>a</w:t>
            </w:r>
            <w:r w:rsidR="003B1ABB" w:rsidRPr="00C601A2">
              <w:rPr>
                <w:b/>
              </w:rPr>
              <w:t>)</w:t>
            </w:r>
          </w:p>
          <w:p w14:paraId="6F682079" w14:textId="078EFC23" w:rsidR="006A423E" w:rsidRPr="00C601A2" w:rsidRDefault="008F25E4" w:rsidP="00642A73">
            <w:pPr>
              <w:pStyle w:val="TableText"/>
              <w:cnfStyle w:val="000000000000" w:firstRow="0" w:lastRow="0" w:firstColumn="0" w:lastColumn="0" w:oddVBand="0" w:evenVBand="0" w:oddHBand="0" w:evenHBand="0" w:firstRowFirstColumn="0" w:firstRowLastColumn="0" w:lastRowFirstColumn="0" w:lastRowLastColumn="0"/>
            </w:pPr>
            <w:r>
              <w:t>CEW</w:t>
            </w:r>
            <w:r w:rsidR="006A423E" w:rsidRPr="00C601A2">
              <w:t xml:space="preserve"> can help reduce the likelihood of low </w:t>
            </w:r>
            <w:r w:rsidR="006B19C5" w:rsidRPr="00C601A2">
              <w:t>dissolved</w:t>
            </w:r>
            <w:r w:rsidR="006A423E" w:rsidRPr="00C601A2">
              <w:t xml:space="preserve"> </w:t>
            </w:r>
            <w:r w:rsidR="003B1ABB" w:rsidRPr="00C601A2">
              <w:t xml:space="preserve">oxygen </w:t>
            </w:r>
            <w:r w:rsidR="006A423E" w:rsidRPr="00C601A2">
              <w:t>concentrations in the L</w:t>
            </w:r>
            <w:r w:rsidR="006B19C5" w:rsidRPr="00C601A2">
              <w:t>ower Murray River</w:t>
            </w:r>
            <w:r w:rsidR="006A423E" w:rsidRPr="00C601A2">
              <w:t>, if their contribution increases water velocities above a level of ~0.18</w:t>
            </w:r>
            <w:r w:rsidR="009C5F52" w:rsidRPr="00C601A2">
              <w:t> </w:t>
            </w:r>
            <w:r w:rsidR="006A423E" w:rsidRPr="00C601A2">
              <w:t>m/s, below which surface oxygen exchange is poor</w:t>
            </w:r>
            <w:r w:rsidR="00F147DC" w:rsidRPr="00C601A2">
              <w:t xml:space="preserve"> </w:t>
            </w:r>
            <w:r w:rsidR="00EC6DE3" w:rsidRPr="00C601A2">
              <w:rPr>
                <w:noProof/>
              </w:rPr>
              <w:t>(Ye et al. 202</w:t>
            </w:r>
            <w:r w:rsidR="00BE66A0">
              <w:rPr>
                <w:noProof/>
              </w:rPr>
              <w:t>5</w:t>
            </w:r>
            <w:r w:rsidR="00EC6DE3" w:rsidRPr="00C601A2">
              <w:rPr>
                <w:noProof/>
              </w:rPr>
              <w:t>)</w:t>
            </w:r>
            <w:r w:rsidR="006A423E" w:rsidRPr="00C601A2">
              <w:t>. Reducing the likelihood of low dissolved oxygen concentrations can be achieved by increasing water mixing in otherwise low flow</w:t>
            </w:r>
            <w:r w:rsidR="00DD48FF">
              <w:t xml:space="preserve"> (Ye et al. 202</w:t>
            </w:r>
            <w:r w:rsidR="00BE66A0">
              <w:t>5</w:t>
            </w:r>
            <w:r w:rsidR="00DD48FF">
              <w:t>)</w:t>
            </w:r>
          </w:p>
          <w:p w14:paraId="5F71E20C" w14:textId="4D90AFCD" w:rsidR="006A423E" w:rsidRPr="00C601A2" w:rsidRDefault="001B2D66" w:rsidP="00642A73">
            <w:pPr>
              <w:pStyle w:val="TableText"/>
              <w:cnfStyle w:val="000000000000" w:firstRow="0" w:lastRow="0" w:firstColumn="0" w:lastColumn="0" w:oddVBand="0" w:evenVBand="0" w:oddHBand="0" w:evenHBand="0" w:firstRowFirstColumn="0" w:firstRowLastColumn="0" w:lastRowFirstColumn="0" w:lastRowLastColumn="0"/>
              <w:rPr>
                <w:b/>
              </w:rPr>
            </w:pPr>
            <w:r w:rsidRPr="00C601A2">
              <w:rPr>
                <w:b/>
              </w:rPr>
              <w:t>9.14</w:t>
            </w:r>
            <w:r w:rsidR="00716CEF" w:rsidRPr="00C601A2">
              <w:rPr>
                <w:b/>
              </w:rPr>
              <w:t>(5)</w:t>
            </w:r>
            <w:r w:rsidR="003B1ABB" w:rsidRPr="00C601A2">
              <w:rPr>
                <w:b/>
              </w:rPr>
              <w:t>(</w:t>
            </w:r>
            <w:r w:rsidR="00716CEF" w:rsidRPr="00C601A2">
              <w:rPr>
                <w:b/>
              </w:rPr>
              <w:t>c</w:t>
            </w:r>
            <w:r w:rsidR="003B1ABB" w:rsidRPr="00C601A2">
              <w:rPr>
                <w:b/>
              </w:rPr>
              <w:t>)</w:t>
            </w:r>
          </w:p>
          <w:p w14:paraId="34F1534D" w14:textId="136B7D72" w:rsidR="008271E7" w:rsidRPr="00C601A2" w:rsidRDefault="008F25E4" w:rsidP="00642A73">
            <w:pPr>
              <w:pStyle w:val="TableText"/>
              <w:cnfStyle w:val="000000000000" w:firstRow="0" w:lastRow="0" w:firstColumn="0" w:lastColumn="0" w:oddVBand="0" w:evenVBand="0" w:oddHBand="0" w:evenHBand="0" w:firstRowFirstColumn="0" w:firstRowLastColumn="0" w:lastRowFirstColumn="0" w:lastRowLastColumn="0"/>
            </w:pPr>
            <w:r>
              <w:t>CEW</w:t>
            </w:r>
            <w:r w:rsidR="008271E7" w:rsidRPr="00C601A2">
              <w:t xml:space="preserve"> </w:t>
            </w:r>
            <w:r w:rsidR="00F147DC" w:rsidRPr="00C601A2">
              <w:t xml:space="preserve">has </w:t>
            </w:r>
            <w:r w:rsidR="00266205">
              <w:t>made</w:t>
            </w:r>
            <w:r w:rsidR="00F147DC" w:rsidRPr="00C601A2">
              <w:t xml:space="preserve"> long-term contributions to</w:t>
            </w:r>
            <w:r w:rsidR="008271E7" w:rsidRPr="00C601A2">
              <w:t xml:space="preserve"> </w:t>
            </w:r>
            <w:r w:rsidR="00F147DC" w:rsidRPr="00C601A2">
              <w:t>maintenance of</w:t>
            </w:r>
            <w:r w:rsidR="008271E7" w:rsidRPr="00C601A2">
              <w:t xml:space="preserve"> river salinity below 800</w:t>
            </w:r>
            <w:r w:rsidR="00266205">
              <w:t> </w:t>
            </w:r>
            <w:r w:rsidR="00266205" w:rsidRPr="00C601A2">
              <w:t>µS/cm</w:t>
            </w:r>
            <w:r w:rsidR="008271E7" w:rsidRPr="00C601A2">
              <w:t xml:space="preserve"> at Morgan by diluting salt in the Lower Murray River channel</w:t>
            </w:r>
            <w:r w:rsidR="002D649F" w:rsidRPr="00C601A2">
              <w:t>.</w:t>
            </w:r>
            <w:r w:rsidR="004251A6" w:rsidRPr="004251A6">
              <w:t xml:space="preserve"> Salinity was maintained within the range required for potable water in the Murray River in 2014–23</w:t>
            </w:r>
            <w:r w:rsidR="001D403C">
              <w:t>–</w:t>
            </w:r>
            <w:r w:rsidR="001D403C" w:rsidRPr="004251A6">
              <w:t xml:space="preserve"> </w:t>
            </w:r>
            <w:r w:rsidR="004251A6" w:rsidRPr="004251A6">
              <w:t>water</w:t>
            </w:r>
            <w:r w:rsidR="001D403C">
              <w:t xml:space="preserve"> was</w:t>
            </w:r>
            <w:r w:rsidR="004251A6" w:rsidRPr="004251A6">
              <w:t xml:space="preserve"> about 10% fresher due to environmental flows</w:t>
            </w:r>
            <w:r w:rsidR="00DD48FF">
              <w:t xml:space="preserve"> (Ye et al. 202</w:t>
            </w:r>
            <w:r w:rsidR="00BE66A0">
              <w:t>5</w:t>
            </w:r>
            <w:r w:rsidR="00DD48FF">
              <w:t>)</w:t>
            </w:r>
            <w:r w:rsidR="001D403C">
              <w:t>.</w:t>
            </w:r>
          </w:p>
        </w:tc>
      </w:tr>
    </w:tbl>
    <w:p w14:paraId="7C94CF46" w14:textId="77777777" w:rsidR="00F25C63" w:rsidRPr="00C601A2" w:rsidRDefault="00F25C63" w:rsidP="005B3832">
      <w:pPr>
        <w:spacing w:after="0"/>
        <w:textAlignment w:val="baseline"/>
        <w:rPr>
          <w:rFonts w:eastAsia="Times New Roman" w:cs="Calibri"/>
        </w:rPr>
      </w:pPr>
    </w:p>
    <w:p w14:paraId="7CAB6E89" w14:textId="45EB5679" w:rsidR="003F3789" w:rsidRPr="00C601A2" w:rsidRDefault="003F3789" w:rsidP="005B3832">
      <w:pPr>
        <w:spacing w:after="0"/>
        <w:textAlignment w:val="baseline"/>
        <w:rPr>
          <w:rFonts w:eastAsia="Times New Roman" w:cs="Calibri"/>
        </w:rPr>
        <w:sectPr w:rsidR="003F3789" w:rsidRPr="00C601A2" w:rsidSect="000E21A8">
          <w:pgSz w:w="16838" w:h="11906" w:orient="landscape" w:code="9"/>
          <w:pgMar w:top="1134" w:right="1134" w:bottom="1134" w:left="1134" w:header="510" w:footer="510" w:gutter="0"/>
          <w:cols w:space="284"/>
          <w:docGrid w:linePitch="360"/>
        </w:sectPr>
      </w:pPr>
    </w:p>
    <w:p w14:paraId="489DF2E3" w14:textId="1783CF30" w:rsidR="001172BE" w:rsidRPr="00C601A2" w:rsidRDefault="000F2C0E" w:rsidP="001172BE">
      <w:pPr>
        <w:pStyle w:val="Heading1"/>
      </w:pPr>
      <w:bookmarkStart w:id="217" w:name="_Toc71298451"/>
      <w:bookmarkStart w:id="218" w:name="_Ref139004827"/>
      <w:bookmarkStart w:id="219" w:name="_Toc169543878"/>
      <w:bookmarkStart w:id="220" w:name="_Toc202187863"/>
      <w:r w:rsidRPr="00C601A2">
        <w:lastRenderedPageBreak/>
        <w:t>Informing</w:t>
      </w:r>
      <w:r w:rsidR="00167422" w:rsidRPr="00C601A2">
        <w:t xml:space="preserve"> a</w:t>
      </w:r>
      <w:r w:rsidR="001172BE" w:rsidRPr="00C601A2">
        <w:t>daptive management</w:t>
      </w:r>
      <w:r w:rsidR="008B5934" w:rsidRPr="00C601A2">
        <w:t xml:space="preserve"> for </w:t>
      </w:r>
      <w:r w:rsidR="008A116E" w:rsidRPr="00C601A2">
        <w:t>food</w:t>
      </w:r>
      <w:r w:rsidR="00B649DA" w:rsidRPr="00C601A2">
        <w:t xml:space="preserve"> </w:t>
      </w:r>
      <w:r w:rsidR="008A116E" w:rsidRPr="00C601A2">
        <w:t>webs and water quality</w:t>
      </w:r>
      <w:bookmarkEnd w:id="217"/>
      <w:bookmarkEnd w:id="218"/>
      <w:r w:rsidR="001D2DE8">
        <w:t xml:space="preserve"> outcomes</w:t>
      </w:r>
      <w:bookmarkEnd w:id="219"/>
      <w:bookmarkEnd w:id="220"/>
    </w:p>
    <w:p w14:paraId="72AD23ED" w14:textId="399E7936" w:rsidR="0080749C" w:rsidRPr="004A4DBC" w:rsidRDefault="008A18CF" w:rsidP="00ED026E">
      <w:pPr>
        <w:pStyle w:val="BodyText"/>
        <w:rPr>
          <w:rStyle w:val="Italics"/>
          <w:i w:val="0"/>
        </w:rPr>
      </w:pPr>
      <w:r w:rsidRPr="004A4DBC">
        <w:rPr>
          <w:rStyle w:val="Italics"/>
          <w:i w:val="0"/>
        </w:rPr>
        <w:t>Each annual evaluation contributes to our understanding of how the ecosystems of the</w:t>
      </w:r>
      <w:r w:rsidR="006F3572">
        <w:rPr>
          <w:rStyle w:val="Italics"/>
          <w:i w:val="0"/>
        </w:rPr>
        <w:t xml:space="preserve"> </w:t>
      </w:r>
      <w:r w:rsidRPr="004A4DBC">
        <w:rPr>
          <w:rStyle w:val="Italics"/>
          <w:i w:val="0"/>
        </w:rPr>
        <w:t xml:space="preserve">Basin respond in the short </w:t>
      </w:r>
      <w:r w:rsidR="000D730C" w:rsidRPr="00ED026E">
        <w:rPr>
          <w:rStyle w:val="Italics"/>
          <w:i w:val="0"/>
        </w:rPr>
        <w:t xml:space="preserve">term </w:t>
      </w:r>
      <w:r w:rsidRPr="004A4DBC">
        <w:rPr>
          <w:rStyle w:val="Italics"/>
          <w:i w:val="0"/>
        </w:rPr>
        <w:t>and long</w:t>
      </w:r>
      <w:r w:rsidR="00D87BA0" w:rsidRPr="004A4DBC">
        <w:rPr>
          <w:rStyle w:val="Italics"/>
          <w:i w:val="0"/>
        </w:rPr>
        <w:t xml:space="preserve"> </w:t>
      </w:r>
      <w:r w:rsidRPr="004A4DBC">
        <w:rPr>
          <w:rStyle w:val="Italics"/>
          <w:i w:val="0"/>
        </w:rPr>
        <w:t>term to delivery of water</w:t>
      </w:r>
      <w:r w:rsidR="000D5415" w:rsidRPr="004A4DBC">
        <w:rPr>
          <w:rStyle w:val="Italics"/>
          <w:i w:val="0"/>
        </w:rPr>
        <w:t xml:space="preserve"> for the environment</w:t>
      </w:r>
      <w:r w:rsidRPr="004A4DBC">
        <w:rPr>
          <w:rStyle w:val="Italics"/>
          <w:i w:val="0"/>
        </w:rPr>
        <w:t>. This chapter provides our reflections on how this increased understanding can inform the next cycle of environmental water planning and its delivery and improve our approach to Basin-scale evaluation</w:t>
      </w:r>
      <w:r w:rsidR="0080749C" w:rsidRPr="004A4DBC">
        <w:rPr>
          <w:rStyle w:val="Italics"/>
          <w:i w:val="0"/>
        </w:rPr>
        <w:t>.</w:t>
      </w:r>
    </w:p>
    <w:p w14:paraId="7748244B" w14:textId="3796291F" w:rsidR="0080749C" w:rsidRPr="00AC46CD" w:rsidRDefault="008A18CF" w:rsidP="00B41939">
      <w:pPr>
        <w:pStyle w:val="Boxedtext"/>
      </w:pPr>
      <w:r w:rsidRPr="00AC46CD">
        <w:rPr>
          <w:rStyle w:val="Italics"/>
          <w:i w:val="0"/>
        </w:rPr>
        <w:t>Adaptive management</w:t>
      </w:r>
      <w:r w:rsidR="006F3572">
        <w:rPr>
          <w:rStyle w:val="Italics"/>
          <w:i w:val="0"/>
        </w:rPr>
        <w:t xml:space="preserve"> </w:t>
      </w:r>
      <w:r w:rsidRPr="00AC46CD">
        <w:t>include</w:t>
      </w:r>
      <w:r w:rsidR="00874442">
        <w:t>s</w:t>
      </w:r>
      <w:r w:rsidR="00861C74" w:rsidRPr="00AC46CD">
        <w:t xml:space="preserve"> the following steps:</w:t>
      </w:r>
      <w:r w:rsidRPr="00AC46CD">
        <w:t xml:space="preserve"> (a) setting clear objectives</w:t>
      </w:r>
      <w:r w:rsidR="00874442">
        <w:t>,,</w:t>
      </w:r>
      <w:r w:rsidRPr="00AC46CD">
        <w:t xml:space="preserve"> (b) linking knowledge (including local knowledge), management evaluation and feedback over a period of time</w:t>
      </w:r>
      <w:r w:rsidR="00874442">
        <w:t>,,</w:t>
      </w:r>
      <w:r w:rsidRPr="00AC46CD">
        <w:t xml:space="preserve"> (c)</w:t>
      </w:r>
      <w:r w:rsidR="00343560">
        <w:t> </w:t>
      </w:r>
      <w:r w:rsidRPr="00AC46CD">
        <w:t>identifying and testing uncertainties</w:t>
      </w:r>
      <w:r w:rsidR="00343560">
        <w:t>,,</w:t>
      </w:r>
      <w:r w:rsidRPr="00AC46CD">
        <w:t xml:space="preserve"> (d) using management as a tool to learn about the relevant system and change its management</w:t>
      </w:r>
      <w:r w:rsidR="00343560">
        <w:t>,,</w:t>
      </w:r>
      <w:r w:rsidRPr="00AC46CD">
        <w:t xml:space="preserve"> (</w:t>
      </w:r>
      <w:r w:rsidR="00D87BA0" w:rsidRPr="00AC46CD">
        <w:t>e</w:t>
      </w:r>
      <w:r w:rsidRPr="00AC46CD">
        <w:t>) improving knowledge</w:t>
      </w:r>
      <w:r w:rsidR="00343560">
        <w:t xml:space="preserve"> and</w:t>
      </w:r>
      <w:r w:rsidRPr="00AC46CD">
        <w:t xml:space="preserve"> (f) having regard to the social, economic and technical aspects of management </w:t>
      </w:r>
      <w:r w:rsidR="00861C74" w:rsidRPr="00AC46CD">
        <w:t>(</w:t>
      </w:r>
      <w:r w:rsidR="008D6CBC" w:rsidRPr="00AC46CD">
        <w:t xml:space="preserve">Extract from </w:t>
      </w:r>
      <w:r w:rsidRPr="00AC46CD">
        <w:t xml:space="preserve">Basin Plan </w:t>
      </w:r>
      <w:r w:rsidR="00861C74" w:rsidRPr="00AC46CD">
        <w:t>s</w:t>
      </w:r>
      <w:r w:rsidR="00D14E1F" w:rsidRPr="00AC46CD">
        <w:t>ection</w:t>
      </w:r>
      <w:r w:rsidRPr="00AC46CD">
        <w:t xml:space="preserve"> 1.07(1)</w:t>
      </w:r>
      <w:r w:rsidR="00861C74" w:rsidRPr="00AC46CD">
        <w:t>)</w:t>
      </w:r>
      <w:bookmarkStart w:id="221" w:name="_Toc126095290"/>
      <w:r w:rsidR="0080749C" w:rsidRPr="00AC46CD">
        <w:t>.</w:t>
      </w:r>
    </w:p>
    <w:p w14:paraId="0DD6530E" w14:textId="26262E6B" w:rsidR="001813A3" w:rsidRPr="00C601A2" w:rsidRDefault="001813A3" w:rsidP="00520B7D">
      <w:pPr>
        <w:pStyle w:val="Heading2"/>
      </w:pPr>
      <w:bookmarkStart w:id="222" w:name="_Toc169543879"/>
      <w:bookmarkStart w:id="223" w:name="_Toc202187864"/>
      <w:r w:rsidRPr="00C601A2">
        <w:t xml:space="preserve">Informing the planning and management of environmental water for </w:t>
      </w:r>
      <w:bookmarkEnd w:id="221"/>
      <w:r w:rsidR="007B7FF2" w:rsidRPr="00C601A2">
        <w:t>food webs and water quality</w:t>
      </w:r>
      <w:bookmarkEnd w:id="222"/>
      <w:bookmarkEnd w:id="223"/>
    </w:p>
    <w:p w14:paraId="0FF02FCB" w14:textId="71114995" w:rsidR="00B532D6" w:rsidRPr="00C601A2" w:rsidRDefault="00B532D6" w:rsidP="00B532D6">
      <w:pPr>
        <w:pStyle w:val="BodyText"/>
      </w:pPr>
      <w:r w:rsidRPr="00C601A2">
        <w:t>In this context, improvements in ecological processes are based on more productive and diverse food webs and ecological communities</w:t>
      </w:r>
      <w:r w:rsidR="006F4C67">
        <w:t xml:space="preserve"> that are</w:t>
      </w:r>
      <w:r w:rsidRPr="00C601A2">
        <w:t xml:space="preserve"> supported by the increased movement of carbon, nutrients and salt.</w:t>
      </w:r>
    </w:p>
    <w:p w14:paraId="0C6643E9" w14:textId="75825D83" w:rsidR="00B532D6" w:rsidRPr="00C601A2" w:rsidRDefault="5B558DD4" w:rsidP="00B532D6">
      <w:pPr>
        <w:pStyle w:val="BodyText"/>
      </w:pPr>
      <w:r w:rsidRPr="00C601A2">
        <w:t xml:space="preserve">Contributions by </w:t>
      </w:r>
      <w:r w:rsidR="00815125">
        <w:t>CEW</w:t>
      </w:r>
      <w:r w:rsidRPr="00C601A2">
        <w:t xml:space="preserve"> to water quality and metabolic outcomes are heavily influenced by the type of flow delivered. Despite </w:t>
      </w:r>
      <w:r w:rsidR="00150D5F">
        <w:t>site-to-site variation</w:t>
      </w:r>
      <w:r w:rsidRPr="00C601A2">
        <w:t xml:space="preserve">, interrogation of the longer term </w:t>
      </w:r>
      <w:r w:rsidR="00682D38">
        <w:t>2014–2</w:t>
      </w:r>
      <w:r w:rsidR="00150D5F">
        <w:t>4</w:t>
      </w:r>
      <w:r w:rsidRPr="00C601A2">
        <w:t xml:space="preserve"> data from all Selected Areas identified a common immediate response to increased flow</w:t>
      </w:r>
      <w:r w:rsidR="00FF1C6C" w:rsidRPr="00C601A2">
        <w:t>:</w:t>
      </w:r>
      <w:r w:rsidRPr="00C601A2">
        <w:t xml:space="preserve"> a decrease in metabolic throughput</w:t>
      </w:r>
      <w:r w:rsidR="00150D5F">
        <w:t xml:space="preserve"> (i.e. lower GPP and lower ER)</w:t>
      </w:r>
      <w:r w:rsidRPr="00C601A2">
        <w:t xml:space="preserve">. As described conceptually in </w:t>
      </w:r>
      <w:r w:rsidR="00B532D6" w:rsidRPr="00C601A2">
        <w:rPr>
          <w:color w:val="2B579A"/>
          <w:shd w:val="clear" w:color="auto" w:fill="E6E6E6"/>
        </w:rPr>
        <w:fldChar w:fldCharType="begin"/>
      </w:r>
      <w:r w:rsidR="00B532D6" w:rsidRPr="00C601A2">
        <w:instrText>REF _Ref68680429 \h</w:instrText>
      </w:r>
      <w:r w:rsidR="00C601A2">
        <w:rPr>
          <w:color w:val="2B579A"/>
          <w:shd w:val="clear" w:color="auto" w:fill="E6E6E6"/>
        </w:rPr>
        <w:instrText xml:space="preserve"> \* MERGEFORMAT </w:instrText>
      </w:r>
      <w:r w:rsidR="00B532D6" w:rsidRPr="00C601A2">
        <w:rPr>
          <w:color w:val="2B579A"/>
          <w:shd w:val="clear" w:color="auto" w:fill="E6E6E6"/>
        </w:rPr>
      </w:r>
      <w:r w:rsidR="00B532D6" w:rsidRPr="00C601A2">
        <w:rPr>
          <w:color w:val="2B579A"/>
          <w:shd w:val="clear" w:color="auto" w:fill="E6E6E6"/>
        </w:rPr>
        <w:fldChar w:fldCharType="separate"/>
      </w:r>
      <w:r w:rsidR="00492712" w:rsidRPr="00C601A2">
        <w:t>Figure</w:t>
      </w:r>
      <w:r w:rsidR="00492712">
        <w:t> </w:t>
      </w:r>
      <w:r w:rsidR="00835C8B">
        <w:t>2</w:t>
      </w:r>
      <w:r w:rsidR="00492712">
        <w:t>.1</w:t>
      </w:r>
      <w:r w:rsidR="00B532D6" w:rsidRPr="00C601A2">
        <w:rPr>
          <w:color w:val="2B579A"/>
          <w:shd w:val="clear" w:color="auto" w:fill="E6E6E6"/>
        </w:rPr>
        <w:fldChar w:fldCharType="end"/>
      </w:r>
      <w:r w:rsidRPr="00C601A2">
        <w:t xml:space="preserve">, we have predicted generalised metabolic responses from the type of </w:t>
      </w:r>
      <w:r w:rsidR="00815125">
        <w:t>CEW</w:t>
      </w:r>
      <w:r w:rsidRPr="00C601A2">
        <w:t xml:space="preserve"> flow delivered. </w:t>
      </w:r>
      <w:r w:rsidR="00150D5F">
        <w:t>Together, the results suggest that</w:t>
      </w:r>
      <w:r w:rsidRPr="00C601A2">
        <w:t xml:space="preserve"> these responses </w:t>
      </w:r>
      <w:r w:rsidR="00150D5F">
        <w:t xml:space="preserve">are expected </w:t>
      </w:r>
      <w:r w:rsidR="000167ED">
        <w:t>from</w:t>
      </w:r>
      <w:r w:rsidR="00150D5F">
        <w:t xml:space="preserve"> different flow components and </w:t>
      </w:r>
      <w:r w:rsidRPr="00C601A2">
        <w:t xml:space="preserve">dependent </w:t>
      </w:r>
      <w:r w:rsidR="00150D5F">
        <w:t xml:space="preserve">on antecedent flow patterns that drive </w:t>
      </w:r>
      <w:r w:rsidRPr="00C601A2">
        <w:t xml:space="preserve">abiotic and biotic </w:t>
      </w:r>
      <w:r w:rsidR="00150D5F">
        <w:t>changes</w:t>
      </w:r>
      <w:r w:rsidRPr="00C601A2">
        <w:t>:</w:t>
      </w:r>
    </w:p>
    <w:p w14:paraId="4A47E7DC" w14:textId="4724B0F6" w:rsidR="00B532D6" w:rsidRPr="00C601A2" w:rsidRDefault="00257A86" w:rsidP="00B5375C">
      <w:pPr>
        <w:pStyle w:val="ListBullet"/>
        <w:rPr>
          <w:rFonts w:eastAsia="Times New Roman" w:cs="Calibri"/>
        </w:rPr>
      </w:pPr>
      <w:r>
        <w:rPr>
          <w:b/>
          <w:bCs/>
        </w:rPr>
        <w:t>B</w:t>
      </w:r>
      <w:r w:rsidR="00B532D6" w:rsidRPr="29DF62DC">
        <w:rPr>
          <w:b/>
          <w:bCs/>
        </w:rPr>
        <w:t>ase flow and cease to flow</w:t>
      </w:r>
      <w:r w:rsidR="00B532D6">
        <w:t xml:space="preserve"> – high reliance on autotrophic production due to low turbidity (high light), potentially warmer water and prolonged stable state without disturbance. G</w:t>
      </w:r>
      <w:r w:rsidR="0028041F">
        <w:t>ross primary production</w:t>
      </w:r>
      <w:r w:rsidR="00B532D6">
        <w:t xml:space="preserve"> remains relatively high, but time since last flood and size of last flood are likely to influence carbon and nutrient availability. If nutrients are highly available, there is potential for algal or cyanobacteria blooms</w:t>
      </w:r>
      <w:r>
        <w:t>.</w:t>
      </w:r>
    </w:p>
    <w:p w14:paraId="4396AED3" w14:textId="613F4DBC" w:rsidR="00B532D6" w:rsidRPr="006768ED" w:rsidRDefault="00257A86" w:rsidP="00B5375C">
      <w:pPr>
        <w:pStyle w:val="ListBullet"/>
      </w:pPr>
      <w:r>
        <w:rPr>
          <w:b/>
          <w:bCs/>
        </w:rPr>
        <w:t>S</w:t>
      </w:r>
      <w:r w:rsidR="00B532D6" w:rsidRPr="0081568C">
        <w:rPr>
          <w:b/>
          <w:bCs/>
        </w:rPr>
        <w:t>mall fresh</w:t>
      </w:r>
      <w:r w:rsidR="00B532D6">
        <w:t xml:space="preserve"> – initial small decrease in GPP and a shift towards ER from increased turbidity and inundation of channel features. </w:t>
      </w:r>
      <w:r w:rsidR="00DF5F46">
        <w:t>An e</w:t>
      </w:r>
      <w:r w:rsidR="00B532D6">
        <w:t>ventual small increase in GPP follo</w:t>
      </w:r>
      <w:r w:rsidR="006F3572">
        <w:t>w</w:t>
      </w:r>
      <w:r w:rsidR="00DF5F46">
        <w:t>s</w:t>
      </w:r>
      <w:r w:rsidR="00334C23">
        <w:t xml:space="preserve"> the</w:t>
      </w:r>
      <w:r w:rsidR="00B532D6">
        <w:t xml:space="preserve"> mobilisation of nutrients</w:t>
      </w:r>
      <w:r>
        <w:t>.</w:t>
      </w:r>
    </w:p>
    <w:p w14:paraId="06BDAE92" w14:textId="6B6EE755" w:rsidR="00B532D6" w:rsidRPr="006768ED" w:rsidRDefault="00257A86" w:rsidP="00B5375C">
      <w:pPr>
        <w:pStyle w:val="ListBullet"/>
      </w:pPr>
      <w:r>
        <w:rPr>
          <w:b/>
          <w:bCs/>
        </w:rPr>
        <w:t>L</w:t>
      </w:r>
      <w:r w:rsidR="00B532D6" w:rsidRPr="0081568C">
        <w:rPr>
          <w:b/>
          <w:bCs/>
        </w:rPr>
        <w:t>arge fresh</w:t>
      </w:r>
      <w:r w:rsidR="00B532D6">
        <w:t xml:space="preserve"> – reduction in GPP and a significant increase in ER due to the inundation of benches, incorporation of organic matter</w:t>
      </w:r>
      <w:r w:rsidR="00094D02">
        <w:t>,</w:t>
      </w:r>
      <w:r w:rsidR="00B532D6">
        <w:t xml:space="preserve"> and increased turbidity. The magnitude of increase in ER</w:t>
      </w:r>
      <w:r w:rsidR="00092866">
        <w:t xml:space="preserve"> is</w:t>
      </w:r>
      <w:r w:rsidR="00B532D6">
        <w:t xml:space="preserve"> influenced by organic matter load (e.g. time since last flooding). </w:t>
      </w:r>
      <w:r w:rsidR="0020615D">
        <w:t>There is an e</w:t>
      </w:r>
      <w:r w:rsidR="00B532D6">
        <w:t xml:space="preserve">ventual increase in GPP as nutrients and light </w:t>
      </w:r>
      <w:proofErr w:type="gramStart"/>
      <w:r w:rsidR="00B532D6">
        <w:t>increase, but</w:t>
      </w:r>
      <w:proofErr w:type="gramEnd"/>
      <w:r w:rsidR="00B532D6">
        <w:t xml:space="preserve"> increased terrestrially derived carbon remains an important energy source for food webs</w:t>
      </w:r>
      <w:r>
        <w:t>.</w:t>
      </w:r>
    </w:p>
    <w:p w14:paraId="35DEC951" w14:textId="34580B83" w:rsidR="00B532D6" w:rsidRPr="006768ED" w:rsidRDefault="00257A86" w:rsidP="00B5375C">
      <w:pPr>
        <w:pStyle w:val="ListBullet"/>
      </w:pPr>
      <w:r>
        <w:rPr>
          <w:b/>
          <w:bCs/>
        </w:rPr>
        <w:t>B</w:t>
      </w:r>
      <w:r w:rsidR="00B532D6" w:rsidRPr="0081568C">
        <w:rPr>
          <w:b/>
          <w:bCs/>
        </w:rPr>
        <w:t>ankfull</w:t>
      </w:r>
      <w:r w:rsidR="00B532D6">
        <w:t xml:space="preserve"> – initial drop in GPP, significant increase in ER and, depending on litter accumulation levels and flow timing, potential for </w:t>
      </w:r>
      <w:r w:rsidR="0093024C">
        <w:t xml:space="preserve">hypoxic </w:t>
      </w:r>
      <w:r w:rsidR="00B532D6">
        <w:t>blackwater</w:t>
      </w:r>
      <w:r w:rsidR="00BC6AA0">
        <w:t xml:space="preserve"> </w:t>
      </w:r>
      <w:r w:rsidR="00B532D6">
        <w:t xml:space="preserve">in channels </w:t>
      </w:r>
      <w:r w:rsidR="000C5503">
        <w:t xml:space="preserve">and </w:t>
      </w:r>
      <w:r w:rsidR="00B532D6">
        <w:t>a shift to terrestrially derived energy entering food webs</w:t>
      </w:r>
      <w:r>
        <w:t>.</w:t>
      </w:r>
    </w:p>
    <w:p w14:paraId="3EDDFDB2" w14:textId="5D00FC02" w:rsidR="00B532D6" w:rsidRPr="006768ED" w:rsidRDefault="00052A5C" w:rsidP="00EC1625">
      <w:pPr>
        <w:pStyle w:val="ListBullet"/>
        <w:keepLines/>
      </w:pPr>
      <w:r>
        <w:rPr>
          <w:b/>
          <w:bCs/>
        </w:rPr>
        <w:lastRenderedPageBreak/>
        <w:t>O</w:t>
      </w:r>
      <w:r w:rsidR="5B558DD4" w:rsidRPr="0081568C">
        <w:rPr>
          <w:b/>
          <w:bCs/>
        </w:rPr>
        <w:t>verbank</w:t>
      </w:r>
      <w:r w:rsidR="5B558DD4">
        <w:t xml:space="preserve"> – very large events transport</w:t>
      </w:r>
      <w:r w:rsidR="00092866">
        <w:t>ing</w:t>
      </w:r>
      <w:r w:rsidR="5B558DD4">
        <w:t xml:space="preserve"> large amounts of terrestrial material into the river. </w:t>
      </w:r>
      <w:r w:rsidR="00150D5F">
        <w:t>H</w:t>
      </w:r>
      <w:r w:rsidR="5B558DD4">
        <w:t xml:space="preserve">igh rates of ER during floodplain–channel connection drive a microbially based food web. </w:t>
      </w:r>
      <w:r w:rsidR="007D7C94">
        <w:t>There is the p</w:t>
      </w:r>
      <w:r w:rsidR="5B558DD4">
        <w:t xml:space="preserve">otential for </w:t>
      </w:r>
      <w:r w:rsidR="004E0CAB">
        <w:t xml:space="preserve">hypoxic </w:t>
      </w:r>
      <w:r w:rsidR="5B558DD4">
        <w:t>blackwater events depending on flow volume and floodplain load of organic matter.</w:t>
      </w:r>
      <w:r w:rsidR="00150D5F">
        <w:t xml:space="preserve"> G</w:t>
      </w:r>
      <w:r w:rsidR="000917DD">
        <w:t>ross primary production</w:t>
      </w:r>
      <w:r w:rsidR="00150D5F">
        <w:t xml:space="preserve"> may be </w:t>
      </w:r>
      <w:r w:rsidR="008C1A72">
        <w:t>reduced by disturbance effect</w:t>
      </w:r>
      <w:r w:rsidR="000662EC">
        <w:t>s</w:t>
      </w:r>
      <w:r w:rsidR="008C1A72">
        <w:t xml:space="preserve"> but could</w:t>
      </w:r>
      <w:r w:rsidR="006F3572">
        <w:t xml:space="preserve"> </w:t>
      </w:r>
      <w:r w:rsidR="008C1A72">
        <w:t>be increased due to increased nutrient availability and inundation of shallow areas, although the latter is not well captured by this dataset.</w:t>
      </w:r>
    </w:p>
    <w:p w14:paraId="655A6443" w14:textId="68580206" w:rsidR="00B532D6" w:rsidRPr="00C601A2" w:rsidRDefault="00B532D6" w:rsidP="00B532D6">
      <w:pPr>
        <w:pStyle w:val="BodyText"/>
      </w:pPr>
      <w:r w:rsidRPr="00C601A2">
        <w:t xml:space="preserve">The </w:t>
      </w:r>
      <w:r w:rsidR="00682D38">
        <w:t>2014–2</w:t>
      </w:r>
      <w:r w:rsidR="0001180A">
        <w:t>4</w:t>
      </w:r>
      <w:r w:rsidRPr="00C601A2">
        <w:t xml:space="preserve"> dataset provides a strong foundation for </w:t>
      </w:r>
      <w:r w:rsidR="00273860">
        <w:t xml:space="preserve">the </w:t>
      </w:r>
      <w:r w:rsidRPr="00C601A2">
        <w:t>description of site-specific metabolic patterns</w:t>
      </w:r>
      <w:r w:rsidR="009D1BE1">
        <w:t>. A</w:t>
      </w:r>
      <w:r w:rsidRPr="00C601A2">
        <w:t>s more data are collected and added to the metabolic fingerprint for a given Selected Area or a combination of Selected Areas, our ability to tailor flows to deliver desired responses will increase.</w:t>
      </w:r>
    </w:p>
    <w:p w14:paraId="57C54CEF" w14:textId="2ADB274E" w:rsidR="00B532D6" w:rsidRPr="00C601A2" w:rsidRDefault="00B532D6" w:rsidP="00B532D6">
      <w:pPr>
        <w:pStyle w:val="BodyText"/>
      </w:pPr>
      <w:r w:rsidRPr="00C601A2">
        <w:t xml:space="preserve">Improving our understanding of how the food supply for food webs is influenced by </w:t>
      </w:r>
      <w:r w:rsidR="00951C3C">
        <w:t>CEW</w:t>
      </w:r>
      <w:r w:rsidR="00055171">
        <w:t>,</w:t>
      </w:r>
      <w:r w:rsidRPr="00C601A2">
        <w:t xml:space="preserve"> and the relationship between stream metabolism and secondary productivity</w:t>
      </w:r>
      <w:r w:rsidR="00055171">
        <w:t>,</w:t>
      </w:r>
      <w:r w:rsidRPr="00C601A2">
        <w:t xml:space="preserve"> are active areas of research</w:t>
      </w:r>
      <w:r w:rsidR="00917710">
        <w:t>. T</w:t>
      </w:r>
      <w:r w:rsidRPr="00C601A2">
        <w:t>he incorporation of this information into</w:t>
      </w:r>
      <w:r w:rsidR="00F10E31">
        <w:t xml:space="preserve"> CEW</w:t>
      </w:r>
      <w:r w:rsidR="006F3572">
        <w:t xml:space="preserve"> </w:t>
      </w:r>
      <w:r w:rsidRPr="00C601A2">
        <w:t>planning is an important step in adaptive management. Further exploration of the trajectory of metabolic recovery following flow disturbance may provide more information on longer</w:t>
      </w:r>
      <w:r w:rsidR="00AD56A7">
        <w:t>-</w:t>
      </w:r>
      <w:r w:rsidRPr="00C601A2">
        <w:t xml:space="preserve">term biotic responses to </w:t>
      </w:r>
      <w:r w:rsidR="00AD56A7">
        <w:t xml:space="preserve">CEW </w:t>
      </w:r>
      <w:r w:rsidRPr="00C601A2">
        <w:t>flow events after the immediate flow (e.g. processing of terrestrial organic matter following overbank flows).</w:t>
      </w:r>
    </w:p>
    <w:p w14:paraId="47254A8F" w14:textId="308E7D4F" w:rsidR="00B532D6" w:rsidRPr="00C601A2" w:rsidRDefault="5B558DD4" w:rsidP="00B532D6">
      <w:pPr>
        <w:pStyle w:val="BodyText"/>
      </w:pPr>
      <w:r w:rsidRPr="00C601A2">
        <w:t xml:space="preserve">Ensuring that energy generated at the base of the food web is available to subsequent trophic </w:t>
      </w:r>
      <w:proofErr w:type="gramStart"/>
      <w:r w:rsidRPr="00C601A2">
        <w:t>levels</w:t>
      </w:r>
      <w:r w:rsidR="00E21D0D">
        <w:t>,</w:t>
      </w:r>
      <w:r w:rsidRPr="00C601A2">
        <w:t xml:space="preserve"> and</w:t>
      </w:r>
      <w:proofErr w:type="gramEnd"/>
      <w:r w:rsidRPr="00C601A2">
        <w:t xml:space="preserve"> limiting significant dissipation of energy via the microbial loop</w:t>
      </w:r>
      <w:r w:rsidR="00E21D0D">
        <w:t>,</w:t>
      </w:r>
      <w:r w:rsidRPr="00C601A2">
        <w:t xml:space="preserve"> are important considerations when seeking to maximise ecosystem benefits from </w:t>
      </w:r>
      <w:r w:rsidR="0036263D">
        <w:t>CEW</w:t>
      </w:r>
      <w:r w:rsidRPr="00C601A2">
        <w:t>.</w:t>
      </w:r>
      <w:r w:rsidR="0036263D">
        <w:t>CEW</w:t>
      </w:r>
      <w:r w:rsidRPr="00C601A2">
        <w:t xml:space="preserve"> Work carried out in Flow-MER research that explores ‘link or sink’ relationships in food webs is key to unravelling relationships </w:t>
      </w:r>
      <w:r w:rsidR="56122CC7" w:rsidRPr="00C601A2">
        <w:t>between</w:t>
      </w:r>
      <w:r w:rsidR="006B0859">
        <w:t xml:space="preserve"> the</w:t>
      </w:r>
      <w:r w:rsidR="56122CC7" w:rsidRPr="00C601A2">
        <w:t xml:space="preserve"> rates of </w:t>
      </w:r>
      <w:r w:rsidRPr="00C601A2">
        <w:t xml:space="preserve">GPP and ER </w:t>
      </w:r>
      <w:r w:rsidR="407F59DC" w:rsidRPr="00C601A2">
        <w:t xml:space="preserve">and </w:t>
      </w:r>
      <w:r w:rsidRPr="00C601A2">
        <w:t>secondary</w:t>
      </w:r>
      <w:r w:rsidR="4021BCF6" w:rsidRPr="00C601A2">
        <w:t xml:space="preserve"> production by</w:t>
      </w:r>
      <w:r w:rsidRPr="00C601A2">
        <w:t xml:space="preserve"> heterotrophs. Making sure that the right type of food is available at the right time is critical for generating </w:t>
      </w:r>
      <w:r w:rsidR="00A97A0D">
        <w:t>beneficial</w:t>
      </w:r>
      <w:r w:rsidR="00A97A0D" w:rsidRPr="00C601A2">
        <w:t xml:space="preserve"> </w:t>
      </w:r>
      <w:r w:rsidRPr="00C601A2">
        <w:t xml:space="preserve">outcomes, such as </w:t>
      </w:r>
      <w:r w:rsidR="006F3572">
        <w:t>s</w:t>
      </w:r>
      <w:r w:rsidR="00A10626">
        <w:t>uccessful</w:t>
      </w:r>
      <w:r w:rsidR="00A304EF">
        <w:t xml:space="preserve"> recruitment of</w:t>
      </w:r>
      <w:r w:rsidRPr="00C601A2">
        <w:t xml:space="preserve"> larval fish.</w:t>
      </w:r>
    </w:p>
    <w:p w14:paraId="7CAA32B4" w14:textId="77777777" w:rsidR="00B532D6" w:rsidRPr="00C601A2" w:rsidRDefault="00B532D6" w:rsidP="00B532D6">
      <w:pPr>
        <w:pStyle w:val="Heading3"/>
        <w:rPr>
          <w:rFonts w:eastAsia="Times New Roman" w:cs="Calibri"/>
        </w:rPr>
      </w:pPr>
      <w:r w:rsidRPr="00C601A2">
        <w:t>Managing to improve patterns and rates of ecosystem respiration</w:t>
      </w:r>
    </w:p>
    <w:p w14:paraId="28680CAB" w14:textId="64E237AA" w:rsidR="00B532D6" w:rsidRPr="00C601A2" w:rsidRDefault="5B558DD4" w:rsidP="00B532D6">
      <w:pPr>
        <w:pStyle w:val="BodyText"/>
      </w:pPr>
      <w:r w:rsidRPr="00C601A2">
        <w:t>Commonwealth environmental water can support ER and</w:t>
      </w:r>
      <w:r w:rsidR="00152C5A">
        <w:t>,</w:t>
      </w:r>
      <w:r w:rsidR="0CDC26D7" w:rsidRPr="00C601A2">
        <w:t xml:space="preserve"> potentially</w:t>
      </w:r>
      <w:r w:rsidR="00152C5A">
        <w:t>,</w:t>
      </w:r>
      <w:r w:rsidR="0CDC26D7" w:rsidRPr="00C601A2">
        <w:t xml:space="preserve"> secondary </w:t>
      </w:r>
      <w:r w:rsidRPr="00C601A2">
        <w:t>production rates if flows increase lateral connection</w:t>
      </w:r>
      <w:r w:rsidR="00D86BB4">
        <w:t>s</w:t>
      </w:r>
      <w:r w:rsidRPr="00C601A2">
        <w:t xml:space="preserve"> between the river channel and riparian, wetland or floodplain areas (e.g.</w:t>
      </w:r>
      <w:r w:rsidR="001D13DB">
        <w:t> </w:t>
      </w:r>
      <w:r w:rsidRPr="00C601A2">
        <w:t xml:space="preserve">bankfull and overbank flows), </w:t>
      </w:r>
      <w:r w:rsidR="009118DE">
        <w:t xml:space="preserve">thereby </w:t>
      </w:r>
      <w:r w:rsidRPr="00C601A2">
        <w:t>increasing the supply of allochthonous organic carbon to the food web. Improving our knowledge of ER responses to different flow types (e.g. keeping metabolic fingerprints within the typical region</w:t>
      </w:r>
      <w:r w:rsidR="005F7EC6">
        <w:t>;</w:t>
      </w:r>
      <w:r w:rsidRPr="00C601A2">
        <w:t xml:space="preserve"> </w:t>
      </w:r>
      <w:r w:rsidR="00B532D6" w:rsidRPr="00C601A2">
        <w:rPr>
          <w:color w:val="2B579A"/>
          <w:shd w:val="clear" w:color="auto" w:fill="E6E6E6"/>
        </w:rPr>
        <w:fldChar w:fldCharType="begin"/>
      </w:r>
      <w:r w:rsidR="00B532D6" w:rsidRPr="00C601A2">
        <w:instrText>REF _Ref68680429 \h</w:instrText>
      </w:r>
      <w:r w:rsidR="00C601A2">
        <w:rPr>
          <w:color w:val="2B579A"/>
          <w:shd w:val="clear" w:color="auto" w:fill="E6E6E6"/>
        </w:rPr>
        <w:instrText xml:space="preserve"> \* MERGEFORMAT </w:instrText>
      </w:r>
      <w:r w:rsidR="00B532D6" w:rsidRPr="00C601A2">
        <w:rPr>
          <w:color w:val="2B579A"/>
          <w:shd w:val="clear" w:color="auto" w:fill="E6E6E6"/>
        </w:rPr>
      </w:r>
      <w:r w:rsidR="00B532D6" w:rsidRPr="00C601A2">
        <w:rPr>
          <w:color w:val="2B579A"/>
          <w:shd w:val="clear" w:color="auto" w:fill="E6E6E6"/>
        </w:rPr>
        <w:fldChar w:fldCharType="separate"/>
      </w:r>
      <w:r w:rsidR="00492712" w:rsidRPr="00C601A2">
        <w:t>Figure</w:t>
      </w:r>
      <w:r w:rsidR="00492712">
        <w:t> </w:t>
      </w:r>
      <w:r w:rsidR="00835C8B">
        <w:t>2</w:t>
      </w:r>
      <w:r w:rsidR="00492712">
        <w:t>.1</w:t>
      </w:r>
      <w:r w:rsidR="00B532D6" w:rsidRPr="00C601A2">
        <w:rPr>
          <w:color w:val="2B579A"/>
          <w:shd w:val="clear" w:color="auto" w:fill="E6E6E6"/>
        </w:rPr>
        <w:fldChar w:fldCharType="end"/>
      </w:r>
      <w:r w:rsidRPr="00C601A2">
        <w:t xml:space="preserve">) will help prevent </w:t>
      </w:r>
      <w:r w:rsidR="6C8B26E8" w:rsidRPr="00C601A2">
        <w:t>adverse</w:t>
      </w:r>
      <w:r w:rsidRPr="00C601A2">
        <w:t xml:space="preserve"> ER outcomes, such as</w:t>
      </w:r>
      <w:r w:rsidR="0033019D">
        <w:t xml:space="preserve"> hypoxic</w:t>
      </w:r>
      <w:r w:rsidRPr="00C601A2">
        <w:t xml:space="preserve"> blackwater events. Recognising that bankfull and overbank flows are not always possible, smaller flows (e.g. freshes) have</w:t>
      </w:r>
      <w:r w:rsidR="006F3572">
        <w:t xml:space="preserve"> </w:t>
      </w:r>
      <w:r w:rsidRPr="00C601A2">
        <w:t>the potential to liberate new terrestrial carbon from in-channel benches (e.g. in the Goulburn River</w:t>
      </w:r>
      <w:r w:rsidR="00954AA1" w:rsidRPr="00C601A2">
        <w:t xml:space="preserve"> </w:t>
      </w:r>
      <w:r w:rsidRPr="00C601A2">
        <w:t>and Edward/Kolety–Wakool river systems Selected Areas) and newly inundated slack waters. However, responses will be highly dependent on antecedent hydrological patterns (e.g. the amount of litter that has accumulated since the last fresh).</w:t>
      </w:r>
    </w:p>
    <w:p w14:paraId="3ABAB78A" w14:textId="77777777" w:rsidR="00B532D6" w:rsidRPr="00C601A2" w:rsidRDefault="00B532D6" w:rsidP="00B532D6">
      <w:pPr>
        <w:pStyle w:val="Heading3"/>
        <w:rPr>
          <w:rFonts w:eastAsia="Times New Roman" w:cs="Calibri"/>
        </w:rPr>
      </w:pPr>
      <w:r w:rsidRPr="00C601A2">
        <w:t>Managing to improve patterns and rates of primary productivity</w:t>
      </w:r>
    </w:p>
    <w:p w14:paraId="2820048C" w14:textId="11A2C94F" w:rsidR="00B532D6" w:rsidRPr="00C601A2" w:rsidRDefault="5B558DD4" w:rsidP="00B532D6">
      <w:pPr>
        <w:pStyle w:val="BodyText"/>
        <w:rPr>
          <w:rFonts w:eastAsia="Times New Roman" w:cs="Calibri"/>
        </w:rPr>
      </w:pPr>
      <w:r w:rsidRPr="00C601A2">
        <w:t xml:space="preserve">Changes to volumetric rates of GPP in response to </w:t>
      </w:r>
      <w:r w:rsidR="001C62B8">
        <w:t xml:space="preserve">CEW </w:t>
      </w:r>
      <w:r w:rsidRPr="00C601A2">
        <w:t xml:space="preserve">are generally small, and patterns in rates of GPP are primarily driven by seasonal changes (e.g. light, temperature) and site-specific variability in bioavailable nutrients and turbidity. </w:t>
      </w:r>
      <w:r w:rsidR="007A2EA3">
        <w:t xml:space="preserve">Our evaluation </w:t>
      </w:r>
      <w:r w:rsidRPr="00C601A2">
        <w:t xml:space="preserve">demonstrated </w:t>
      </w:r>
      <w:r w:rsidR="007A2EA3">
        <w:t>that</w:t>
      </w:r>
      <w:r w:rsidRPr="00C601A2">
        <w:t xml:space="preserve"> increased flows generally decrease overall metabolic throughput</w:t>
      </w:r>
      <w:r w:rsidR="00367091">
        <w:t>. However</w:t>
      </w:r>
      <w:r w:rsidR="007A2EA3">
        <w:t>,</w:t>
      </w:r>
      <w:r w:rsidR="006F3572">
        <w:t xml:space="preserve"> </w:t>
      </w:r>
      <w:r w:rsidRPr="00C601A2">
        <w:t>at some sites</w:t>
      </w:r>
      <w:r w:rsidR="00A31DFE">
        <w:t>,</w:t>
      </w:r>
      <w:r w:rsidRPr="00C601A2">
        <w:t xml:space="preserve"> increased flows lead to increased rates of GPP (e.g. the Lanes Bridge</w:t>
      </w:r>
      <w:r w:rsidR="001D13DB">
        <w:t xml:space="preserve"> </w:t>
      </w:r>
      <w:r w:rsidRPr="00C601A2">
        <w:t xml:space="preserve">site in the Lachlan River </w:t>
      </w:r>
      <w:r w:rsidR="00954AA1" w:rsidRPr="00C601A2">
        <w:t xml:space="preserve">System </w:t>
      </w:r>
      <w:r w:rsidRPr="00C601A2">
        <w:t>Selected Area). Improving our understanding of site-specific features and drivers that lead to consistent metabolic responses will improve our ability to predict flow</w:t>
      </w:r>
      <w:r w:rsidR="00B11AD4">
        <w:t>–</w:t>
      </w:r>
      <w:r w:rsidRPr="00C601A2">
        <w:t>metabolism responses in unmonitored areas.</w:t>
      </w:r>
      <w:r w:rsidR="003314C9">
        <w:t xml:space="preserve"> There is some evidence that freshes could be used to</w:t>
      </w:r>
      <w:r w:rsidR="00BC6AA0">
        <w:t xml:space="preserve"> boost</w:t>
      </w:r>
      <w:r w:rsidR="006F3572">
        <w:t xml:space="preserve"> </w:t>
      </w:r>
      <w:r w:rsidR="003314C9">
        <w:t>primary productivity during warm, low</w:t>
      </w:r>
      <w:r w:rsidR="005E49ED">
        <w:t xml:space="preserve"> </w:t>
      </w:r>
      <w:r w:rsidR="003314C9">
        <w:t>flow periods if there is a risk of high algal concentrations.</w:t>
      </w:r>
    </w:p>
    <w:p w14:paraId="6F5B3969" w14:textId="77777777" w:rsidR="00B532D6" w:rsidRPr="00C601A2" w:rsidRDefault="00B532D6" w:rsidP="00B532D6">
      <w:pPr>
        <w:pStyle w:val="Heading3"/>
        <w:rPr>
          <w:rFonts w:eastAsia="Times New Roman" w:cs="Calibri"/>
        </w:rPr>
      </w:pPr>
      <w:r w:rsidRPr="00C601A2">
        <w:lastRenderedPageBreak/>
        <w:t>Managing to improve dissolved oxygen levels</w:t>
      </w:r>
    </w:p>
    <w:p w14:paraId="7C668D6D" w14:textId="31867F43" w:rsidR="0080749C" w:rsidRDefault="00B532D6" w:rsidP="00B532D6">
      <w:pPr>
        <w:pStyle w:val="BodyText"/>
      </w:pPr>
      <w:r w:rsidRPr="00C601A2">
        <w:t>Commonwealth environmental water is very important for decreasing the likelihood of low DO b</w:t>
      </w:r>
      <w:r w:rsidR="00B677DA">
        <w:t>ecause it</w:t>
      </w:r>
      <w:r w:rsidRPr="00C601A2">
        <w:t xml:space="preserve"> </w:t>
      </w:r>
      <w:r w:rsidR="00010C15">
        <w:t xml:space="preserve">can </w:t>
      </w:r>
      <w:r w:rsidRPr="00C601A2">
        <w:t>increas</w:t>
      </w:r>
      <w:r w:rsidR="00B677DA">
        <w:t>e</w:t>
      </w:r>
      <w:r w:rsidRPr="00C601A2">
        <w:t xml:space="preserve"> water mixing and oxygen exchange at the surface, particularly in the Lower Murray River Selected Area</w:t>
      </w:r>
      <w:r w:rsidR="001D13DB">
        <w:t>,</w:t>
      </w:r>
      <w:r w:rsidRPr="00C601A2">
        <w:t xml:space="preserve"> where the river is dominated by slow-flowing locks and weirs. For example, in </w:t>
      </w:r>
      <w:r w:rsidR="00682D38">
        <w:t>2022–23</w:t>
      </w:r>
      <w:r w:rsidRPr="00C601A2">
        <w:t xml:space="preserve">, </w:t>
      </w:r>
      <w:r w:rsidR="00045798">
        <w:t>CEW</w:t>
      </w:r>
      <w:r w:rsidRPr="00C601A2">
        <w:t xml:space="preserve"> </w:t>
      </w:r>
      <w:r w:rsidR="00D14E1F">
        <w:t xml:space="preserve">was used to </w:t>
      </w:r>
      <w:r w:rsidRPr="00C601A2">
        <w:t xml:space="preserve">maintain DO levels above desired thresholds during </w:t>
      </w:r>
      <w:r w:rsidR="00704A39">
        <w:t xml:space="preserve">hypoxic </w:t>
      </w:r>
      <w:r w:rsidRPr="00C601A2">
        <w:t>blackwater events</w:t>
      </w:r>
      <w:r w:rsidR="006B31AE" w:rsidRPr="00C601A2">
        <w:t xml:space="preserve"> in the Edward/Kol</w:t>
      </w:r>
      <w:r w:rsidR="000A2C56" w:rsidRPr="00C601A2">
        <w:t>et</w:t>
      </w:r>
      <w:r w:rsidR="006B31AE" w:rsidRPr="00C601A2">
        <w:t>y</w:t>
      </w:r>
      <w:r w:rsidR="000A2C56" w:rsidRPr="00C601A2">
        <w:t>–</w:t>
      </w:r>
      <w:r w:rsidR="006B31AE" w:rsidRPr="00C601A2">
        <w:t>Wakool</w:t>
      </w:r>
      <w:r w:rsidR="004F4C0C" w:rsidRPr="00C601A2">
        <w:t xml:space="preserve"> </w:t>
      </w:r>
      <w:r w:rsidR="00954AA1" w:rsidRPr="00C601A2">
        <w:t xml:space="preserve">river </w:t>
      </w:r>
      <w:r w:rsidR="004F4C0C" w:rsidRPr="00C601A2">
        <w:t>system</w:t>
      </w:r>
      <w:r w:rsidR="00954AA1" w:rsidRPr="00C601A2">
        <w:t>s</w:t>
      </w:r>
      <w:r w:rsidR="00D14E1F">
        <w:t xml:space="preserve"> Selected Area. These f</w:t>
      </w:r>
      <w:r w:rsidR="00D14E1F" w:rsidRPr="00C601A2">
        <w:t xml:space="preserve">lows can act to dilute </w:t>
      </w:r>
      <w:r w:rsidR="0099474C">
        <w:t>hypoxic</w:t>
      </w:r>
      <w:r w:rsidR="00D14E1F" w:rsidRPr="00C601A2">
        <w:t xml:space="preserve"> water</w:t>
      </w:r>
      <w:r w:rsidR="001D347E">
        <w:t xml:space="preserve"> with oxygenated water</w:t>
      </w:r>
      <w:r w:rsidR="00D14E1F" w:rsidRPr="00C601A2">
        <w:t xml:space="preserve"> and increase oxygen exchange at the surface. Commonwealth environmental water may also be used to maintain base flows to support aquatic ecosystem</w:t>
      </w:r>
      <w:r w:rsidR="00D14E1F">
        <w:t>s</w:t>
      </w:r>
      <w:r w:rsidR="00D14E1F" w:rsidRPr="00C601A2">
        <w:t xml:space="preserve"> during low</w:t>
      </w:r>
      <w:r w:rsidR="005E49ED">
        <w:t xml:space="preserve"> </w:t>
      </w:r>
      <w:r w:rsidR="00D14E1F" w:rsidRPr="00C601A2">
        <w:t>flow periods</w:t>
      </w:r>
      <w:r w:rsidR="0080749C">
        <w:t>.</w:t>
      </w:r>
    </w:p>
    <w:p w14:paraId="059D66E0" w14:textId="77777777" w:rsidR="00B532D6" w:rsidRPr="00C601A2" w:rsidRDefault="00B532D6" w:rsidP="00B532D6">
      <w:pPr>
        <w:pStyle w:val="Heading3"/>
        <w:rPr>
          <w:rFonts w:eastAsia="Times New Roman" w:cs="Calibri"/>
        </w:rPr>
      </w:pPr>
      <w:r w:rsidRPr="00C601A2">
        <w:t>Managing to maintain river salinity and salt export</w:t>
      </w:r>
    </w:p>
    <w:p w14:paraId="0280557A" w14:textId="292A7FDB" w:rsidR="00B532D6" w:rsidRPr="00C601A2" w:rsidRDefault="00B532D6" w:rsidP="00B532D6">
      <w:pPr>
        <w:pStyle w:val="BodyText"/>
        <w:keepNext/>
        <w:rPr>
          <w:rFonts w:eastAsia="Times New Roman" w:cs="Calibri"/>
        </w:rPr>
      </w:pPr>
      <w:r w:rsidRPr="00C601A2">
        <w:t>Commonwealth environmental water plays a role in maintaining salinity regimes within a desired range. Commonwealth environmental water has been used to:</w:t>
      </w:r>
    </w:p>
    <w:p w14:paraId="105BE258" w14:textId="3065944E" w:rsidR="00B532D6" w:rsidRPr="00C601A2" w:rsidRDefault="00B532D6" w:rsidP="00B5375C">
      <w:pPr>
        <w:pStyle w:val="ListBullet"/>
      </w:pPr>
      <w:r>
        <w:t>maintain river salinity below 800</w:t>
      </w:r>
      <w:r w:rsidR="00CF5A52">
        <w:t> </w:t>
      </w:r>
      <w:r w:rsidR="00CF5A52" w:rsidRPr="00C601A2">
        <w:t>µS/cm</w:t>
      </w:r>
      <w:r w:rsidR="00CF5A52">
        <w:t xml:space="preserve"> (</w:t>
      </w:r>
      <w:r w:rsidR="007864EC">
        <w:t>electrical conductivity</w:t>
      </w:r>
      <w:r w:rsidR="00CF5A52">
        <w:t>)</w:t>
      </w:r>
      <w:r>
        <w:t xml:space="preserve"> at Morgan (a river management target of the M</w:t>
      </w:r>
      <w:r w:rsidR="001D03D5">
        <w:t>urray–</w:t>
      </w:r>
      <w:r>
        <w:t>D</w:t>
      </w:r>
      <w:r w:rsidR="001D03D5">
        <w:t xml:space="preserve">arling </w:t>
      </w:r>
      <w:r>
        <w:t>B</w:t>
      </w:r>
      <w:r w:rsidR="001D03D5">
        <w:t xml:space="preserve">asin </w:t>
      </w:r>
      <w:r>
        <w:t>A</w:t>
      </w:r>
      <w:r w:rsidR="001D03D5">
        <w:t>uthority</w:t>
      </w:r>
      <w:r>
        <w:t xml:space="preserve"> and SA Water)</w:t>
      </w:r>
    </w:p>
    <w:p w14:paraId="30070637" w14:textId="061894A4" w:rsidR="00B532D6" w:rsidRPr="00C601A2" w:rsidRDefault="00B532D6" w:rsidP="00B5375C">
      <w:pPr>
        <w:pStyle w:val="ListBullet"/>
      </w:pPr>
      <w:r>
        <w:t>maintain salt export from the Coorong in low</w:t>
      </w:r>
      <w:r w:rsidR="00CF5A52">
        <w:t xml:space="preserve"> </w:t>
      </w:r>
      <w:r>
        <w:t>flow years and restrict the import of salt to the Coorong</w:t>
      </w:r>
    </w:p>
    <w:p w14:paraId="723CE6F9" w14:textId="43F74928" w:rsidR="001813A3" w:rsidRPr="00C601A2" w:rsidRDefault="00B532D6" w:rsidP="00B5375C">
      <w:pPr>
        <w:pStyle w:val="ListBullet"/>
      </w:pPr>
      <w:r>
        <w:t>contribute to the Basin Plan’s target of exporting 2 million tonnes of salt</w:t>
      </w:r>
      <w:r w:rsidR="00650DA0" w:rsidRPr="00650DA0">
        <w:t xml:space="preserve"> </w:t>
      </w:r>
      <w:r w:rsidR="00650DA0">
        <w:t>each water accounting period</w:t>
      </w:r>
      <w:r>
        <w:t xml:space="preserve"> from the Murray River system into the Southern Ocean.</w:t>
      </w:r>
    </w:p>
    <w:p w14:paraId="2575C2B7" w14:textId="6A4EEDCE" w:rsidR="001813A3" w:rsidRPr="00C601A2" w:rsidRDefault="001813A3" w:rsidP="001813A3">
      <w:pPr>
        <w:pStyle w:val="Heading2"/>
      </w:pPr>
      <w:bookmarkStart w:id="224" w:name="_Toc126095291"/>
      <w:bookmarkStart w:id="225" w:name="_Toc169543880"/>
      <w:bookmarkStart w:id="226" w:name="_Toc202187865"/>
      <w:r w:rsidRPr="00C601A2">
        <w:t>Improving our approach to Basin-scale evaluation</w:t>
      </w:r>
      <w:bookmarkEnd w:id="224"/>
      <w:bookmarkEnd w:id="225"/>
      <w:bookmarkEnd w:id="226"/>
    </w:p>
    <w:p w14:paraId="3252C35A" w14:textId="2467F0C1" w:rsidR="006B3049" w:rsidRDefault="006B3049" w:rsidP="001B4152">
      <w:pPr>
        <w:pStyle w:val="ListBullet"/>
        <w:numPr>
          <w:ilvl w:val="0"/>
          <w:numId w:val="0"/>
        </w:numPr>
      </w:pPr>
      <w:r>
        <w:t>The Food</w:t>
      </w:r>
      <w:r w:rsidR="00DF620D">
        <w:t xml:space="preserve"> </w:t>
      </w:r>
      <w:r>
        <w:t>webs and Water Quality evaluation is not continuing in Flow-</w:t>
      </w:r>
      <w:proofErr w:type="gramStart"/>
      <w:r>
        <w:t>MER</w:t>
      </w:r>
      <w:proofErr w:type="gramEnd"/>
      <w:r>
        <w:t xml:space="preserve"> and the 2023-24 evaluation (this report) is the final in this series. While not continuing in this format, the following observations are made as input to future monitoring and evaluation of food</w:t>
      </w:r>
      <w:r w:rsidR="00DF620D">
        <w:t xml:space="preserve"> </w:t>
      </w:r>
      <w:r>
        <w:t xml:space="preserve">webs, stream metabolism and water quality: </w:t>
      </w:r>
    </w:p>
    <w:p w14:paraId="381A830E" w14:textId="0FCD0DDA" w:rsidR="00801D94" w:rsidRPr="00C601A2" w:rsidRDefault="00801D94" w:rsidP="00B5375C">
      <w:pPr>
        <w:pStyle w:val="ListBullet"/>
      </w:pPr>
      <w:r>
        <w:t>To improve the utility of metabolic data collected, we recommend a formally designed and coordinated sampling approach between and beyond Selected Areas. Coordinated sampling should cover year-round sampling – or at least enough to ensure</w:t>
      </w:r>
      <w:r w:rsidR="00BE693C">
        <w:t xml:space="preserve"> that</w:t>
      </w:r>
      <w:r w:rsidR="003007E3">
        <w:t xml:space="preserve"> the</w:t>
      </w:r>
      <w:r>
        <w:t xml:space="preserve"> </w:t>
      </w:r>
      <w:r w:rsidR="003007E3">
        <w:t>Bayesian single-station estimation</w:t>
      </w:r>
      <w:r w:rsidR="003007E3" w:rsidDel="003007E3">
        <w:t xml:space="preserve"> </w:t>
      </w:r>
      <w:r>
        <w:t>models can evaluate gaps. We also recommend</w:t>
      </w:r>
      <w:r w:rsidR="00427E1C">
        <w:t xml:space="preserve"> the</w:t>
      </w:r>
      <w:r>
        <w:t xml:space="preserve"> collection of bathymetr</w:t>
      </w:r>
      <w:r w:rsidR="004D19A8">
        <w:t>ic</w:t>
      </w:r>
      <w:r>
        <w:t xml:space="preserve"> data </w:t>
      </w:r>
      <w:r w:rsidR="00427E1C">
        <w:t>in</w:t>
      </w:r>
      <w:r>
        <w:t xml:space="preserve"> all Selected Areas</w:t>
      </w:r>
      <w:r w:rsidR="003F722D">
        <w:t>,</w:t>
      </w:r>
      <w:r>
        <w:t xml:space="preserve"> which will enable conversion of volumetric metabolic rates to areal rates, in line with international literature.</w:t>
      </w:r>
    </w:p>
    <w:p w14:paraId="6C227697" w14:textId="33E8F643" w:rsidR="00801D94" w:rsidRDefault="7D564F80" w:rsidP="00B5375C">
      <w:pPr>
        <w:pStyle w:val="ListBullet"/>
      </w:pPr>
      <w:r>
        <w:t>We encourage aligning spatial design to Basin-scale evaluation questions. This includes planning for a larger spread of sites</w:t>
      </w:r>
      <w:r w:rsidR="006F3572">
        <w:t xml:space="preserve"> </w:t>
      </w:r>
      <w:proofErr w:type="gramStart"/>
      <w:r w:rsidR="007B30BD">
        <w:t>and</w:t>
      </w:r>
      <w:r>
        <w:t xml:space="preserve"> also</w:t>
      </w:r>
      <w:proofErr w:type="gramEnd"/>
      <w:r>
        <w:t xml:space="preserve"> potentially a rotational sampling scheme – pioneered by the </w:t>
      </w:r>
      <w:r w:rsidR="6FEADFA0">
        <w:t xml:space="preserve">Sustainable </w:t>
      </w:r>
      <w:r>
        <w:t xml:space="preserve">Rivers Audit </w:t>
      </w:r>
      <w:r w:rsidR="00A453C2">
        <w:t xml:space="preserve">(Davies et al. 2010) </w:t>
      </w:r>
      <w:r>
        <w:t xml:space="preserve">and the </w:t>
      </w:r>
      <w:proofErr w:type="gramStart"/>
      <w:r>
        <w:t>South East</w:t>
      </w:r>
      <w:proofErr w:type="gramEnd"/>
      <w:r>
        <w:t xml:space="preserve"> Queensland Healthy Waterways assessment and evaluation scheme </w:t>
      </w:r>
      <w:r w:rsidR="340B7330" w:rsidRPr="29DF62DC">
        <w:rPr>
          <w:noProof/>
        </w:rPr>
        <w:t>(Bunn et al. 2007)</w:t>
      </w:r>
      <w:r>
        <w:t xml:space="preserve">. We acknowledge that there is a mismatch between Selected Area reporting requirements and data needs for a Basin-scale evaluation. However, without coordination with the Basin evaluation, desired outcomes at the Basin scale cannot be achieved. Currently, only a few selected sites have adequate sampling frequencies – both within and between seasons – to support time series analyses. Even if this is rectified, the spatially patchy nature of the sampling sites would make extrapolation to the Basin difficult. </w:t>
      </w:r>
      <w:r w:rsidR="006B3049">
        <w:t>We</w:t>
      </w:r>
      <w:r>
        <w:t xml:space="preserve"> strongly encourage thinking about a well-planned spatial design that satisfies the needs of the Selected Areas</w:t>
      </w:r>
      <w:r w:rsidR="006F3572">
        <w:t xml:space="preserve"> </w:t>
      </w:r>
      <w:r w:rsidR="00AD7F43">
        <w:t>and</w:t>
      </w:r>
      <w:r>
        <w:t xml:space="preserve"> facilitates Basin-wide synthesis.</w:t>
      </w:r>
    </w:p>
    <w:p w14:paraId="61370D77" w14:textId="5C1C384E" w:rsidR="00D8299E" w:rsidRPr="00C601A2" w:rsidRDefault="002E5DBE" w:rsidP="00B5375C">
      <w:pPr>
        <w:pStyle w:val="ListBullet"/>
      </w:pPr>
      <w:r>
        <w:t xml:space="preserve">There is a requirement </w:t>
      </w:r>
      <w:r w:rsidR="000C4E3D">
        <w:t xml:space="preserve">to </w:t>
      </w:r>
      <w:r>
        <w:t xml:space="preserve">establish expected </w:t>
      </w:r>
      <w:r w:rsidR="00493D85">
        <w:t xml:space="preserve">environmental </w:t>
      </w:r>
      <w:r>
        <w:t>outcomes for metabolic</w:t>
      </w:r>
      <w:r w:rsidR="005204B1">
        <w:t xml:space="preserve"> responses to flow. Currently</w:t>
      </w:r>
      <w:r w:rsidR="008129AB">
        <w:t>,</w:t>
      </w:r>
      <w:r w:rsidR="005204B1">
        <w:t xml:space="preserve"> there are no </w:t>
      </w:r>
      <w:r w:rsidR="008129AB">
        <w:t xml:space="preserve">expected environmental outcomes </w:t>
      </w:r>
      <w:r w:rsidR="00DF492D">
        <w:t>for stream metabolism</w:t>
      </w:r>
      <w:r w:rsidR="00C62FBA">
        <w:t xml:space="preserve"> within the </w:t>
      </w:r>
      <w:r w:rsidR="00A35918">
        <w:t>Strategy</w:t>
      </w:r>
      <w:r w:rsidR="00A475CE">
        <w:t>, making evaluation</w:t>
      </w:r>
      <w:r w:rsidR="008129AB">
        <w:t xml:space="preserve"> relatively</w:t>
      </w:r>
      <w:r w:rsidR="00A475CE">
        <w:t xml:space="preserve"> </w:t>
      </w:r>
      <w:r w:rsidR="00060E2D">
        <w:t>subjective</w:t>
      </w:r>
      <w:r w:rsidR="00A475CE">
        <w:t>.</w:t>
      </w:r>
      <w:r>
        <w:t xml:space="preserve"> </w:t>
      </w:r>
      <w:r w:rsidR="00C16E79">
        <w:t xml:space="preserve">Targets should be established by managers, </w:t>
      </w:r>
      <w:r w:rsidR="001D02B0">
        <w:t>include</w:t>
      </w:r>
      <w:r w:rsidR="006F3572">
        <w:t xml:space="preserve"> </w:t>
      </w:r>
      <w:r w:rsidR="00C16E79">
        <w:t>guidance from scientists</w:t>
      </w:r>
      <w:r w:rsidR="000C4E3D">
        <w:t>,</w:t>
      </w:r>
      <w:r w:rsidR="008E0554">
        <w:t xml:space="preserve"> and need to be site</w:t>
      </w:r>
      <w:r w:rsidR="00E354C4">
        <w:t xml:space="preserve"> specific</w:t>
      </w:r>
      <w:r w:rsidR="00CF5A52">
        <w:t xml:space="preserve"> or </w:t>
      </w:r>
      <w:r w:rsidR="008E0554">
        <w:t>catchment specific.</w:t>
      </w:r>
    </w:p>
    <w:p w14:paraId="054C8E34" w14:textId="49CF0BF9" w:rsidR="0080749C" w:rsidRDefault="008131F6" w:rsidP="00B5375C">
      <w:pPr>
        <w:pStyle w:val="ListBullet"/>
      </w:pPr>
      <w:r>
        <w:lastRenderedPageBreak/>
        <w:t xml:space="preserve">Metabolic fingerprints can also be used to compare and classify metabolic regimes across different sites and can be further extended with application of statistical models (e.g. </w:t>
      </w:r>
      <w:proofErr w:type="spellStart"/>
      <w:r>
        <w:t>envfit</w:t>
      </w:r>
      <w:proofErr w:type="spellEnd"/>
      <w:r>
        <w:t xml:space="preserve"> function) to assess the magnitude and direction of metabolic responses to flow. In doing so, we identify sites that share similar metabolic response patterns</w:t>
      </w:r>
      <w:r w:rsidR="00510FF9">
        <w:t xml:space="preserve"> and </w:t>
      </w:r>
      <w:r>
        <w:t xml:space="preserve">respond to flow events in similar ways. This information will be incorporated in future evaluation and planning of </w:t>
      </w:r>
      <w:r w:rsidR="00445C7E">
        <w:t>CEW</w:t>
      </w:r>
      <w:r w:rsidR="00FD2635">
        <w:t xml:space="preserve"> </w:t>
      </w:r>
      <w:r>
        <w:t>as the number of events monitored becomes adequate to confidently describe desired metabolic responses</w:t>
      </w:r>
      <w:r w:rsidR="0080749C">
        <w:t>.</w:t>
      </w:r>
    </w:p>
    <w:p w14:paraId="61DFD7F2" w14:textId="5DC72EF2" w:rsidR="00900E06" w:rsidRPr="00C601A2" w:rsidRDefault="00900E06" w:rsidP="004A4DBC">
      <w:pPr>
        <w:pStyle w:val="BodyText"/>
      </w:pPr>
      <w:bookmarkStart w:id="227" w:name="_Ref202186034"/>
      <w:r w:rsidRPr="00C601A2">
        <w:t xml:space="preserve">We hypothesise the most prominent effects of </w:t>
      </w:r>
      <w:r w:rsidR="00524F1B">
        <w:t xml:space="preserve">CEW </w:t>
      </w:r>
      <w:r w:rsidRPr="00C601A2">
        <w:t xml:space="preserve">would come from inundation of littoral and floodplain habitats and the associated releases of nutrients and </w:t>
      </w:r>
      <w:r w:rsidR="00CF5A52">
        <w:t>dissolved organic carbon</w:t>
      </w:r>
      <w:r w:rsidR="001B7AA2">
        <w:t>. U</w:t>
      </w:r>
      <w:r w:rsidRPr="00C601A2">
        <w:t>nderstanding this spatial variability will be a focus of future research. For instance, piggybacking a relatively small volume of water onto other flows may produce a disproportionate increase in floodplain inundation and thus aquatic ecosystem productivity. Emerging tools for mapping flood inundation extents at high resolution will facilitate such analyses in the future.</w:t>
      </w:r>
      <w:bookmarkEnd w:id="227"/>
    </w:p>
    <w:p w14:paraId="35444BF3" w14:textId="77777777" w:rsidR="005B245D" w:rsidRDefault="005B245D" w:rsidP="00302AFB">
      <w:pPr>
        <w:pStyle w:val="BodyText"/>
      </w:pPr>
    </w:p>
    <w:p w14:paraId="2951EF8A" w14:textId="77777777" w:rsidR="005B245D" w:rsidRDefault="005B245D" w:rsidP="0099056B">
      <w:pPr>
        <w:pStyle w:val="ListBullet"/>
        <w:numPr>
          <w:ilvl w:val="0"/>
          <w:numId w:val="0"/>
        </w:numPr>
        <w:ind w:left="482"/>
        <w:sectPr w:rsidR="005B245D" w:rsidSect="000E21A8">
          <w:headerReference w:type="even" r:id="rId59"/>
          <w:headerReference w:type="default" r:id="rId60"/>
          <w:footerReference w:type="default" r:id="rId61"/>
          <w:headerReference w:type="first" r:id="rId62"/>
          <w:pgSz w:w="11906" w:h="16838" w:code="9"/>
          <w:pgMar w:top="1134" w:right="1134" w:bottom="1134" w:left="1134" w:header="510" w:footer="510" w:gutter="0"/>
          <w:cols w:space="284"/>
          <w:docGrid w:linePitch="360"/>
        </w:sectPr>
      </w:pPr>
    </w:p>
    <w:p w14:paraId="3A5FECE5" w14:textId="77777777" w:rsidR="00681A4D" w:rsidRDefault="00681A4D" w:rsidP="00681A4D">
      <w:pPr>
        <w:pStyle w:val="Heading9"/>
      </w:pPr>
      <w:bookmarkStart w:id="228" w:name="_Ref202032192"/>
      <w:bookmarkStart w:id="229" w:name="_Ref202036571"/>
      <w:bookmarkStart w:id="230" w:name="_Ref202036586"/>
      <w:bookmarkStart w:id="231" w:name="_Toc202187866"/>
      <w:bookmarkStart w:id="232" w:name="_Toc71298454"/>
      <w:r w:rsidRPr="00743ADC">
        <w:lastRenderedPageBreak/>
        <w:t>Stream metabolic responses to flow at sites in 7 Selected Areas</w:t>
      </w:r>
      <w:bookmarkEnd w:id="228"/>
      <w:bookmarkEnd w:id="229"/>
      <w:bookmarkEnd w:id="230"/>
      <w:bookmarkEnd w:id="231"/>
    </w:p>
    <w:p w14:paraId="1B3E053E" w14:textId="0B3C318C" w:rsidR="00A76FDF" w:rsidRPr="00C601A2" w:rsidRDefault="00A76FDF" w:rsidP="00A76FDF">
      <w:pPr>
        <w:pStyle w:val="BodyText"/>
      </w:pPr>
      <w:r w:rsidRPr="00C601A2">
        <w:t>For all plots in</w:t>
      </w:r>
      <w:r w:rsidR="00C56FB8">
        <w:t xml:space="preserve"> this appendix,</w:t>
      </w:r>
      <w:r w:rsidRPr="00C601A2">
        <w:t xml:space="preserve"> the left-hand panels display GPP</w:t>
      </w:r>
      <w:r w:rsidR="004805C2">
        <w:t xml:space="preserve">, </w:t>
      </w:r>
      <w:r w:rsidRPr="00C601A2">
        <w:t xml:space="preserve">ER and NEP values in response to flow (black line) and </w:t>
      </w:r>
      <w:r w:rsidR="008D5180">
        <w:t>CEW</w:t>
      </w:r>
      <w:r w:rsidRPr="00E902E9">
        <w:t xml:space="preserve"> (</w:t>
      </w:r>
      <w:r w:rsidR="00CE7D0E">
        <w:t>pink</w:t>
      </w:r>
      <w:r w:rsidRPr="00E902E9">
        <w:t xml:space="preserve"> line)</w:t>
      </w:r>
      <w:r w:rsidRPr="00C601A2">
        <w:t>. Right-hand panels depict metabolic fingerprints (without kernel</w:t>
      </w:r>
      <w:r w:rsidR="00EA1C94">
        <w:t>-</w:t>
      </w:r>
      <w:r w:rsidRPr="00C601A2">
        <w:t xml:space="preserve">density regions displayed), </w:t>
      </w:r>
      <w:r w:rsidR="001D02B0">
        <w:t>and</w:t>
      </w:r>
      <w:r w:rsidR="001D02B0" w:rsidRPr="00C601A2">
        <w:t xml:space="preserve"> </w:t>
      </w:r>
      <w:r w:rsidRPr="00C601A2">
        <w:t xml:space="preserve">colouration of data points reflect </w:t>
      </w:r>
      <w:proofErr w:type="spellStart"/>
      <w:r w:rsidRPr="00C601A2">
        <w:t>logFlow</w:t>
      </w:r>
      <w:proofErr w:type="spellEnd"/>
      <w:r w:rsidRPr="00C601A2">
        <w:t xml:space="preserve">. Length of the </w:t>
      </w:r>
      <w:proofErr w:type="spellStart"/>
      <w:r w:rsidRPr="00C601A2">
        <w:t>envfit</w:t>
      </w:r>
      <w:proofErr w:type="spellEnd"/>
      <w:r w:rsidRPr="00C601A2">
        <w:t xml:space="preserve"> environmental vector arrow (</w:t>
      </w:r>
      <w:r w:rsidRPr="00664394">
        <w:rPr>
          <w:rStyle w:val="Italics"/>
        </w:rPr>
        <w:t>j</w:t>
      </w:r>
      <w:r w:rsidRPr="00C601A2">
        <w:t>) indicates the strength (r</w:t>
      </w:r>
      <w:r w:rsidRPr="00C601A2">
        <w:rPr>
          <w:vertAlign w:val="superscript"/>
        </w:rPr>
        <w:t>2</w:t>
      </w:r>
      <w:r w:rsidRPr="00C601A2">
        <w:t xml:space="preserve">) and direction of </w:t>
      </w:r>
      <w:r w:rsidR="00907920">
        <w:t xml:space="preserve">the </w:t>
      </w:r>
      <w:r w:rsidRPr="00C601A2">
        <w:t xml:space="preserve">long-term metabolic response to flow, with significant responses, </w:t>
      </w:r>
      <w:r w:rsidRPr="00C601A2">
        <w:rPr>
          <w:i/>
          <w:iCs/>
        </w:rPr>
        <w:t>p</w:t>
      </w:r>
      <w:r w:rsidRPr="00C601A2">
        <w:t xml:space="preserve"> &lt; 0.05.</w:t>
      </w:r>
      <w:bookmarkStart w:id="233" w:name="_Toc101959362"/>
      <w:bookmarkStart w:id="234" w:name="_Toc101959419"/>
      <w:bookmarkEnd w:id="233"/>
      <w:bookmarkEnd w:id="234"/>
      <w:r w:rsidRPr="00C601A2">
        <w:t xml:space="preserve"> For plots that have no vector arrow, there was insufficient data for </w:t>
      </w:r>
      <w:proofErr w:type="spellStart"/>
      <w:r w:rsidRPr="00C601A2">
        <w:t>envfit</w:t>
      </w:r>
      <w:proofErr w:type="spellEnd"/>
      <w:r w:rsidRPr="00C601A2">
        <w:t xml:space="preserve"> to generate </w:t>
      </w:r>
      <w:r w:rsidR="00BC376D">
        <w:t xml:space="preserve">a </w:t>
      </w:r>
      <w:r w:rsidRPr="00C601A2">
        <w:t>vector.</w:t>
      </w:r>
    </w:p>
    <w:p w14:paraId="131A6E11" w14:textId="0064409E" w:rsidR="00A76FDF" w:rsidRPr="001F1AA4" w:rsidRDefault="00A76FDF" w:rsidP="001F1AA4">
      <w:pPr>
        <w:pStyle w:val="AppendixHeading2"/>
      </w:pPr>
      <w:bookmarkStart w:id="235" w:name="_Ref105689764"/>
      <w:bookmarkStart w:id="236" w:name="_Toc169543882"/>
      <w:bookmarkStart w:id="237" w:name="_Toc202187867"/>
      <w:r w:rsidRPr="001F1AA4">
        <w:t>Junction of Warrego and Darling rivers stream metabolism</w:t>
      </w:r>
      <w:r w:rsidR="00BC376D" w:rsidRPr="001F1AA4">
        <w:t> </w:t>
      </w:r>
      <w:r w:rsidRPr="001F1AA4">
        <w:t>– flow relationship plots</w:t>
      </w:r>
      <w:bookmarkEnd w:id="235"/>
      <w:bookmarkEnd w:id="236"/>
      <w:bookmarkEnd w:id="237"/>
    </w:p>
    <w:p w14:paraId="65732313" w14:textId="507163F1" w:rsidR="00B51E26" w:rsidRDefault="005A4CCA" w:rsidP="004C09E5">
      <w:pPr>
        <w:pStyle w:val="CaptionWithNote"/>
      </w:pPr>
      <w:bookmarkStart w:id="238" w:name="_Ref106044765"/>
      <w:bookmarkStart w:id="239" w:name="_Toc202187891"/>
      <w:bookmarkStart w:id="240" w:name="_Toc169543899"/>
      <w:bookmarkStart w:id="241" w:name="_Toc194788958"/>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w:t>
      </w:r>
      <w:r w:rsidRPr="00C601A2">
        <w:fldChar w:fldCharType="end"/>
      </w:r>
      <w:bookmarkEnd w:id="238"/>
      <w:r w:rsidRPr="00C601A2">
        <w:t xml:space="preserve"> Junction of Warrego and Darling rivers stream metabolism</w:t>
      </w:r>
      <w:r>
        <w:t> </w:t>
      </w:r>
      <w:r w:rsidRPr="00C601A2">
        <w:t>– flow relationship plots: WD_AKUNA</w:t>
      </w:r>
      <w:bookmarkEnd w:id="239"/>
    </w:p>
    <w:p w14:paraId="0929D2E1" w14:textId="58673706" w:rsidR="00B51E26" w:rsidRDefault="005A4CCA" w:rsidP="00F118DF">
      <w:pPr>
        <w:pStyle w:val="CaptionNote"/>
      </w:pPr>
      <w:r w:rsidRPr="00C601A2">
        <w:t>r</w:t>
      </w:r>
      <w:r w:rsidRPr="00C601A2">
        <w:rPr>
          <w:vertAlign w:val="superscript"/>
        </w:rPr>
        <w:t>2</w:t>
      </w:r>
      <w:r>
        <w:t> </w:t>
      </w:r>
      <w:r w:rsidRPr="00C601A2">
        <w:t>=</w:t>
      </w:r>
      <w:r>
        <w:t> </w:t>
      </w:r>
      <w:r w:rsidRPr="00C601A2">
        <w:t>0.0</w:t>
      </w:r>
      <w:r>
        <w:t>2</w:t>
      </w:r>
      <w:r w:rsidRPr="00C601A2">
        <w:t xml:space="preserve">, </w:t>
      </w:r>
      <w:r w:rsidRPr="00C601A2">
        <w:rPr>
          <w:i/>
          <w:iCs/>
        </w:rPr>
        <w:t>p</w:t>
      </w:r>
      <w:r>
        <w:t> </w:t>
      </w:r>
      <w:r w:rsidRPr="00C601A2">
        <w:t>=</w:t>
      </w:r>
      <w:r>
        <w:t> </w:t>
      </w:r>
      <w:r w:rsidRPr="00C601A2">
        <w:t>0.</w:t>
      </w:r>
      <w:r>
        <w:t>141</w:t>
      </w:r>
    </w:p>
    <w:bookmarkEnd w:id="240"/>
    <w:bookmarkEnd w:id="241"/>
    <w:p w14:paraId="3696AC95" w14:textId="77777777" w:rsidR="005A4CCA" w:rsidRPr="008E710E" w:rsidRDefault="005A4CCA" w:rsidP="00B51E26">
      <w:pPr>
        <w:pStyle w:val="CaptionNote"/>
      </w:pPr>
      <w:r>
        <w:t>ER = ecosystem respiration, GPP = gross primary production, NEP = net ecosystem production.</w:t>
      </w:r>
    </w:p>
    <w:p w14:paraId="77FD459C" w14:textId="28CF7142" w:rsidR="00A76FDF" w:rsidRPr="00C601A2" w:rsidRDefault="00B03859" w:rsidP="00A76FDF">
      <w:pPr>
        <w:pStyle w:val="Figure"/>
      </w:pPr>
      <w:r>
        <w:rPr>
          <w:noProof/>
        </w:rPr>
        <w:drawing>
          <wp:inline distT="0" distB="0" distL="0" distR="0" wp14:anchorId="025804F7" wp14:editId="62997EF1">
            <wp:extent cx="6120130" cy="3058795"/>
            <wp:effectExtent l="0" t="0" r="0" b="8255"/>
            <wp:docPr id="603157500"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57500" name="Picture 1" descr="4 plots - 3 line and scatter plots showing GPP, ER and NEP. Larger scatter plot showing ER:GPP"/>
                    <pic:cNvPicPr/>
                  </pic:nvPicPr>
                  <pic:blipFill>
                    <a:blip r:embed="rId63"/>
                    <a:stretch>
                      <a:fillRect/>
                    </a:stretch>
                  </pic:blipFill>
                  <pic:spPr>
                    <a:xfrm>
                      <a:off x="0" y="0"/>
                      <a:ext cx="6120130" cy="3058795"/>
                    </a:xfrm>
                    <a:prstGeom prst="rect">
                      <a:avLst/>
                    </a:prstGeom>
                  </pic:spPr>
                </pic:pic>
              </a:graphicData>
            </a:graphic>
          </wp:inline>
        </w:drawing>
      </w:r>
    </w:p>
    <w:p w14:paraId="63BB86F1" w14:textId="77777777" w:rsidR="00D04014" w:rsidRDefault="00D04014" w:rsidP="00D04014"/>
    <w:p w14:paraId="0AF34D99" w14:textId="116440E2" w:rsidR="00B51E26" w:rsidRDefault="00A76FDF" w:rsidP="004C09E5">
      <w:pPr>
        <w:pStyle w:val="CaptionWithNote"/>
      </w:pPr>
      <w:bookmarkStart w:id="242" w:name="_Ref106044862"/>
      <w:bookmarkStart w:id="243" w:name="_Toc202187892"/>
      <w:bookmarkStart w:id="244" w:name="_Toc169543900"/>
      <w:bookmarkStart w:id="245" w:name="_Toc194788959"/>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w:t>
      </w:r>
      <w:r w:rsidRPr="00C601A2">
        <w:fldChar w:fldCharType="end"/>
      </w:r>
      <w:bookmarkEnd w:id="242"/>
      <w:r w:rsidRPr="00C601A2">
        <w:t xml:space="preserve"> Junction of Warrego and Darling rivers stream metabolism</w:t>
      </w:r>
      <w:r w:rsidR="00BC376D">
        <w:t> </w:t>
      </w:r>
      <w:r w:rsidRPr="00C601A2">
        <w:t>– flow relationship plots: WD_YANDA</w:t>
      </w:r>
      <w:bookmarkEnd w:id="243"/>
    </w:p>
    <w:p w14:paraId="4B305AEC" w14:textId="716B8E1B" w:rsidR="00A76FDF" w:rsidRDefault="00A76FDF" w:rsidP="00F118DF">
      <w:pPr>
        <w:pStyle w:val="CaptionNote"/>
      </w:pPr>
      <w:r w:rsidRPr="00C601A2">
        <w:t>r</w:t>
      </w:r>
      <w:r w:rsidRPr="00C601A2">
        <w:rPr>
          <w:vertAlign w:val="superscript"/>
        </w:rPr>
        <w:t>2</w:t>
      </w:r>
      <w:r w:rsidR="00BC376D">
        <w:t> </w:t>
      </w:r>
      <w:r w:rsidRPr="00C601A2">
        <w:t>=</w:t>
      </w:r>
      <w:r w:rsidR="00BC376D">
        <w:t> </w:t>
      </w:r>
      <w:r w:rsidRPr="00C601A2">
        <w:t xml:space="preserve">0.42, </w:t>
      </w:r>
      <w:r w:rsidRPr="00C601A2">
        <w:rPr>
          <w:i/>
          <w:iCs/>
        </w:rPr>
        <w:t>p</w:t>
      </w:r>
      <w:r w:rsidR="00BC376D">
        <w:t> </w:t>
      </w:r>
      <w:r w:rsidRPr="00C601A2">
        <w:t>=</w:t>
      </w:r>
      <w:r w:rsidR="00BC376D">
        <w:t> </w:t>
      </w:r>
      <w:r w:rsidRPr="00C601A2">
        <w:t>0.00</w:t>
      </w:r>
      <w:r w:rsidR="0039175B">
        <w:t>5</w:t>
      </w:r>
      <w:bookmarkEnd w:id="244"/>
      <w:bookmarkEnd w:id="245"/>
    </w:p>
    <w:p w14:paraId="20B84A47" w14:textId="47DA5494" w:rsidR="008E710E" w:rsidRPr="008E710E" w:rsidRDefault="008E710E" w:rsidP="004814D4">
      <w:pPr>
        <w:pStyle w:val="CaptionNote"/>
      </w:pPr>
      <w:r>
        <w:t>ER = ecosystem respiration, GPP = gross primary production, NEP = net ecosystem production</w:t>
      </w:r>
      <w:r w:rsidR="00757088">
        <w:t>.</w:t>
      </w:r>
    </w:p>
    <w:p w14:paraId="7F22124E" w14:textId="21195D31" w:rsidR="005A4CCA" w:rsidRPr="00C601A2" w:rsidRDefault="005A4CCA" w:rsidP="005A4CCA">
      <w:pPr>
        <w:pStyle w:val="Figure"/>
        <w:ind w:right="-143"/>
      </w:pPr>
      <w:bookmarkStart w:id="246" w:name="_Ref106223164"/>
      <w:bookmarkStart w:id="247" w:name="_Toc169543883"/>
      <w:r w:rsidRPr="00C601A2">
        <w:t xml:space="preserve"> </w:t>
      </w:r>
      <w:r w:rsidR="00711162" w:rsidRPr="0038256D">
        <w:t>4 plots - 3 line and scatter plots showing GPP, ER and NEP. Larger scatter plot showing ER:GPP</w:t>
      </w:r>
      <w:r w:rsidR="00711162">
        <w:rPr>
          <w:noProof/>
        </w:rPr>
        <w:t xml:space="preserve"> </w:t>
      </w:r>
      <w:r w:rsidR="003A5FB8">
        <w:rPr>
          <w:noProof/>
        </w:rPr>
        <w:drawing>
          <wp:inline distT="0" distB="0" distL="0" distR="0" wp14:anchorId="61A1B6FF" wp14:editId="121645F9">
            <wp:extent cx="6120130" cy="3058795"/>
            <wp:effectExtent l="0" t="0" r="0" b="8255"/>
            <wp:docPr id="416609747"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09747" name="Picture 1" descr="4 plots - 3 line and scatter plots showing GPP, ER and NEP. Larger scatter plot showing ER:GPP."/>
                    <pic:cNvPicPr/>
                  </pic:nvPicPr>
                  <pic:blipFill>
                    <a:blip r:embed="rId64"/>
                    <a:stretch>
                      <a:fillRect/>
                    </a:stretch>
                  </pic:blipFill>
                  <pic:spPr>
                    <a:xfrm>
                      <a:off x="0" y="0"/>
                      <a:ext cx="6120130" cy="3058795"/>
                    </a:xfrm>
                    <a:prstGeom prst="rect">
                      <a:avLst/>
                    </a:prstGeom>
                  </pic:spPr>
                </pic:pic>
              </a:graphicData>
            </a:graphic>
          </wp:inline>
        </w:drawing>
      </w:r>
    </w:p>
    <w:p w14:paraId="78FB7F78" w14:textId="77777777" w:rsidR="00A76FDF" w:rsidRPr="00C601A2" w:rsidRDefault="00A76FDF" w:rsidP="001F1AA4">
      <w:pPr>
        <w:pStyle w:val="AppendixHeading2"/>
      </w:pPr>
      <w:bookmarkStart w:id="248" w:name="_Toc202187868"/>
      <w:r w:rsidRPr="00C601A2">
        <w:t>Edward/Kolety</w:t>
      </w:r>
      <w:r w:rsidRPr="00C601A2">
        <w:rPr>
          <w:rFonts w:cs="Calibri"/>
        </w:rPr>
        <w:t>–</w:t>
      </w:r>
      <w:r w:rsidRPr="00C601A2">
        <w:t>Wakool river systems stream metabolism – flow relationship plots</w:t>
      </w:r>
      <w:bookmarkEnd w:id="246"/>
      <w:bookmarkEnd w:id="247"/>
      <w:bookmarkEnd w:id="248"/>
    </w:p>
    <w:p w14:paraId="0D152DFD" w14:textId="2ACAE677" w:rsidR="00B51E26" w:rsidRDefault="00A76FDF" w:rsidP="00AC29B9">
      <w:pPr>
        <w:pStyle w:val="CaptionWithNote"/>
      </w:pPr>
      <w:bookmarkStart w:id="249" w:name="_Ref106045495"/>
      <w:bookmarkStart w:id="250" w:name="_Toc202187893"/>
      <w:bookmarkStart w:id="251" w:name="_Toc169543901"/>
      <w:bookmarkStart w:id="252" w:name="_Toc194788960"/>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w:t>
      </w:r>
      <w:r w:rsidRPr="00C601A2">
        <w:fldChar w:fldCharType="end"/>
      </w:r>
      <w:bookmarkEnd w:id="249"/>
      <w:r w:rsidRPr="00C601A2">
        <w:t xml:space="preserve"> Edward/Kolety</w:t>
      </w:r>
      <w:r w:rsidRPr="00C601A2">
        <w:rPr>
          <w:rFonts w:cs="Calibri"/>
        </w:rPr>
        <w:t>–</w:t>
      </w:r>
      <w:r w:rsidRPr="00C601A2">
        <w:t>Wakool river systems stream metabolism</w:t>
      </w:r>
      <w:r w:rsidR="00BC376D">
        <w:t> </w:t>
      </w:r>
      <w:r w:rsidRPr="00C601A2">
        <w:t>– flow relationship plots: Hopwood</w:t>
      </w:r>
      <w:bookmarkEnd w:id="250"/>
    </w:p>
    <w:p w14:paraId="6DDB43D9" w14:textId="0F0BB2ED" w:rsidR="00B51E26" w:rsidRDefault="00A76FDF" w:rsidP="00F118DF">
      <w:pPr>
        <w:pStyle w:val="CaptionNote"/>
      </w:pPr>
      <w:r w:rsidRPr="00C601A2">
        <w:t>r</w:t>
      </w:r>
      <w:r w:rsidRPr="00C601A2">
        <w:rPr>
          <w:vertAlign w:val="superscript"/>
        </w:rPr>
        <w:t>2</w:t>
      </w:r>
      <w:r w:rsidR="00BC376D">
        <w:t> </w:t>
      </w:r>
      <w:r w:rsidRPr="00C601A2">
        <w:t>=</w:t>
      </w:r>
      <w:r w:rsidR="00BC376D">
        <w:t> </w:t>
      </w:r>
      <w:r w:rsidRPr="00C601A2">
        <w:t xml:space="preserve">0.14, </w:t>
      </w:r>
      <w:r w:rsidRPr="00C601A2">
        <w:rPr>
          <w:i/>
          <w:iCs/>
        </w:rPr>
        <w:t>p</w:t>
      </w:r>
      <w:r w:rsidR="00BC376D">
        <w:t> </w:t>
      </w:r>
      <w:r w:rsidRPr="00C601A2">
        <w:t>=</w:t>
      </w:r>
      <w:r w:rsidR="00BC376D">
        <w:t> </w:t>
      </w:r>
      <w:r w:rsidRPr="00C601A2">
        <w:t>0.001</w:t>
      </w:r>
      <w:bookmarkEnd w:id="251"/>
      <w:bookmarkEnd w:id="252"/>
    </w:p>
    <w:p w14:paraId="6F1FE508" w14:textId="42450B9C" w:rsidR="008E710E" w:rsidRPr="008E710E" w:rsidRDefault="008E710E" w:rsidP="00B51E26">
      <w:pPr>
        <w:pStyle w:val="CaptionNote"/>
      </w:pPr>
      <w:r>
        <w:t>ER = ecosystem respiration, GPP = gross primary production, NEP = net ecosystem production</w:t>
      </w:r>
      <w:r w:rsidR="00757088">
        <w:t>.</w:t>
      </w:r>
    </w:p>
    <w:p w14:paraId="3DF3B356" w14:textId="5184B436" w:rsidR="005A4CCA" w:rsidRPr="00C601A2" w:rsidRDefault="009B7D26" w:rsidP="005A4CCA">
      <w:pPr>
        <w:pStyle w:val="Figure"/>
      </w:pPr>
      <w:r>
        <w:rPr>
          <w:noProof/>
        </w:rPr>
        <w:drawing>
          <wp:inline distT="0" distB="0" distL="0" distR="0" wp14:anchorId="5CC6776B" wp14:editId="69B338DE">
            <wp:extent cx="6120130" cy="3058795"/>
            <wp:effectExtent l="0" t="0" r="0" b="8255"/>
            <wp:docPr id="1073014136" name="Picture 1" descr="4 plots - 3 line and scatter plots showing GPP, ER and NEP. Larger scatter plot showing ER:GP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14136" name="Picture 1" descr="4 plots - 3 line and scatter plots showing GPP, ER and NEP. Larger scatter plot showing ER:GPPct."/>
                    <pic:cNvPicPr/>
                  </pic:nvPicPr>
                  <pic:blipFill>
                    <a:blip r:embed="rId65"/>
                    <a:stretch>
                      <a:fillRect/>
                    </a:stretch>
                  </pic:blipFill>
                  <pic:spPr>
                    <a:xfrm>
                      <a:off x="0" y="0"/>
                      <a:ext cx="6120130" cy="3058795"/>
                    </a:xfrm>
                    <a:prstGeom prst="rect">
                      <a:avLst/>
                    </a:prstGeom>
                  </pic:spPr>
                </pic:pic>
              </a:graphicData>
            </a:graphic>
          </wp:inline>
        </w:drawing>
      </w:r>
    </w:p>
    <w:p w14:paraId="784001E4" w14:textId="25E44DDC" w:rsidR="00175939" w:rsidRDefault="00A76FDF" w:rsidP="00AC29B9">
      <w:pPr>
        <w:pStyle w:val="CaptionWithNote"/>
      </w:pPr>
      <w:bookmarkStart w:id="253" w:name="_Ref106045451"/>
      <w:bookmarkStart w:id="254" w:name="_Toc202187894"/>
      <w:bookmarkStart w:id="255" w:name="_Toc169543902"/>
      <w:bookmarkStart w:id="256" w:name="_Toc194788961"/>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4</w:t>
      </w:r>
      <w:r w:rsidRPr="00C601A2">
        <w:fldChar w:fldCharType="end"/>
      </w:r>
      <w:bookmarkEnd w:id="253"/>
      <w:r w:rsidRPr="00C601A2">
        <w:t xml:space="preserve"> Edward/Kolety</w:t>
      </w:r>
      <w:r w:rsidRPr="00C601A2">
        <w:rPr>
          <w:rFonts w:cs="Calibri"/>
        </w:rPr>
        <w:t>–</w:t>
      </w:r>
      <w:r w:rsidRPr="00C601A2">
        <w:t>Wakool river systems stream metabolism</w:t>
      </w:r>
      <w:r w:rsidR="00BC376D">
        <w:t> </w:t>
      </w:r>
      <w:r w:rsidRPr="00C601A2">
        <w:t>– flow relationship plots: Llanos Park</w:t>
      </w:r>
      <w:r w:rsidR="00BC376D">
        <w:t> </w:t>
      </w:r>
      <w:r w:rsidRPr="00C601A2">
        <w:t>2</w:t>
      </w:r>
      <w:bookmarkEnd w:id="254"/>
    </w:p>
    <w:p w14:paraId="40F99967" w14:textId="0D8E6166" w:rsidR="00A76FDF" w:rsidRDefault="00A76FDF" w:rsidP="00F118DF">
      <w:pPr>
        <w:pStyle w:val="CaptionNote"/>
      </w:pPr>
      <w:r w:rsidRPr="00C601A2">
        <w:t>r</w:t>
      </w:r>
      <w:r w:rsidRPr="00C601A2">
        <w:rPr>
          <w:vertAlign w:val="superscript"/>
        </w:rPr>
        <w:t>2</w:t>
      </w:r>
      <w:r w:rsidR="00BC376D">
        <w:t> </w:t>
      </w:r>
      <w:r w:rsidRPr="00C601A2">
        <w:t>=</w:t>
      </w:r>
      <w:r w:rsidR="00BC376D">
        <w:t> </w:t>
      </w:r>
      <w:r w:rsidRPr="00C601A2">
        <w:t>0.1</w:t>
      </w:r>
      <w:r w:rsidR="00514010">
        <w:t>4</w:t>
      </w:r>
      <w:r w:rsidRPr="00C601A2">
        <w:t xml:space="preserve">, </w:t>
      </w:r>
      <w:r w:rsidRPr="00C601A2">
        <w:rPr>
          <w:i/>
          <w:iCs/>
        </w:rPr>
        <w:t>p</w:t>
      </w:r>
      <w:r w:rsidR="00BC376D">
        <w:t> </w:t>
      </w:r>
      <w:r w:rsidRPr="00C601A2">
        <w:t>=</w:t>
      </w:r>
      <w:r w:rsidR="00BC376D">
        <w:t> </w:t>
      </w:r>
      <w:r w:rsidRPr="00C601A2">
        <w:t>0.001</w:t>
      </w:r>
      <w:bookmarkEnd w:id="255"/>
      <w:bookmarkEnd w:id="256"/>
    </w:p>
    <w:p w14:paraId="355CE0D4" w14:textId="5383BD6C" w:rsidR="008E710E" w:rsidRPr="008E710E" w:rsidRDefault="008E710E" w:rsidP="004814D4">
      <w:pPr>
        <w:pStyle w:val="CaptionNote"/>
      </w:pPr>
      <w:r>
        <w:t>ER = ecosystem respiration, GPP = gross primary production, NEP = net ecosystem production</w:t>
      </w:r>
      <w:r w:rsidR="00757088">
        <w:t>.</w:t>
      </w:r>
    </w:p>
    <w:p w14:paraId="5C95A8CF" w14:textId="545012C5" w:rsidR="005A4CCA" w:rsidRPr="00C601A2" w:rsidRDefault="00514010" w:rsidP="005A4CCA">
      <w:pPr>
        <w:pStyle w:val="Figure"/>
        <w:rPr>
          <w:noProof/>
        </w:rPr>
      </w:pPr>
      <w:r>
        <w:rPr>
          <w:noProof/>
        </w:rPr>
        <w:drawing>
          <wp:inline distT="0" distB="0" distL="0" distR="0" wp14:anchorId="19DB4028" wp14:editId="7E9E5C89">
            <wp:extent cx="6120130" cy="3058795"/>
            <wp:effectExtent l="0" t="0" r="0" b="8255"/>
            <wp:docPr id="1442107298"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07298" name="Picture 1" descr="4 plots - 3 line and scatter plots showing GPP, ER and NEP. Larger scatter plot showing ER:GPP"/>
                    <pic:cNvPicPr/>
                  </pic:nvPicPr>
                  <pic:blipFill>
                    <a:blip r:embed="rId66"/>
                    <a:stretch>
                      <a:fillRect/>
                    </a:stretch>
                  </pic:blipFill>
                  <pic:spPr>
                    <a:xfrm>
                      <a:off x="0" y="0"/>
                      <a:ext cx="6120130" cy="3058795"/>
                    </a:xfrm>
                    <a:prstGeom prst="rect">
                      <a:avLst/>
                    </a:prstGeom>
                  </pic:spPr>
                </pic:pic>
              </a:graphicData>
            </a:graphic>
          </wp:inline>
        </w:drawing>
      </w:r>
    </w:p>
    <w:p w14:paraId="27764501" w14:textId="2483DA8D" w:rsidR="0058175D" w:rsidRDefault="00A76FDF" w:rsidP="00AC29B9">
      <w:pPr>
        <w:pStyle w:val="CaptionWithNote"/>
      </w:pPr>
      <w:bookmarkStart w:id="257" w:name="_Ref106045416"/>
      <w:bookmarkStart w:id="258" w:name="_Toc202187895"/>
      <w:bookmarkStart w:id="259" w:name="_Toc169543903"/>
      <w:bookmarkStart w:id="260" w:name="_Toc194788962"/>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5</w:t>
      </w:r>
      <w:r w:rsidRPr="00C601A2">
        <w:fldChar w:fldCharType="end"/>
      </w:r>
      <w:bookmarkEnd w:id="257"/>
      <w:r w:rsidRPr="00C601A2">
        <w:t xml:space="preserve"> Edward/Kolety</w:t>
      </w:r>
      <w:r w:rsidRPr="00C601A2">
        <w:rPr>
          <w:rFonts w:cs="Calibri"/>
        </w:rPr>
        <w:t>–</w:t>
      </w:r>
      <w:r w:rsidRPr="00C601A2">
        <w:t>Wakool river systems stream metabolism</w:t>
      </w:r>
      <w:r w:rsidR="00BC376D">
        <w:t> </w:t>
      </w:r>
      <w:r w:rsidRPr="00C601A2">
        <w:t>– flow relationship plots: Moulamein Road Bridge</w:t>
      </w:r>
      <w:bookmarkEnd w:id="258"/>
    </w:p>
    <w:p w14:paraId="18A87593" w14:textId="5655C8AE" w:rsidR="00A76FDF" w:rsidRDefault="00A76FDF" w:rsidP="00F118DF">
      <w:pPr>
        <w:pStyle w:val="CaptionNote"/>
      </w:pPr>
      <w:r w:rsidRPr="00C601A2">
        <w:t>r</w:t>
      </w:r>
      <w:r w:rsidRPr="00C601A2">
        <w:rPr>
          <w:vertAlign w:val="superscript"/>
        </w:rPr>
        <w:t>2</w:t>
      </w:r>
      <w:r w:rsidR="00BC376D">
        <w:t> </w:t>
      </w:r>
      <w:r w:rsidRPr="00C601A2">
        <w:t>=</w:t>
      </w:r>
      <w:r w:rsidR="00BC376D">
        <w:t> </w:t>
      </w:r>
      <w:r w:rsidRPr="00C601A2">
        <w:t>0.</w:t>
      </w:r>
      <w:r w:rsidR="005B2583" w:rsidRPr="00C601A2">
        <w:t>0</w:t>
      </w:r>
      <w:r w:rsidRPr="00C601A2">
        <w:t xml:space="preserve">3, </w:t>
      </w:r>
      <w:r w:rsidRPr="00C601A2">
        <w:rPr>
          <w:i/>
          <w:iCs/>
        </w:rPr>
        <w:t>p</w:t>
      </w:r>
      <w:r w:rsidR="00BC376D">
        <w:t> </w:t>
      </w:r>
      <w:r w:rsidRPr="00C601A2">
        <w:t>=</w:t>
      </w:r>
      <w:r w:rsidR="00BC376D">
        <w:t> </w:t>
      </w:r>
      <w:r w:rsidRPr="00C601A2">
        <w:t>0.001</w:t>
      </w:r>
      <w:bookmarkEnd w:id="259"/>
      <w:bookmarkEnd w:id="260"/>
    </w:p>
    <w:p w14:paraId="7841F1CF" w14:textId="2D27C730" w:rsidR="008E710E" w:rsidRPr="004814D4" w:rsidRDefault="008E710E" w:rsidP="004814D4">
      <w:pPr>
        <w:pStyle w:val="CaptionNote"/>
      </w:pPr>
      <w:r>
        <w:t>ER = ecosystem respiration, GPP = gross primary production, NEP = net ecosystem production</w:t>
      </w:r>
      <w:r w:rsidR="00757088">
        <w:t>.</w:t>
      </w:r>
    </w:p>
    <w:p w14:paraId="04497E5D" w14:textId="1EECE9B5" w:rsidR="005A4CCA" w:rsidRPr="00C601A2" w:rsidRDefault="00A5480A" w:rsidP="005A4CCA">
      <w:pPr>
        <w:pStyle w:val="Figure"/>
      </w:pPr>
      <w:bookmarkStart w:id="261" w:name="_Ref106045273"/>
      <w:r>
        <w:rPr>
          <w:noProof/>
        </w:rPr>
        <w:drawing>
          <wp:inline distT="0" distB="0" distL="0" distR="0" wp14:anchorId="1F439C45" wp14:editId="4BFAB10D">
            <wp:extent cx="6120130" cy="3058795"/>
            <wp:effectExtent l="0" t="0" r="0" b="8255"/>
            <wp:docPr id="1313011695"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11695" name="Picture 1" descr="4 plots - 3 line and scatter plots showing GPP, ER and NEP. Larger scatter plot showing ER:GPP"/>
                    <pic:cNvPicPr/>
                  </pic:nvPicPr>
                  <pic:blipFill>
                    <a:blip r:embed="rId67"/>
                    <a:stretch>
                      <a:fillRect/>
                    </a:stretch>
                  </pic:blipFill>
                  <pic:spPr>
                    <a:xfrm>
                      <a:off x="0" y="0"/>
                      <a:ext cx="6120130" cy="3058795"/>
                    </a:xfrm>
                    <a:prstGeom prst="rect">
                      <a:avLst/>
                    </a:prstGeom>
                  </pic:spPr>
                </pic:pic>
              </a:graphicData>
            </a:graphic>
          </wp:inline>
        </w:drawing>
      </w:r>
    </w:p>
    <w:p w14:paraId="701C4866" w14:textId="18DCD66D" w:rsidR="00AD5170" w:rsidRDefault="00A76FDF" w:rsidP="00105570">
      <w:pPr>
        <w:pStyle w:val="CaptionWithNote"/>
      </w:pPr>
      <w:bookmarkStart w:id="262" w:name="_Ref106045336"/>
      <w:bookmarkStart w:id="263" w:name="_Toc202187896"/>
      <w:bookmarkStart w:id="264" w:name="_Toc169543904"/>
      <w:bookmarkStart w:id="265" w:name="_Toc194788963"/>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6</w:t>
      </w:r>
      <w:r w:rsidRPr="00C601A2">
        <w:fldChar w:fldCharType="end"/>
      </w:r>
      <w:bookmarkEnd w:id="261"/>
      <w:bookmarkEnd w:id="262"/>
      <w:r w:rsidRPr="00C601A2">
        <w:t xml:space="preserve"> Edward/Kolety–Wakool river systems stream metabolism</w:t>
      </w:r>
      <w:r w:rsidR="00BC376D">
        <w:t> </w:t>
      </w:r>
      <w:r w:rsidRPr="00C601A2">
        <w:t xml:space="preserve">– flow relationship plots: </w:t>
      </w:r>
      <w:proofErr w:type="spellStart"/>
      <w:r w:rsidRPr="00C601A2">
        <w:t>Noorong</w:t>
      </w:r>
      <w:proofErr w:type="spellEnd"/>
      <w:r w:rsidR="00BC376D">
        <w:t> </w:t>
      </w:r>
      <w:r w:rsidRPr="00C601A2">
        <w:t>2</w:t>
      </w:r>
      <w:bookmarkEnd w:id="263"/>
    </w:p>
    <w:p w14:paraId="23B3DC6C" w14:textId="7070C12D" w:rsidR="00A76FDF" w:rsidRDefault="00A76FDF" w:rsidP="00F118DF">
      <w:pPr>
        <w:pStyle w:val="CaptionNote"/>
      </w:pPr>
      <w:r w:rsidRPr="00C601A2">
        <w:t>r</w:t>
      </w:r>
      <w:r w:rsidRPr="00C601A2">
        <w:rPr>
          <w:vertAlign w:val="superscript"/>
        </w:rPr>
        <w:t>2</w:t>
      </w:r>
      <w:r w:rsidR="00BC376D">
        <w:t> </w:t>
      </w:r>
      <w:r w:rsidRPr="00C601A2">
        <w:t>=</w:t>
      </w:r>
      <w:r w:rsidR="00BC376D">
        <w:t> </w:t>
      </w:r>
      <w:r w:rsidRPr="00C601A2">
        <w:t>0.0</w:t>
      </w:r>
      <w:r w:rsidR="00854B6A">
        <w:t>1</w:t>
      </w:r>
      <w:r w:rsidRPr="00C601A2">
        <w:t xml:space="preserve">, </w:t>
      </w:r>
      <w:r w:rsidRPr="004814D4">
        <w:rPr>
          <w:i/>
          <w:iCs/>
        </w:rPr>
        <w:t>p</w:t>
      </w:r>
      <w:r w:rsidR="00BC376D">
        <w:t> </w:t>
      </w:r>
      <w:r w:rsidRPr="00C601A2">
        <w:t>=</w:t>
      </w:r>
      <w:r w:rsidR="00BC376D">
        <w:t> </w:t>
      </w:r>
      <w:r w:rsidRPr="00C601A2">
        <w:t>0.00</w:t>
      </w:r>
      <w:r w:rsidR="00854B6A">
        <w:t>3</w:t>
      </w:r>
      <w:bookmarkEnd w:id="264"/>
      <w:bookmarkEnd w:id="265"/>
    </w:p>
    <w:p w14:paraId="6FFC3C0A" w14:textId="7E64D492" w:rsidR="008E710E" w:rsidRPr="008E710E" w:rsidRDefault="008E710E" w:rsidP="004814D4">
      <w:pPr>
        <w:pStyle w:val="CaptionNote"/>
      </w:pPr>
      <w:r>
        <w:t>ER = ecosystem respiration, GPP = gross primary production, NEP = net ecosystem production</w:t>
      </w:r>
      <w:r w:rsidR="00757088">
        <w:t>.</w:t>
      </w:r>
    </w:p>
    <w:p w14:paraId="31757E9E" w14:textId="55104B72" w:rsidR="005A4CCA" w:rsidRPr="00C601A2" w:rsidRDefault="00854B6A" w:rsidP="005A4CCA">
      <w:pPr>
        <w:pStyle w:val="Figure"/>
      </w:pPr>
      <w:r>
        <w:rPr>
          <w:noProof/>
        </w:rPr>
        <w:drawing>
          <wp:inline distT="0" distB="0" distL="0" distR="0" wp14:anchorId="1D7FC4BF" wp14:editId="68AA6FD9">
            <wp:extent cx="6120130" cy="3058795"/>
            <wp:effectExtent l="0" t="0" r="0" b="8255"/>
            <wp:docPr id="113641054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10549" name="Picture 1" descr="4 plots - 3 line and scatter plots showing GPP, ER and NEP. Larger scatter plot showing ER:GPP"/>
                    <pic:cNvPicPr/>
                  </pic:nvPicPr>
                  <pic:blipFill>
                    <a:blip r:embed="rId68"/>
                    <a:stretch>
                      <a:fillRect/>
                    </a:stretch>
                  </pic:blipFill>
                  <pic:spPr>
                    <a:xfrm>
                      <a:off x="0" y="0"/>
                      <a:ext cx="6120130" cy="3058795"/>
                    </a:xfrm>
                    <a:prstGeom prst="rect">
                      <a:avLst/>
                    </a:prstGeom>
                  </pic:spPr>
                </pic:pic>
              </a:graphicData>
            </a:graphic>
          </wp:inline>
        </w:drawing>
      </w:r>
    </w:p>
    <w:p w14:paraId="345CA1AC" w14:textId="79C4E5E8" w:rsidR="00AD5170" w:rsidRDefault="00A76FDF" w:rsidP="00105570">
      <w:pPr>
        <w:pStyle w:val="CaptionWithNote"/>
      </w:pPr>
      <w:bookmarkStart w:id="266" w:name="_Ref106045246"/>
      <w:bookmarkStart w:id="267" w:name="_Toc202187897"/>
      <w:bookmarkStart w:id="268" w:name="_Toc169543905"/>
      <w:bookmarkStart w:id="269" w:name="_Toc194788964"/>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7</w:t>
      </w:r>
      <w:r w:rsidRPr="00C601A2">
        <w:fldChar w:fldCharType="end"/>
      </w:r>
      <w:bookmarkEnd w:id="266"/>
      <w:r w:rsidRPr="00C601A2">
        <w:t xml:space="preserve"> Edward/Kolety</w:t>
      </w:r>
      <w:r w:rsidRPr="00C601A2">
        <w:rPr>
          <w:rFonts w:cs="Calibri"/>
        </w:rPr>
        <w:t>–</w:t>
      </w:r>
      <w:r w:rsidRPr="00C601A2">
        <w:t>Wakool river systems stream metabolism</w:t>
      </w:r>
      <w:r w:rsidR="00BC376D">
        <w:t> </w:t>
      </w:r>
      <w:r w:rsidRPr="00C601A2">
        <w:t>– flow relationship plots: Old Morago Road</w:t>
      </w:r>
      <w:bookmarkEnd w:id="267"/>
    </w:p>
    <w:p w14:paraId="35AA78B6" w14:textId="16143CE8" w:rsidR="00A76FDF" w:rsidRDefault="00A76FDF" w:rsidP="00F118DF">
      <w:pPr>
        <w:pStyle w:val="CaptionNote"/>
      </w:pPr>
      <w:r w:rsidRPr="00C601A2">
        <w:t>r</w:t>
      </w:r>
      <w:r w:rsidRPr="00C601A2">
        <w:rPr>
          <w:vertAlign w:val="superscript"/>
        </w:rPr>
        <w:t>2</w:t>
      </w:r>
      <w:r w:rsidR="00BC376D">
        <w:t> </w:t>
      </w:r>
      <w:r w:rsidRPr="00C601A2">
        <w:t>=</w:t>
      </w:r>
      <w:r w:rsidR="00BC376D">
        <w:t> </w:t>
      </w:r>
      <w:r w:rsidRPr="00C601A2">
        <w:t>0.</w:t>
      </w:r>
      <w:r w:rsidR="000D7490">
        <w:t>05</w:t>
      </w:r>
      <w:r w:rsidRPr="00C601A2">
        <w:t xml:space="preserve">, </w:t>
      </w:r>
      <w:r w:rsidRPr="00C601A2">
        <w:rPr>
          <w:i/>
          <w:iCs/>
        </w:rPr>
        <w:t>p</w:t>
      </w:r>
      <w:r w:rsidR="00BC376D">
        <w:t> </w:t>
      </w:r>
      <w:r w:rsidRPr="00C601A2">
        <w:t>=</w:t>
      </w:r>
      <w:r w:rsidR="00BC376D">
        <w:t> </w:t>
      </w:r>
      <w:r w:rsidRPr="00C601A2">
        <w:t>0.0</w:t>
      </w:r>
      <w:r w:rsidR="00536BF4" w:rsidRPr="00C601A2">
        <w:t>0</w:t>
      </w:r>
      <w:r w:rsidR="002228E5">
        <w:t>1</w:t>
      </w:r>
      <w:bookmarkEnd w:id="268"/>
      <w:bookmarkEnd w:id="269"/>
    </w:p>
    <w:p w14:paraId="501DD3C9" w14:textId="6213B317" w:rsidR="008E710E" w:rsidRPr="004814D4" w:rsidRDefault="008E710E" w:rsidP="00C343A9">
      <w:pPr>
        <w:pStyle w:val="CaptionNote"/>
        <w:rPr>
          <w:color w:val="000000"/>
          <w:sz w:val="22"/>
          <w:szCs w:val="22"/>
        </w:rPr>
      </w:pPr>
      <w:r>
        <w:t>ER = ecosystem respiration, GPP = gross primary production, NEP = net ecosystem production</w:t>
      </w:r>
      <w:r w:rsidR="00757088">
        <w:t>.</w:t>
      </w:r>
    </w:p>
    <w:p w14:paraId="60683336" w14:textId="2BD6CE15" w:rsidR="005A4CCA" w:rsidRPr="00C601A2" w:rsidRDefault="00854B6A" w:rsidP="005A4CCA">
      <w:pPr>
        <w:pStyle w:val="Figure"/>
      </w:pPr>
      <w:r>
        <w:rPr>
          <w:noProof/>
        </w:rPr>
        <w:drawing>
          <wp:inline distT="0" distB="0" distL="0" distR="0" wp14:anchorId="33D6E97F" wp14:editId="32D75158">
            <wp:extent cx="6120130" cy="3058795"/>
            <wp:effectExtent l="0" t="0" r="0" b="8255"/>
            <wp:docPr id="487719382"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19382" name="Picture 1" descr="4 plots - 3 line and scatter plots showing GPP, ER and NEP. Larger scatter plot showing ER:GPP"/>
                    <pic:cNvPicPr/>
                  </pic:nvPicPr>
                  <pic:blipFill>
                    <a:blip r:embed="rId69"/>
                    <a:stretch>
                      <a:fillRect/>
                    </a:stretch>
                  </pic:blipFill>
                  <pic:spPr>
                    <a:xfrm>
                      <a:off x="0" y="0"/>
                      <a:ext cx="6120130" cy="3058795"/>
                    </a:xfrm>
                    <a:prstGeom prst="rect">
                      <a:avLst/>
                    </a:prstGeom>
                  </pic:spPr>
                </pic:pic>
              </a:graphicData>
            </a:graphic>
          </wp:inline>
        </w:drawing>
      </w:r>
    </w:p>
    <w:p w14:paraId="6B5E477C" w14:textId="4CC095AA" w:rsidR="00AD5170" w:rsidRDefault="00A76FDF" w:rsidP="00105570">
      <w:pPr>
        <w:pStyle w:val="CaptionWithNote"/>
      </w:pPr>
      <w:bookmarkStart w:id="270" w:name="_Ref106045543"/>
      <w:bookmarkStart w:id="271" w:name="_Toc202187898"/>
      <w:bookmarkStart w:id="272" w:name="_Toc169543906"/>
      <w:bookmarkStart w:id="273" w:name="_Toc194788965"/>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8</w:t>
      </w:r>
      <w:r w:rsidRPr="00C601A2">
        <w:fldChar w:fldCharType="end"/>
      </w:r>
      <w:bookmarkEnd w:id="270"/>
      <w:r w:rsidRPr="00C601A2">
        <w:t xml:space="preserve"> Edward/Kolety</w:t>
      </w:r>
      <w:r w:rsidRPr="00C601A2">
        <w:rPr>
          <w:rFonts w:cs="Calibri"/>
        </w:rPr>
        <w:t>–</w:t>
      </w:r>
      <w:r w:rsidRPr="00C601A2">
        <w:t xml:space="preserve">Wakool river systems stream metabolism – flow relationship plots: </w:t>
      </w:r>
      <w:proofErr w:type="spellStart"/>
      <w:r w:rsidRPr="00C601A2">
        <w:t>Widgee</w:t>
      </w:r>
      <w:proofErr w:type="spellEnd"/>
      <w:r w:rsidR="00BC376D">
        <w:t> </w:t>
      </w:r>
      <w:r w:rsidRPr="00C601A2">
        <w:t>1</w:t>
      </w:r>
      <w:bookmarkEnd w:id="271"/>
    </w:p>
    <w:p w14:paraId="6FCF8634" w14:textId="7A0364BB" w:rsidR="00A76FDF" w:rsidRDefault="00A76FDF" w:rsidP="00F118DF">
      <w:pPr>
        <w:pStyle w:val="CaptionNote"/>
      </w:pPr>
      <w:r w:rsidRPr="00C601A2">
        <w:t>r</w:t>
      </w:r>
      <w:r w:rsidRPr="00C601A2">
        <w:rPr>
          <w:vertAlign w:val="superscript"/>
        </w:rPr>
        <w:t>2</w:t>
      </w:r>
      <w:r w:rsidR="00BC376D">
        <w:t> </w:t>
      </w:r>
      <w:r w:rsidRPr="00C601A2">
        <w:t>=</w:t>
      </w:r>
      <w:r w:rsidR="00BC376D">
        <w:t> </w:t>
      </w:r>
      <w:r w:rsidRPr="00C601A2">
        <w:t>0.0</w:t>
      </w:r>
      <w:r w:rsidR="002228E5">
        <w:t>3</w:t>
      </w:r>
      <w:r w:rsidRPr="00C601A2">
        <w:t xml:space="preserve">, </w:t>
      </w:r>
      <w:r w:rsidRPr="00C601A2">
        <w:rPr>
          <w:i/>
          <w:iCs/>
        </w:rPr>
        <w:t>p</w:t>
      </w:r>
      <w:r w:rsidR="00BC376D">
        <w:t> </w:t>
      </w:r>
      <w:r w:rsidRPr="00C601A2">
        <w:t>=</w:t>
      </w:r>
      <w:r w:rsidR="00BC376D">
        <w:t> </w:t>
      </w:r>
      <w:r w:rsidRPr="00C601A2">
        <w:t>0.001</w:t>
      </w:r>
      <w:bookmarkEnd w:id="272"/>
      <w:bookmarkEnd w:id="273"/>
    </w:p>
    <w:p w14:paraId="474F703C" w14:textId="7B52FB76" w:rsidR="008E710E" w:rsidRPr="004814D4" w:rsidRDefault="008E710E" w:rsidP="004814D4">
      <w:pPr>
        <w:pStyle w:val="CaptionNote"/>
      </w:pPr>
      <w:r>
        <w:t>ER = ecosystem respiration, GPP = gross primary production, NEP = net ecosystem production</w:t>
      </w:r>
      <w:r w:rsidR="00757088">
        <w:t>.</w:t>
      </w:r>
    </w:p>
    <w:p w14:paraId="4CA6B67D" w14:textId="77777777" w:rsidR="005A4CCA" w:rsidRPr="00C601A2" w:rsidRDefault="005A4CCA" w:rsidP="005A4CCA">
      <w:pPr>
        <w:pStyle w:val="Figure"/>
      </w:pPr>
      <w:r>
        <w:rPr>
          <w:noProof/>
        </w:rPr>
        <w:drawing>
          <wp:inline distT="0" distB="0" distL="0" distR="0" wp14:anchorId="0D4820B8" wp14:editId="002002CB">
            <wp:extent cx="6120130" cy="3060700"/>
            <wp:effectExtent l="0" t="0" r="0" b="6350"/>
            <wp:docPr id="634027254" name="Picture 1" descr=" 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76002" name="Picture 1" descr=" 4 plots - 3 line and scatter plots showing GPP, ER and NEP. Larger scatter plot showing ER:GPP"/>
                    <pic:cNvPicPr/>
                  </pic:nvPicPr>
                  <pic:blipFill>
                    <a:blip r:embed="rId70" cstate="print">
                      <a:extLst>
                        <a:ext uri="{28A0092B-C50C-407E-A947-70E740481C1C}">
                          <a14:useLocalDpi xmlns:a14="http://schemas.microsoft.com/office/drawing/2010/main"/>
                        </a:ext>
                      </a:extLst>
                    </a:blip>
                    <a:stretch>
                      <a:fillRect/>
                    </a:stretch>
                  </pic:blipFill>
                  <pic:spPr>
                    <a:xfrm>
                      <a:off x="0" y="0"/>
                      <a:ext cx="6120130" cy="3060700"/>
                    </a:xfrm>
                    <a:prstGeom prst="rect">
                      <a:avLst/>
                    </a:prstGeom>
                  </pic:spPr>
                </pic:pic>
              </a:graphicData>
            </a:graphic>
          </wp:inline>
        </w:drawing>
      </w:r>
    </w:p>
    <w:p w14:paraId="15D5B5BB" w14:textId="2021C55C" w:rsidR="00AD5170" w:rsidRDefault="00A76FDF" w:rsidP="00105570">
      <w:pPr>
        <w:pStyle w:val="CaptionWithNote"/>
      </w:pPr>
      <w:bookmarkStart w:id="274" w:name="_Ref106045557"/>
      <w:bookmarkStart w:id="275" w:name="_Toc202187899"/>
      <w:bookmarkStart w:id="276" w:name="_Toc169543907"/>
      <w:bookmarkStart w:id="277" w:name="_Toc194788966"/>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9</w:t>
      </w:r>
      <w:r w:rsidRPr="00C601A2">
        <w:fldChar w:fldCharType="end"/>
      </w:r>
      <w:bookmarkEnd w:id="274"/>
      <w:r w:rsidRPr="00C601A2">
        <w:t xml:space="preserve"> Edward/Kolety–Wakool river systems stream metabolism</w:t>
      </w:r>
      <w:r w:rsidR="00BC376D">
        <w:t> </w:t>
      </w:r>
      <w:r w:rsidRPr="00C601A2">
        <w:t xml:space="preserve">– flow relationship </w:t>
      </w:r>
      <w:r w:rsidRPr="00E22E5A">
        <w:t>plots</w:t>
      </w:r>
      <w:r w:rsidRPr="00C601A2">
        <w:t xml:space="preserve">: </w:t>
      </w:r>
      <w:proofErr w:type="spellStart"/>
      <w:r w:rsidRPr="00C601A2">
        <w:t>Windra</w:t>
      </w:r>
      <w:proofErr w:type="spellEnd"/>
      <w:r w:rsidRPr="00C601A2">
        <w:t xml:space="preserve"> Vale</w:t>
      </w:r>
      <w:r w:rsidR="00BC376D">
        <w:t> </w:t>
      </w:r>
      <w:r w:rsidRPr="00C601A2">
        <w:t>2</w:t>
      </w:r>
      <w:bookmarkEnd w:id="275"/>
    </w:p>
    <w:p w14:paraId="7FB89565" w14:textId="1FBE362D" w:rsidR="00A76FDF" w:rsidRDefault="00A76FDF" w:rsidP="00F118DF">
      <w:pPr>
        <w:pStyle w:val="CaptionNote"/>
      </w:pPr>
      <w:r w:rsidRPr="00C601A2">
        <w:t>r</w:t>
      </w:r>
      <w:r w:rsidRPr="00C601A2">
        <w:rPr>
          <w:vertAlign w:val="superscript"/>
        </w:rPr>
        <w:t>2</w:t>
      </w:r>
      <w:r w:rsidR="00BC376D">
        <w:t> </w:t>
      </w:r>
      <w:r w:rsidRPr="00C601A2">
        <w:t>=</w:t>
      </w:r>
      <w:r w:rsidR="00BC376D">
        <w:t> </w:t>
      </w:r>
      <w:r w:rsidRPr="00C601A2">
        <w:t>0.0</w:t>
      </w:r>
      <w:r w:rsidR="000D7490">
        <w:t>2</w:t>
      </w:r>
      <w:r w:rsidRPr="00C601A2">
        <w:t xml:space="preserve">, </w:t>
      </w:r>
      <w:r w:rsidRPr="00C343A9">
        <w:rPr>
          <w:i/>
          <w:iCs/>
        </w:rPr>
        <w:t>p</w:t>
      </w:r>
      <w:r w:rsidR="00BC376D">
        <w:t> </w:t>
      </w:r>
      <w:r w:rsidRPr="00C601A2">
        <w:t>=</w:t>
      </w:r>
      <w:r w:rsidR="00BC376D">
        <w:t> </w:t>
      </w:r>
      <w:r w:rsidRPr="00C601A2">
        <w:t>0.001</w:t>
      </w:r>
      <w:bookmarkEnd w:id="276"/>
      <w:bookmarkEnd w:id="277"/>
    </w:p>
    <w:p w14:paraId="01C57B80" w14:textId="15883D28" w:rsidR="008E710E" w:rsidRPr="008E710E" w:rsidRDefault="008E710E" w:rsidP="00C343A9">
      <w:pPr>
        <w:pStyle w:val="CaptionNote"/>
      </w:pPr>
      <w:r>
        <w:t>ER = ecosystem respiration, GPP = gross primary production, NEP = net ecosystem production</w:t>
      </w:r>
      <w:r w:rsidR="00757088">
        <w:t>.</w:t>
      </w:r>
    </w:p>
    <w:p w14:paraId="3198138F" w14:textId="7F7B5CD2" w:rsidR="005A4CCA" w:rsidRPr="00C601A2" w:rsidRDefault="000D7490" w:rsidP="005A4CCA">
      <w:pPr>
        <w:pStyle w:val="Figure"/>
        <w:rPr>
          <w:noProof/>
        </w:rPr>
      </w:pPr>
      <w:r>
        <w:rPr>
          <w:noProof/>
        </w:rPr>
        <w:drawing>
          <wp:inline distT="0" distB="0" distL="0" distR="0" wp14:anchorId="6FC35829" wp14:editId="21F204CB">
            <wp:extent cx="6120130" cy="3058795"/>
            <wp:effectExtent l="0" t="0" r="0" b="8255"/>
            <wp:docPr id="50480883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08839" name="Picture 1" descr="4 plots - 3 line and scatter plots showing GPP, ER and NEP. Larger scatter plot showing ER:GPP"/>
                    <pic:cNvPicPr/>
                  </pic:nvPicPr>
                  <pic:blipFill>
                    <a:blip r:embed="rId71"/>
                    <a:stretch>
                      <a:fillRect/>
                    </a:stretch>
                  </pic:blipFill>
                  <pic:spPr>
                    <a:xfrm>
                      <a:off x="0" y="0"/>
                      <a:ext cx="6120130" cy="3058795"/>
                    </a:xfrm>
                    <a:prstGeom prst="rect">
                      <a:avLst/>
                    </a:prstGeom>
                  </pic:spPr>
                </pic:pic>
              </a:graphicData>
            </a:graphic>
          </wp:inline>
        </w:drawing>
      </w:r>
    </w:p>
    <w:p w14:paraId="4D795388" w14:textId="01A49FBB" w:rsidR="00885BCB" w:rsidRDefault="00A76FDF" w:rsidP="00105570">
      <w:pPr>
        <w:pStyle w:val="CaptionWithNote"/>
      </w:pPr>
      <w:bookmarkStart w:id="278" w:name="_Ref106045187"/>
      <w:bookmarkStart w:id="279" w:name="_Toc202187900"/>
      <w:bookmarkStart w:id="280" w:name="_Toc169543908"/>
      <w:bookmarkStart w:id="281" w:name="_Toc194788967"/>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10</w:t>
      </w:r>
      <w:r w:rsidRPr="00C601A2">
        <w:fldChar w:fldCharType="end"/>
      </w:r>
      <w:bookmarkEnd w:id="278"/>
      <w:r w:rsidRPr="00C601A2">
        <w:t xml:space="preserve"> Edward/Kolety</w:t>
      </w:r>
      <w:r w:rsidRPr="00C601A2">
        <w:rPr>
          <w:rFonts w:cs="Calibri"/>
        </w:rPr>
        <w:t>–</w:t>
      </w:r>
      <w:r w:rsidRPr="00C601A2">
        <w:t>Wakool river systems stream metabolism</w:t>
      </w:r>
      <w:r w:rsidR="00BC376D">
        <w:t> </w:t>
      </w:r>
      <w:r w:rsidRPr="00C601A2">
        <w:t>– flow relationship plots: Cummins</w:t>
      </w:r>
      <w:bookmarkEnd w:id="279"/>
    </w:p>
    <w:p w14:paraId="578A3ABB" w14:textId="511D9768" w:rsidR="00A76FDF" w:rsidRPr="00885BCB" w:rsidRDefault="00670632" w:rsidP="00F118DF">
      <w:pPr>
        <w:pStyle w:val="CaptionNote"/>
      </w:pPr>
      <w:r w:rsidRPr="00C601A2">
        <w:t>r</w:t>
      </w:r>
      <w:r w:rsidRPr="00C601A2">
        <w:rPr>
          <w:vertAlign w:val="superscript"/>
        </w:rPr>
        <w:t>2</w:t>
      </w:r>
      <w:r>
        <w:t> </w:t>
      </w:r>
      <w:r w:rsidR="00A76FDF" w:rsidRPr="00A57990">
        <w:rPr>
          <w:rStyle w:val="CaptionChar"/>
          <w:b w:val="0"/>
          <w:bCs w:val="0"/>
          <w:sz w:val="18"/>
          <w:szCs w:val="20"/>
        </w:rPr>
        <w:t>=</w:t>
      </w:r>
      <w:r w:rsidR="00BC376D" w:rsidRPr="00A57990">
        <w:rPr>
          <w:rStyle w:val="CaptionChar"/>
          <w:b w:val="0"/>
          <w:bCs w:val="0"/>
          <w:sz w:val="18"/>
          <w:szCs w:val="20"/>
        </w:rPr>
        <w:t> </w:t>
      </w:r>
      <w:r w:rsidR="00A76FDF" w:rsidRPr="00A57990">
        <w:rPr>
          <w:rStyle w:val="CaptionChar"/>
          <w:b w:val="0"/>
          <w:bCs w:val="0"/>
          <w:sz w:val="18"/>
          <w:szCs w:val="20"/>
        </w:rPr>
        <w:t xml:space="preserve">0.14, </w:t>
      </w:r>
      <w:r w:rsidR="00A76FDF" w:rsidRPr="00F118DF">
        <w:rPr>
          <w:rStyle w:val="CaptionChar"/>
          <w:b w:val="0"/>
          <w:bCs w:val="0"/>
          <w:sz w:val="18"/>
          <w:szCs w:val="20"/>
        </w:rPr>
        <w:t>p</w:t>
      </w:r>
      <w:r w:rsidR="00BC376D" w:rsidRPr="00A57990">
        <w:rPr>
          <w:rStyle w:val="CaptionChar"/>
          <w:b w:val="0"/>
          <w:bCs w:val="0"/>
          <w:sz w:val="18"/>
          <w:szCs w:val="20"/>
        </w:rPr>
        <w:t> </w:t>
      </w:r>
      <w:r w:rsidR="00A76FDF" w:rsidRPr="00A57990">
        <w:rPr>
          <w:rStyle w:val="CaptionChar"/>
          <w:b w:val="0"/>
          <w:bCs w:val="0"/>
          <w:sz w:val="18"/>
          <w:szCs w:val="20"/>
        </w:rPr>
        <w:t>=</w:t>
      </w:r>
      <w:r w:rsidR="00BC376D" w:rsidRPr="00A57990">
        <w:rPr>
          <w:rStyle w:val="CaptionChar"/>
          <w:b w:val="0"/>
          <w:bCs w:val="0"/>
          <w:sz w:val="18"/>
          <w:szCs w:val="20"/>
        </w:rPr>
        <w:t> </w:t>
      </w:r>
      <w:r w:rsidR="00A76FDF" w:rsidRPr="00A57990">
        <w:rPr>
          <w:rStyle w:val="CaptionChar"/>
          <w:b w:val="0"/>
          <w:bCs w:val="0"/>
          <w:sz w:val="18"/>
          <w:szCs w:val="20"/>
        </w:rPr>
        <w:t>0.00</w:t>
      </w:r>
      <w:r w:rsidR="00664C92" w:rsidRPr="00A57990">
        <w:rPr>
          <w:rStyle w:val="CaptionChar"/>
          <w:b w:val="0"/>
          <w:bCs w:val="0"/>
          <w:sz w:val="18"/>
          <w:szCs w:val="20"/>
        </w:rPr>
        <w:t>1</w:t>
      </w:r>
      <w:bookmarkEnd w:id="280"/>
      <w:bookmarkEnd w:id="281"/>
    </w:p>
    <w:p w14:paraId="7093F4EC" w14:textId="3F005341" w:rsidR="008E710E" w:rsidRPr="008E710E" w:rsidRDefault="008E710E" w:rsidP="00C343A9">
      <w:pPr>
        <w:pStyle w:val="CaptionNote"/>
      </w:pPr>
      <w:r>
        <w:t>ER = ecosystem respiration, GPP = gross primary production, NEP = net ecosystem production</w:t>
      </w:r>
      <w:r w:rsidR="00757088">
        <w:t>.</w:t>
      </w:r>
    </w:p>
    <w:p w14:paraId="34D9FDE9" w14:textId="3AA4D774" w:rsidR="005A4CCA" w:rsidRPr="00C601A2" w:rsidRDefault="007C4164" w:rsidP="005A4CCA">
      <w:pPr>
        <w:pStyle w:val="Figure"/>
      </w:pPr>
      <w:bookmarkStart w:id="282" w:name="_Toc169543884"/>
      <w:r>
        <w:rPr>
          <w:noProof/>
        </w:rPr>
        <w:drawing>
          <wp:inline distT="0" distB="0" distL="0" distR="0" wp14:anchorId="7A5FE740" wp14:editId="6518D998">
            <wp:extent cx="6120130" cy="3058795"/>
            <wp:effectExtent l="0" t="0" r="0" b="8255"/>
            <wp:docPr id="62560520"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0520" name="Picture 1" descr="4 plots - 3 line and scatter plots showing GPP, ER and NEP. Larger scatter plot showing ER:GPP"/>
                    <pic:cNvPicPr/>
                  </pic:nvPicPr>
                  <pic:blipFill>
                    <a:blip r:embed="rId72"/>
                    <a:stretch>
                      <a:fillRect/>
                    </a:stretch>
                  </pic:blipFill>
                  <pic:spPr>
                    <a:xfrm>
                      <a:off x="0" y="0"/>
                      <a:ext cx="6120130" cy="3058795"/>
                    </a:xfrm>
                    <a:prstGeom prst="rect">
                      <a:avLst/>
                    </a:prstGeom>
                  </pic:spPr>
                </pic:pic>
              </a:graphicData>
            </a:graphic>
          </wp:inline>
        </w:drawing>
      </w:r>
    </w:p>
    <w:p w14:paraId="46116223" w14:textId="6DE5212F" w:rsidR="00A76FDF" w:rsidRPr="00C601A2" w:rsidRDefault="00A76FDF" w:rsidP="00F118DF">
      <w:pPr>
        <w:pStyle w:val="AppendixHeading2"/>
      </w:pPr>
      <w:bookmarkStart w:id="283" w:name="_Toc202187869"/>
      <w:r w:rsidRPr="00C601A2">
        <w:t>Goulburn River stream metabolism – flow relationship plots</w:t>
      </w:r>
      <w:bookmarkEnd w:id="282"/>
      <w:bookmarkEnd w:id="283"/>
    </w:p>
    <w:p w14:paraId="0C35C114" w14:textId="1DCF88BF" w:rsidR="00885BCB" w:rsidRDefault="00A76FDF" w:rsidP="00105570">
      <w:pPr>
        <w:pStyle w:val="CaptionWithNote"/>
      </w:pPr>
      <w:bookmarkStart w:id="284" w:name="_Ref106045795"/>
      <w:bookmarkStart w:id="285" w:name="_Toc202187901"/>
      <w:bookmarkStart w:id="286" w:name="_Toc169543909"/>
      <w:bookmarkStart w:id="287" w:name="_Toc194788968"/>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11</w:t>
      </w:r>
      <w:r w:rsidRPr="00C601A2">
        <w:fldChar w:fldCharType="end"/>
      </w:r>
      <w:bookmarkEnd w:id="284"/>
      <w:r w:rsidRPr="00C601A2">
        <w:t xml:space="preserve"> Goulburn River stream metabolism</w:t>
      </w:r>
      <w:r w:rsidR="00BC376D">
        <w:t> </w:t>
      </w:r>
      <w:r w:rsidRPr="00C601A2">
        <w:t>– flow relationship plots: Arcadia Down</w:t>
      </w:r>
      <w:bookmarkEnd w:id="285"/>
    </w:p>
    <w:p w14:paraId="192A8D68" w14:textId="307F5ED9" w:rsidR="00A76FDF" w:rsidRPr="00F118DF" w:rsidRDefault="00670632" w:rsidP="00F118DF">
      <w:pPr>
        <w:pStyle w:val="CaptionNote"/>
      </w:pPr>
      <w:r w:rsidRPr="00C601A2">
        <w:t>r</w:t>
      </w:r>
      <w:r w:rsidRPr="00C601A2">
        <w:rPr>
          <w:vertAlign w:val="superscript"/>
        </w:rPr>
        <w:t>2</w:t>
      </w:r>
      <w:r>
        <w:t> </w:t>
      </w:r>
      <w:r w:rsidR="00A76FDF" w:rsidRPr="00F118DF">
        <w:t>=</w:t>
      </w:r>
      <w:r w:rsidR="00BC376D" w:rsidRPr="00F118DF">
        <w:t> </w:t>
      </w:r>
      <w:r w:rsidR="00A76FDF" w:rsidRPr="00F118DF">
        <w:t>0.1</w:t>
      </w:r>
      <w:r w:rsidR="009C685D" w:rsidRPr="00F118DF">
        <w:t>3</w:t>
      </w:r>
      <w:r w:rsidR="00A76FDF" w:rsidRPr="00F118DF">
        <w:t>, p</w:t>
      </w:r>
      <w:r w:rsidR="00BC376D" w:rsidRPr="00F118DF">
        <w:t> </w:t>
      </w:r>
      <w:r w:rsidR="00A76FDF" w:rsidRPr="00F118DF">
        <w:t>=</w:t>
      </w:r>
      <w:r w:rsidR="00BC376D" w:rsidRPr="00F118DF">
        <w:t> </w:t>
      </w:r>
      <w:r w:rsidR="00A76FDF" w:rsidRPr="00F118DF">
        <w:t>0.001</w:t>
      </w:r>
      <w:bookmarkEnd w:id="286"/>
      <w:bookmarkEnd w:id="287"/>
    </w:p>
    <w:p w14:paraId="6A2C1BCF" w14:textId="6ED2002B" w:rsidR="008E710E" w:rsidRPr="008E710E" w:rsidRDefault="008E710E" w:rsidP="00C343A9">
      <w:pPr>
        <w:pStyle w:val="CaptionNote"/>
      </w:pPr>
      <w:r>
        <w:t>ER = ecosystem respiration, GPP = gross primary production, NEP = net ecosystem production</w:t>
      </w:r>
      <w:r w:rsidR="00757088">
        <w:t>.</w:t>
      </w:r>
    </w:p>
    <w:p w14:paraId="23B4F1E7" w14:textId="60EA5E05" w:rsidR="005A4CCA" w:rsidRPr="00C601A2" w:rsidRDefault="007C4164" w:rsidP="005A4CCA">
      <w:pPr>
        <w:pStyle w:val="Figure"/>
      </w:pPr>
      <w:r>
        <w:rPr>
          <w:noProof/>
        </w:rPr>
        <w:drawing>
          <wp:inline distT="0" distB="0" distL="0" distR="0" wp14:anchorId="076A4930" wp14:editId="61E99664">
            <wp:extent cx="6120130" cy="3058795"/>
            <wp:effectExtent l="0" t="0" r="0" b="8255"/>
            <wp:docPr id="1890696573"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96573" name="Picture 1" descr="4 plots - 3 line and scatter plots showing GPP, ER and NEP. Larger scatter plot showing ER:GPP"/>
                    <pic:cNvPicPr/>
                  </pic:nvPicPr>
                  <pic:blipFill>
                    <a:blip r:embed="rId73"/>
                    <a:stretch>
                      <a:fillRect/>
                    </a:stretch>
                  </pic:blipFill>
                  <pic:spPr>
                    <a:xfrm>
                      <a:off x="0" y="0"/>
                      <a:ext cx="6120130" cy="3058795"/>
                    </a:xfrm>
                    <a:prstGeom prst="rect">
                      <a:avLst/>
                    </a:prstGeom>
                  </pic:spPr>
                </pic:pic>
              </a:graphicData>
            </a:graphic>
          </wp:inline>
        </w:drawing>
      </w:r>
    </w:p>
    <w:p w14:paraId="6DBE93A4" w14:textId="12C0C7DA" w:rsidR="005C7E9E" w:rsidRDefault="00A76FDF" w:rsidP="00105570">
      <w:pPr>
        <w:pStyle w:val="CaptionWithNote"/>
      </w:pPr>
      <w:bookmarkStart w:id="288" w:name="_Ref106045886"/>
      <w:bookmarkStart w:id="289" w:name="_Toc202187902"/>
      <w:bookmarkStart w:id="290" w:name="_Toc169543910"/>
      <w:bookmarkStart w:id="291" w:name="_Toc194788969"/>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12</w:t>
      </w:r>
      <w:r w:rsidRPr="00C601A2">
        <w:fldChar w:fldCharType="end"/>
      </w:r>
      <w:bookmarkEnd w:id="288"/>
      <w:r w:rsidRPr="00C601A2">
        <w:t xml:space="preserve"> Goulburn River stream metabolism – flow relationship plots: Darcy’s Track</w:t>
      </w:r>
      <w:bookmarkEnd w:id="289"/>
    </w:p>
    <w:p w14:paraId="05C09AA5" w14:textId="71B1C700" w:rsidR="00A76FDF" w:rsidRPr="00F118DF" w:rsidRDefault="00670632" w:rsidP="00F118DF">
      <w:pPr>
        <w:pStyle w:val="CaptionNote"/>
      </w:pPr>
      <w:r w:rsidRPr="00C601A2">
        <w:t>r</w:t>
      </w:r>
      <w:r w:rsidRPr="00C601A2">
        <w:rPr>
          <w:vertAlign w:val="superscript"/>
        </w:rPr>
        <w:t>2</w:t>
      </w:r>
      <w:r>
        <w:t> </w:t>
      </w:r>
      <w:r w:rsidR="00A76FDF" w:rsidRPr="00F118DF">
        <w:t>=</w:t>
      </w:r>
      <w:r w:rsidR="00BC376D" w:rsidRPr="00F118DF">
        <w:t> </w:t>
      </w:r>
      <w:r w:rsidR="00A76FDF" w:rsidRPr="00F118DF">
        <w:t>0.24, p</w:t>
      </w:r>
      <w:r w:rsidR="00BC376D" w:rsidRPr="00F118DF">
        <w:t> </w:t>
      </w:r>
      <w:r w:rsidR="00A76FDF" w:rsidRPr="00F118DF">
        <w:t>=</w:t>
      </w:r>
      <w:r w:rsidR="00BC376D" w:rsidRPr="00F118DF">
        <w:t> </w:t>
      </w:r>
      <w:r w:rsidR="00A76FDF" w:rsidRPr="00F118DF">
        <w:t>0.001</w:t>
      </w:r>
      <w:bookmarkEnd w:id="290"/>
      <w:bookmarkEnd w:id="291"/>
    </w:p>
    <w:p w14:paraId="19998F54" w14:textId="0F53B7C4" w:rsidR="008E710E" w:rsidRPr="008E710E" w:rsidRDefault="008E710E" w:rsidP="00C343A9">
      <w:pPr>
        <w:pStyle w:val="CaptionNote"/>
      </w:pPr>
      <w:r>
        <w:t>ER = ecosystem respiration, GPP = gross primary production, NEP = net ecosystem production</w:t>
      </w:r>
      <w:r w:rsidR="00757088">
        <w:t>.</w:t>
      </w:r>
    </w:p>
    <w:p w14:paraId="194EBD7D" w14:textId="1A25E0B4" w:rsidR="005A4CCA" w:rsidRPr="00C601A2" w:rsidRDefault="005A0646" w:rsidP="005A4CCA">
      <w:pPr>
        <w:pStyle w:val="Figure"/>
      </w:pPr>
      <w:r>
        <w:rPr>
          <w:noProof/>
        </w:rPr>
        <w:drawing>
          <wp:inline distT="0" distB="0" distL="0" distR="0" wp14:anchorId="73C87B79" wp14:editId="77285120">
            <wp:extent cx="6120130" cy="3058795"/>
            <wp:effectExtent l="0" t="0" r="0" b="8255"/>
            <wp:docPr id="200242579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425799" name="Picture 1" descr="4 plots - 3 line and scatter plots showing GPP, ER and NEP. Larger scatter plot showing ER:GPP"/>
                    <pic:cNvPicPr/>
                  </pic:nvPicPr>
                  <pic:blipFill>
                    <a:blip r:embed="rId74"/>
                    <a:stretch>
                      <a:fillRect/>
                    </a:stretch>
                  </pic:blipFill>
                  <pic:spPr>
                    <a:xfrm>
                      <a:off x="0" y="0"/>
                      <a:ext cx="6120130" cy="3058795"/>
                    </a:xfrm>
                    <a:prstGeom prst="rect">
                      <a:avLst/>
                    </a:prstGeom>
                  </pic:spPr>
                </pic:pic>
              </a:graphicData>
            </a:graphic>
          </wp:inline>
        </w:drawing>
      </w:r>
    </w:p>
    <w:p w14:paraId="4B96D8F0" w14:textId="41488492" w:rsidR="00ED2F8C" w:rsidRDefault="00A76FDF" w:rsidP="00105570">
      <w:pPr>
        <w:pStyle w:val="CaptionWithNote"/>
      </w:pPr>
      <w:bookmarkStart w:id="292" w:name="_Ref106045938"/>
      <w:bookmarkStart w:id="293" w:name="_Toc202187903"/>
      <w:bookmarkStart w:id="294" w:name="_Toc169543911"/>
      <w:bookmarkStart w:id="295" w:name="_Toc194788970"/>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13</w:t>
      </w:r>
      <w:r w:rsidRPr="00C601A2">
        <w:fldChar w:fldCharType="end"/>
      </w:r>
      <w:bookmarkEnd w:id="292"/>
      <w:r w:rsidRPr="00C601A2">
        <w:t xml:space="preserve"> Goulburn River stream metabolism – flow relationship plots: Day Road</w:t>
      </w:r>
      <w:bookmarkEnd w:id="293"/>
    </w:p>
    <w:p w14:paraId="4BAEB237" w14:textId="1C4F3BC6" w:rsidR="00A76FDF" w:rsidRPr="00F118DF" w:rsidRDefault="00670632" w:rsidP="00F118DF">
      <w:pPr>
        <w:pStyle w:val="CaptionNote"/>
      </w:pPr>
      <w:r w:rsidRPr="00C601A2">
        <w:t>r</w:t>
      </w:r>
      <w:r w:rsidRPr="00C601A2">
        <w:rPr>
          <w:vertAlign w:val="superscript"/>
        </w:rPr>
        <w:t>2</w:t>
      </w:r>
      <w:r>
        <w:t> </w:t>
      </w:r>
      <w:r w:rsidR="00A76FDF" w:rsidRPr="00F118DF">
        <w:t>=</w:t>
      </w:r>
      <w:r w:rsidR="00BC376D" w:rsidRPr="00F118DF">
        <w:t> </w:t>
      </w:r>
      <w:r w:rsidR="00A76FDF" w:rsidRPr="00F118DF">
        <w:t>0.20, p</w:t>
      </w:r>
      <w:r w:rsidR="00BC376D" w:rsidRPr="00F118DF">
        <w:t> </w:t>
      </w:r>
      <w:r w:rsidR="00A76FDF" w:rsidRPr="00F118DF">
        <w:t>=</w:t>
      </w:r>
      <w:r w:rsidR="00BC376D" w:rsidRPr="00F118DF">
        <w:t> </w:t>
      </w:r>
      <w:r w:rsidR="00A76FDF" w:rsidRPr="00F118DF">
        <w:t>0.001</w:t>
      </w:r>
      <w:bookmarkEnd w:id="294"/>
      <w:bookmarkEnd w:id="295"/>
    </w:p>
    <w:p w14:paraId="587B640F" w14:textId="20FADD5C" w:rsidR="008E710E" w:rsidRPr="008E710E" w:rsidRDefault="008E710E" w:rsidP="00C343A9">
      <w:pPr>
        <w:pStyle w:val="CaptionNote"/>
      </w:pPr>
      <w:r>
        <w:t>ER = ecosystem respiration, GPP = gross primary production, NEP = net ecosystem production</w:t>
      </w:r>
      <w:r w:rsidR="00757088">
        <w:t>.</w:t>
      </w:r>
    </w:p>
    <w:p w14:paraId="6FD19E9B" w14:textId="3A2A08AC" w:rsidR="005A4CCA" w:rsidRPr="00C601A2" w:rsidRDefault="005A0646" w:rsidP="005A4CCA">
      <w:pPr>
        <w:pStyle w:val="Figure"/>
      </w:pPr>
      <w:r>
        <w:rPr>
          <w:noProof/>
        </w:rPr>
        <w:drawing>
          <wp:inline distT="0" distB="0" distL="0" distR="0" wp14:anchorId="310908ED" wp14:editId="50D41AB9">
            <wp:extent cx="6120130" cy="3058795"/>
            <wp:effectExtent l="0" t="0" r="0" b="8255"/>
            <wp:docPr id="51012096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20969" name="Picture 1" descr="4 plots - 3 line and scatter plots showing GPP, ER and NEP. Larger scatter plot showing ER:GPP"/>
                    <pic:cNvPicPr/>
                  </pic:nvPicPr>
                  <pic:blipFill>
                    <a:blip r:embed="rId75"/>
                    <a:stretch>
                      <a:fillRect/>
                    </a:stretch>
                  </pic:blipFill>
                  <pic:spPr>
                    <a:xfrm>
                      <a:off x="0" y="0"/>
                      <a:ext cx="6120130" cy="3058795"/>
                    </a:xfrm>
                    <a:prstGeom prst="rect">
                      <a:avLst/>
                    </a:prstGeom>
                  </pic:spPr>
                </pic:pic>
              </a:graphicData>
            </a:graphic>
          </wp:inline>
        </w:drawing>
      </w:r>
    </w:p>
    <w:p w14:paraId="7EDD5002" w14:textId="0C2AEE17" w:rsidR="00361804" w:rsidRDefault="00A76FDF" w:rsidP="00105570">
      <w:pPr>
        <w:pStyle w:val="CaptionWithNote"/>
      </w:pPr>
      <w:bookmarkStart w:id="296" w:name="_Ref106045983"/>
      <w:bookmarkStart w:id="297" w:name="_Toc202187904"/>
      <w:bookmarkStart w:id="298" w:name="_Toc169543912"/>
      <w:bookmarkStart w:id="299" w:name="_Toc194788971"/>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14</w:t>
      </w:r>
      <w:r w:rsidRPr="00C601A2">
        <w:fldChar w:fldCharType="end"/>
      </w:r>
      <w:bookmarkEnd w:id="296"/>
      <w:r w:rsidRPr="00C601A2">
        <w:t xml:space="preserve"> Goulburn River stream metabolism – flow relationship plots: Loch Garry Gauge</w:t>
      </w:r>
      <w:bookmarkEnd w:id="297"/>
    </w:p>
    <w:p w14:paraId="48829390" w14:textId="5A51A3B8" w:rsidR="00A76FDF" w:rsidRPr="00F118DF" w:rsidRDefault="00670632" w:rsidP="00F118DF">
      <w:pPr>
        <w:pStyle w:val="CaptionNote"/>
      </w:pPr>
      <w:r w:rsidRPr="00C601A2">
        <w:t>r</w:t>
      </w:r>
      <w:r w:rsidRPr="00C601A2">
        <w:rPr>
          <w:vertAlign w:val="superscript"/>
        </w:rPr>
        <w:t>2</w:t>
      </w:r>
      <w:r>
        <w:t> </w:t>
      </w:r>
      <w:r w:rsidR="00A76FDF" w:rsidRPr="00F118DF">
        <w:t>=</w:t>
      </w:r>
      <w:r w:rsidR="00BC376D" w:rsidRPr="00F118DF">
        <w:t> </w:t>
      </w:r>
      <w:r w:rsidR="00A76FDF" w:rsidRPr="00F118DF">
        <w:t>0.</w:t>
      </w:r>
      <w:r w:rsidR="00C27EEC" w:rsidRPr="00F118DF">
        <w:t>15</w:t>
      </w:r>
      <w:r w:rsidR="00A76FDF" w:rsidRPr="00F118DF">
        <w:t>, p</w:t>
      </w:r>
      <w:r w:rsidR="00BC376D" w:rsidRPr="00F118DF">
        <w:t> </w:t>
      </w:r>
      <w:r w:rsidR="00A76FDF" w:rsidRPr="00F118DF">
        <w:t>=</w:t>
      </w:r>
      <w:r w:rsidR="00BC376D" w:rsidRPr="00F118DF">
        <w:t> </w:t>
      </w:r>
      <w:r w:rsidR="00A76FDF" w:rsidRPr="00F118DF">
        <w:t>0.001</w:t>
      </w:r>
      <w:bookmarkEnd w:id="298"/>
      <w:bookmarkEnd w:id="299"/>
    </w:p>
    <w:p w14:paraId="1904573B" w14:textId="29C00F16" w:rsidR="008E710E" w:rsidRPr="008E710E" w:rsidRDefault="008E710E" w:rsidP="00C343A9">
      <w:pPr>
        <w:pStyle w:val="CaptionNote"/>
      </w:pPr>
      <w:r>
        <w:t>ER = ecosystem respiration, GPP = gross primary production, NEP = net ecosystem production</w:t>
      </w:r>
      <w:r w:rsidR="00757088">
        <w:t>.</w:t>
      </w:r>
    </w:p>
    <w:p w14:paraId="4A837A7F" w14:textId="799B798F" w:rsidR="005A4CCA" w:rsidRPr="00C601A2" w:rsidRDefault="001018F0" w:rsidP="005A4CCA">
      <w:pPr>
        <w:pStyle w:val="Figure"/>
      </w:pPr>
      <w:r>
        <w:rPr>
          <w:noProof/>
        </w:rPr>
        <w:drawing>
          <wp:inline distT="0" distB="0" distL="0" distR="0" wp14:anchorId="7F67712D" wp14:editId="15F6DF6F">
            <wp:extent cx="6120130" cy="3058795"/>
            <wp:effectExtent l="0" t="0" r="0" b="8255"/>
            <wp:docPr id="472067923"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67923" name="Picture 1" descr="4 plots - 3 line and scatter plots showing GPP, ER and NEP. Larger scatter plot showing ER:GPP"/>
                    <pic:cNvPicPr/>
                  </pic:nvPicPr>
                  <pic:blipFill>
                    <a:blip r:embed="rId52"/>
                    <a:stretch>
                      <a:fillRect/>
                    </a:stretch>
                  </pic:blipFill>
                  <pic:spPr>
                    <a:xfrm>
                      <a:off x="0" y="0"/>
                      <a:ext cx="6120130" cy="3058795"/>
                    </a:xfrm>
                    <a:prstGeom prst="rect">
                      <a:avLst/>
                    </a:prstGeom>
                  </pic:spPr>
                </pic:pic>
              </a:graphicData>
            </a:graphic>
          </wp:inline>
        </w:drawing>
      </w:r>
    </w:p>
    <w:p w14:paraId="6973B7BB" w14:textId="1FD0A1F1" w:rsidR="00327851" w:rsidRDefault="00A76FDF" w:rsidP="00105570">
      <w:pPr>
        <w:pStyle w:val="CaptionWithNote"/>
      </w:pPr>
      <w:bookmarkStart w:id="300" w:name="_Ref106046043"/>
      <w:bookmarkStart w:id="301" w:name="_Toc202187905"/>
      <w:bookmarkStart w:id="302" w:name="_Toc169543913"/>
      <w:bookmarkStart w:id="303" w:name="_Toc194788972"/>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15</w:t>
      </w:r>
      <w:r w:rsidRPr="00C601A2">
        <w:fldChar w:fldCharType="end"/>
      </w:r>
      <w:bookmarkEnd w:id="300"/>
      <w:r w:rsidRPr="00C601A2">
        <w:t xml:space="preserve"> Goulburn River stream metabolism – flow relationship plots: McCoys Bridge</w:t>
      </w:r>
      <w:bookmarkEnd w:id="301"/>
    </w:p>
    <w:p w14:paraId="143D131F" w14:textId="61FA2457" w:rsidR="00A76FDF" w:rsidRPr="00F118DF" w:rsidRDefault="00670632" w:rsidP="00F118DF">
      <w:pPr>
        <w:pStyle w:val="CaptionNote"/>
      </w:pPr>
      <w:r w:rsidRPr="00C601A2">
        <w:t>r</w:t>
      </w:r>
      <w:r w:rsidRPr="00C601A2">
        <w:rPr>
          <w:vertAlign w:val="superscript"/>
        </w:rPr>
        <w:t>2</w:t>
      </w:r>
      <w:r>
        <w:t> </w:t>
      </w:r>
      <w:r w:rsidR="00A76FDF" w:rsidRPr="00F118DF">
        <w:t>=</w:t>
      </w:r>
      <w:r w:rsidR="00BC376D" w:rsidRPr="00F118DF">
        <w:t> </w:t>
      </w:r>
      <w:r w:rsidR="00A76FDF" w:rsidRPr="00F118DF">
        <w:t>0.1</w:t>
      </w:r>
      <w:r w:rsidR="000E084C" w:rsidRPr="00F118DF">
        <w:t>9</w:t>
      </w:r>
      <w:r w:rsidR="00A76FDF" w:rsidRPr="00F118DF">
        <w:t>, p</w:t>
      </w:r>
      <w:r w:rsidR="00BC376D" w:rsidRPr="00F118DF">
        <w:t> </w:t>
      </w:r>
      <w:r w:rsidR="00A76FDF" w:rsidRPr="00F118DF">
        <w:t>=</w:t>
      </w:r>
      <w:r w:rsidR="00BC376D" w:rsidRPr="00F118DF">
        <w:t> </w:t>
      </w:r>
      <w:r w:rsidR="00A76FDF" w:rsidRPr="00F118DF">
        <w:t>0.001</w:t>
      </w:r>
      <w:bookmarkEnd w:id="302"/>
      <w:bookmarkEnd w:id="303"/>
    </w:p>
    <w:p w14:paraId="4C400D3F" w14:textId="5579D8D3" w:rsidR="008E710E" w:rsidRPr="008E710E" w:rsidRDefault="008E710E" w:rsidP="00C343A9">
      <w:pPr>
        <w:pStyle w:val="CaptionNote"/>
      </w:pPr>
      <w:r>
        <w:t>ER = ecosystem respiration, GPP = gross primary production, NEP = net ecosystem production</w:t>
      </w:r>
      <w:r w:rsidR="00757088">
        <w:t>.</w:t>
      </w:r>
    </w:p>
    <w:p w14:paraId="02698F89" w14:textId="5C93634D" w:rsidR="005A4CCA" w:rsidRPr="00C601A2" w:rsidRDefault="001018F0" w:rsidP="005A4CCA">
      <w:pPr>
        <w:pStyle w:val="Figure"/>
      </w:pPr>
      <w:r>
        <w:rPr>
          <w:noProof/>
        </w:rPr>
        <w:drawing>
          <wp:inline distT="0" distB="0" distL="0" distR="0" wp14:anchorId="7B2AA438" wp14:editId="1D72F3C7">
            <wp:extent cx="6120130" cy="3058795"/>
            <wp:effectExtent l="0" t="0" r="0" b="8255"/>
            <wp:docPr id="914474626"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74626" name="Picture 1" descr="4 plots - 3 line and scatter plots showing GPP, ER and NEP. Larger scatter plot showing ER:GPP"/>
                    <pic:cNvPicPr/>
                  </pic:nvPicPr>
                  <pic:blipFill>
                    <a:blip r:embed="rId53"/>
                    <a:stretch>
                      <a:fillRect/>
                    </a:stretch>
                  </pic:blipFill>
                  <pic:spPr>
                    <a:xfrm>
                      <a:off x="0" y="0"/>
                      <a:ext cx="6120130" cy="3058795"/>
                    </a:xfrm>
                    <a:prstGeom prst="rect">
                      <a:avLst/>
                    </a:prstGeom>
                  </pic:spPr>
                </pic:pic>
              </a:graphicData>
            </a:graphic>
          </wp:inline>
        </w:drawing>
      </w:r>
    </w:p>
    <w:p w14:paraId="7B8C8F9A" w14:textId="62841196" w:rsidR="00327851" w:rsidRDefault="00A76FDF" w:rsidP="00105570">
      <w:pPr>
        <w:pStyle w:val="CaptionWithNote"/>
      </w:pPr>
      <w:bookmarkStart w:id="304" w:name="_Ref106046094"/>
      <w:bookmarkStart w:id="305" w:name="_Toc202187906"/>
      <w:bookmarkStart w:id="306" w:name="_Toc169543914"/>
      <w:bookmarkStart w:id="307" w:name="_Toc194788973"/>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16</w:t>
      </w:r>
      <w:r w:rsidRPr="00C601A2">
        <w:fldChar w:fldCharType="end"/>
      </w:r>
      <w:bookmarkEnd w:id="304"/>
      <w:r w:rsidRPr="00C601A2">
        <w:t xml:space="preserve"> Goulburn River stream metabolism – flow relationship plots: Moss Road</w:t>
      </w:r>
      <w:bookmarkEnd w:id="305"/>
    </w:p>
    <w:p w14:paraId="2AB7D063" w14:textId="5AB397FC" w:rsidR="00A76FDF" w:rsidRPr="00F118DF" w:rsidRDefault="00BD7CC6" w:rsidP="00F118DF">
      <w:pPr>
        <w:pStyle w:val="CaptionNote"/>
      </w:pPr>
      <w:r w:rsidRPr="00C601A2">
        <w:t>r</w:t>
      </w:r>
      <w:r w:rsidRPr="00C601A2">
        <w:rPr>
          <w:vertAlign w:val="superscript"/>
        </w:rPr>
        <w:t>2</w:t>
      </w:r>
      <w:r>
        <w:t> </w:t>
      </w:r>
      <w:r w:rsidR="00A76FDF" w:rsidRPr="00F118DF">
        <w:t>=</w:t>
      </w:r>
      <w:r w:rsidR="00BC376D" w:rsidRPr="00F118DF">
        <w:t> </w:t>
      </w:r>
      <w:r w:rsidR="00A76FDF" w:rsidRPr="00F118DF">
        <w:t>0.18, p</w:t>
      </w:r>
      <w:r w:rsidR="00BC376D" w:rsidRPr="00F118DF">
        <w:t> </w:t>
      </w:r>
      <w:r w:rsidR="00A76FDF" w:rsidRPr="00F118DF">
        <w:t>=</w:t>
      </w:r>
      <w:r w:rsidR="00BC376D" w:rsidRPr="00F118DF">
        <w:t> </w:t>
      </w:r>
      <w:r w:rsidR="00A76FDF" w:rsidRPr="00F118DF">
        <w:t>0.4</w:t>
      </w:r>
      <w:r w:rsidR="001F03BB" w:rsidRPr="00F118DF">
        <w:t>4</w:t>
      </w:r>
      <w:r w:rsidR="00FA19DA" w:rsidRPr="00F118DF">
        <w:t>6</w:t>
      </w:r>
      <w:bookmarkEnd w:id="306"/>
      <w:bookmarkEnd w:id="307"/>
    </w:p>
    <w:p w14:paraId="7D72A3F1" w14:textId="11EA6D56" w:rsidR="008E710E" w:rsidRPr="008E710E" w:rsidRDefault="008E710E" w:rsidP="00C343A9">
      <w:pPr>
        <w:pStyle w:val="CaptionNote"/>
      </w:pPr>
      <w:r>
        <w:t>ER = ecosystem respiration, GPP = gross primary production, NEP = net ecosystem production</w:t>
      </w:r>
      <w:r w:rsidR="000C009A">
        <w:t>.</w:t>
      </w:r>
    </w:p>
    <w:p w14:paraId="33F6DDF2" w14:textId="6F69E525" w:rsidR="005A4CCA" w:rsidRPr="00C601A2" w:rsidRDefault="001018F0" w:rsidP="005A4CCA">
      <w:pPr>
        <w:pStyle w:val="Figure"/>
      </w:pPr>
      <w:r>
        <w:rPr>
          <w:noProof/>
        </w:rPr>
        <w:drawing>
          <wp:inline distT="0" distB="0" distL="0" distR="0" wp14:anchorId="1D0A2874" wp14:editId="10E9A211">
            <wp:extent cx="6120130" cy="3058795"/>
            <wp:effectExtent l="0" t="0" r="0" b="8255"/>
            <wp:docPr id="483899922"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99922" name="Picture 1" descr="4 plots - 3 line and scatter plots showing GPP, ER and NEP. Larger scatter plot showing ER:GPP"/>
                    <pic:cNvPicPr/>
                  </pic:nvPicPr>
                  <pic:blipFill>
                    <a:blip r:embed="rId76"/>
                    <a:stretch>
                      <a:fillRect/>
                    </a:stretch>
                  </pic:blipFill>
                  <pic:spPr>
                    <a:xfrm>
                      <a:off x="0" y="0"/>
                      <a:ext cx="6120130" cy="3058795"/>
                    </a:xfrm>
                    <a:prstGeom prst="rect">
                      <a:avLst/>
                    </a:prstGeom>
                  </pic:spPr>
                </pic:pic>
              </a:graphicData>
            </a:graphic>
          </wp:inline>
        </w:drawing>
      </w:r>
    </w:p>
    <w:p w14:paraId="02ACC1D4" w14:textId="519240C8" w:rsidR="00327851" w:rsidRDefault="00A76FDF" w:rsidP="00105570">
      <w:pPr>
        <w:pStyle w:val="CaptionWithNote"/>
      </w:pPr>
      <w:bookmarkStart w:id="308" w:name="_Ref106046146"/>
      <w:bookmarkStart w:id="309" w:name="_Toc202187907"/>
      <w:bookmarkStart w:id="310" w:name="_Toc169543915"/>
      <w:bookmarkStart w:id="311" w:name="_Toc194788974"/>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17</w:t>
      </w:r>
      <w:r w:rsidRPr="00C601A2">
        <w:fldChar w:fldCharType="end"/>
      </w:r>
      <w:bookmarkEnd w:id="308"/>
      <w:r w:rsidRPr="00C601A2">
        <w:t xml:space="preserve"> Goulburn River stream metabolism – flow relationship plots: Murchison</w:t>
      </w:r>
      <w:bookmarkEnd w:id="309"/>
    </w:p>
    <w:p w14:paraId="7C423418" w14:textId="1E67A97A" w:rsidR="00A76FDF" w:rsidRPr="00F118DF" w:rsidRDefault="00BD7CC6" w:rsidP="00F118DF">
      <w:pPr>
        <w:pStyle w:val="CaptionNote"/>
      </w:pPr>
      <w:r w:rsidRPr="00C601A2">
        <w:t>r</w:t>
      </w:r>
      <w:r w:rsidRPr="00C601A2">
        <w:rPr>
          <w:vertAlign w:val="superscript"/>
        </w:rPr>
        <w:t>2</w:t>
      </w:r>
      <w:r>
        <w:t> </w:t>
      </w:r>
      <w:r w:rsidR="00A76FDF" w:rsidRPr="00F118DF">
        <w:t>=</w:t>
      </w:r>
      <w:r w:rsidR="00BC376D" w:rsidRPr="00F118DF">
        <w:t> </w:t>
      </w:r>
      <w:r w:rsidR="00A76FDF" w:rsidRPr="00F118DF">
        <w:t>0.</w:t>
      </w:r>
      <w:r w:rsidR="000E084C" w:rsidRPr="00F118DF">
        <w:t>1</w:t>
      </w:r>
      <w:r w:rsidR="00FA19DA" w:rsidRPr="00F118DF">
        <w:t>1</w:t>
      </w:r>
      <w:r w:rsidR="00A76FDF" w:rsidRPr="00F118DF">
        <w:t>, p</w:t>
      </w:r>
      <w:r w:rsidR="00BC376D" w:rsidRPr="00F118DF">
        <w:t> </w:t>
      </w:r>
      <w:r w:rsidR="00A76FDF" w:rsidRPr="00F118DF">
        <w:t>=</w:t>
      </w:r>
      <w:r w:rsidR="00BC376D" w:rsidRPr="00F118DF">
        <w:t> </w:t>
      </w:r>
      <w:r w:rsidR="00A76FDF" w:rsidRPr="00F118DF">
        <w:t>0.001</w:t>
      </w:r>
      <w:bookmarkEnd w:id="310"/>
      <w:bookmarkEnd w:id="311"/>
    </w:p>
    <w:p w14:paraId="227BA961" w14:textId="47B8371E" w:rsidR="008E710E" w:rsidRPr="008E710E" w:rsidRDefault="008E710E" w:rsidP="00C343A9">
      <w:pPr>
        <w:pStyle w:val="CaptionNote"/>
      </w:pPr>
      <w:r>
        <w:t>ER = ecosystem respiration, GPP = gross primary production, NEP = net ecosystem production</w:t>
      </w:r>
      <w:r w:rsidR="000C009A">
        <w:t>.</w:t>
      </w:r>
    </w:p>
    <w:p w14:paraId="69E00BAC" w14:textId="327AF18E" w:rsidR="005A4CCA" w:rsidRPr="00C601A2" w:rsidRDefault="00FA19DA" w:rsidP="005A4CCA">
      <w:pPr>
        <w:pStyle w:val="Figure"/>
      </w:pPr>
      <w:r>
        <w:rPr>
          <w:noProof/>
        </w:rPr>
        <w:drawing>
          <wp:inline distT="0" distB="0" distL="0" distR="0" wp14:anchorId="21F81BB4" wp14:editId="269845FD">
            <wp:extent cx="6120130" cy="3058795"/>
            <wp:effectExtent l="0" t="0" r="0" b="8255"/>
            <wp:docPr id="74951357"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1357" name="Picture 1" descr="4 plots - 3 line and scatter plots showing GPP, ER and NEP. Larger scatter plot showing ER:GPP"/>
                    <pic:cNvPicPr/>
                  </pic:nvPicPr>
                  <pic:blipFill>
                    <a:blip r:embed="rId77"/>
                    <a:stretch>
                      <a:fillRect/>
                    </a:stretch>
                  </pic:blipFill>
                  <pic:spPr>
                    <a:xfrm>
                      <a:off x="0" y="0"/>
                      <a:ext cx="6120130" cy="3058795"/>
                    </a:xfrm>
                    <a:prstGeom prst="rect">
                      <a:avLst/>
                    </a:prstGeom>
                  </pic:spPr>
                </pic:pic>
              </a:graphicData>
            </a:graphic>
          </wp:inline>
        </w:drawing>
      </w:r>
    </w:p>
    <w:p w14:paraId="54A33AEE" w14:textId="21064804" w:rsidR="00327851" w:rsidRDefault="00A76FDF" w:rsidP="00105570">
      <w:pPr>
        <w:pStyle w:val="CaptionWithNote"/>
      </w:pPr>
      <w:bookmarkStart w:id="312" w:name="_Ref106046230"/>
      <w:bookmarkStart w:id="313" w:name="_Toc202187908"/>
      <w:bookmarkStart w:id="314" w:name="_Toc169543916"/>
      <w:bookmarkStart w:id="315" w:name="_Toc194788975"/>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18</w:t>
      </w:r>
      <w:r w:rsidRPr="00C601A2">
        <w:fldChar w:fldCharType="end"/>
      </w:r>
      <w:bookmarkEnd w:id="312"/>
      <w:r w:rsidRPr="00C601A2">
        <w:t xml:space="preserve"> Goulburn River stream metabolism – flow relationship plots: Shepparton</w:t>
      </w:r>
      <w:bookmarkEnd w:id="313"/>
    </w:p>
    <w:p w14:paraId="237C779A" w14:textId="0930600A" w:rsidR="00A76FDF" w:rsidRPr="00F118DF" w:rsidRDefault="00A76FDF" w:rsidP="00F118DF">
      <w:pPr>
        <w:pStyle w:val="CaptionNote"/>
      </w:pPr>
      <w:r w:rsidRPr="00F118DF">
        <w:t>r2</w:t>
      </w:r>
      <w:r w:rsidR="00BC376D" w:rsidRPr="00F118DF">
        <w:t> </w:t>
      </w:r>
      <w:r w:rsidRPr="00F118DF">
        <w:t>=</w:t>
      </w:r>
      <w:r w:rsidR="00BC376D" w:rsidRPr="00F118DF">
        <w:t> </w:t>
      </w:r>
      <w:r w:rsidRPr="00F118DF">
        <w:t>0.</w:t>
      </w:r>
      <w:r w:rsidR="000E084C" w:rsidRPr="00F118DF">
        <w:t>1</w:t>
      </w:r>
      <w:r w:rsidR="004115F9" w:rsidRPr="00F118DF">
        <w:t>3</w:t>
      </w:r>
      <w:r w:rsidRPr="00F118DF">
        <w:t>, p</w:t>
      </w:r>
      <w:r w:rsidR="00BC376D" w:rsidRPr="00F118DF">
        <w:t> </w:t>
      </w:r>
      <w:r w:rsidRPr="00F118DF">
        <w:t>=</w:t>
      </w:r>
      <w:r w:rsidR="00BC376D" w:rsidRPr="00F118DF">
        <w:t> </w:t>
      </w:r>
      <w:r w:rsidRPr="00F118DF">
        <w:t>0.00</w:t>
      </w:r>
      <w:r w:rsidR="000E084C" w:rsidRPr="00F118DF">
        <w:t>1</w:t>
      </w:r>
      <w:bookmarkEnd w:id="314"/>
      <w:bookmarkEnd w:id="315"/>
    </w:p>
    <w:p w14:paraId="401E6A99" w14:textId="53B605AC" w:rsidR="008E710E" w:rsidRPr="008E710E" w:rsidRDefault="008E710E" w:rsidP="00C343A9">
      <w:pPr>
        <w:pStyle w:val="CaptionNote"/>
      </w:pPr>
      <w:r>
        <w:t>ER = ecosystem respiration, GPP = gross primary production, NEP = net ecosystem production</w:t>
      </w:r>
      <w:r w:rsidR="00C14753">
        <w:t>.</w:t>
      </w:r>
    </w:p>
    <w:p w14:paraId="0F02680D" w14:textId="3AE09429" w:rsidR="005A4CCA" w:rsidRPr="00C601A2" w:rsidRDefault="004115F9" w:rsidP="005A4CCA">
      <w:pPr>
        <w:pStyle w:val="Figure"/>
      </w:pPr>
      <w:bookmarkStart w:id="316" w:name="_Ref106047335"/>
      <w:bookmarkStart w:id="317" w:name="_Toc169543885"/>
      <w:r>
        <w:rPr>
          <w:noProof/>
        </w:rPr>
        <w:drawing>
          <wp:inline distT="0" distB="0" distL="0" distR="0" wp14:anchorId="4DB035C5" wp14:editId="325215AC">
            <wp:extent cx="6120130" cy="3058795"/>
            <wp:effectExtent l="0" t="0" r="0" b="8255"/>
            <wp:docPr id="705065743"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65743" name="Picture 1" descr="4 plots - 3 line and scatter plots showing GPP, ER and NEP. Larger scatter plot showing ER:GPP"/>
                    <pic:cNvPicPr/>
                  </pic:nvPicPr>
                  <pic:blipFill>
                    <a:blip r:embed="rId78"/>
                    <a:stretch>
                      <a:fillRect/>
                    </a:stretch>
                  </pic:blipFill>
                  <pic:spPr>
                    <a:xfrm>
                      <a:off x="0" y="0"/>
                      <a:ext cx="6120130" cy="3058795"/>
                    </a:xfrm>
                    <a:prstGeom prst="rect">
                      <a:avLst/>
                    </a:prstGeom>
                  </pic:spPr>
                </pic:pic>
              </a:graphicData>
            </a:graphic>
          </wp:inline>
        </w:drawing>
      </w:r>
    </w:p>
    <w:p w14:paraId="11C1CD13" w14:textId="063E8568" w:rsidR="00A76FDF" w:rsidRPr="00C601A2" w:rsidRDefault="00A76FDF" w:rsidP="00F118DF">
      <w:pPr>
        <w:pStyle w:val="AppendixHeading2"/>
      </w:pPr>
      <w:bookmarkStart w:id="318" w:name="_Toc202187870"/>
      <w:r w:rsidRPr="00C601A2">
        <w:t>Lachlan River System stream metabolism – flow relationship plots</w:t>
      </w:r>
      <w:bookmarkEnd w:id="316"/>
      <w:bookmarkEnd w:id="317"/>
      <w:bookmarkEnd w:id="318"/>
    </w:p>
    <w:p w14:paraId="5BBE3FDC" w14:textId="283336F0" w:rsidR="00327851" w:rsidRDefault="00A76FDF" w:rsidP="00105570">
      <w:pPr>
        <w:pStyle w:val="CaptionWithNote"/>
      </w:pPr>
      <w:bookmarkStart w:id="319" w:name="_Ref106046300"/>
      <w:bookmarkStart w:id="320" w:name="_Toc202187909"/>
      <w:bookmarkStart w:id="321" w:name="_Toc169543917"/>
      <w:bookmarkStart w:id="322" w:name="_Toc194788976"/>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19</w:t>
      </w:r>
      <w:r w:rsidRPr="00C601A2">
        <w:fldChar w:fldCharType="end"/>
      </w:r>
      <w:bookmarkEnd w:id="319"/>
      <w:r w:rsidRPr="00C601A2">
        <w:t xml:space="preserve"> Lachlan River System stream metabolism – flow relationship plot: CC</w:t>
      </w:r>
      <w:bookmarkEnd w:id="320"/>
    </w:p>
    <w:p w14:paraId="3A39A750" w14:textId="13AB3DCD" w:rsidR="00A76FDF" w:rsidRPr="00F118DF" w:rsidRDefault="00A76FDF" w:rsidP="00F118DF">
      <w:pPr>
        <w:pStyle w:val="CaptionNote"/>
      </w:pPr>
      <w:r w:rsidRPr="00F118DF">
        <w:t>r2</w:t>
      </w:r>
      <w:r w:rsidR="00BC376D" w:rsidRPr="00F118DF">
        <w:t> </w:t>
      </w:r>
      <w:r w:rsidRPr="00F118DF">
        <w:t>=</w:t>
      </w:r>
      <w:r w:rsidR="00BC376D" w:rsidRPr="00F118DF">
        <w:t> </w:t>
      </w:r>
      <w:r w:rsidRPr="00F118DF">
        <w:t>0.0</w:t>
      </w:r>
      <w:r w:rsidR="009E2A68" w:rsidRPr="00F118DF">
        <w:t>4</w:t>
      </w:r>
      <w:r w:rsidRPr="00F118DF">
        <w:t>, p</w:t>
      </w:r>
      <w:r w:rsidR="00BC376D" w:rsidRPr="00F118DF">
        <w:t> </w:t>
      </w:r>
      <w:r w:rsidRPr="00F118DF">
        <w:t>=</w:t>
      </w:r>
      <w:r w:rsidR="00BC376D" w:rsidRPr="00F118DF">
        <w:t> </w:t>
      </w:r>
      <w:r w:rsidRPr="00F118DF">
        <w:t>0.</w:t>
      </w:r>
      <w:r w:rsidR="009E2A68" w:rsidRPr="00F118DF">
        <w:t>001</w:t>
      </w:r>
      <w:bookmarkEnd w:id="321"/>
      <w:bookmarkEnd w:id="322"/>
    </w:p>
    <w:p w14:paraId="649446E8" w14:textId="4191E911" w:rsidR="008E710E" w:rsidRPr="008E710E" w:rsidRDefault="008E710E" w:rsidP="00C343A9">
      <w:pPr>
        <w:pStyle w:val="CaptionNote"/>
      </w:pPr>
      <w:r>
        <w:t>ER = ecosystem respiration, GPP = gross primary production, NEP = net ecosystem production</w:t>
      </w:r>
      <w:r w:rsidR="00485806">
        <w:t>.</w:t>
      </w:r>
    </w:p>
    <w:p w14:paraId="5D86167F" w14:textId="5C5CA85F" w:rsidR="005A4CCA" w:rsidRPr="00C601A2" w:rsidRDefault="004115F9" w:rsidP="005A4CCA">
      <w:pPr>
        <w:pStyle w:val="Figure"/>
        <w:tabs>
          <w:tab w:val="left" w:pos="1134"/>
        </w:tabs>
      </w:pPr>
      <w:r>
        <w:rPr>
          <w:noProof/>
        </w:rPr>
        <w:drawing>
          <wp:inline distT="0" distB="0" distL="0" distR="0" wp14:anchorId="5F6501A3" wp14:editId="28ED4109">
            <wp:extent cx="6120130" cy="3058795"/>
            <wp:effectExtent l="0" t="0" r="0" b="8255"/>
            <wp:docPr id="1951451920"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451920" name="Picture 1" descr="4 plots - 3 line and scatter plots showing GPP, ER and NEP. Larger scatter plot showing ER:GPP"/>
                    <pic:cNvPicPr/>
                  </pic:nvPicPr>
                  <pic:blipFill>
                    <a:blip r:embed="rId79"/>
                    <a:stretch>
                      <a:fillRect/>
                    </a:stretch>
                  </pic:blipFill>
                  <pic:spPr>
                    <a:xfrm>
                      <a:off x="0" y="0"/>
                      <a:ext cx="6120130" cy="3058795"/>
                    </a:xfrm>
                    <a:prstGeom prst="rect">
                      <a:avLst/>
                    </a:prstGeom>
                  </pic:spPr>
                </pic:pic>
              </a:graphicData>
            </a:graphic>
          </wp:inline>
        </w:drawing>
      </w:r>
    </w:p>
    <w:p w14:paraId="140B3B36" w14:textId="38866FDB" w:rsidR="00327851" w:rsidRDefault="00A76FDF" w:rsidP="00105570">
      <w:pPr>
        <w:pStyle w:val="CaptionWithNote"/>
      </w:pPr>
      <w:bookmarkStart w:id="323" w:name="_Ref106046343"/>
      <w:bookmarkStart w:id="324" w:name="_Toc202187910"/>
      <w:bookmarkStart w:id="325" w:name="_Toc169543918"/>
      <w:bookmarkStart w:id="326" w:name="_Toc194788977"/>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20</w:t>
      </w:r>
      <w:r w:rsidRPr="00C601A2">
        <w:fldChar w:fldCharType="end"/>
      </w:r>
      <w:bookmarkEnd w:id="323"/>
      <w:r w:rsidRPr="00C601A2">
        <w:t xml:space="preserve"> Lachlan River System stream metabolism – flow relationship plots: EU</w:t>
      </w:r>
      <w:bookmarkEnd w:id="324"/>
    </w:p>
    <w:p w14:paraId="0129C7E2" w14:textId="27A4083A" w:rsidR="00A76FDF" w:rsidRPr="00F118DF" w:rsidRDefault="00A76FDF" w:rsidP="00F118DF">
      <w:pPr>
        <w:pStyle w:val="CaptionNote"/>
      </w:pPr>
      <w:r w:rsidRPr="00F118DF">
        <w:t>r2</w:t>
      </w:r>
      <w:r w:rsidR="00BC376D" w:rsidRPr="00F118DF">
        <w:t> </w:t>
      </w:r>
      <w:r w:rsidRPr="00F118DF">
        <w:t>=</w:t>
      </w:r>
      <w:r w:rsidR="00BC376D" w:rsidRPr="00F118DF">
        <w:t> </w:t>
      </w:r>
      <w:r w:rsidRPr="00F118DF">
        <w:t>0.10, p</w:t>
      </w:r>
      <w:r w:rsidR="00BC376D" w:rsidRPr="00F118DF">
        <w:t> </w:t>
      </w:r>
      <w:r w:rsidRPr="00F118DF">
        <w:t>=</w:t>
      </w:r>
      <w:r w:rsidR="00BC376D" w:rsidRPr="00F118DF">
        <w:t> </w:t>
      </w:r>
      <w:r w:rsidRPr="00F118DF">
        <w:t>0.0</w:t>
      </w:r>
      <w:r w:rsidR="009E2A68" w:rsidRPr="00F118DF">
        <w:t>07</w:t>
      </w:r>
      <w:bookmarkEnd w:id="325"/>
      <w:bookmarkEnd w:id="326"/>
    </w:p>
    <w:p w14:paraId="5BB938E3" w14:textId="5593D124" w:rsidR="008E710E" w:rsidRPr="008E710E" w:rsidRDefault="008E710E" w:rsidP="00C343A9">
      <w:pPr>
        <w:pStyle w:val="CaptionNote"/>
      </w:pPr>
      <w:r>
        <w:t>ER = ecosystem respiration, GPP = gross primary production, NEP = net ecosystem production</w:t>
      </w:r>
      <w:r w:rsidR="00F14DEB">
        <w:t>.</w:t>
      </w:r>
    </w:p>
    <w:p w14:paraId="35A1159A" w14:textId="420DC58D" w:rsidR="005A4CCA" w:rsidRPr="00CF2419" w:rsidRDefault="009E2A68" w:rsidP="005A4CCA">
      <w:pPr>
        <w:pStyle w:val="Figure"/>
      </w:pPr>
      <w:r>
        <w:rPr>
          <w:noProof/>
        </w:rPr>
        <w:drawing>
          <wp:inline distT="0" distB="0" distL="0" distR="0" wp14:anchorId="13C4F0F8" wp14:editId="558ACDA7">
            <wp:extent cx="6120130" cy="3058795"/>
            <wp:effectExtent l="0" t="0" r="0" b="8255"/>
            <wp:docPr id="1125256918"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56918" name="Picture 1" descr="4 plots - 3 line and scatter plots showing GPP, ER and NEP. Larger scatter plot showing ER:GPP"/>
                    <pic:cNvPicPr/>
                  </pic:nvPicPr>
                  <pic:blipFill>
                    <a:blip r:embed="rId80"/>
                    <a:stretch>
                      <a:fillRect/>
                    </a:stretch>
                  </pic:blipFill>
                  <pic:spPr>
                    <a:xfrm>
                      <a:off x="0" y="0"/>
                      <a:ext cx="6120130" cy="3058795"/>
                    </a:xfrm>
                    <a:prstGeom prst="rect">
                      <a:avLst/>
                    </a:prstGeom>
                  </pic:spPr>
                </pic:pic>
              </a:graphicData>
            </a:graphic>
          </wp:inline>
        </w:drawing>
      </w:r>
    </w:p>
    <w:p w14:paraId="7586C91A" w14:textId="212EFC38" w:rsidR="005A40B3" w:rsidRDefault="00A76FDF" w:rsidP="00105570">
      <w:pPr>
        <w:pStyle w:val="CaptionWithNote"/>
      </w:pPr>
      <w:bookmarkStart w:id="327" w:name="_Ref106046420"/>
      <w:bookmarkStart w:id="328" w:name="_Toc202187911"/>
      <w:bookmarkStart w:id="329" w:name="_Toc169543919"/>
      <w:bookmarkStart w:id="330" w:name="_Toc194788978"/>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21</w:t>
      </w:r>
      <w:r w:rsidRPr="00C601A2">
        <w:fldChar w:fldCharType="end"/>
      </w:r>
      <w:bookmarkEnd w:id="327"/>
      <w:r w:rsidRPr="00C601A2">
        <w:t xml:space="preserve"> Lachlan River System stream metabolism – flow relationship plots: KP</w:t>
      </w:r>
      <w:bookmarkEnd w:id="328"/>
    </w:p>
    <w:p w14:paraId="7FE4D5E4" w14:textId="34A69B0D" w:rsidR="00A76FDF" w:rsidRPr="00F118DF" w:rsidRDefault="00A76FDF" w:rsidP="00F118DF">
      <w:pPr>
        <w:pStyle w:val="CaptionNote"/>
      </w:pPr>
      <w:r w:rsidRPr="00F118DF">
        <w:t>r2</w:t>
      </w:r>
      <w:r w:rsidR="00BC376D" w:rsidRPr="00F118DF">
        <w:t> </w:t>
      </w:r>
      <w:r w:rsidRPr="00F118DF">
        <w:t>=</w:t>
      </w:r>
      <w:r w:rsidR="00BC376D" w:rsidRPr="00F118DF">
        <w:t> </w:t>
      </w:r>
      <w:r w:rsidRPr="00F118DF">
        <w:t>0.</w:t>
      </w:r>
      <w:r w:rsidR="00914CE0" w:rsidRPr="00F118DF">
        <w:t>10</w:t>
      </w:r>
      <w:r w:rsidRPr="00F118DF">
        <w:t>, p</w:t>
      </w:r>
      <w:r w:rsidR="00BC376D" w:rsidRPr="00F118DF">
        <w:t> </w:t>
      </w:r>
      <w:r w:rsidRPr="00F118DF">
        <w:t>=</w:t>
      </w:r>
      <w:r w:rsidR="00BC376D" w:rsidRPr="00F118DF">
        <w:t> </w:t>
      </w:r>
      <w:r w:rsidRPr="00F118DF">
        <w:t>0.00</w:t>
      </w:r>
      <w:r w:rsidR="00D40103" w:rsidRPr="00F118DF">
        <w:t>4</w:t>
      </w:r>
      <w:bookmarkEnd w:id="329"/>
      <w:bookmarkEnd w:id="330"/>
    </w:p>
    <w:p w14:paraId="03097EDA" w14:textId="4A7F5844" w:rsidR="008E710E" w:rsidRPr="008E710E" w:rsidRDefault="008E710E" w:rsidP="00C343A9">
      <w:pPr>
        <w:pStyle w:val="CaptionNote"/>
      </w:pPr>
      <w:r>
        <w:t>ER = ecosystem respiration, GPP = gross primary production, NEP = net ecosystem production</w:t>
      </w:r>
      <w:r w:rsidR="00F14DEB">
        <w:t>.</w:t>
      </w:r>
    </w:p>
    <w:p w14:paraId="55B206D4" w14:textId="047F8CC3" w:rsidR="005A4CCA" w:rsidRPr="006826BF" w:rsidRDefault="00D40103" w:rsidP="005A4CCA">
      <w:pPr>
        <w:pStyle w:val="Figure"/>
      </w:pPr>
      <w:r>
        <w:rPr>
          <w:noProof/>
        </w:rPr>
        <w:drawing>
          <wp:inline distT="0" distB="0" distL="0" distR="0" wp14:anchorId="3A5FEAD0" wp14:editId="07A5BAA6">
            <wp:extent cx="6120130" cy="3058795"/>
            <wp:effectExtent l="0" t="0" r="0" b="8255"/>
            <wp:docPr id="573772903"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72903" name="Picture 1" descr="4 plots - 3 line and scatter plots showing GPP, ER and NEP. Larger scatter plot showing ER:GPP"/>
                    <pic:cNvPicPr/>
                  </pic:nvPicPr>
                  <pic:blipFill>
                    <a:blip r:embed="rId81"/>
                    <a:stretch>
                      <a:fillRect/>
                    </a:stretch>
                  </pic:blipFill>
                  <pic:spPr>
                    <a:xfrm>
                      <a:off x="0" y="0"/>
                      <a:ext cx="6120130" cy="3058795"/>
                    </a:xfrm>
                    <a:prstGeom prst="rect">
                      <a:avLst/>
                    </a:prstGeom>
                  </pic:spPr>
                </pic:pic>
              </a:graphicData>
            </a:graphic>
          </wp:inline>
        </w:drawing>
      </w:r>
    </w:p>
    <w:p w14:paraId="3AC70171" w14:textId="0FEE2442" w:rsidR="005A40B3" w:rsidRDefault="00A76FDF" w:rsidP="00105570">
      <w:pPr>
        <w:pStyle w:val="CaptionWithNote"/>
      </w:pPr>
      <w:bookmarkStart w:id="331" w:name="_Ref106046484"/>
      <w:bookmarkStart w:id="332" w:name="_Toc202187912"/>
      <w:bookmarkStart w:id="333" w:name="_Toc169543920"/>
      <w:bookmarkStart w:id="334" w:name="_Toc194788979"/>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22</w:t>
      </w:r>
      <w:r w:rsidRPr="00C601A2">
        <w:fldChar w:fldCharType="end"/>
      </w:r>
      <w:bookmarkEnd w:id="331"/>
      <w:r w:rsidRPr="00C601A2">
        <w:t xml:space="preserve"> Lachlan River System stream metabolism – flow relationship plots: LB (Lanes Bridge)</w:t>
      </w:r>
      <w:bookmarkEnd w:id="332"/>
    </w:p>
    <w:p w14:paraId="411D507C" w14:textId="2EEA4398" w:rsidR="00A76FDF" w:rsidRPr="00F118DF" w:rsidRDefault="00A76FDF" w:rsidP="00F118DF">
      <w:pPr>
        <w:pStyle w:val="CaptionNote"/>
      </w:pPr>
      <w:r w:rsidRPr="00F118DF">
        <w:t>r2</w:t>
      </w:r>
      <w:r w:rsidR="00BC376D" w:rsidRPr="00F118DF">
        <w:t> </w:t>
      </w:r>
      <w:r w:rsidRPr="00F118DF">
        <w:t>=</w:t>
      </w:r>
      <w:r w:rsidR="00BC376D" w:rsidRPr="00F118DF">
        <w:t> </w:t>
      </w:r>
      <w:r w:rsidRPr="00F118DF">
        <w:t>0.0</w:t>
      </w:r>
      <w:r w:rsidR="00D40103" w:rsidRPr="00F118DF">
        <w:t>3</w:t>
      </w:r>
      <w:r w:rsidRPr="00F118DF">
        <w:t>, p</w:t>
      </w:r>
      <w:r w:rsidR="00BC376D" w:rsidRPr="00F118DF">
        <w:t> </w:t>
      </w:r>
      <w:r w:rsidRPr="00F118DF">
        <w:t>=</w:t>
      </w:r>
      <w:r w:rsidR="00BC376D" w:rsidRPr="00F118DF">
        <w:t> </w:t>
      </w:r>
      <w:r w:rsidRPr="00F118DF">
        <w:t>0.001</w:t>
      </w:r>
      <w:bookmarkEnd w:id="333"/>
      <w:bookmarkEnd w:id="334"/>
    </w:p>
    <w:p w14:paraId="2C514BBD" w14:textId="1D5C0228" w:rsidR="008E710E" w:rsidRPr="008E710E" w:rsidRDefault="008E710E" w:rsidP="00C343A9">
      <w:pPr>
        <w:pStyle w:val="CaptionNote"/>
      </w:pPr>
      <w:r>
        <w:t>ER = ecosystem respiration, GPP = gross primary production, NEP = net ecosystem production</w:t>
      </w:r>
      <w:r w:rsidR="003648D9">
        <w:t>.</w:t>
      </w:r>
    </w:p>
    <w:p w14:paraId="4EDAA6BC" w14:textId="5B2CC275" w:rsidR="005A4CCA" w:rsidRPr="00C601A2" w:rsidRDefault="00D40103" w:rsidP="005A4CCA">
      <w:pPr>
        <w:pStyle w:val="Figure"/>
      </w:pPr>
      <w:r>
        <w:rPr>
          <w:noProof/>
        </w:rPr>
        <w:drawing>
          <wp:inline distT="0" distB="0" distL="0" distR="0" wp14:anchorId="42CE3885" wp14:editId="1D228A9F">
            <wp:extent cx="6120130" cy="3058795"/>
            <wp:effectExtent l="0" t="0" r="0" b="8255"/>
            <wp:docPr id="886784105"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84105" name="Picture 1" descr="4 plots - 3 line and scatter plots showing GPP, ER and NEP. Larger scatter plot showing ER:GPP"/>
                    <pic:cNvPicPr/>
                  </pic:nvPicPr>
                  <pic:blipFill>
                    <a:blip r:embed="rId82"/>
                    <a:stretch>
                      <a:fillRect/>
                    </a:stretch>
                  </pic:blipFill>
                  <pic:spPr>
                    <a:xfrm>
                      <a:off x="0" y="0"/>
                      <a:ext cx="6120130" cy="3058795"/>
                    </a:xfrm>
                    <a:prstGeom prst="rect">
                      <a:avLst/>
                    </a:prstGeom>
                  </pic:spPr>
                </pic:pic>
              </a:graphicData>
            </a:graphic>
          </wp:inline>
        </w:drawing>
      </w:r>
    </w:p>
    <w:p w14:paraId="1EEB549B" w14:textId="17EC6A7B" w:rsidR="005A40B3" w:rsidRDefault="00A76FDF" w:rsidP="00105570">
      <w:pPr>
        <w:pStyle w:val="CaptionWithNote"/>
        <w:rPr>
          <w:noProof/>
        </w:rPr>
      </w:pPr>
      <w:bookmarkStart w:id="335" w:name="_Ref106046577"/>
      <w:bookmarkStart w:id="336" w:name="_Toc202187913"/>
      <w:bookmarkStart w:id="337" w:name="_Toc169543921"/>
      <w:bookmarkStart w:id="338" w:name="_Toc194788980"/>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23</w:t>
      </w:r>
      <w:r w:rsidRPr="00C601A2">
        <w:fldChar w:fldCharType="end"/>
      </w:r>
      <w:bookmarkEnd w:id="335"/>
      <w:r w:rsidRPr="00C601A2">
        <w:t xml:space="preserve"> Lachlan River System stream metabolism – flow relationship plots</w:t>
      </w:r>
      <w:r w:rsidRPr="00C601A2">
        <w:rPr>
          <w:noProof/>
        </w:rPr>
        <w:t>: MG</w:t>
      </w:r>
      <w:bookmarkEnd w:id="336"/>
    </w:p>
    <w:p w14:paraId="7B245ED7" w14:textId="01EF9194" w:rsidR="00A76FDF" w:rsidRPr="00F118DF" w:rsidRDefault="00A76FDF" w:rsidP="00F118DF">
      <w:pPr>
        <w:pStyle w:val="CaptionNote"/>
      </w:pPr>
      <w:r w:rsidRPr="00F118DF">
        <w:t>r2</w:t>
      </w:r>
      <w:r w:rsidR="00BC376D" w:rsidRPr="00F118DF">
        <w:t> </w:t>
      </w:r>
      <w:r w:rsidRPr="00F118DF">
        <w:t>=</w:t>
      </w:r>
      <w:r w:rsidR="00BC376D" w:rsidRPr="00F118DF">
        <w:t> </w:t>
      </w:r>
      <w:r w:rsidRPr="00F118DF">
        <w:t>0.45, p</w:t>
      </w:r>
      <w:r w:rsidR="00BC376D" w:rsidRPr="00F118DF">
        <w:t> </w:t>
      </w:r>
      <w:r w:rsidRPr="00F118DF">
        <w:t>=</w:t>
      </w:r>
      <w:r w:rsidR="00BC376D" w:rsidRPr="00F118DF">
        <w:t> </w:t>
      </w:r>
      <w:r w:rsidRPr="00F118DF">
        <w:t>0.001</w:t>
      </w:r>
      <w:bookmarkEnd w:id="337"/>
      <w:bookmarkEnd w:id="338"/>
    </w:p>
    <w:p w14:paraId="3E6756CC" w14:textId="042816C5" w:rsidR="008E710E" w:rsidRPr="00C343A9" w:rsidRDefault="008E710E" w:rsidP="00C343A9">
      <w:pPr>
        <w:pStyle w:val="CaptionNote"/>
      </w:pPr>
      <w:r>
        <w:t>ER = ecosystem respiration, GPP = gross primary production, NEP = net ecosystem production</w:t>
      </w:r>
      <w:r w:rsidR="003648D9">
        <w:t>.</w:t>
      </w:r>
    </w:p>
    <w:p w14:paraId="584CE797" w14:textId="5F2CD6F2" w:rsidR="005A4CCA" w:rsidRPr="00C601A2" w:rsidRDefault="00081310" w:rsidP="005A4CCA">
      <w:pPr>
        <w:pStyle w:val="Figure"/>
      </w:pPr>
      <w:r>
        <w:rPr>
          <w:noProof/>
        </w:rPr>
        <w:drawing>
          <wp:inline distT="0" distB="0" distL="0" distR="0" wp14:anchorId="3ABA0720" wp14:editId="7EDC552F">
            <wp:extent cx="6120130" cy="3058795"/>
            <wp:effectExtent l="0" t="0" r="0" b="8255"/>
            <wp:docPr id="25496014"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6014" name="Picture 1" descr="4 plots - 3 line and scatter plots showing GPP, ER and NEP. Larger scatter plot showing ER:GPP"/>
                    <pic:cNvPicPr/>
                  </pic:nvPicPr>
                  <pic:blipFill>
                    <a:blip r:embed="rId83"/>
                    <a:stretch>
                      <a:fillRect/>
                    </a:stretch>
                  </pic:blipFill>
                  <pic:spPr>
                    <a:xfrm>
                      <a:off x="0" y="0"/>
                      <a:ext cx="6120130" cy="3058795"/>
                    </a:xfrm>
                    <a:prstGeom prst="rect">
                      <a:avLst/>
                    </a:prstGeom>
                  </pic:spPr>
                </pic:pic>
              </a:graphicData>
            </a:graphic>
          </wp:inline>
        </w:drawing>
      </w:r>
    </w:p>
    <w:p w14:paraId="22916872" w14:textId="16708495" w:rsidR="005A40B3" w:rsidRDefault="00A76FDF" w:rsidP="00105570">
      <w:pPr>
        <w:pStyle w:val="CaptionWithNote"/>
      </w:pPr>
      <w:bookmarkStart w:id="339" w:name="_Ref106046665"/>
      <w:bookmarkStart w:id="340" w:name="_Toc202187914"/>
      <w:bookmarkStart w:id="341" w:name="_Toc169543922"/>
      <w:bookmarkStart w:id="342" w:name="_Toc194788981"/>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24</w:t>
      </w:r>
      <w:r w:rsidRPr="00C601A2">
        <w:fldChar w:fldCharType="end"/>
      </w:r>
      <w:bookmarkEnd w:id="339"/>
      <w:r w:rsidRPr="00C601A2">
        <w:t xml:space="preserve"> Lachlan River System stream metabolism – flow relationship plots: TH</w:t>
      </w:r>
      <w:bookmarkEnd w:id="340"/>
    </w:p>
    <w:p w14:paraId="5A14E21A" w14:textId="560E5910" w:rsidR="00A76FDF" w:rsidRPr="00F118DF" w:rsidRDefault="00A76FDF" w:rsidP="00F118DF">
      <w:pPr>
        <w:pStyle w:val="CaptionNote"/>
      </w:pPr>
      <w:r w:rsidRPr="00F118DF">
        <w:t>r2</w:t>
      </w:r>
      <w:r w:rsidR="00BC376D" w:rsidRPr="00F118DF">
        <w:t> </w:t>
      </w:r>
      <w:r w:rsidRPr="00F118DF">
        <w:t>=</w:t>
      </w:r>
      <w:r w:rsidR="00BC376D" w:rsidRPr="00F118DF">
        <w:t> </w:t>
      </w:r>
      <w:r w:rsidRPr="00F118DF">
        <w:t>0.</w:t>
      </w:r>
      <w:r w:rsidR="00F55DA7" w:rsidRPr="00F118DF">
        <w:t>11</w:t>
      </w:r>
      <w:r w:rsidRPr="00F118DF">
        <w:t>, p</w:t>
      </w:r>
      <w:r w:rsidR="00BC376D" w:rsidRPr="00F118DF">
        <w:t> </w:t>
      </w:r>
      <w:r w:rsidRPr="00F118DF">
        <w:t>=</w:t>
      </w:r>
      <w:r w:rsidR="00BC376D" w:rsidRPr="00F118DF">
        <w:t> </w:t>
      </w:r>
      <w:r w:rsidRPr="00F118DF">
        <w:t>0.001</w:t>
      </w:r>
      <w:bookmarkEnd w:id="341"/>
      <w:bookmarkEnd w:id="342"/>
    </w:p>
    <w:p w14:paraId="678097CC" w14:textId="5693FC21" w:rsidR="008E710E" w:rsidRPr="008E710E" w:rsidRDefault="008E710E" w:rsidP="003A540C">
      <w:pPr>
        <w:pStyle w:val="CaptionNote"/>
      </w:pPr>
      <w:r>
        <w:t>ER = ecosystem respiration, GPP = gross primary production, NEP = net ecosystem production</w:t>
      </w:r>
      <w:r w:rsidR="003648D9">
        <w:t>.</w:t>
      </w:r>
    </w:p>
    <w:p w14:paraId="5C730824" w14:textId="563EF6F3" w:rsidR="005A4CCA" w:rsidRPr="00C601A2" w:rsidRDefault="00081310" w:rsidP="005A4CCA">
      <w:pPr>
        <w:pStyle w:val="Figure"/>
      </w:pPr>
      <w:r>
        <w:rPr>
          <w:noProof/>
        </w:rPr>
        <w:drawing>
          <wp:inline distT="0" distB="0" distL="0" distR="0" wp14:anchorId="129E5F88" wp14:editId="12A8B395">
            <wp:extent cx="6120130" cy="3058795"/>
            <wp:effectExtent l="0" t="0" r="0" b="8255"/>
            <wp:docPr id="1931508635"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08635" name="Picture 1" descr="4 plots - 3 line and scatter plots showing GPP, ER and NEP. Larger scatter plot showing ER:GPP"/>
                    <pic:cNvPicPr/>
                  </pic:nvPicPr>
                  <pic:blipFill>
                    <a:blip r:embed="rId84"/>
                    <a:stretch>
                      <a:fillRect/>
                    </a:stretch>
                  </pic:blipFill>
                  <pic:spPr>
                    <a:xfrm>
                      <a:off x="0" y="0"/>
                      <a:ext cx="6120130" cy="3058795"/>
                    </a:xfrm>
                    <a:prstGeom prst="rect">
                      <a:avLst/>
                    </a:prstGeom>
                  </pic:spPr>
                </pic:pic>
              </a:graphicData>
            </a:graphic>
          </wp:inline>
        </w:drawing>
      </w:r>
    </w:p>
    <w:p w14:paraId="3BDA7809" w14:textId="61C60202" w:rsidR="005A40B3" w:rsidRDefault="00A76FDF" w:rsidP="00105570">
      <w:pPr>
        <w:pStyle w:val="CaptionWithNote"/>
        <w:rPr>
          <w:noProof/>
        </w:rPr>
      </w:pPr>
      <w:bookmarkStart w:id="343" w:name="_Ref106046738"/>
      <w:bookmarkStart w:id="344" w:name="_Toc202187915"/>
      <w:bookmarkStart w:id="345" w:name="_Toc169543923"/>
      <w:bookmarkStart w:id="346" w:name="_Toc194788982"/>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25</w:t>
      </w:r>
      <w:r w:rsidRPr="00C601A2">
        <w:fldChar w:fldCharType="end"/>
      </w:r>
      <w:bookmarkEnd w:id="343"/>
      <w:r w:rsidRPr="00C601A2">
        <w:t xml:space="preserve"> Lachlan River System stream metabolism – flow relationship plots</w:t>
      </w:r>
      <w:r w:rsidRPr="00C601A2">
        <w:rPr>
          <w:noProof/>
        </w:rPr>
        <w:t>: WAL</w:t>
      </w:r>
      <w:bookmarkEnd w:id="344"/>
    </w:p>
    <w:p w14:paraId="48C68662" w14:textId="4F617C8B" w:rsidR="00A76FDF" w:rsidRPr="00F118DF" w:rsidRDefault="00A76FDF" w:rsidP="00F118DF">
      <w:pPr>
        <w:pStyle w:val="CaptionNote"/>
      </w:pPr>
      <w:r w:rsidRPr="00F118DF">
        <w:t>r2</w:t>
      </w:r>
      <w:r w:rsidR="00BC376D" w:rsidRPr="00F118DF">
        <w:t> </w:t>
      </w:r>
      <w:r w:rsidRPr="00F118DF">
        <w:t>=</w:t>
      </w:r>
      <w:r w:rsidR="00BC376D" w:rsidRPr="00F118DF">
        <w:t> </w:t>
      </w:r>
      <w:r w:rsidRPr="00F118DF">
        <w:t>0.12, p</w:t>
      </w:r>
      <w:r w:rsidR="00BC376D" w:rsidRPr="00F118DF">
        <w:t> </w:t>
      </w:r>
      <w:r w:rsidRPr="00F118DF">
        <w:t>=</w:t>
      </w:r>
      <w:r w:rsidR="00BC376D" w:rsidRPr="00F118DF">
        <w:t> </w:t>
      </w:r>
      <w:r w:rsidRPr="00F118DF">
        <w:t>0.001</w:t>
      </w:r>
      <w:bookmarkEnd w:id="345"/>
      <w:bookmarkEnd w:id="346"/>
    </w:p>
    <w:p w14:paraId="2EEAD7ED" w14:textId="765472FB" w:rsidR="008E710E" w:rsidRPr="003A540C" w:rsidRDefault="008E710E" w:rsidP="003A540C">
      <w:pPr>
        <w:pStyle w:val="CaptionNote"/>
      </w:pPr>
      <w:r>
        <w:t>ER = ecosystem respiration, GPP = gross primary production, NEP = net ecosystem production</w:t>
      </w:r>
      <w:r w:rsidR="003648D9">
        <w:t>.</w:t>
      </w:r>
    </w:p>
    <w:p w14:paraId="79786530" w14:textId="4894BDD7" w:rsidR="005A4CCA" w:rsidRPr="00C601A2" w:rsidRDefault="00081310" w:rsidP="005A4CCA">
      <w:pPr>
        <w:pStyle w:val="Figure"/>
      </w:pPr>
      <w:r>
        <w:rPr>
          <w:noProof/>
        </w:rPr>
        <w:drawing>
          <wp:inline distT="0" distB="0" distL="0" distR="0" wp14:anchorId="6D571FAA" wp14:editId="79288F2D">
            <wp:extent cx="6120130" cy="3058795"/>
            <wp:effectExtent l="0" t="0" r="0" b="8255"/>
            <wp:docPr id="100201983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19839" name="Picture 1" descr="4 plots - 3 line and scatter plots showing GPP, ER and NEP. Larger scatter plot showing ER:GPP"/>
                    <pic:cNvPicPr/>
                  </pic:nvPicPr>
                  <pic:blipFill>
                    <a:blip r:embed="rId85"/>
                    <a:stretch>
                      <a:fillRect/>
                    </a:stretch>
                  </pic:blipFill>
                  <pic:spPr>
                    <a:xfrm>
                      <a:off x="0" y="0"/>
                      <a:ext cx="6120130" cy="3058795"/>
                    </a:xfrm>
                    <a:prstGeom prst="rect">
                      <a:avLst/>
                    </a:prstGeom>
                  </pic:spPr>
                </pic:pic>
              </a:graphicData>
            </a:graphic>
          </wp:inline>
        </w:drawing>
      </w:r>
    </w:p>
    <w:p w14:paraId="70A70F56" w14:textId="23C0B26C" w:rsidR="005A40B3" w:rsidRDefault="00A76FDF" w:rsidP="00105570">
      <w:pPr>
        <w:pStyle w:val="CaptionWithNote"/>
        <w:rPr>
          <w:noProof/>
        </w:rPr>
      </w:pPr>
      <w:bookmarkStart w:id="347" w:name="_Ref106046777"/>
      <w:bookmarkStart w:id="348" w:name="_Toc202187916"/>
      <w:bookmarkStart w:id="349" w:name="_Toc169543924"/>
      <w:bookmarkStart w:id="350" w:name="_Toc194788983"/>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26</w:t>
      </w:r>
      <w:r w:rsidRPr="00C601A2">
        <w:fldChar w:fldCharType="end"/>
      </w:r>
      <w:bookmarkEnd w:id="347"/>
      <w:r w:rsidRPr="00C601A2">
        <w:t xml:space="preserve"> Lachlan River System stream metabolism – flow relationship plots</w:t>
      </w:r>
      <w:r w:rsidRPr="00C601A2">
        <w:rPr>
          <w:noProof/>
        </w:rPr>
        <w:t>: WB</w:t>
      </w:r>
      <w:bookmarkEnd w:id="348"/>
    </w:p>
    <w:p w14:paraId="3B610348" w14:textId="36B77ECC" w:rsidR="00A76FDF" w:rsidRPr="00F118DF" w:rsidRDefault="00A76FDF" w:rsidP="00F118DF">
      <w:pPr>
        <w:pStyle w:val="CaptionNote"/>
      </w:pPr>
      <w:r w:rsidRPr="00F118DF">
        <w:t>r2</w:t>
      </w:r>
      <w:r w:rsidR="00BC376D" w:rsidRPr="00F118DF">
        <w:t> </w:t>
      </w:r>
      <w:r w:rsidRPr="00F118DF">
        <w:t>=</w:t>
      </w:r>
      <w:r w:rsidR="00BC376D" w:rsidRPr="00F118DF">
        <w:t> </w:t>
      </w:r>
      <w:r w:rsidRPr="00F118DF">
        <w:t>0.</w:t>
      </w:r>
      <w:r w:rsidR="00046FE4" w:rsidRPr="00F118DF">
        <w:t>1</w:t>
      </w:r>
      <w:r w:rsidR="0065063A" w:rsidRPr="00F118DF">
        <w:t>0</w:t>
      </w:r>
      <w:r w:rsidRPr="00F118DF">
        <w:t>, p</w:t>
      </w:r>
      <w:r w:rsidR="00BC376D" w:rsidRPr="00F118DF">
        <w:t> </w:t>
      </w:r>
      <w:r w:rsidRPr="00F118DF">
        <w:t>=</w:t>
      </w:r>
      <w:r w:rsidR="00BC376D" w:rsidRPr="00F118DF">
        <w:t> </w:t>
      </w:r>
      <w:r w:rsidRPr="00F118DF">
        <w:t>0.001</w:t>
      </w:r>
      <w:bookmarkEnd w:id="349"/>
      <w:bookmarkEnd w:id="350"/>
    </w:p>
    <w:p w14:paraId="499292E2" w14:textId="0C760837" w:rsidR="008E710E" w:rsidRPr="003A540C" w:rsidRDefault="008E710E" w:rsidP="003A540C">
      <w:pPr>
        <w:pStyle w:val="CaptionNote"/>
      </w:pPr>
      <w:r>
        <w:t>ER = ecosystem respiration, GPP = gross primary production, NEP = net ecosystem production</w:t>
      </w:r>
      <w:r w:rsidR="003648D9">
        <w:t>.</w:t>
      </w:r>
    </w:p>
    <w:p w14:paraId="2A39D5A2" w14:textId="7A5F07F8" w:rsidR="005A4CCA" w:rsidRPr="00C601A2" w:rsidRDefault="0065063A" w:rsidP="005A4CCA">
      <w:pPr>
        <w:pStyle w:val="Figure"/>
      </w:pPr>
      <w:r>
        <w:rPr>
          <w:noProof/>
        </w:rPr>
        <w:drawing>
          <wp:inline distT="0" distB="0" distL="0" distR="0" wp14:anchorId="2BEE693B" wp14:editId="6DBBC54F">
            <wp:extent cx="6120130" cy="3058795"/>
            <wp:effectExtent l="0" t="0" r="0" b="8255"/>
            <wp:docPr id="1771977885"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77885" name="Picture 1" descr="4 plots - 3 line and scatter plots showing GPP, ER and NEP. Larger scatter plot showing ER:GPP"/>
                    <pic:cNvPicPr/>
                  </pic:nvPicPr>
                  <pic:blipFill>
                    <a:blip r:embed="rId86"/>
                    <a:stretch>
                      <a:fillRect/>
                    </a:stretch>
                  </pic:blipFill>
                  <pic:spPr>
                    <a:xfrm>
                      <a:off x="0" y="0"/>
                      <a:ext cx="6120130" cy="3058795"/>
                    </a:xfrm>
                    <a:prstGeom prst="rect">
                      <a:avLst/>
                    </a:prstGeom>
                  </pic:spPr>
                </pic:pic>
              </a:graphicData>
            </a:graphic>
          </wp:inline>
        </w:drawing>
      </w:r>
    </w:p>
    <w:p w14:paraId="795A1802" w14:textId="7367D36B" w:rsidR="005A40B3" w:rsidRDefault="005607DC" w:rsidP="00105570">
      <w:pPr>
        <w:pStyle w:val="CaptionWithNote"/>
      </w:pPr>
      <w:bookmarkStart w:id="351" w:name="_Ref165318378"/>
      <w:bookmarkStart w:id="352" w:name="_Toc202187917"/>
      <w:bookmarkStart w:id="353" w:name="_Toc169543925"/>
      <w:bookmarkStart w:id="354" w:name="_Toc194788984"/>
      <w:r w:rsidRPr="00C601A2">
        <w:t xml:space="preserve">Figure </w:t>
      </w:r>
      <w:r w:rsidRPr="008E710E">
        <w:fldChar w:fldCharType="begin"/>
      </w:r>
      <w:r w:rsidRPr="00C601A2">
        <w:instrText>STYLEREF 9 \s</w:instrText>
      </w:r>
      <w:r w:rsidRPr="008E710E">
        <w:fldChar w:fldCharType="separate"/>
      </w:r>
      <w:r w:rsidR="00492712">
        <w:rPr>
          <w:noProof/>
        </w:rPr>
        <w:t>A</w:t>
      </w:r>
      <w:r w:rsidRPr="008E710E">
        <w:fldChar w:fldCharType="end"/>
      </w:r>
      <w:r w:rsidRPr="00C601A2">
        <w:t>.</w:t>
      </w:r>
      <w:r w:rsidRPr="008E710E">
        <w:fldChar w:fldCharType="begin"/>
      </w:r>
      <w:r w:rsidRPr="00C601A2">
        <w:instrText>SEQ Apx_Figure \* ARABIC \s 9</w:instrText>
      </w:r>
      <w:r w:rsidRPr="008E710E">
        <w:fldChar w:fldCharType="separate"/>
      </w:r>
      <w:r w:rsidR="00492712">
        <w:rPr>
          <w:noProof/>
        </w:rPr>
        <w:t>27</w:t>
      </w:r>
      <w:r w:rsidRPr="008E710E">
        <w:fldChar w:fldCharType="end"/>
      </w:r>
      <w:bookmarkEnd w:id="351"/>
      <w:r w:rsidRPr="00C601A2">
        <w:t xml:space="preserve"> Lachlan River System stream metabolism – flow relationship plots: </w:t>
      </w:r>
      <w:r>
        <w:t>B</w:t>
      </w:r>
      <w:r w:rsidR="002602FC">
        <w:t>OO</w:t>
      </w:r>
      <w:bookmarkEnd w:id="352"/>
    </w:p>
    <w:p w14:paraId="63836DCD" w14:textId="6F7D8D69" w:rsidR="008E710E" w:rsidRDefault="005607DC" w:rsidP="00F118DF">
      <w:pPr>
        <w:pStyle w:val="CaptionNote"/>
      </w:pPr>
      <w:r w:rsidRPr="003A540C">
        <w:t>r</w:t>
      </w:r>
      <w:r w:rsidRPr="00BD7CC6">
        <w:rPr>
          <w:vertAlign w:val="superscript"/>
        </w:rPr>
        <w:t>2</w:t>
      </w:r>
      <w:r w:rsidR="00BC376D" w:rsidRPr="003A540C">
        <w:t> </w:t>
      </w:r>
      <w:r w:rsidRPr="003A540C">
        <w:t>=</w:t>
      </w:r>
      <w:r w:rsidR="00BC376D" w:rsidRPr="003A540C">
        <w:t> </w:t>
      </w:r>
      <w:r w:rsidRPr="003A540C">
        <w:t>0.</w:t>
      </w:r>
      <w:r w:rsidR="000933C3">
        <w:t>17</w:t>
      </w:r>
      <w:r w:rsidRPr="003A540C">
        <w:t xml:space="preserve">, </w:t>
      </w:r>
      <w:r w:rsidRPr="00F118DF">
        <w:t>p</w:t>
      </w:r>
      <w:r w:rsidR="00BC376D" w:rsidRPr="003A540C">
        <w:t> </w:t>
      </w:r>
      <w:r w:rsidRPr="003A540C">
        <w:t>=</w:t>
      </w:r>
      <w:r w:rsidR="00BC376D" w:rsidRPr="003A540C">
        <w:t> </w:t>
      </w:r>
      <w:r w:rsidRPr="003A540C">
        <w:t>0.</w:t>
      </w:r>
      <w:r w:rsidR="000933C3">
        <w:t>001</w:t>
      </w:r>
      <w:bookmarkEnd w:id="353"/>
      <w:bookmarkEnd w:id="354"/>
    </w:p>
    <w:p w14:paraId="22AC3A7D" w14:textId="197868A6" w:rsidR="005607DC" w:rsidRDefault="008E710E" w:rsidP="003A540C">
      <w:pPr>
        <w:pStyle w:val="CaptionNote"/>
      </w:pPr>
      <w:r>
        <w:t>ER = ecosystem respiration, GPP = gross primary production, NEP = net ecosystem production</w:t>
      </w:r>
      <w:r w:rsidR="003648D9">
        <w:t>.</w:t>
      </w:r>
    </w:p>
    <w:p w14:paraId="74F55026" w14:textId="283A85E7" w:rsidR="005A4CCA" w:rsidRDefault="000933C3" w:rsidP="00105570">
      <w:pPr>
        <w:pStyle w:val="Figure"/>
      </w:pPr>
      <w:r>
        <w:rPr>
          <w:noProof/>
        </w:rPr>
        <w:drawing>
          <wp:inline distT="0" distB="0" distL="0" distR="0" wp14:anchorId="08FEB48B" wp14:editId="57634938">
            <wp:extent cx="6120130" cy="3058795"/>
            <wp:effectExtent l="0" t="0" r="0" b="8255"/>
            <wp:docPr id="1540856914"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56914" name="Picture 1" descr="4 plots - 3 line and scatter plots showing GPP, ER and NEP. Larger scatter plot showing ER:GPP"/>
                    <pic:cNvPicPr/>
                  </pic:nvPicPr>
                  <pic:blipFill>
                    <a:blip r:embed="rId87"/>
                    <a:stretch>
                      <a:fillRect/>
                    </a:stretch>
                  </pic:blipFill>
                  <pic:spPr>
                    <a:xfrm>
                      <a:off x="0" y="0"/>
                      <a:ext cx="6120130" cy="3058795"/>
                    </a:xfrm>
                    <a:prstGeom prst="rect">
                      <a:avLst/>
                    </a:prstGeom>
                  </pic:spPr>
                </pic:pic>
              </a:graphicData>
            </a:graphic>
          </wp:inline>
        </w:drawing>
      </w:r>
    </w:p>
    <w:p w14:paraId="2C05324F" w14:textId="2DB21FC1" w:rsidR="005A40B3" w:rsidRDefault="002602FC" w:rsidP="00105570">
      <w:pPr>
        <w:pStyle w:val="CaptionWithNote"/>
        <w:rPr>
          <w:noProof/>
        </w:rPr>
      </w:pPr>
      <w:bookmarkStart w:id="355" w:name="_Ref165318395"/>
      <w:bookmarkStart w:id="356" w:name="_Toc202187918"/>
      <w:bookmarkStart w:id="357" w:name="_Toc169543926"/>
      <w:bookmarkStart w:id="358" w:name="_Toc194788985"/>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28</w:t>
      </w:r>
      <w:r w:rsidRPr="00C601A2">
        <w:fldChar w:fldCharType="end"/>
      </w:r>
      <w:bookmarkEnd w:id="355"/>
      <w:r w:rsidRPr="00C601A2">
        <w:t xml:space="preserve"> Lachlan River System stream metabolism – flow relationship plots</w:t>
      </w:r>
      <w:r w:rsidRPr="00C601A2">
        <w:rPr>
          <w:noProof/>
        </w:rPr>
        <w:t xml:space="preserve">: </w:t>
      </w:r>
      <w:r>
        <w:rPr>
          <w:noProof/>
        </w:rPr>
        <w:t>CON</w:t>
      </w:r>
      <w:bookmarkEnd w:id="356"/>
    </w:p>
    <w:p w14:paraId="459D0EC8" w14:textId="4859346C" w:rsidR="002602FC" w:rsidRPr="00F118DF" w:rsidRDefault="002602FC" w:rsidP="00F118DF">
      <w:pPr>
        <w:pStyle w:val="CaptionNote"/>
      </w:pPr>
      <w:r w:rsidRPr="00F118DF">
        <w:t>r2</w:t>
      </w:r>
      <w:r w:rsidR="00BC376D" w:rsidRPr="00F118DF">
        <w:t> </w:t>
      </w:r>
      <w:r w:rsidRPr="00F118DF">
        <w:t>=</w:t>
      </w:r>
      <w:r w:rsidR="00BC376D" w:rsidRPr="00F118DF">
        <w:t> </w:t>
      </w:r>
      <w:r w:rsidRPr="00F118DF">
        <w:t>0.</w:t>
      </w:r>
      <w:r w:rsidR="00790795" w:rsidRPr="00F118DF">
        <w:t>0</w:t>
      </w:r>
      <w:r w:rsidRPr="00F118DF">
        <w:t>7, p</w:t>
      </w:r>
      <w:r w:rsidR="00BC376D" w:rsidRPr="00F118DF">
        <w:t> </w:t>
      </w:r>
      <w:r w:rsidRPr="00F118DF">
        <w:t>=</w:t>
      </w:r>
      <w:r w:rsidR="00BC376D" w:rsidRPr="00F118DF">
        <w:t> </w:t>
      </w:r>
      <w:r w:rsidRPr="00F118DF">
        <w:t>0.001</w:t>
      </w:r>
      <w:bookmarkEnd w:id="357"/>
      <w:bookmarkEnd w:id="358"/>
    </w:p>
    <w:p w14:paraId="3C0901AA" w14:textId="06936A88" w:rsidR="008E710E" w:rsidRPr="003A540C" w:rsidRDefault="008E710E" w:rsidP="003A540C">
      <w:pPr>
        <w:pStyle w:val="CaptionNote"/>
      </w:pPr>
      <w:r>
        <w:t>ER = ecosystem respiration, GPP = gross primary production, NEP = net ecosystem production</w:t>
      </w:r>
      <w:r w:rsidR="00E238DA">
        <w:t>.</w:t>
      </w:r>
    </w:p>
    <w:p w14:paraId="3BCACAA4" w14:textId="0C6949D3" w:rsidR="005A4CCA" w:rsidRDefault="00790795" w:rsidP="00105570">
      <w:pPr>
        <w:pStyle w:val="Figure"/>
      </w:pPr>
      <w:r>
        <w:rPr>
          <w:noProof/>
        </w:rPr>
        <w:drawing>
          <wp:inline distT="0" distB="0" distL="0" distR="0" wp14:anchorId="7F1D6817" wp14:editId="23D3AFA7">
            <wp:extent cx="6120130" cy="3058795"/>
            <wp:effectExtent l="0" t="0" r="0" b="8255"/>
            <wp:docPr id="1613626448"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26448" name="Picture 1" descr="4 plots - 3 line and scatter plots showing GPP, ER and NEP. Larger scatter plot showing ER:GPP"/>
                    <pic:cNvPicPr/>
                  </pic:nvPicPr>
                  <pic:blipFill>
                    <a:blip r:embed="rId88"/>
                    <a:stretch>
                      <a:fillRect/>
                    </a:stretch>
                  </pic:blipFill>
                  <pic:spPr>
                    <a:xfrm>
                      <a:off x="0" y="0"/>
                      <a:ext cx="6120130" cy="3058795"/>
                    </a:xfrm>
                    <a:prstGeom prst="rect">
                      <a:avLst/>
                    </a:prstGeom>
                  </pic:spPr>
                </pic:pic>
              </a:graphicData>
            </a:graphic>
          </wp:inline>
        </w:drawing>
      </w:r>
    </w:p>
    <w:p w14:paraId="7BF8904F" w14:textId="4B70F2F6" w:rsidR="005A40B3" w:rsidRDefault="008B21EA" w:rsidP="00105570">
      <w:pPr>
        <w:pStyle w:val="CaptionWithNote"/>
        <w:rPr>
          <w:noProof/>
        </w:rPr>
      </w:pPr>
      <w:bookmarkStart w:id="359" w:name="_Ref165318403"/>
      <w:bookmarkStart w:id="360" w:name="_Toc202187919"/>
      <w:bookmarkStart w:id="361" w:name="_Toc169543927"/>
      <w:bookmarkStart w:id="362" w:name="_Toc194788986"/>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29</w:t>
      </w:r>
      <w:r w:rsidRPr="00C601A2">
        <w:fldChar w:fldCharType="end"/>
      </w:r>
      <w:bookmarkEnd w:id="359"/>
      <w:r w:rsidRPr="00C601A2">
        <w:t xml:space="preserve"> Lachlan River System stream metabolism – flow relationship plots</w:t>
      </w:r>
      <w:r w:rsidRPr="00C601A2">
        <w:rPr>
          <w:noProof/>
        </w:rPr>
        <w:t xml:space="preserve">: </w:t>
      </w:r>
      <w:r>
        <w:rPr>
          <w:noProof/>
        </w:rPr>
        <w:t>HUN</w:t>
      </w:r>
      <w:bookmarkEnd w:id="360"/>
    </w:p>
    <w:p w14:paraId="2F7294E2" w14:textId="3E46F5AA" w:rsidR="008B21EA" w:rsidRPr="00F118DF" w:rsidRDefault="008B21EA" w:rsidP="00F118DF">
      <w:pPr>
        <w:pStyle w:val="CaptionNote"/>
      </w:pPr>
      <w:r w:rsidRPr="00F118DF">
        <w:t>r2</w:t>
      </w:r>
      <w:r w:rsidR="00BC376D" w:rsidRPr="00F118DF">
        <w:t> </w:t>
      </w:r>
      <w:r w:rsidRPr="00F118DF">
        <w:t>=</w:t>
      </w:r>
      <w:r w:rsidR="00BC376D" w:rsidRPr="00F118DF">
        <w:t> </w:t>
      </w:r>
      <w:r w:rsidRPr="00F118DF">
        <w:t>0.2</w:t>
      </w:r>
      <w:r w:rsidR="00790795" w:rsidRPr="00F118DF">
        <w:t>8</w:t>
      </w:r>
      <w:r w:rsidRPr="00F118DF">
        <w:t>, p</w:t>
      </w:r>
      <w:r w:rsidR="00BC376D" w:rsidRPr="00F118DF">
        <w:t> </w:t>
      </w:r>
      <w:r w:rsidRPr="00F118DF">
        <w:t>=</w:t>
      </w:r>
      <w:r w:rsidR="00BC376D" w:rsidRPr="00F118DF">
        <w:t> </w:t>
      </w:r>
      <w:r w:rsidRPr="00F118DF">
        <w:t>0.</w:t>
      </w:r>
      <w:r w:rsidR="00790795" w:rsidRPr="00F118DF">
        <w:t>00</w:t>
      </w:r>
      <w:r w:rsidR="00CA15DD" w:rsidRPr="00F118DF">
        <w:t>1</w:t>
      </w:r>
      <w:bookmarkEnd w:id="361"/>
      <w:bookmarkEnd w:id="362"/>
    </w:p>
    <w:p w14:paraId="7110806D" w14:textId="3BA5DDF1" w:rsidR="008E710E" w:rsidRPr="003A540C" w:rsidRDefault="008E710E" w:rsidP="003A540C">
      <w:pPr>
        <w:pStyle w:val="CaptionNote"/>
      </w:pPr>
      <w:r>
        <w:t>ER = ecosystem respiration, GPP = gross primary production, NEP = net ecosystem production</w:t>
      </w:r>
      <w:r w:rsidR="00E238DA">
        <w:t>.</w:t>
      </w:r>
    </w:p>
    <w:p w14:paraId="417F87D1" w14:textId="09AC67BA" w:rsidR="005A4CCA" w:rsidRDefault="00790795" w:rsidP="00105570">
      <w:pPr>
        <w:pStyle w:val="Figure"/>
      </w:pPr>
      <w:bookmarkStart w:id="363" w:name="_Toc165319581"/>
      <w:bookmarkStart w:id="364" w:name="_Toc165319975"/>
      <w:bookmarkStart w:id="365" w:name="_Toc165320100"/>
      <w:bookmarkStart w:id="366" w:name="_Ref106044295"/>
      <w:bookmarkStart w:id="367" w:name="_Toc169543886"/>
      <w:bookmarkEnd w:id="363"/>
      <w:bookmarkEnd w:id="364"/>
      <w:bookmarkEnd w:id="365"/>
      <w:r>
        <w:rPr>
          <w:noProof/>
        </w:rPr>
        <w:drawing>
          <wp:inline distT="0" distB="0" distL="0" distR="0" wp14:anchorId="3FEE2AD2" wp14:editId="1689FCFA">
            <wp:extent cx="6120130" cy="3058795"/>
            <wp:effectExtent l="0" t="0" r="0" b="8255"/>
            <wp:docPr id="1670763832"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63832" name="Picture 1" descr="4 plots - 3 line and scatter plots showing GPP, ER and NEP. Larger scatter plot showing ER:GPP"/>
                    <pic:cNvPicPr/>
                  </pic:nvPicPr>
                  <pic:blipFill>
                    <a:blip r:embed="rId89"/>
                    <a:stretch>
                      <a:fillRect/>
                    </a:stretch>
                  </pic:blipFill>
                  <pic:spPr>
                    <a:xfrm>
                      <a:off x="0" y="0"/>
                      <a:ext cx="6120130" cy="3058795"/>
                    </a:xfrm>
                    <a:prstGeom prst="rect">
                      <a:avLst/>
                    </a:prstGeom>
                  </pic:spPr>
                </pic:pic>
              </a:graphicData>
            </a:graphic>
          </wp:inline>
        </w:drawing>
      </w:r>
    </w:p>
    <w:p w14:paraId="1191AA8C" w14:textId="63E393EA" w:rsidR="00A76FDF" w:rsidRPr="00C601A2" w:rsidRDefault="00A76FDF" w:rsidP="00F118DF">
      <w:pPr>
        <w:pStyle w:val="AppendixHeading2"/>
      </w:pPr>
      <w:bookmarkStart w:id="368" w:name="_Toc202187871"/>
      <w:r w:rsidRPr="00C601A2">
        <w:lastRenderedPageBreak/>
        <w:t>Lower Murray River stream metabolism – flow relationship plots</w:t>
      </w:r>
      <w:bookmarkEnd w:id="366"/>
      <w:bookmarkEnd w:id="367"/>
      <w:bookmarkEnd w:id="368"/>
    </w:p>
    <w:p w14:paraId="3D3E780A" w14:textId="165BC317" w:rsidR="005A40B3" w:rsidRDefault="00A76FDF" w:rsidP="00105570">
      <w:pPr>
        <w:pStyle w:val="CaptionWithNote"/>
      </w:pPr>
      <w:bookmarkStart w:id="369" w:name="_Ref106044252"/>
      <w:bookmarkStart w:id="370" w:name="_Toc202187920"/>
      <w:bookmarkStart w:id="371" w:name="_Toc169543928"/>
      <w:bookmarkStart w:id="372" w:name="_Toc194788987"/>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30</w:t>
      </w:r>
      <w:r w:rsidRPr="00C601A2">
        <w:fldChar w:fldCharType="end"/>
      </w:r>
      <w:bookmarkEnd w:id="369"/>
      <w:r w:rsidRPr="00C601A2">
        <w:t xml:space="preserve"> Lower Murray River stream metabolism – flow relationship plots: LK1DS_265km (Lock 1)</w:t>
      </w:r>
      <w:bookmarkEnd w:id="370"/>
    </w:p>
    <w:p w14:paraId="21668C4A" w14:textId="0CADFD3A" w:rsidR="00A76FDF" w:rsidRPr="00F118DF" w:rsidRDefault="00A76FDF" w:rsidP="00F118DF">
      <w:pPr>
        <w:pStyle w:val="CaptionNote"/>
      </w:pPr>
      <w:r w:rsidRPr="00F118DF">
        <w:t>r2</w:t>
      </w:r>
      <w:r w:rsidR="00BC376D" w:rsidRPr="00F118DF">
        <w:t> </w:t>
      </w:r>
      <w:r w:rsidRPr="00F118DF">
        <w:t>=</w:t>
      </w:r>
      <w:r w:rsidR="00BC376D" w:rsidRPr="00F118DF">
        <w:t> </w:t>
      </w:r>
      <w:r w:rsidRPr="00F118DF">
        <w:t>0.0</w:t>
      </w:r>
      <w:r w:rsidR="00BF6FDD" w:rsidRPr="00F118DF">
        <w:t>9</w:t>
      </w:r>
      <w:r w:rsidRPr="00F118DF">
        <w:t>, p</w:t>
      </w:r>
      <w:r w:rsidR="00BC376D" w:rsidRPr="00F118DF">
        <w:t> </w:t>
      </w:r>
      <w:r w:rsidRPr="00F118DF">
        <w:t>=</w:t>
      </w:r>
      <w:r w:rsidR="00BC376D" w:rsidRPr="00F118DF">
        <w:t> </w:t>
      </w:r>
      <w:r w:rsidRPr="00F118DF">
        <w:t>0.001</w:t>
      </w:r>
      <w:bookmarkEnd w:id="371"/>
      <w:bookmarkEnd w:id="372"/>
    </w:p>
    <w:p w14:paraId="7D77D81D" w14:textId="4FC4CAF3" w:rsidR="008E710E" w:rsidRPr="008E710E" w:rsidRDefault="008E710E" w:rsidP="003A540C">
      <w:pPr>
        <w:pStyle w:val="CaptionNote"/>
      </w:pPr>
      <w:r>
        <w:t>ER = ecosystem respiration, GPP = gross primary production, NEP = net ecosystem production</w:t>
      </w:r>
      <w:r w:rsidR="0015264B">
        <w:t>.</w:t>
      </w:r>
    </w:p>
    <w:p w14:paraId="5167DBA7" w14:textId="3613FCFF" w:rsidR="005A4CCA" w:rsidRPr="00C601A2" w:rsidRDefault="00F82CCD" w:rsidP="005A4CCA">
      <w:pPr>
        <w:pStyle w:val="Figure"/>
      </w:pPr>
      <w:r>
        <w:rPr>
          <w:noProof/>
        </w:rPr>
        <w:drawing>
          <wp:inline distT="0" distB="0" distL="0" distR="0" wp14:anchorId="4EC87B60" wp14:editId="2EBCC31D">
            <wp:extent cx="6120130" cy="3058795"/>
            <wp:effectExtent l="0" t="0" r="0" b="8255"/>
            <wp:docPr id="485015787"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15787" name="Picture 1" descr="4 plots - 3 line and scatter plots showing GPP, ER and NEP. Larger scatter plot showing ER:GPP"/>
                    <pic:cNvPicPr/>
                  </pic:nvPicPr>
                  <pic:blipFill>
                    <a:blip r:embed="rId90"/>
                    <a:stretch>
                      <a:fillRect/>
                    </a:stretch>
                  </pic:blipFill>
                  <pic:spPr>
                    <a:xfrm>
                      <a:off x="0" y="0"/>
                      <a:ext cx="6120130" cy="3058795"/>
                    </a:xfrm>
                    <a:prstGeom prst="rect">
                      <a:avLst/>
                    </a:prstGeom>
                  </pic:spPr>
                </pic:pic>
              </a:graphicData>
            </a:graphic>
          </wp:inline>
        </w:drawing>
      </w:r>
    </w:p>
    <w:p w14:paraId="2E30F58C" w14:textId="3BF88C4B" w:rsidR="005A40B3" w:rsidRDefault="00A76FDF" w:rsidP="00105570">
      <w:pPr>
        <w:pStyle w:val="CaptionWithNote"/>
      </w:pPr>
      <w:bookmarkStart w:id="373" w:name="_Ref106046949"/>
      <w:bookmarkStart w:id="374" w:name="_Toc202187921"/>
      <w:bookmarkStart w:id="375" w:name="_Toc169543929"/>
      <w:bookmarkStart w:id="376" w:name="_Toc194788988"/>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31</w:t>
      </w:r>
      <w:r w:rsidRPr="00C601A2">
        <w:fldChar w:fldCharType="end"/>
      </w:r>
      <w:bookmarkEnd w:id="373"/>
      <w:r w:rsidRPr="00C601A2">
        <w:t xml:space="preserve"> Lower Murray River stream metabolism – flow relationship plots: LK4DS_501km (Lock 4)</w:t>
      </w:r>
      <w:bookmarkEnd w:id="374"/>
    </w:p>
    <w:p w14:paraId="5E3EC1B8" w14:textId="26CC5381" w:rsidR="00A76FDF" w:rsidRPr="00F118DF" w:rsidRDefault="00A76FDF" w:rsidP="00F118DF">
      <w:pPr>
        <w:pStyle w:val="CaptionNote"/>
      </w:pPr>
      <w:r w:rsidRPr="00F118DF">
        <w:t>r2</w:t>
      </w:r>
      <w:r w:rsidR="00BC376D" w:rsidRPr="00F118DF">
        <w:t> </w:t>
      </w:r>
      <w:r w:rsidRPr="00F118DF">
        <w:t>=</w:t>
      </w:r>
      <w:r w:rsidR="00BC376D" w:rsidRPr="00F118DF">
        <w:t> </w:t>
      </w:r>
      <w:r w:rsidRPr="00F118DF">
        <w:t>0.</w:t>
      </w:r>
      <w:r w:rsidR="00075FDF" w:rsidRPr="00F118DF">
        <w:t>4</w:t>
      </w:r>
      <w:r w:rsidR="00B11EC6" w:rsidRPr="00F118DF">
        <w:t>3</w:t>
      </w:r>
      <w:r w:rsidRPr="00F118DF">
        <w:t>, p</w:t>
      </w:r>
      <w:r w:rsidR="00BC376D" w:rsidRPr="00F118DF">
        <w:t> </w:t>
      </w:r>
      <w:r w:rsidRPr="00F118DF">
        <w:t>=</w:t>
      </w:r>
      <w:r w:rsidR="00BC376D" w:rsidRPr="00F118DF">
        <w:t> </w:t>
      </w:r>
      <w:r w:rsidRPr="00F118DF">
        <w:t>0.001</w:t>
      </w:r>
      <w:bookmarkEnd w:id="375"/>
      <w:bookmarkEnd w:id="376"/>
    </w:p>
    <w:p w14:paraId="0AAFFDBC" w14:textId="2CD68118" w:rsidR="008E710E" w:rsidRPr="008E710E" w:rsidRDefault="008E710E" w:rsidP="008355FD">
      <w:pPr>
        <w:pStyle w:val="CaptionNote"/>
      </w:pPr>
      <w:r>
        <w:t>ER = ecosystem respiration, GPP = gross primary production, NEP = net ecosystem production</w:t>
      </w:r>
      <w:r w:rsidR="00BD6372">
        <w:t>.</w:t>
      </w:r>
    </w:p>
    <w:p w14:paraId="1E94EA21" w14:textId="37DDA5D8" w:rsidR="005A4CCA" w:rsidRPr="00C601A2" w:rsidRDefault="00F82CCD" w:rsidP="005A4CCA">
      <w:pPr>
        <w:pStyle w:val="Figure"/>
      </w:pPr>
      <w:r>
        <w:rPr>
          <w:noProof/>
        </w:rPr>
        <w:drawing>
          <wp:inline distT="0" distB="0" distL="0" distR="0" wp14:anchorId="4F329658" wp14:editId="35F0BD8F">
            <wp:extent cx="6120130" cy="3058795"/>
            <wp:effectExtent l="0" t="0" r="0" b="8255"/>
            <wp:docPr id="1878252872"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52872" name="Picture 1" descr="4 plots - 3 line and scatter plots showing GPP, ER and NEP. Larger scatter plot showing ER:GPP"/>
                    <pic:cNvPicPr/>
                  </pic:nvPicPr>
                  <pic:blipFill>
                    <a:blip r:embed="rId91"/>
                    <a:stretch>
                      <a:fillRect/>
                    </a:stretch>
                  </pic:blipFill>
                  <pic:spPr>
                    <a:xfrm>
                      <a:off x="0" y="0"/>
                      <a:ext cx="6120130" cy="3058795"/>
                    </a:xfrm>
                    <a:prstGeom prst="rect">
                      <a:avLst/>
                    </a:prstGeom>
                  </pic:spPr>
                </pic:pic>
              </a:graphicData>
            </a:graphic>
          </wp:inline>
        </w:drawing>
      </w:r>
    </w:p>
    <w:p w14:paraId="0B4A3F14" w14:textId="006ABA20" w:rsidR="005A40B3" w:rsidRDefault="00A76FDF" w:rsidP="00105570">
      <w:pPr>
        <w:pStyle w:val="CaptionWithNote"/>
      </w:pPr>
      <w:bookmarkStart w:id="377" w:name="_Ref106044257"/>
      <w:bookmarkStart w:id="378" w:name="_Toc202187922"/>
      <w:bookmarkStart w:id="379" w:name="_Toc169543930"/>
      <w:bookmarkStart w:id="380" w:name="_Toc194788989"/>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32</w:t>
      </w:r>
      <w:r w:rsidRPr="00C601A2">
        <w:fldChar w:fldCharType="end"/>
      </w:r>
      <w:bookmarkEnd w:id="377"/>
      <w:r w:rsidRPr="00C601A2">
        <w:t xml:space="preserve"> Lower Murray River stream metabolism – flow relationship plots: LK6DS_616km (Lock 6)</w:t>
      </w:r>
      <w:bookmarkEnd w:id="378"/>
    </w:p>
    <w:p w14:paraId="509D16D3" w14:textId="214FA4A5" w:rsidR="00A76FDF" w:rsidRPr="00F118DF" w:rsidRDefault="00A76FDF" w:rsidP="00F118DF">
      <w:pPr>
        <w:pStyle w:val="CaptionNote"/>
      </w:pPr>
      <w:r w:rsidRPr="00F118DF">
        <w:t>r2</w:t>
      </w:r>
      <w:r w:rsidR="00BC376D" w:rsidRPr="00F118DF">
        <w:t> </w:t>
      </w:r>
      <w:r w:rsidRPr="00F118DF">
        <w:t>=</w:t>
      </w:r>
      <w:r w:rsidR="00BC376D" w:rsidRPr="00F118DF">
        <w:t> </w:t>
      </w:r>
      <w:r w:rsidRPr="00F118DF">
        <w:t>0.</w:t>
      </w:r>
      <w:r w:rsidR="00116C15" w:rsidRPr="00F118DF">
        <w:t>4</w:t>
      </w:r>
      <w:r w:rsidR="00F6593F" w:rsidRPr="00F118DF">
        <w:t>1</w:t>
      </w:r>
      <w:r w:rsidRPr="00F118DF">
        <w:t>, p</w:t>
      </w:r>
      <w:r w:rsidR="00BC376D" w:rsidRPr="00F118DF">
        <w:t> </w:t>
      </w:r>
      <w:r w:rsidRPr="00F118DF">
        <w:t>=</w:t>
      </w:r>
      <w:r w:rsidR="00BC376D" w:rsidRPr="00F118DF">
        <w:t> </w:t>
      </w:r>
      <w:r w:rsidRPr="00F118DF">
        <w:t>0.001</w:t>
      </w:r>
      <w:bookmarkEnd w:id="379"/>
      <w:bookmarkEnd w:id="380"/>
    </w:p>
    <w:p w14:paraId="3C88A4EE" w14:textId="7AEF8C6D" w:rsidR="008E710E" w:rsidRPr="008E710E" w:rsidRDefault="008E710E" w:rsidP="008355FD">
      <w:pPr>
        <w:pStyle w:val="CaptionNote"/>
      </w:pPr>
      <w:r>
        <w:t>ER = ecosystem respiration, GPP = gross primary production, NEP = net ecosystem production</w:t>
      </w:r>
      <w:r w:rsidR="00784503">
        <w:t>.</w:t>
      </w:r>
    </w:p>
    <w:p w14:paraId="3FFC645D" w14:textId="4D3015D3" w:rsidR="005A4CCA" w:rsidRPr="00C601A2" w:rsidRDefault="004A0FED" w:rsidP="005A4CCA">
      <w:pPr>
        <w:pStyle w:val="Figure"/>
      </w:pPr>
      <w:bookmarkStart w:id="381" w:name="_Ref106047317"/>
      <w:bookmarkStart w:id="382" w:name="_Toc169543887"/>
      <w:r>
        <w:rPr>
          <w:noProof/>
        </w:rPr>
        <w:drawing>
          <wp:inline distT="0" distB="0" distL="0" distR="0" wp14:anchorId="2C9173F1" wp14:editId="6E96CA31">
            <wp:extent cx="6120130" cy="3058795"/>
            <wp:effectExtent l="0" t="0" r="0" b="8255"/>
            <wp:docPr id="194052467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24679" name="Picture 1" descr="4 plots - 3 line and scatter plots showing GPP, ER and NEP. Larger scatter plot showing ER:GPP"/>
                    <pic:cNvPicPr/>
                  </pic:nvPicPr>
                  <pic:blipFill>
                    <a:blip r:embed="rId92"/>
                    <a:stretch>
                      <a:fillRect/>
                    </a:stretch>
                  </pic:blipFill>
                  <pic:spPr>
                    <a:xfrm>
                      <a:off x="0" y="0"/>
                      <a:ext cx="6120130" cy="3058795"/>
                    </a:xfrm>
                    <a:prstGeom prst="rect">
                      <a:avLst/>
                    </a:prstGeom>
                  </pic:spPr>
                </pic:pic>
              </a:graphicData>
            </a:graphic>
          </wp:inline>
        </w:drawing>
      </w:r>
    </w:p>
    <w:p w14:paraId="58DCB38B" w14:textId="77777777" w:rsidR="00A76FDF" w:rsidRPr="00C601A2" w:rsidRDefault="00A76FDF" w:rsidP="00F118DF">
      <w:pPr>
        <w:pStyle w:val="AppendixHeading2"/>
      </w:pPr>
      <w:bookmarkStart w:id="383" w:name="_Toc202187872"/>
      <w:r w:rsidRPr="00C601A2">
        <w:t>Murrumbidgee River System stream metabolism – flow relationship plots</w:t>
      </w:r>
      <w:bookmarkEnd w:id="381"/>
      <w:bookmarkEnd w:id="382"/>
      <w:bookmarkEnd w:id="383"/>
    </w:p>
    <w:p w14:paraId="2352716C" w14:textId="35D14EC0" w:rsidR="005A40B3" w:rsidRDefault="00A76FDF" w:rsidP="00105570">
      <w:pPr>
        <w:pStyle w:val="CaptionWithNote"/>
      </w:pPr>
      <w:bookmarkStart w:id="384" w:name="_Ref106047023"/>
      <w:bookmarkStart w:id="385" w:name="_Toc202187923"/>
      <w:bookmarkStart w:id="386" w:name="_Toc169543931"/>
      <w:bookmarkStart w:id="387" w:name="_Toc194788990"/>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33</w:t>
      </w:r>
      <w:r w:rsidRPr="00C601A2">
        <w:fldChar w:fldCharType="end"/>
      </w:r>
      <w:bookmarkEnd w:id="384"/>
      <w:r w:rsidRPr="00C601A2">
        <w:t xml:space="preserve"> Murrumbidgee River System stream metabolism – flow relationship plots: 1</w:t>
      </w:r>
      <w:r w:rsidR="008B0E79" w:rsidRPr="00C601A2">
        <w:t> </w:t>
      </w:r>
      <w:r w:rsidRPr="00C601A2">
        <w:t xml:space="preserve">km upstream </w:t>
      </w:r>
      <w:proofErr w:type="spellStart"/>
      <w:r w:rsidRPr="00C601A2">
        <w:t>Wynburn</w:t>
      </w:r>
      <w:proofErr w:type="spellEnd"/>
      <w:r w:rsidRPr="00C601A2">
        <w:t xml:space="preserve"> Escape</w:t>
      </w:r>
      <w:bookmarkEnd w:id="385"/>
    </w:p>
    <w:p w14:paraId="3837BA50" w14:textId="56F27FD1" w:rsidR="00A76FDF" w:rsidRPr="00F118DF" w:rsidRDefault="00A76FDF" w:rsidP="00F118DF">
      <w:pPr>
        <w:pStyle w:val="CaptionNote"/>
      </w:pPr>
      <w:r w:rsidRPr="00F118DF">
        <w:t>r2</w:t>
      </w:r>
      <w:r w:rsidR="00BC376D" w:rsidRPr="00F118DF">
        <w:t> </w:t>
      </w:r>
      <w:r w:rsidRPr="00F118DF">
        <w:t>=</w:t>
      </w:r>
      <w:r w:rsidR="00BC376D" w:rsidRPr="00F118DF">
        <w:t> </w:t>
      </w:r>
      <w:r w:rsidRPr="00F118DF">
        <w:t>0.76, p</w:t>
      </w:r>
      <w:r w:rsidR="00BC376D" w:rsidRPr="00F118DF">
        <w:t> </w:t>
      </w:r>
      <w:r w:rsidRPr="00F118DF">
        <w:t>=</w:t>
      </w:r>
      <w:r w:rsidR="00BC376D" w:rsidRPr="00F118DF">
        <w:t> </w:t>
      </w:r>
      <w:r w:rsidRPr="00F118DF">
        <w:t>0.001</w:t>
      </w:r>
      <w:bookmarkEnd w:id="386"/>
      <w:bookmarkEnd w:id="387"/>
    </w:p>
    <w:p w14:paraId="41549C6C" w14:textId="60FC34EC" w:rsidR="008E710E" w:rsidRPr="008E710E" w:rsidRDefault="008E710E" w:rsidP="008355FD">
      <w:pPr>
        <w:pStyle w:val="CaptionNote"/>
      </w:pPr>
      <w:r>
        <w:t>ER = ecosystem respiration, GPP = gross primary production, NEP = net ecosystem production</w:t>
      </w:r>
      <w:r w:rsidR="00E5287B">
        <w:t>.</w:t>
      </w:r>
    </w:p>
    <w:p w14:paraId="6EC4671F" w14:textId="48C22EFF" w:rsidR="00CA15EC" w:rsidRPr="00C601A2" w:rsidRDefault="004A0FED" w:rsidP="00CA15EC">
      <w:pPr>
        <w:pStyle w:val="Figure"/>
      </w:pPr>
      <w:r>
        <w:rPr>
          <w:noProof/>
        </w:rPr>
        <w:drawing>
          <wp:inline distT="0" distB="0" distL="0" distR="0" wp14:anchorId="125A35AA" wp14:editId="04E6665E">
            <wp:extent cx="6120130" cy="3058795"/>
            <wp:effectExtent l="0" t="0" r="0" b="8255"/>
            <wp:docPr id="512631511"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31511" name="Picture 1" descr="4 plots - 3 line and scatter plots showing GPP, ER and NEP. Larger scatter plot showing ER:GPP"/>
                    <pic:cNvPicPr/>
                  </pic:nvPicPr>
                  <pic:blipFill>
                    <a:blip r:embed="rId93"/>
                    <a:stretch>
                      <a:fillRect/>
                    </a:stretch>
                  </pic:blipFill>
                  <pic:spPr>
                    <a:xfrm>
                      <a:off x="0" y="0"/>
                      <a:ext cx="6120130" cy="3058795"/>
                    </a:xfrm>
                    <a:prstGeom prst="rect">
                      <a:avLst/>
                    </a:prstGeom>
                  </pic:spPr>
                </pic:pic>
              </a:graphicData>
            </a:graphic>
          </wp:inline>
        </w:drawing>
      </w:r>
    </w:p>
    <w:p w14:paraId="01DD6CF5" w14:textId="28C66FB7" w:rsidR="005A40B3" w:rsidRDefault="00A76FDF" w:rsidP="00105570">
      <w:pPr>
        <w:pStyle w:val="CaptionWithNote"/>
        <w:rPr>
          <w:noProof/>
        </w:rPr>
      </w:pPr>
      <w:bookmarkStart w:id="388" w:name="_Ref106047120"/>
      <w:bookmarkStart w:id="389" w:name="_Toc202187924"/>
      <w:bookmarkStart w:id="390" w:name="_Toc169543932"/>
      <w:bookmarkStart w:id="391" w:name="_Toc194788991"/>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34</w:t>
      </w:r>
      <w:r w:rsidRPr="00C601A2">
        <w:fldChar w:fldCharType="end"/>
      </w:r>
      <w:bookmarkEnd w:id="388"/>
      <w:r w:rsidRPr="00C601A2">
        <w:t xml:space="preserve"> Murrumbidgee River System stream metabolism – flow relationship plots</w:t>
      </w:r>
      <w:r w:rsidRPr="00C601A2">
        <w:rPr>
          <w:noProof/>
        </w:rPr>
        <w:t>: 3</w:t>
      </w:r>
      <w:r w:rsidR="008B0E79" w:rsidRPr="00C601A2">
        <w:rPr>
          <w:noProof/>
        </w:rPr>
        <w:t> </w:t>
      </w:r>
      <w:r w:rsidRPr="00C601A2">
        <w:rPr>
          <w:noProof/>
        </w:rPr>
        <w:t>km downstream Wynburn Escape</w:t>
      </w:r>
      <w:bookmarkEnd w:id="389"/>
      <w:r w:rsidRPr="00C601A2">
        <w:rPr>
          <w:noProof/>
        </w:rPr>
        <w:t xml:space="preserve"> </w:t>
      </w:r>
    </w:p>
    <w:p w14:paraId="2EFB4F63" w14:textId="6E89795A" w:rsidR="00A76FDF" w:rsidRPr="00F118DF" w:rsidRDefault="00A76FDF" w:rsidP="00F118DF">
      <w:pPr>
        <w:pStyle w:val="CaptionNote"/>
      </w:pPr>
      <w:r w:rsidRPr="00F118DF">
        <w:t>r2</w:t>
      </w:r>
      <w:r w:rsidR="00BC376D" w:rsidRPr="00F118DF">
        <w:rPr>
          <w:vertAlign w:val="superscript"/>
        </w:rPr>
        <w:t> </w:t>
      </w:r>
      <w:r w:rsidRPr="00F118DF">
        <w:t>=</w:t>
      </w:r>
      <w:r w:rsidR="00BC376D" w:rsidRPr="00F118DF">
        <w:t> </w:t>
      </w:r>
      <w:r w:rsidRPr="00F118DF">
        <w:t>0.6</w:t>
      </w:r>
      <w:r w:rsidR="00D07014" w:rsidRPr="00F118DF">
        <w:t>1</w:t>
      </w:r>
      <w:r w:rsidRPr="00F118DF">
        <w:t>, p</w:t>
      </w:r>
      <w:r w:rsidR="00BC376D" w:rsidRPr="00F118DF">
        <w:t> </w:t>
      </w:r>
      <w:r w:rsidRPr="00F118DF">
        <w:t>=</w:t>
      </w:r>
      <w:r w:rsidR="00BC376D" w:rsidRPr="00F118DF">
        <w:t> </w:t>
      </w:r>
      <w:r w:rsidRPr="00F118DF">
        <w:t>0.001</w:t>
      </w:r>
      <w:bookmarkEnd w:id="390"/>
      <w:bookmarkEnd w:id="391"/>
    </w:p>
    <w:p w14:paraId="1EEE449B" w14:textId="0FE4E2EA" w:rsidR="008E710E" w:rsidRPr="008355FD" w:rsidRDefault="008E710E" w:rsidP="008355FD">
      <w:pPr>
        <w:pStyle w:val="CaptionNote"/>
      </w:pPr>
      <w:r>
        <w:t>ER = ecosystem respiration, GPP = gross primary production, NEP = net ecosystem production</w:t>
      </w:r>
      <w:r w:rsidR="00E5287B">
        <w:t>.</w:t>
      </w:r>
    </w:p>
    <w:p w14:paraId="3DBE7ADF" w14:textId="5C91C354" w:rsidR="00CA15EC" w:rsidRPr="00C601A2" w:rsidRDefault="004A0FED" w:rsidP="00CA15EC">
      <w:pPr>
        <w:pStyle w:val="Figure"/>
      </w:pPr>
      <w:r>
        <w:rPr>
          <w:noProof/>
        </w:rPr>
        <w:drawing>
          <wp:inline distT="0" distB="0" distL="0" distR="0" wp14:anchorId="3658ED40" wp14:editId="7B589E9C">
            <wp:extent cx="6120130" cy="3058795"/>
            <wp:effectExtent l="0" t="0" r="0" b="8255"/>
            <wp:docPr id="733020028"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020028" name="Picture 1" descr="4 plots - 3 line and scatter plots showing GPP, ER and NEP. Larger scatter plot showing ER:GPP"/>
                    <pic:cNvPicPr/>
                  </pic:nvPicPr>
                  <pic:blipFill>
                    <a:blip r:embed="rId94"/>
                    <a:stretch>
                      <a:fillRect/>
                    </a:stretch>
                  </pic:blipFill>
                  <pic:spPr>
                    <a:xfrm>
                      <a:off x="0" y="0"/>
                      <a:ext cx="6120130" cy="3058795"/>
                    </a:xfrm>
                    <a:prstGeom prst="rect">
                      <a:avLst/>
                    </a:prstGeom>
                  </pic:spPr>
                </pic:pic>
              </a:graphicData>
            </a:graphic>
          </wp:inline>
        </w:drawing>
      </w:r>
    </w:p>
    <w:p w14:paraId="555B7885" w14:textId="47CEFA8D" w:rsidR="005A40B3" w:rsidRDefault="00A76FDF" w:rsidP="00105570">
      <w:pPr>
        <w:pStyle w:val="CaptionWithNote"/>
      </w:pPr>
      <w:bookmarkStart w:id="392" w:name="_Ref106047156"/>
      <w:bookmarkStart w:id="393" w:name="_Toc202187925"/>
      <w:bookmarkStart w:id="394" w:name="_Toc169543933"/>
      <w:bookmarkStart w:id="395" w:name="_Toc194788992"/>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35</w:t>
      </w:r>
      <w:r w:rsidRPr="00C601A2">
        <w:fldChar w:fldCharType="end"/>
      </w:r>
      <w:bookmarkEnd w:id="392"/>
      <w:r w:rsidRPr="00C601A2">
        <w:t xml:space="preserve"> Murrumbidgee River System stream metabolism – flow relationship plots: </w:t>
      </w:r>
      <w:proofErr w:type="spellStart"/>
      <w:r w:rsidRPr="00C601A2">
        <w:t>McKennas</w:t>
      </w:r>
      <w:bookmarkEnd w:id="393"/>
      <w:proofErr w:type="spellEnd"/>
    </w:p>
    <w:p w14:paraId="6C6E1ACD" w14:textId="0C7DCF77" w:rsidR="00A76FDF" w:rsidRPr="00F118DF" w:rsidRDefault="00A76FDF" w:rsidP="00F118DF">
      <w:pPr>
        <w:pStyle w:val="CaptionNote"/>
      </w:pPr>
      <w:r w:rsidRPr="00F118DF">
        <w:t>r2</w:t>
      </w:r>
      <w:r w:rsidR="00BC376D" w:rsidRPr="00F118DF">
        <w:t> </w:t>
      </w:r>
      <w:r w:rsidRPr="00F118DF">
        <w:t>=</w:t>
      </w:r>
      <w:r w:rsidR="00BC376D" w:rsidRPr="00F118DF">
        <w:t> </w:t>
      </w:r>
      <w:r w:rsidRPr="00F118DF">
        <w:t>0.01, p</w:t>
      </w:r>
      <w:r w:rsidR="00BC376D" w:rsidRPr="00F118DF">
        <w:t> </w:t>
      </w:r>
      <w:r w:rsidRPr="00F118DF">
        <w:t>=</w:t>
      </w:r>
      <w:r w:rsidR="00BC376D" w:rsidRPr="00F118DF">
        <w:t> </w:t>
      </w:r>
      <w:r w:rsidRPr="00F118DF">
        <w:t>0.01</w:t>
      </w:r>
      <w:r w:rsidR="00D07014" w:rsidRPr="00F118DF">
        <w:t>1</w:t>
      </w:r>
      <w:bookmarkEnd w:id="394"/>
      <w:bookmarkEnd w:id="395"/>
    </w:p>
    <w:p w14:paraId="5C7F07CD" w14:textId="56CDBF19" w:rsidR="008E710E" w:rsidRPr="008E710E" w:rsidRDefault="008E710E" w:rsidP="008355FD">
      <w:pPr>
        <w:pStyle w:val="CaptionNote"/>
      </w:pPr>
      <w:r>
        <w:t>ER = ecosystem respiration, GPP = gross primary production, NEP = net ecosystem production</w:t>
      </w:r>
      <w:r w:rsidR="008475BD">
        <w:t>.</w:t>
      </w:r>
    </w:p>
    <w:p w14:paraId="5B96E577" w14:textId="5EFF4D6C" w:rsidR="00CA15EC" w:rsidRPr="00C601A2" w:rsidRDefault="004A0FED" w:rsidP="00CA15EC">
      <w:pPr>
        <w:pStyle w:val="Figure"/>
      </w:pPr>
      <w:r>
        <w:rPr>
          <w:noProof/>
        </w:rPr>
        <w:drawing>
          <wp:inline distT="0" distB="0" distL="0" distR="0" wp14:anchorId="1B6E4D9D" wp14:editId="7773B1F2">
            <wp:extent cx="6120130" cy="3058795"/>
            <wp:effectExtent l="0" t="0" r="0" b="8255"/>
            <wp:docPr id="2045657146"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57146" name="Picture 1" descr="4 plots - 3 line and scatter plots showing GPP, ER and NEP. Larger scatter plot showing ER:GPP"/>
                    <pic:cNvPicPr/>
                  </pic:nvPicPr>
                  <pic:blipFill>
                    <a:blip r:embed="rId95"/>
                    <a:stretch>
                      <a:fillRect/>
                    </a:stretch>
                  </pic:blipFill>
                  <pic:spPr>
                    <a:xfrm>
                      <a:off x="0" y="0"/>
                      <a:ext cx="6120130" cy="3058795"/>
                    </a:xfrm>
                    <a:prstGeom prst="rect">
                      <a:avLst/>
                    </a:prstGeom>
                  </pic:spPr>
                </pic:pic>
              </a:graphicData>
            </a:graphic>
          </wp:inline>
        </w:drawing>
      </w:r>
    </w:p>
    <w:p w14:paraId="6E8A3393" w14:textId="28C4FD03" w:rsidR="005A40B3" w:rsidRDefault="00A76FDF" w:rsidP="00A90056">
      <w:pPr>
        <w:pStyle w:val="CaptionWithNote"/>
      </w:pPr>
      <w:bookmarkStart w:id="396" w:name="_Ref106047185"/>
      <w:bookmarkStart w:id="397" w:name="_Toc202187926"/>
      <w:bookmarkStart w:id="398" w:name="_Toc169543934"/>
      <w:bookmarkStart w:id="399" w:name="_Toc194788993"/>
      <w:r w:rsidRPr="00B308B2">
        <w:lastRenderedPageBreak/>
        <w:t xml:space="preserve">Figure </w:t>
      </w:r>
      <w:r w:rsidRPr="00B308B2">
        <w:fldChar w:fldCharType="begin"/>
      </w:r>
      <w:r w:rsidRPr="00B308B2">
        <w:instrText>STYLEREF 9 \s</w:instrText>
      </w:r>
      <w:r w:rsidRPr="00B308B2">
        <w:fldChar w:fldCharType="separate"/>
      </w:r>
      <w:r w:rsidR="00492712">
        <w:rPr>
          <w:noProof/>
        </w:rPr>
        <w:t>A</w:t>
      </w:r>
      <w:r w:rsidRPr="00B308B2">
        <w:fldChar w:fldCharType="end"/>
      </w:r>
      <w:r w:rsidRPr="00B308B2">
        <w:t>.</w:t>
      </w:r>
      <w:r w:rsidRPr="00B308B2">
        <w:fldChar w:fldCharType="begin"/>
      </w:r>
      <w:r w:rsidRPr="00B308B2">
        <w:instrText>SEQ Apx_Figure \* ARABIC \s 9</w:instrText>
      </w:r>
      <w:r w:rsidRPr="00B308B2">
        <w:fldChar w:fldCharType="separate"/>
      </w:r>
      <w:r w:rsidR="00492712">
        <w:rPr>
          <w:noProof/>
        </w:rPr>
        <w:t>36</w:t>
      </w:r>
      <w:r w:rsidRPr="00B308B2">
        <w:fldChar w:fldCharType="end"/>
      </w:r>
      <w:bookmarkEnd w:id="396"/>
      <w:r w:rsidRPr="00B308B2">
        <w:t xml:space="preserve"> Murrumbidgee River System stream metabolism – flow relationship plots: Narrandera</w:t>
      </w:r>
      <w:bookmarkEnd w:id="397"/>
    </w:p>
    <w:p w14:paraId="1170E53A" w14:textId="54632BB7" w:rsidR="008E710E" w:rsidRPr="00B308B2" w:rsidRDefault="00A76FDF" w:rsidP="00F118DF">
      <w:pPr>
        <w:pStyle w:val="CaptionNote"/>
      </w:pPr>
      <w:r w:rsidRPr="00F118DF">
        <w:t>r2</w:t>
      </w:r>
      <w:r w:rsidR="00BC376D" w:rsidRPr="00F118DF">
        <w:t> </w:t>
      </w:r>
      <w:r w:rsidRPr="00F118DF">
        <w:t>=</w:t>
      </w:r>
      <w:r w:rsidR="00BC376D" w:rsidRPr="00F118DF">
        <w:t> </w:t>
      </w:r>
      <w:r w:rsidRPr="00F118DF">
        <w:t>0.22, p</w:t>
      </w:r>
      <w:r w:rsidR="00BC376D" w:rsidRPr="00F118DF">
        <w:t> </w:t>
      </w:r>
      <w:r w:rsidRPr="00F118DF">
        <w:t>=</w:t>
      </w:r>
      <w:r w:rsidR="00BC376D" w:rsidRPr="00F118DF">
        <w:t> </w:t>
      </w:r>
      <w:r w:rsidRPr="00F118DF">
        <w:t>0.001</w:t>
      </w:r>
      <w:bookmarkEnd w:id="398"/>
      <w:bookmarkEnd w:id="399"/>
    </w:p>
    <w:p w14:paraId="4EC0FE21" w14:textId="3568AB99" w:rsidR="00AF1E80" w:rsidRDefault="008E710E" w:rsidP="00664394">
      <w:pPr>
        <w:pStyle w:val="CaptionNote"/>
      </w:pPr>
      <w:r>
        <w:t>ER = ecosystem respiration, GPP = gross primary production, NEP = net ecosystem production</w:t>
      </w:r>
      <w:r w:rsidR="008475BD">
        <w:t>.</w:t>
      </w:r>
    </w:p>
    <w:p w14:paraId="1229FB0C" w14:textId="034A1542" w:rsidR="00CA15EC" w:rsidRPr="00C601A2" w:rsidRDefault="004A0FED" w:rsidP="00CA15EC">
      <w:pPr>
        <w:pStyle w:val="Figure"/>
      </w:pPr>
      <w:bookmarkStart w:id="400" w:name="_Toc169543888"/>
      <w:r>
        <w:rPr>
          <w:noProof/>
        </w:rPr>
        <w:drawing>
          <wp:inline distT="0" distB="0" distL="0" distR="0" wp14:anchorId="1F7B1F27" wp14:editId="27656160">
            <wp:extent cx="6120130" cy="3058795"/>
            <wp:effectExtent l="0" t="0" r="0" b="8255"/>
            <wp:docPr id="1093553650"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53650" name="Picture 1" descr="4 plots - 3 line and scatter plots showing GPP, ER and NEP. Larger scatter plot showing ER:GPP"/>
                    <pic:cNvPicPr/>
                  </pic:nvPicPr>
                  <pic:blipFill>
                    <a:blip r:embed="rId96"/>
                    <a:stretch>
                      <a:fillRect/>
                    </a:stretch>
                  </pic:blipFill>
                  <pic:spPr>
                    <a:xfrm>
                      <a:off x="0" y="0"/>
                      <a:ext cx="6120130" cy="3058795"/>
                    </a:xfrm>
                    <a:prstGeom prst="rect">
                      <a:avLst/>
                    </a:prstGeom>
                  </pic:spPr>
                </pic:pic>
              </a:graphicData>
            </a:graphic>
          </wp:inline>
        </w:drawing>
      </w:r>
    </w:p>
    <w:p w14:paraId="20CAA706" w14:textId="77777777" w:rsidR="00AF1E80" w:rsidRDefault="00AF1E80" w:rsidP="00F118DF">
      <w:pPr>
        <w:pStyle w:val="AppendixHeading2"/>
      </w:pPr>
      <w:bookmarkStart w:id="401" w:name="_Ref193975124"/>
      <w:bookmarkStart w:id="402" w:name="_Toc202187873"/>
      <w:r>
        <w:t>Gwyd</w:t>
      </w:r>
      <w:r w:rsidR="00D65DC0">
        <w:t>ir</w:t>
      </w:r>
      <w:r w:rsidRPr="00C601A2">
        <w:t xml:space="preserve"> River System stream metabolism – flow relationship plots</w:t>
      </w:r>
      <w:bookmarkEnd w:id="400"/>
      <w:bookmarkEnd w:id="401"/>
      <w:bookmarkEnd w:id="402"/>
    </w:p>
    <w:p w14:paraId="540A66D9" w14:textId="6CA1C30A" w:rsidR="004B1C5E" w:rsidRDefault="00D65DC0" w:rsidP="00A90056">
      <w:pPr>
        <w:pStyle w:val="CaptionWithNote"/>
      </w:pPr>
      <w:bookmarkStart w:id="403" w:name="_Ref165318160"/>
      <w:bookmarkStart w:id="404" w:name="_Toc202187927"/>
      <w:bookmarkStart w:id="405" w:name="_Toc169543935"/>
      <w:bookmarkStart w:id="406" w:name="_Toc194788994"/>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37</w:t>
      </w:r>
      <w:r w:rsidRPr="00C601A2">
        <w:fldChar w:fldCharType="end"/>
      </w:r>
      <w:bookmarkEnd w:id="403"/>
      <w:r w:rsidR="00B308B2">
        <w:t xml:space="preserve"> </w:t>
      </w:r>
      <w:r w:rsidRPr="00D65DC0">
        <w:t>Gwydir</w:t>
      </w:r>
      <w:r w:rsidRPr="00C601A2">
        <w:t xml:space="preserve"> River System stream metabolism – flow relationship plots: </w:t>
      </w:r>
      <w:r>
        <w:t>GWY</w:t>
      </w:r>
      <w:r w:rsidR="00BC376D">
        <w:t>_</w:t>
      </w:r>
      <w:r w:rsidR="00E02DB0">
        <w:t>418001</w:t>
      </w:r>
      <w:bookmarkEnd w:id="404"/>
    </w:p>
    <w:p w14:paraId="5DDBB735" w14:textId="005E2B9C" w:rsidR="00D65DC0" w:rsidRPr="00F118DF" w:rsidRDefault="00D65DC0" w:rsidP="00F118DF">
      <w:pPr>
        <w:pStyle w:val="CaptionNote"/>
      </w:pPr>
      <w:r w:rsidRPr="00F118DF">
        <w:t>r2</w:t>
      </w:r>
      <w:r w:rsidR="00BC376D" w:rsidRPr="00F118DF">
        <w:t> </w:t>
      </w:r>
      <w:r w:rsidRPr="00F118DF">
        <w:t>=</w:t>
      </w:r>
      <w:r w:rsidR="00BC376D" w:rsidRPr="00F118DF">
        <w:t> </w:t>
      </w:r>
      <w:r w:rsidRPr="00F118DF">
        <w:t>0.</w:t>
      </w:r>
      <w:r w:rsidR="00B8572C" w:rsidRPr="00F118DF">
        <w:t>1</w:t>
      </w:r>
      <w:r w:rsidR="000F0423" w:rsidRPr="00F118DF">
        <w:t>6</w:t>
      </w:r>
      <w:r w:rsidRPr="00F118DF">
        <w:t>, p</w:t>
      </w:r>
      <w:r w:rsidR="00BC376D" w:rsidRPr="00F118DF">
        <w:t> </w:t>
      </w:r>
      <w:r w:rsidRPr="00F118DF">
        <w:t>=</w:t>
      </w:r>
      <w:r w:rsidR="00BC376D" w:rsidRPr="00F118DF">
        <w:t> </w:t>
      </w:r>
      <w:r w:rsidRPr="00F118DF">
        <w:t>0.001</w:t>
      </w:r>
      <w:bookmarkEnd w:id="405"/>
      <w:bookmarkEnd w:id="406"/>
    </w:p>
    <w:p w14:paraId="583497D4" w14:textId="63D45CD4" w:rsidR="008E710E" w:rsidRPr="00B308B2" w:rsidRDefault="008E710E" w:rsidP="00B308B2">
      <w:pPr>
        <w:pStyle w:val="CaptionNote"/>
      </w:pPr>
      <w:r>
        <w:t>ER = ecosystem respiration, GPP = gross primary production, NEP = net ecosystem production</w:t>
      </w:r>
      <w:r w:rsidR="008475BD">
        <w:t>.</w:t>
      </w:r>
    </w:p>
    <w:p w14:paraId="109F02FB" w14:textId="400F18CE" w:rsidR="00CA15EC" w:rsidRDefault="000F0423" w:rsidP="00A90056">
      <w:pPr>
        <w:pStyle w:val="Figure"/>
      </w:pPr>
      <w:r>
        <w:rPr>
          <w:noProof/>
        </w:rPr>
        <w:drawing>
          <wp:inline distT="0" distB="0" distL="0" distR="0" wp14:anchorId="24BB3DD2" wp14:editId="2BC55E02">
            <wp:extent cx="6120130" cy="3058795"/>
            <wp:effectExtent l="0" t="0" r="0" b="8255"/>
            <wp:docPr id="159910491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04919" name="Picture 1" descr="4 plots - 3 line and scatter plots showing GPP, ER and NEP. Larger scatter plot showing ER:GPP"/>
                    <pic:cNvPicPr/>
                  </pic:nvPicPr>
                  <pic:blipFill>
                    <a:blip r:embed="rId97"/>
                    <a:stretch>
                      <a:fillRect/>
                    </a:stretch>
                  </pic:blipFill>
                  <pic:spPr>
                    <a:xfrm>
                      <a:off x="0" y="0"/>
                      <a:ext cx="6120130" cy="3058795"/>
                    </a:xfrm>
                    <a:prstGeom prst="rect">
                      <a:avLst/>
                    </a:prstGeom>
                  </pic:spPr>
                </pic:pic>
              </a:graphicData>
            </a:graphic>
          </wp:inline>
        </w:drawing>
      </w:r>
    </w:p>
    <w:p w14:paraId="7494B62D" w14:textId="091B5B9C" w:rsidR="004B1C5E" w:rsidRDefault="00D65DC0" w:rsidP="00A90056">
      <w:pPr>
        <w:pStyle w:val="CaptionWithNote"/>
      </w:pPr>
      <w:bookmarkStart w:id="407" w:name="_Ref165318161"/>
      <w:bookmarkStart w:id="408" w:name="_Toc202187928"/>
      <w:bookmarkStart w:id="409" w:name="_Toc169543936"/>
      <w:bookmarkStart w:id="410" w:name="_Toc194788995"/>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38</w:t>
      </w:r>
      <w:r w:rsidRPr="00C601A2">
        <w:fldChar w:fldCharType="end"/>
      </w:r>
      <w:bookmarkEnd w:id="407"/>
      <w:r w:rsidR="0042593E">
        <w:t xml:space="preserve"> </w:t>
      </w:r>
      <w:r w:rsidRPr="00D65DC0">
        <w:t>Gwydir</w:t>
      </w:r>
      <w:r w:rsidRPr="00C601A2">
        <w:t xml:space="preserve"> River System stream metabolism – flow relationship plots</w:t>
      </w:r>
      <w:r w:rsidR="00E02DB0" w:rsidRPr="00C601A2">
        <w:t xml:space="preserve">: </w:t>
      </w:r>
      <w:r w:rsidR="00E02DB0">
        <w:t>GWY</w:t>
      </w:r>
      <w:r w:rsidR="00BC376D">
        <w:t>_</w:t>
      </w:r>
      <w:r w:rsidR="00E02DB0">
        <w:t>418053</w:t>
      </w:r>
      <w:bookmarkEnd w:id="408"/>
    </w:p>
    <w:p w14:paraId="68CABA0E" w14:textId="4103D33C" w:rsidR="00D65DC0" w:rsidRPr="00F118DF" w:rsidRDefault="00D65DC0" w:rsidP="00F118DF">
      <w:pPr>
        <w:pStyle w:val="CaptionNote"/>
      </w:pPr>
      <w:r w:rsidRPr="00F118DF">
        <w:t>r2</w:t>
      </w:r>
      <w:r w:rsidR="00BC376D" w:rsidRPr="00F118DF">
        <w:t> </w:t>
      </w:r>
      <w:r w:rsidRPr="00F118DF">
        <w:t>=</w:t>
      </w:r>
      <w:r w:rsidR="00BC376D" w:rsidRPr="00F118DF">
        <w:t> </w:t>
      </w:r>
      <w:r w:rsidRPr="00F118DF">
        <w:t>0.</w:t>
      </w:r>
      <w:r w:rsidR="00E02DB0" w:rsidRPr="00F118DF">
        <w:t>5</w:t>
      </w:r>
      <w:r w:rsidRPr="00F118DF">
        <w:t>2, p</w:t>
      </w:r>
      <w:r w:rsidR="00BC376D" w:rsidRPr="00F118DF">
        <w:t> </w:t>
      </w:r>
      <w:r w:rsidRPr="00F118DF">
        <w:t>=</w:t>
      </w:r>
      <w:r w:rsidR="00BC376D" w:rsidRPr="00F118DF">
        <w:t> </w:t>
      </w:r>
      <w:r w:rsidRPr="00F118DF">
        <w:t>0.001</w:t>
      </w:r>
      <w:bookmarkEnd w:id="409"/>
      <w:bookmarkEnd w:id="410"/>
    </w:p>
    <w:p w14:paraId="6FBF9F01" w14:textId="4D99827E" w:rsidR="008E710E" w:rsidRPr="00B308B2" w:rsidRDefault="008E710E" w:rsidP="00B308B2">
      <w:pPr>
        <w:pStyle w:val="CaptionNote"/>
      </w:pPr>
      <w:r>
        <w:t>ER = ecosystem respiration, GPP = gross primary production, NEP = net ecosystem production</w:t>
      </w:r>
      <w:r w:rsidR="008475BD">
        <w:t>.</w:t>
      </w:r>
    </w:p>
    <w:p w14:paraId="531B5A00" w14:textId="1E3768E3" w:rsidR="00CA15EC" w:rsidRDefault="00B8572C" w:rsidP="00A90056">
      <w:pPr>
        <w:pStyle w:val="Figure"/>
      </w:pPr>
      <w:r>
        <w:rPr>
          <w:noProof/>
        </w:rPr>
        <w:drawing>
          <wp:inline distT="0" distB="0" distL="0" distR="0" wp14:anchorId="6B438A45" wp14:editId="4D731C69">
            <wp:extent cx="6120130" cy="3058795"/>
            <wp:effectExtent l="0" t="0" r="0" b="8255"/>
            <wp:docPr id="1077166865"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66865" name="Picture 1" descr="4 plots - 3 line and scatter plots showing GPP, ER and NEP. Larger scatter plot showing ER:GPP"/>
                    <pic:cNvPicPr/>
                  </pic:nvPicPr>
                  <pic:blipFill>
                    <a:blip r:embed="rId98"/>
                    <a:stretch>
                      <a:fillRect/>
                    </a:stretch>
                  </pic:blipFill>
                  <pic:spPr>
                    <a:xfrm>
                      <a:off x="0" y="0"/>
                      <a:ext cx="6120130" cy="3058795"/>
                    </a:xfrm>
                    <a:prstGeom prst="rect">
                      <a:avLst/>
                    </a:prstGeom>
                  </pic:spPr>
                </pic:pic>
              </a:graphicData>
            </a:graphic>
          </wp:inline>
        </w:drawing>
      </w:r>
    </w:p>
    <w:p w14:paraId="63F121A7" w14:textId="4566A804" w:rsidR="004B1C5E" w:rsidRDefault="00D65DC0" w:rsidP="00A90056">
      <w:pPr>
        <w:pStyle w:val="CaptionWithNote"/>
      </w:pPr>
      <w:bookmarkStart w:id="411" w:name="_Ref165318175"/>
      <w:bookmarkStart w:id="412" w:name="_Toc202187929"/>
      <w:bookmarkStart w:id="413" w:name="_Toc169543937"/>
      <w:bookmarkStart w:id="414" w:name="_Toc194788996"/>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39</w:t>
      </w:r>
      <w:r w:rsidRPr="00C601A2">
        <w:fldChar w:fldCharType="end"/>
      </w:r>
      <w:bookmarkEnd w:id="411"/>
      <w:r w:rsidR="002B07D3">
        <w:t xml:space="preserve"> </w:t>
      </w:r>
      <w:r w:rsidRPr="00D65DC0">
        <w:t>Gwydir</w:t>
      </w:r>
      <w:r w:rsidRPr="00C601A2">
        <w:t xml:space="preserve"> River System stream metabolism – flow relationship plots: </w:t>
      </w:r>
      <w:r w:rsidR="00E02DB0">
        <w:t>GWY 4180</w:t>
      </w:r>
      <w:r w:rsidR="00697CD1">
        <w:t>7</w:t>
      </w:r>
      <w:r w:rsidR="0092619D">
        <w:t>7</w:t>
      </w:r>
      <w:bookmarkEnd w:id="412"/>
    </w:p>
    <w:p w14:paraId="336CB2B0" w14:textId="78F86E72" w:rsidR="00D65DC0" w:rsidRPr="00F118DF" w:rsidRDefault="00D65DC0" w:rsidP="00F118DF">
      <w:pPr>
        <w:pStyle w:val="CaptionNote"/>
      </w:pPr>
      <w:r w:rsidRPr="00F118DF">
        <w:t>r2</w:t>
      </w:r>
      <w:r w:rsidR="00BC376D" w:rsidRPr="00F118DF">
        <w:t> </w:t>
      </w:r>
      <w:r w:rsidRPr="00F118DF">
        <w:t>=</w:t>
      </w:r>
      <w:r w:rsidR="00BC376D" w:rsidRPr="00F118DF">
        <w:t> </w:t>
      </w:r>
      <w:r w:rsidR="00744AE3" w:rsidRPr="00F118DF">
        <w:t>1</w:t>
      </w:r>
      <w:r w:rsidRPr="00F118DF">
        <w:t>, p</w:t>
      </w:r>
      <w:r w:rsidR="00BC376D" w:rsidRPr="00F118DF">
        <w:t> </w:t>
      </w:r>
      <w:r w:rsidRPr="00F118DF">
        <w:t>=</w:t>
      </w:r>
      <w:r w:rsidR="00BC376D" w:rsidRPr="00F118DF">
        <w:t> </w:t>
      </w:r>
      <w:r w:rsidR="00697CD1" w:rsidRPr="00F118DF">
        <w:t>1</w:t>
      </w:r>
      <w:bookmarkEnd w:id="413"/>
      <w:bookmarkEnd w:id="414"/>
    </w:p>
    <w:p w14:paraId="6929C580" w14:textId="7C3922E7" w:rsidR="008E710E" w:rsidRPr="0042593E" w:rsidRDefault="008E710E" w:rsidP="00B308B2">
      <w:pPr>
        <w:pStyle w:val="CaptionNote"/>
      </w:pPr>
      <w:r>
        <w:t>ER = ecosystem respiration, GPP = gross primary production, NEP = net ecosystem production</w:t>
      </w:r>
      <w:r w:rsidR="000E7D67">
        <w:t>.</w:t>
      </w:r>
    </w:p>
    <w:p w14:paraId="2BBD2002" w14:textId="4EBF7BF8" w:rsidR="00CA15EC" w:rsidRDefault="00B8572C" w:rsidP="00A90056">
      <w:pPr>
        <w:pStyle w:val="Figure"/>
      </w:pPr>
      <w:r>
        <w:rPr>
          <w:noProof/>
        </w:rPr>
        <w:drawing>
          <wp:inline distT="0" distB="0" distL="0" distR="0" wp14:anchorId="520D1FEE" wp14:editId="6BAA76AE">
            <wp:extent cx="6120130" cy="3058795"/>
            <wp:effectExtent l="0" t="0" r="0" b="8255"/>
            <wp:docPr id="1974859701"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59701" name="Picture 1" descr="4 plots - 3 line and scatter plots showing GPP, ER and NEP. Larger scatter plot showing ER:GPP"/>
                    <pic:cNvPicPr/>
                  </pic:nvPicPr>
                  <pic:blipFill>
                    <a:blip r:embed="rId99"/>
                    <a:stretch>
                      <a:fillRect/>
                    </a:stretch>
                  </pic:blipFill>
                  <pic:spPr>
                    <a:xfrm>
                      <a:off x="0" y="0"/>
                      <a:ext cx="6120130" cy="3058795"/>
                    </a:xfrm>
                    <a:prstGeom prst="rect">
                      <a:avLst/>
                    </a:prstGeom>
                  </pic:spPr>
                </pic:pic>
              </a:graphicData>
            </a:graphic>
          </wp:inline>
        </w:drawing>
      </w:r>
    </w:p>
    <w:p w14:paraId="5EE018C2" w14:textId="24E1671D" w:rsidR="00230B89" w:rsidRDefault="00D65DC0" w:rsidP="00A90056">
      <w:pPr>
        <w:pStyle w:val="CaptionWithNote"/>
      </w:pPr>
      <w:bookmarkStart w:id="415" w:name="_Ref165318184"/>
      <w:bookmarkStart w:id="416" w:name="_Toc202187930"/>
      <w:bookmarkStart w:id="417" w:name="_Toc169543938"/>
      <w:bookmarkStart w:id="418" w:name="_Toc194788997"/>
      <w:r w:rsidRPr="00C601A2">
        <w:lastRenderedPageBreak/>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40</w:t>
      </w:r>
      <w:r w:rsidRPr="00C601A2">
        <w:fldChar w:fldCharType="end"/>
      </w:r>
      <w:bookmarkEnd w:id="415"/>
      <w:r w:rsidR="00697877">
        <w:t xml:space="preserve"> </w:t>
      </w:r>
      <w:r w:rsidRPr="00D65DC0">
        <w:t>Gwydir</w:t>
      </w:r>
      <w:r w:rsidRPr="00C601A2">
        <w:t xml:space="preserve"> River System stream metabolism – flow relationship plots: </w:t>
      </w:r>
      <w:r w:rsidR="00286718">
        <w:t>GWY</w:t>
      </w:r>
      <w:r w:rsidR="00BC376D">
        <w:t>_</w:t>
      </w:r>
      <w:r w:rsidR="00286718">
        <w:t>41807</w:t>
      </w:r>
      <w:r w:rsidR="002A5FC4">
        <w:t>8</w:t>
      </w:r>
      <w:bookmarkEnd w:id="416"/>
    </w:p>
    <w:p w14:paraId="26F24260" w14:textId="1035F299" w:rsidR="00D65DC0" w:rsidRPr="00F118DF" w:rsidRDefault="00D65DC0" w:rsidP="00F118DF">
      <w:pPr>
        <w:pStyle w:val="CaptionNote"/>
      </w:pPr>
      <w:r w:rsidRPr="00F118DF">
        <w:t>r2</w:t>
      </w:r>
      <w:r w:rsidR="00BC376D" w:rsidRPr="00F118DF">
        <w:t> </w:t>
      </w:r>
      <w:r w:rsidRPr="00F118DF">
        <w:t>=</w:t>
      </w:r>
      <w:r w:rsidR="00BC376D" w:rsidRPr="00F118DF">
        <w:t> </w:t>
      </w:r>
      <w:r w:rsidRPr="00F118DF">
        <w:t>0.</w:t>
      </w:r>
      <w:r w:rsidR="00744AE3" w:rsidRPr="00F118DF">
        <w:t>1</w:t>
      </w:r>
      <w:r w:rsidR="00D26515" w:rsidRPr="00F118DF">
        <w:t>0</w:t>
      </w:r>
      <w:r w:rsidRPr="00F118DF">
        <w:t>, p</w:t>
      </w:r>
      <w:r w:rsidR="00BC376D" w:rsidRPr="00F118DF">
        <w:t> </w:t>
      </w:r>
      <w:r w:rsidRPr="00F118DF">
        <w:t>=</w:t>
      </w:r>
      <w:r w:rsidR="00BC376D" w:rsidRPr="00F118DF">
        <w:t> </w:t>
      </w:r>
      <w:r w:rsidRPr="00F118DF">
        <w:t>0.</w:t>
      </w:r>
      <w:r w:rsidR="00D26515" w:rsidRPr="00F118DF">
        <w:t>197</w:t>
      </w:r>
      <w:bookmarkEnd w:id="417"/>
      <w:bookmarkEnd w:id="418"/>
    </w:p>
    <w:p w14:paraId="7F5ABA95" w14:textId="033E6594" w:rsidR="008E710E" w:rsidRPr="00B308B2" w:rsidRDefault="008E710E" w:rsidP="00B308B2">
      <w:pPr>
        <w:pStyle w:val="CaptionNote"/>
      </w:pPr>
      <w:r>
        <w:t>ER = ecosystem respiration, GPP = gross primary production, NEP = net ecosystem production</w:t>
      </w:r>
      <w:r w:rsidR="000E7D67">
        <w:t>.</w:t>
      </w:r>
    </w:p>
    <w:p w14:paraId="5D0D3D0A" w14:textId="0CB56890" w:rsidR="00CA15EC" w:rsidRDefault="00D26515" w:rsidP="00A90056">
      <w:pPr>
        <w:pStyle w:val="Figure"/>
      </w:pPr>
      <w:r>
        <w:rPr>
          <w:noProof/>
        </w:rPr>
        <w:drawing>
          <wp:inline distT="0" distB="0" distL="0" distR="0" wp14:anchorId="62A9B7A1" wp14:editId="21A78353">
            <wp:extent cx="6120130" cy="3058795"/>
            <wp:effectExtent l="0" t="0" r="0" b="8255"/>
            <wp:docPr id="1937205869"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869" name="Picture 1" descr="4 plots - 3 line and scatter plots showing GPP, ER and NEP. Larger scatter plot showing ER:GPP"/>
                    <pic:cNvPicPr/>
                  </pic:nvPicPr>
                  <pic:blipFill>
                    <a:blip r:embed="rId100"/>
                    <a:stretch>
                      <a:fillRect/>
                    </a:stretch>
                  </pic:blipFill>
                  <pic:spPr>
                    <a:xfrm>
                      <a:off x="0" y="0"/>
                      <a:ext cx="6120130" cy="3058795"/>
                    </a:xfrm>
                    <a:prstGeom prst="rect">
                      <a:avLst/>
                    </a:prstGeom>
                  </pic:spPr>
                </pic:pic>
              </a:graphicData>
            </a:graphic>
          </wp:inline>
        </w:drawing>
      </w:r>
    </w:p>
    <w:p w14:paraId="07624A54" w14:textId="7A8C5460" w:rsidR="00230B89" w:rsidRDefault="00D65DC0" w:rsidP="00A90056">
      <w:pPr>
        <w:pStyle w:val="CaptionWithNote"/>
      </w:pPr>
      <w:bookmarkStart w:id="419" w:name="_Ref165318200"/>
      <w:bookmarkStart w:id="420" w:name="_Toc202187931"/>
      <w:bookmarkStart w:id="421" w:name="_Toc169543939"/>
      <w:bookmarkStart w:id="422" w:name="_Toc194788998"/>
      <w:r w:rsidRPr="00C601A2">
        <w:t xml:space="preserve">Figure </w:t>
      </w:r>
      <w:r w:rsidRPr="00C601A2">
        <w:fldChar w:fldCharType="begin"/>
      </w:r>
      <w:r w:rsidRPr="00C601A2">
        <w:instrText>STYLEREF 9 \s</w:instrText>
      </w:r>
      <w:r w:rsidRPr="00C601A2">
        <w:fldChar w:fldCharType="separate"/>
      </w:r>
      <w:r w:rsidR="00492712">
        <w:rPr>
          <w:noProof/>
        </w:rPr>
        <w:t>A</w:t>
      </w:r>
      <w:r w:rsidRPr="00C601A2">
        <w:fldChar w:fldCharType="end"/>
      </w:r>
      <w:r w:rsidRPr="00C601A2">
        <w:t>.</w:t>
      </w:r>
      <w:r w:rsidRPr="00C601A2">
        <w:fldChar w:fldCharType="begin"/>
      </w:r>
      <w:r w:rsidRPr="00C601A2">
        <w:instrText>SEQ Apx_Figure \* ARABIC \s 9</w:instrText>
      </w:r>
      <w:r w:rsidRPr="00C601A2">
        <w:fldChar w:fldCharType="separate"/>
      </w:r>
      <w:r w:rsidR="00492712">
        <w:rPr>
          <w:noProof/>
        </w:rPr>
        <w:t>41</w:t>
      </w:r>
      <w:r w:rsidRPr="00C601A2">
        <w:fldChar w:fldCharType="end"/>
      </w:r>
      <w:bookmarkEnd w:id="419"/>
      <w:r w:rsidR="00697877">
        <w:t xml:space="preserve"> </w:t>
      </w:r>
      <w:r w:rsidRPr="00D65DC0">
        <w:t>Gwydir</w:t>
      </w:r>
      <w:r w:rsidRPr="00C601A2">
        <w:t xml:space="preserve"> River System stream metabolism – flow relationship plots: </w:t>
      </w:r>
      <w:r w:rsidR="00744AE3">
        <w:t>GWY</w:t>
      </w:r>
      <w:r w:rsidR="00BC376D">
        <w:t>_</w:t>
      </w:r>
      <w:r w:rsidR="00C22841">
        <w:t>ME1</w:t>
      </w:r>
      <w:bookmarkEnd w:id="420"/>
    </w:p>
    <w:p w14:paraId="7620934A" w14:textId="28575D7B" w:rsidR="00D65DC0" w:rsidRPr="00F118DF" w:rsidRDefault="00D65DC0" w:rsidP="00F118DF">
      <w:pPr>
        <w:pStyle w:val="CaptionNote"/>
      </w:pPr>
      <w:r w:rsidRPr="00F118DF">
        <w:t>r2</w:t>
      </w:r>
      <w:r w:rsidR="00BC376D" w:rsidRPr="00F118DF">
        <w:t> </w:t>
      </w:r>
      <w:r w:rsidRPr="00F118DF">
        <w:t>=</w:t>
      </w:r>
      <w:r w:rsidR="00BC376D" w:rsidRPr="00F118DF">
        <w:t> </w:t>
      </w:r>
      <w:r w:rsidRPr="00F118DF">
        <w:t>0.</w:t>
      </w:r>
      <w:r w:rsidR="00234989" w:rsidRPr="00F118DF">
        <w:t>24</w:t>
      </w:r>
      <w:r w:rsidRPr="00F118DF">
        <w:t>, p</w:t>
      </w:r>
      <w:r w:rsidR="00BC376D" w:rsidRPr="00F118DF">
        <w:t> </w:t>
      </w:r>
      <w:r w:rsidRPr="00F118DF">
        <w:t>=</w:t>
      </w:r>
      <w:r w:rsidR="00BC376D" w:rsidRPr="00F118DF">
        <w:t> </w:t>
      </w:r>
      <w:r w:rsidRPr="00F118DF">
        <w:t>0.001</w:t>
      </w:r>
      <w:bookmarkEnd w:id="421"/>
      <w:bookmarkEnd w:id="422"/>
    </w:p>
    <w:p w14:paraId="37374195" w14:textId="16A7DB80" w:rsidR="008E710E" w:rsidRPr="00664394" w:rsidRDefault="008E710E" w:rsidP="00664394">
      <w:pPr>
        <w:pStyle w:val="CaptionNote"/>
      </w:pPr>
      <w:r>
        <w:t>ER = ecosystem respiration, GPP = gross primary production, NEP = net ecosystem production</w:t>
      </w:r>
      <w:r w:rsidR="000E7D67">
        <w:t>.</w:t>
      </w:r>
    </w:p>
    <w:p w14:paraId="728BEE6E" w14:textId="103C8914" w:rsidR="00CA15EC" w:rsidRDefault="00234989" w:rsidP="00A90056">
      <w:pPr>
        <w:pStyle w:val="Figure"/>
      </w:pPr>
      <w:r>
        <w:rPr>
          <w:noProof/>
        </w:rPr>
        <w:drawing>
          <wp:inline distT="0" distB="0" distL="0" distR="0" wp14:anchorId="26A2B1AE" wp14:editId="3A55D4CB">
            <wp:extent cx="6120130" cy="3058795"/>
            <wp:effectExtent l="0" t="0" r="0" b="8255"/>
            <wp:docPr id="155078376" name="Picture 1" descr="4 plots - 3 line and scatter plots showing GPP, ER and NEP. Larger scatter plot showing ER: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8376" name="Picture 1" descr="4 plots - 3 line and scatter plots showing GPP, ER and NEP. Larger scatter plot showing ER:GPP"/>
                    <pic:cNvPicPr/>
                  </pic:nvPicPr>
                  <pic:blipFill>
                    <a:blip r:embed="rId101"/>
                    <a:stretch>
                      <a:fillRect/>
                    </a:stretch>
                  </pic:blipFill>
                  <pic:spPr>
                    <a:xfrm>
                      <a:off x="0" y="0"/>
                      <a:ext cx="6120130" cy="3058795"/>
                    </a:xfrm>
                    <a:prstGeom prst="rect">
                      <a:avLst/>
                    </a:prstGeom>
                  </pic:spPr>
                </pic:pic>
              </a:graphicData>
            </a:graphic>
          </wp:inline>
        </w:drawing>
      </w:r>
    </w:p>
    <w:p w14:paraId="6C7B288D" w14:textId="44DCFFAB" w:rsidR="00D65DC0" w:rsidRPr="00D65DC0" w:rsidRDefault="00D65DC0" w:rsidP="00D65DC0">
      <w:pPr>
        <w:pStyle w:val="BodyText"/>
        <w:sectPr w:rsidR="00D65DC0" w:rsidRPr="00D65DC0" w:rsidSect="000E21A8">
          <w:headerReference w:type="even" r:id="rId102"/>
          <w:headerReference w:type="default" r:id="rId103"/>
          <w:footerReference w:type="default" r:id="rId104"/>
          <w:headerReference w:type="first" r:id="rId105"/>
          <w:pgSz w:w="11906" w:h="16838" w:code="9"/>
          <w:pgMar w:top="1134" w:right="1134" w:bottom="1134" w:left="1134" w:header="510" w:footer="510" w:gutter="0"/>
          <w:cols w:space="284"/>
          <w:docGrid w:linePitch="360"/>
        </w:sectPr>
      </w:pPr>
    </w:p>
    <w:p w14:paraId="37C0F915" w14:textId="77777777" w:rsidR="00514961" w:rsidRPr="00C601A2" w:rsidRDefault="00514961" w:rsidP="00514961">
      <w:pPr>
        <w:pStyle w:val="Heading1notnumbered"/>
      </w:pPr>
      <w:bookmarkStart w:id="423" w:name="_Toc169543889"/>
      <w:bookmarkStart w:id="424" w:name="_Toc202187874"/>
      <w:r w:rsidRPr="00C601A2">
        <w:lastRenderedPageBreak/>
        <w:t>Abbreviations and terms</w:t>
      </w:r>
      <w:bookmarkEnd w:id="423"/>
      <w:bookmarkEnd w:id="424"/>
    </w:p>
    <w:tbl>
      <w:tblPr>
        <w:tblStyle w:val="TableFlow-MER"/>
        <w:tblW w:w="9526" w:type="dxa"/>
        <w:tblLook w:val="0420" w:firstRow="1" w:lastRow="0" w:firstColumn="0" w:lastColumn="0" w:noHBand="0" w:noVBand="1"/>
      </w:tblPr>
      <w:tblGrid>
        <w:gridCol w:w="1987"/>
        <w:gridCol w:w="7539"/>
      </w:tblGrid>
      <w:tr w:rsidR="00514961" w:rsidRPr="00FE238C" w14:paraId="0DDD53AE" w14:textId="77777777" w:rsidTr="00E05E18">
        <w:trPr>
          <w:cnfStyle w:val="100000000000" w:firstRow="1" w:lastRow="0" w:firstColumn="0" w:lastColumn="0" w:oddVBand="0" w:evenVBand="0" w:oddHBand="0" w:evenHBand="0" w:firstRowFirstColumn="0" w:firstRowLastColumn="0" w:lastRowFirstColumn="0" w:lastRowLastColumn="0"/>
          <w:tblHeader/>
        </w:trPr>
        <w:tc>
          <w:tcPr>
            <w:tcW w:w="1987" w:type="dxa"/>
          </w:tcPr>
          <w:p w14:paraId="01205E25" w14:textId="77777777" w:rsidR="00514961" w:rsidRPr="00FE238C" w:rsidRDefault="00514961" w:rsidP="00FE238C">
            <w:pPr>
              <w:pStyle w:val="ColumnHeading"/>
            </w:pPr>
            <w:r w:rsidRPr="00FE238C">
              <w:t>Abbreviation / term</w:t>
            </w:r>
          </w:p>
        </w:tc>
        <w:tc>
          <w:tcPr>
            <w:tcW w:w="7538" w:type="dxa"/>
          </w:tcPr>
          <w:p w14:paraId="51C857CE" w14:textId="77777777" w:rsidR="00514961" w:rsidRPr="00FE238C" w:rsidRDefault="00514961" w:rsidP="00FE238C">
            <w:pPr>
              <w:pStyle w:val="ColumnHeading"/>
            </w:pPr>
            <w:r w:rsidRPr="00FE238C">
              <w:t>Description</w:t>
            </w:r>
          </w:p>
        </w:tc>
      </w:tr>
      <w:tr w:rsidR="00E53E89" w:rsidRPr="00C601A2" w14:paraId="1B36F387"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189B9182" w14:textId="0541F194" w:rsidR="00E53E89" w:rsidRPr="00C601A2" w:rsidRDefault="00E53E89" w:rsidP="00E53E89">
            <w:pPr>
              <w:pStyle w:val="TableText"/>
              <w:spacing w:before="40" w:after="40"/>
            </w:pPr>
            <w:r w:rsidRPr="00C601A2">
              <w:t>2014–2</w:t>
            </w:r>
            <w:r>
              <w:t>4</w:t>
            </w:r>
          </w:p>
        </w:tc>
        <w:tc>
          <w:tcPr>
            <w:tcW w:w="7538" w:type="dxa"/>
          </w:tcPr>
          <w:p w14:paraId="2329F208" w14:textId="4DDD6FAA" w:rsidR="00E53E89" w:rsidRPr="00C601A2" w:rsidRDefault="00E53E89" w:rsidP="00E53E89">
            <w:pPr>
              <w:pStyle w:val="TableText"/>
              <w:spacing w:before="40" w:after="40"/>
            </w:pPr>
            <w:r w:rsidRPr="00C601A2">
              <w:t>water years, 1 July 2014 to 30 June 202</w:t>
            </w:r>
            <w:r>
              <w:t>4</w:t>
            </w:r>
          </w:p>
        </w:tc>
      </w:tr>
      <w:tr w:rsidR="00514961" w:rsidRPr="00C601A2" w14:paraId="008B4F68" w14:textId="77777777" w:rsidTr="00E05E18">
        <w:tc>
          <w:tcPr>
            <w:tcW w:w="1987" w:type="dxa"/>
          </w:tcPr>
          <w:p w14:paraId="7EDFF0FB" w14:textId="5B17A9B4" w:rsidR="00514961" w:rsidRPr="00C601A2" w:rsidRDefault="00514961" w:rsidP="00A11F05">
            <w:pPr>
              <w:pStyle w:val="TableText"/>
              <w:spacing w:before="40" w:after="40"/>
            </w:pPr>
            <w:r w:rsidRPr="00C601A2">
              <w:t>202</w:t>
            </w:r>
            <w:r w:rsidR="003243AC">
              <w:t>3</w:t>
            </w:r>
            <w:r w:rsidRPr="00C601A2">
              <w:t>–2</w:t>
            </w:r>
            <w:r w:rsidR="003243AC">
              <w:t>4</w:t>
            </w:r>
          </w:p>
        </w:tc>
        <w:tc>
          <w:tcPr>
            <w:tcW w:w="7538" w:type="dxa"/>
          </w:tcPr>
          <w:p w14:paraId="702CC4EB" w14:textId="7831EA57" w:rsidR="00514961" w:rsidRPr="00C601A2" w:rsidRDefault="00514961" w:rsidP="00A11F05">
            <w:pPr>
              <w:pStyle w:val="TableText"/>
              <w:spacing w:before="40" w:after="40"/>
            </w:pPr>
            <w:r w:rsidRPr="00C601A2">
              <w:t>water year, 1 July 202</w:t>
            </w:r>
            <w:r w:rsidR="003243AC">
              <w:t>3</w:t>
            </w:r>
            <w:r w:rsidRPr="00C601A2">
              <w:t xml:space="preserve"> to 30 June 202</w:t>
            </w:r>
            <w:r w:rsidR="003243AC">
              <w:t>4</w:t>
            </w:r>
          </w:p>
        </w:tc>
      </w:tr>
      <w:tr w:rsidR="00BD763C" w:rsidRPr="00C601A2" w14:paraId="5AB78538"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7BA7C0AA" w14:textId="21CB4000" w:rsidR="00BD763C" w:rsidRPr="00C601A2" w:rsidRDefault="00BD763C" w:rsidP="00A11F05">
            <w:pPr>
              <w:pStyle w:val="TableText"/>
              <w:spacing w:before="40" w:after="40"/>
            </w:pPr>
            <w:r>
              <w:t>AIC</w:t>
            </w:r>
          </w:p>
        </w:tc>
        <w:tc>
          <w:tcPr>
            <w:tcW w:w="7538" w:type="dxa"/>
          </w:tcPr>
          <w:p w14:paraId="6D9726C7" w14:textId="501AF543" w:rsidR="00BD763C" w:rsidRPr="00C601A2" w:rsidRDefault="00BD763C" w:rsidP="00A11F05">
            <w:pPr>
              <w:pStyle w:val="TableText"/>
              <w:spacing w:before="40" w:after="40"/>
            </w:pPr>
            <w:r>
              <w:t>Akaike information criterion (a metric to evaluate how well a model fits data</w:t>
            </w:r>
            <w:r w:rsidR="004A253D">
              <w:t xml:space="preserve"> and penalises models for more complexity</w:t>
            </w:r>
          </w:p>
        </w:tc>
      </w:tr>
      <w:tr w:rsidR="00514961" w:rsidRPr="00C601A2" w14:paraId="3DF29E90" w14:textId="77777777" w:rsidTr="00E05E18">
        <w:tc>
          <w:tcPr>
            <w:tcW w:w="1987" w:type="dxa"/>
          </w:tcPr>
          <w:p w14:paraId="78E5913A" w14:textId="77777777" w:rsidR="00514961" w:rsidRPr="00C601A2" w:rsidRDefault="00514961" w:rsidP="00A11F05">
            <w:pPr>
              <w:pStyle w:val="TableText"/>
              <w:spacing w:before="40" w:after="40"/>
            </w:pPr>
            <w:r w:rsidRPr="00C601A2">
              <w:t>autochthonous carbon</w:t>
            </w:r>
          </w:p>
        </w:tc>
        <w:tc>
          <w:tcPr>
            <w:tcW w:w="7538" w:type="dxa"/>
          </w:tcPr>
          <w:p w14:paraId="1A01464C" w14:textId="073F24CA" w:rsidR="00514961" w:rsidRPr="00C601A2" w:rsidRDefault="00514961" w:rsidP="00A11F05">
            <w:pPr>
              <w:pStyle w:val="TableText"/>
              <w:spacing w:before="40" w:after="40"/>
            </w:pPr>
            <w:r w:rsidRPr="00C601A2">
              <w:t xml:space="preserve">carbon that is generated within the river </w:t>
            </w:r>
            <w:r w:rsidR="00A16609" w:rsidRPr="00C601A2">
              <w:t>(</w:t>
            </w:r>
            <w:r w:rsidRPr="00C601A2">
              <w:t>e.g. via photosynthesis by algae</w:t>
            </w:r>
            <w:r w:rsidR="00A16609" w:rsidRPr="00C601A2">
              <w:t>)</w:t>
            </w:r>
          </w:p>
        </w:tc>
      </w:tr>
      <w:tr w:rsidR="00CB20D6" w:rsidRPr="00C601A2" w14:paraId="6CA1AA05"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7892ED8A" w14:textId="707D9A67" w:rsidR="00CB20D6" w:rsidRPr="00C601A2" w:rsidRDefault="00CB20D6" w:rsidP="00A11F05">
            <w:pPr>
              <w:pStyle w:val="TableText"/>
              <w:spacing w:before="40" w:after="40"/>
            </w:pPr>
            <w:r>
              <w:t>autotroph</w:t>
            </w:r>
            <w:r w:rsidR="00930A53">
              <w:t>y</w:t>
            </w:r>
          </w:p>
        </w:tc>
        <w:tc>
          <w:tcPr>
            <w:tcW w:w="7538" w:type="dxa"/>
          </w:tcPr>
          <w:p w14:paraId="37AFC191" w14:textId="11FC02C1" w:rsidR="00CB20D6" w:rsidRPr="00C601A2" w:rsidRDefault="00C63831" w:rsidP="00A11F05">
            <w:pPr>
              <w:pStyle w:val="TableText"/>
              <w:spacing w:before="40" w:after="40"/>
            </w:pPr>
            <w:r>
              <w:t>aa state where a system is producing more carbon than it consumes</w:t>
            </w:r>
          </w:p>
        </w:tc>
      </w:tr>
      <w:tr w:rsidR="00514961" w:rsidRPr="00C601A2" w14:paraId="1E5F89F9" w14:textId="77777777" w:rsidTr="00E05E18">
        <w:tc>
          <w:tcPr>
            <w:tcW w:w="1987" w:type="dxa"/>
          </w:tcPr>
          <w:p w14:paraId="1FB9C2B2" w14:textId="77777777" w:rsidR="00514961" w:rsidRPr="00C601A2" w:rsidRDefault="00514961" w:rsidP="00A11F05">
            <w:pPr>
              <w:pStyle w:val="TableText"/>
              <w:spacing w:before="40" w:after="40"/>
            </w:pPr>
            <w:r w:rsidRPr="00C601A2">
              <w:t>BASE</w:t>
            </w:r>
          </w:p>
        </w:tc>
        <w:tc>
          <w:tcPr>
            <w:tcW w:w="7538" w:type="dxa"/>
          </w:tcPr>
          <w:p w14:paraId="346EEBF9" w14:textId="77777777" w:rsidR="00514961" w:rsidRPr="00C601A2" w:rsidRDefault="00514961" w:rsidP="00A11F05">
            <w:pPr>
              <w:pStyle w:val="TableText"/>
              <w:spacing w:before="40" w:after="40"/>
            </w:pPr>
            <w:r w:rsidRPr="00C601A2">
              <w:t>Bayesian single-station estimation</w:t>
            </w:r>
          </w:p>
        </w:tc>
      </w:tr>
      <w:tr w:rsidR="00152C5A" w:rsidRPr="00C601A2" w14:paraId="10A8827F"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0A745C7A" w14:textId="4EDD57B0" w:rsidR="002D047C" w:rsidRPr="00C601A2" w:rsidRDefault="0000291E" w:rsidP="00A11F05">
            <w:pPr>
              <w:pStyle w:val="TableText"/>
              <w:spacing w:before="40" w:after="40"/>
            </w:pPr>
            <w:r>
              <w:t xml:space="preserve">the </w:t>
            </w:r>
            <w:r w:rsidR="002D047C">
              <w:t>Basin</w:t>
            </w:r>
          </w:p>
        </w:tc>
        <w:tc>
          <w:tcPr>
            <w:tcW w:w="7538" w:type="dxa"/>
          </w:tcPr>
          <w:p w14:paraId="2D0C5A16" w14:textId="45B5427C" w:rsidR="002D047C" w:rsidRPr="00C601A2" w:rsidRDefault="002D047C" w:rsidP="00A11F05">
            <w:pPr>
              <w:pStyle w:val="TableText"/>
              <w:spacing w:before="40" w:after="40"/>
            </w:pPr>
            <w:r>
              <w:t>shortened term for the Murray–Darling Basin</w:t>
            </w:r>
          </w:p>
        </w:tc>
      </w:tr>
      <w:tr w:rsidR="00514961" w:rsidRPr="00C601A2" w14:paraId="68A11BE8" w14:textId="77777777" w:rsidTr="00E05E18">
        <w:tc>
          <w:tcPr>
            <w:tcW w:w="1987" w:type="dxa"/>
          </w:tcPr>
          <w:p w14:paraId="523CD91E" w14:textId="77777777" w:rsidR="00514961" w:rsidRPr="00C601A2" w:rsidRDefault="00514961" w:rsidP="00A11F05">
            <w:pPr>
              <w:pStyle w:val="TableText"/>
              <w:spacing w:before="40" w:after="40"/>
            </w:pPr>
            <w:r w:rsidRPr="00C601A2">
              <w:t>Basin Plan</w:t>
            </w:r>
          </w:p>
        </w:tc>
        <w:tc>
          <w:tcPr>
            <w:tcW w:w="7538" w:type="dxa"/>
          </w:tcPr>
          <w:p w14:paraId="03622E91" w14:textId="77777777" w:rsidR="00514961" w:rsidRPr="00C601A2" w:rsidRDefault="00514961" w:rsidP="00A11F05">
            <w:pPr>
              <w:pStyle w:val="TableText"/>
              <w:spacing w:before="40" w:after="40"/>
            </w:pPr>
            <w:r w:rsidRPr="00C601A2">
              <w:t xml:space="preserve">shortened term for the (Murray–Darling) </w:t>
            </w:r>
            <w:r w:rsidRPr="001B0A7B">
              <w:rPr>
                <w:i/>
                <w:iCs/>
              </w:rPr>
              <w:t>Basin Plan 2012</w:t>
            </w:r>
          </w:p>
        </w:tc>
      </w:tr>
      <w:tr w:rsidR="00514961" w:rsidRPr="00C601A2" w14:paraId="4A4A8EEF"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48B1F8F3" w14:textId="77777777" w:rsidR="00514961" w:rsidRPr="00C601A2" w:rsidRDefault="00514961" w:rsidP="00A11F05">
            <w:pPr>
              <w:pStyle w:val="TableText"/>
              <w:spacing w:before="40" w:after="40"/>
            </w:pPr>
            <w:r w:rsidRPr="00C601A2">
              <w:t>CEW</w:t>
            </w:r>
          </w:p>
        </w:tc>
        <w:tc>
          <w:tcPr>
            <w:tcW w:w="7538" w:type="dxa"/>
          </w:tcPr>
          <w:p w14:paraId="6EA85179" w14:textId="40A795AB" w:rsidR="00514961" w:rsidRPr="00C601A2" w:rsidRDefault="00514961" w:rsidP="00A11F05">
            <w:pPr>
              <w:pStyle w:val="TableText"/>
              <w:spacing w:before="40" w:after="40"/>
            </w:pPr>
            <w:r w:rsidRPr="00C601A2">
              <w:t>Commonwealth environmental water</w:t>
            </w:r>
          </w:p>
        </w:tc>
      </w:tr>
      <w:tr w:rsidR="00514961" w:rsidRPr="00C601A2" w14:paraId="6A601ECA" w14:textId="77777777" w:rsidTr="00E05E18">
        <w:tc>
          <w:tcPr>
            <w:tcW w:w="1987" w:type="dxa"/>
          </w:tcPr>
          <w:p w14:paraId="295A49F5" w14:textId="77777777" w:rsidR="00514961" w:rsidRPr="00C601A2" w:rsidRDefault="00514961" w:rsidP="00A11F05">
            <w:pPr>
              <w:pStyle w:val="TableText"/>
              <w:spacing w:before="40" w:after="40"/>
            </w:pPr>
            <w:r w:rsidRPr="00C601A2">
              <w:t>CEWH</w:t>
            </w:r>
          </w:p>
        </w:tc>
        <w:tc>
          <w:tcPr>
            <w:tcW w:w="7538" w:type="dxa"/>
          </w:tcPr>
          <w:p w14:paraId="07D3FB66" w14:textId="77777777" w:rsidR="00514961" w:rsidRPr="00C601A2" w:rsidRDefault="00514961" w:rsidP="00A11F05">
            <w:pPr>
              <w:pStyle w:val="TableText"/>
              <w:spacing w:before="40" w:after="40"/>
            </w:pPr>
            <w:r w:rsidRPr="00C601A2">
              <w:t>Commonwealth Environmental Water Holder</w:t>
            </w:r>
          </w:p>
        </w:tc>
      </w:tr>
      <w:tr w:rsidR="00047207" w:rsidRPr="00C601A2" w14:paraId="28981651"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0FFD5DC1" w14:textId="017653AF" w:rsidR="00047207" w:rsidRPr="00C601A2" w:rsidRDefault="00047207" w:rsidP="00A11F05">
            <w:pPr>
              <w:pStyle w:val="TableText"/>
              <w:spacing w:before="40" w:after="40"/>
            </w:pPr>
            <w:r>
              <w:t>counterfactual</w:t>
            </w:r>
          </w:p>
        </w:tc>
        <w:tc>
          <w:tcPr>
            <w:tcW w:w="7538" w:type="dxa"/>
          </w:tcPr>
          <w:p w14:paraId="06027D93" w14:textId="191F0196" w:rsidR="00047207" w:rsidRPr="00C601A2" w:rsidRDefault="005224DC" w:rsidP="00A11F05">
            <w:pPr>
              <w:pStyle w:val="TableText"/>
              <w:spacing w:before="40" w:after="40"/>
            </w:pPr>
            <w:r w:rsidRPr="00FE19EB">
              <w:t xml:space="preserve">In the counterfactual approach, </w:t>
            </w:r>
            <w:r>
              <w:t xml:space="preserve">Commonwealth </w:t>
            </w:r>
            <w:r w:rsidRPr="00FE19EB">
              <w:t xml:space="preserve">environmental </w:t>
            </w:r>
            <w:r>
              <w:t xml:space="preserve">water is </w:t>
            </w:r>
            <w:r w:rsidRPr="00FE19EB">
              <w:t xml:space="preserve">removed from the observed streamflow time series, creating a hypothetical (counterfactual) daily streamflow time series with no </w:t>
            </w:r>
            <w:r>
              <w:t xml:space="preserve">Commonwealth </w:t>
            </w:r>
            <w:r w:rsidRPr="00FE19EB">
              <w:t xml:space="preserve">environmental water. This approach is used to infer the effects of </w:t>
            </w:r>
            <w:r>
              <w:t xml:space="preserve">Commonwealth </w:t>
            </w:r>
            <w:r w:rsidR="00B5375C">
              <w:t>environmental water</w:t>
            </w:r>
            <w:r w:rsidR="006E7A60">
              <w:t>,</w:t>
            </w:r>
            <w:r>
              <w:t xml:space="preserve"> as </w:t>
            </w:r>
            <w:r w:rsidRPr="00FE19EB">
              <w:t>an experimental design w</w:t>
            </w:r>
            <w:r w:rsidR="00126D2F">
              <w:t>hen</w:t>
            </w:r>
            <w:r w:rsidRPr="00FE19EB">
              <w:t xml:space="preserve"> controls and</w:t>
            </w:r>
            <w:r w:rsidR="00A42C9B">
              <w:t xml:space="preserve"> </w:t>
            </w:r>
            <w:r w:rsidRPr="00FE19EB">
              <w:t>before–after comparisons is not possible.</w:t>
            </w:r>
          </w:p>
        </w:tc>
      </w:tr>
      <w:tr w:rsidR="00514961" w:rsidRPr="00C601A2" w14:paraId="3943E581" w14:textId="77777777" w:rsidTr="00E05E18">
        <w:tc>
          <w:tcPr>
            <w:tcW w:w="1987" w:type="dxa"/>
          </w:tcPr>
          <w:p w14:paraId="74D9E2A2" w14:textId="77777777" w:rsidR="00514961" w:rsidRPr="00C601A2" w:rsidRDefault="00514961" w:rsidP="00A11F05">
            <w:pPr>
              <w:pStyle w:val="TableText"/>
              <w:spacing w:before="40" w:after="40"/>
            </w:pPr>
            <w:r w:rsidRPr="00C601A2">
              <w:t>DO</w:t>
            </w:r>
          </w:p>
        </w:tc>
        <w:tc>
          <w:tcPr>
            <w:tcW w:w="7538" w:type="dxa"/>
          </w:tcPr>
          <w:p w14:paraId="65D86267" w14:textId="77777777" w:rsidR="00514961" w:rsidRPr="00C601A2" w:rsidRDefault="00514961" w:rsidP="00A11F05">
            <w:pPr>
              <w:pStyle w:val="TableText"/>
              <w:spacing w:before="40" w:after="40"/>
            </w:pPr>
            <w:r w:rsidRPr="00C601A2">
              <w:t>dissolved oxygen</w:t>
            </w:r>
          </w:p>
        </w:tc>
      </w:tr>
      <w:tr w:rsidR="00514961" w:rsidRPr="00C601A2" w14:paraId="09603253"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051A4AE3" w14:textId="77777777" w:rsidR="00514961" w:rsidRPr="00C601A2" w:rsidRDefault="00514961" w:rsidP="00A11F05">
            <w:pPr>
              <w:pStyle w:val="TableText"/>
              <w:spacing w:before="40" w:after="40"/>
            </w:pPr>
            <w:r w:rsidRPr="00C601A2">
              <w:t>ER</w:t>
            </w:r>
          </w:p>
        </w:tc>
        <w:tc>
          <w:tcPr>
            <w:tcW w:w="7538" w:type="dxa"/>
          </w:tcPr>
          <w:p w14:paraId="5CB791C6" w14:textId="0F7715D2" w:rsidR="00514961" w:rsidRPr="00C601A2" w:rsidRDefault="00514961" w:rsidP="00A11F05">
            <w:pPr>
              <w:pStyle w:val="TableText"/>
              <w:spacing w:before="40" w:after="40"/>
            </w:pPr>
            <w:r w:rsidRPr="00C601A2">
              <w:t>ecosystem respiration</w:t>
            </w:r>
            <w:r w:rsidR="008F31C4">
              <w:t xml:space="preserve"> (which recycles organic matter)</w:t>
            </w:r>
          </w:p>
        </w:tc>
      </w:tr>
      <w:tr w:rsidR="0020190D" w:rsidRPr="00C601A2" w14:paraId="171524BA" w14:textId="77777777" w:rsidTr="00E05E18">
        <w:tc>
          <w:tcPr>
            <w:tcW w:w="1987" w:type="dxa"/>
          </w:tcPr>
          <w:p w14:paraId="4E9BBC23" w14:textId="7AF363C6" w:rsidR="0020190D" w:rsidRPr="00C601A2" w:rsidRDefault="0020190D">
            <w:pPr>
              <w:pStyle w:val="TableText"/>
              <w:spacing w:before="40" w:after="40"/>
            </w:pPr>
            <w:r>
              <w:t>EW</w:t>
            </w:r>
          </w:p>
        </w:tc>
        <w:tc>
          <w:tcPr>
            <w:tcW w:w="7538" w:type="dxa"/>
          </w:tcPr>
          <w:p w14:paraId="478D6980" w14:textId="1AB4151A" w:rsidR="0020190D" w:rsidRPr="00C601A2" w:rsidRDefault="00670632">
            <w:pPr>
              <w:pStyle w:val="TableText"/>
              <w:spacing w:before="40" w:after="40"/>
            </w:pPr>
            <w:r>
              <w:t>Environmental water</w:t>
            </w:r>
          </w:p>
        </w:tc>
      </w:tr>
      <w:tr w:rsidR="00514961" w:rsidRPr="00C601A2" w14:paraId="39548C8F"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07A5F852" w14:textId="77777777" w:rsidR="00514961" w:rsidRPr="00C601A2" w:rsidRDefault="00514961" w:rsidP="00A11F05">
            <w:pPr>
              <w:pStyle w:val="TableText"/>
              <w:spacing w:before="40" w:after="40"/>
            </w:pPr>
            <w:r w:rsidRPr="00C601A2">
              <w:t>Flow-MER</w:t>
            </w:r>
          </w:p>
        </w:tc>
        <w:tc>
          <w:tcPr>
            <w:tcW w:w="7538" w:type="dxa"/>
          </w:tcPr>
          <w:p w14:paraId="05340FF3" w14:textId="558C8E1D" w:rsidR="00514961" w:rsidRPr="00C601A2" w:rsidRDefault="00514961" w:rsidP="00A11F05">
            <w:pPr>
              <w:pStyle w:val="TableText"/>
              <w:spacing w:before="40" w:after="40"/>
            </w:pPr>
            <w:r w:rsidRPr="00C601A2">
              <w:t>the C</w:t>
            </w:r>
            <w:r w:rsidR="003C06E9">
              <w:t xml:space="preserve">EWH’s </w:t>
            </w:r>
            <w:r w:rsidR="00930A53">
              <w:t>Science Program: Flow</w:t>
            </w:r>
            <w:r w:rsidRPr="00C601A2">
              <w:t xml:space="preserve"> Monitoring, Evaluation and Research (2019–</w:t>
            </w:r>
            <w:r w:rsidR="00CB20D6">
              <w:t xml:space="preserve">20 to </w:t>
            </w:r>
            <w:r w:rsidRPr="00C601A2">
              <w:t>20</w:t>
            </w:r>
            <w:r w:rsidR="00CB20D6">
              <w:t>2</w:t>
            </w:r>
            <w:r w:rsidR="003243AC">
              <w:t>3</w:t>
            </w:r>
            <w:r w:rsidR="00CB20D6">
              <w:t>–</w:t>
            </w:r>
            <w:r w:rsidRPr="00C601A2">
              <w:t>2</w:t>
            </w:r>
            <w:r w:rsidR="003243AC">
              <w:t>4</w:t>
            </w:r>
            <w:r w:rsidRPr="00C601A2">
              <w:t>)</w:t>
            </w:r>
          </w:p>
        </w:tc>
      </w:tr>
      <w:tr w:rsidR="00514961" w:rsidRPr="00C601A2" w14:paraId="284C4C17" w14:textId="77777777" w:rsidTr="00E05E18">
        <w:tc>
          <w:tcPr>
            <w:tcW w:w="1987" w:type="dxa"/>
          </w:tcPr>
          <w:p w14:paraId="7BA11506" w14:textId="77777777" w:rsidR="00514961" w:rsidRPr="00C601A2" w:rsidRDefault="00514961" w:rsidP="00A11F05">
            <w:pPr>
              <w:pStyle w:val="TableText"/>
              <w:spacing w:before="40" w:after="40"/>
            </w:pPr>
            <w:r w:rsidRPr="00C601A2">
              <w:t>GPP</w:t>
            </w:r>
          </w:p>
        </w:tc>
        <w:tc>
          <w:tcPr>
            <w:tcW w:w="7538" w:type="dxa"/>
          </w:tcPr>
          <w:p w14:paraId="6DB08788" w14:textId="42359614" w:rsidR="00514961" w:rsidRPr="00C601A2" w:rsidRDefault="00514961" w:rsidP="00A11F05">
            <w:pPr>
              <w:pStyle w:val="TableText"/>
              <w:spacing w:before="40" w:after="40"/>
            </w:pPr>
            <w:r w:rsidRPr="00C601A2">
              <w:t>gross primary production</w:t>
            </w:r>
            <w:r w:rsidR="008F31C4">
              <w:t xml:space="preserve"> (which generates organic matter)</w:t>
            </w:r>
          </w:p>
        </w:tc>
      </w:tr>
      <w:tr w:rsidR="00514961" w:rsidRPr="00C601A2" w14:paraId="7FFFAC89"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120FE68D" w14:textId="77777777" w:rsidR="00514961" w:rsidRPr="00C601A2" w:rsidRDefault="00514961" w:rsidP="00A11F05">
            <w:pPr>
              <w:pStyle w:val="TableText"/>
              <w:spacing w:before="40" w:after="40"/>
            </w:pPr>
            <w:r w:rsidRPr="00C601A2">
              <w:t>GPP:ER ratio</w:t>
            </w:r>
          </w:p>
        </w:tc>
        <w:tc>
          <w:tcPr>
            <w:tcW w:w="7538" w:type="dxa"/>
          </w:tcPr>
          <w:p w14:paraId="070C5AAF" w14:textId="77777777" w:rsidR="00514961" w:rsidRPr="00C601A2" w:rsidRDefault="00514961" w:rsidP="00A11F05">
            <w:pPr>
              <w:pStyle w:val="TableText"/>
              <w:spacing w:before="40" w:after="40"/>
            </w:pPr>
            <w:r w:rsidRPr="00C601A2">
              <w:t xml:space="preserve">ratio of gross primary production to ecosystem respiration </w:t>
            </w:r>
          </w:p>
        </w:tc>
      </w:tr>
      <w:tr w:rsidR="00514961" w:rsidRPr="00C601A2" w14:paraId="0FD2A319" w14:textId="77777777" w:rsidTr="00E05E18">
        <w:tc>
          <w:tcPr>
            <w:tcW w:w="1987" w:type="dxa"/>
          </w:tcPr>
          <w:p w14:paraId="0E8AF01F" w14:textId="77777777" w:rsidR="00514961" w:rsidRPr="00C601A2" w:rsidRDefault="00514961" w:rsidP="00A11F05">
            <w:pPr>
              <w:pStyle w:val="TableText"/>
              <w:spacing w:before="40" w:after="40"/>
            </w:pPr>
            <w:r w:rsidRPr="00C601A2">
              <w:t>heterotrophy</w:t>
            </w:r>
          </w:p>
        </w:tc>
        <w:tc>
          <w:tcPr>
            <w:tcW w:w="7538" w:type="dxa"/>
          </w:tcPr>
          <w:p w14:paraId="032A7B8E" w14:textId="72D8CB44" w:rsidR="00514961" w:rsidRPr="00C601A2" w:rsidRDefault="00514961" w:rsidP="00A11F05">
            <w:pPr>
              <w:pStyle w:val="TableText"/>
              <w:spacing w:before="40" w:after="40"/>
            </w:pPr>
            <w:r w:rsidRPr="00C601A2">
              <w:t>a s</w:t>
            </w:r>
            <w:r w:rsidR="00C63831">
              <w:t>tate where a system is consuming more carbon that it produces</w:t>
            </w:r>
          </w:p>
        </w:tc>
      </w:tr>
      <w:tr w:rsidR="000F172D" w:rsidRPr="00C601A2" w14:paraId="65E9F4E4"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613DE907" w14:textId="472C50A0" w:rsidR="000F172D" w:rsidRPr="00C601A2" w:rsidRDefault="00E92492" w:rsidP="00A11F05">
            <w:pPr>
              <w:pStyle w:val="TableText"/>
              <w:spacing w:before="40" w:after="40"/>
            </w:pPr>
            <w:r>
              <w:t>h</w:t>
            </w:r>
            <w:r w:rsidR="0053322E">
              <w:t>ypoxi</w:t>
            </w:r>
            <w:r>
              <w:t>c</w:t>
            </w:r>
          </w:p>
        </w:tc>
        <w:tc>
          <w:tcPr>
            <w:tcW w:w="7538" w:type="dxa"/>
          </w:tcPr>
          <w:p w14:paraId="1F2191FA" w14:textId="368B6CE4" w:rsidR="000F172D" w:rsidRPr="00C601A2" w:rsidRDefault="00E92492" w:rsidP="00A11F05">
            <w:pPr>
              <w:pStyle w:val="TableText"/>
              <w:spacing w:before="40" w:after="40"/>
            </w:pPr>
            <w:r>
              <w:t xml:space="preserve">water </w:t>
            </w:r>
            <w:r w:rsidR="001C701C">
              <w:t xml:space="preserve">that has a </w:t>
            </w:r>
            <w:r w:rsidR="0053322E">
              <w:t>low oxygen</w:t>
            </w:r>
            <w:r w:rsidR="001C701C">
              <w:t xml:space="preserve"> concentration</w:t>
            </w:r>
          </w:p>
        </w:tc>
      </w:tr>
      <w:tr w:rsidR="00514961" w:rsidRPr="00C601A2" w14:paraId="76106359" w14:textId="77777777" w:rsidTr="00E05E18">
        <w:tc>
          <w:tcPr>
            <w:tcW w:w="1987" w:type="dxa"/>
          </w:tcPr>
          <w:p w14:paraId="1EC7A584" w14:textId="77777777" w:rsidR="00514961" w:rsidRPr="00C601A2" w:rsidRDefault="00514961" w:rsidP="00A11F05">
            <w:pPr>
              <w:pStyle w:val="TableText"/>
              <w:spacing w:before="40" w:after="40"/>
            </w:pPr>
            <w:r w:rsidRPr="00C601A2">
              <w:t>K</w:t>
            </w:r>
          </w:p>
        </w:tc>
        <w:tc>
          <w:tcPr>
            <w:tcW w:w="7538" w:type="dxa"/>
          </w:tcPr>
          <w:p w14:paraId="6C25829B" w14:textId="77777777" w:rsidR="00514961" w:rsidRPr="00C601A2" w:rsidRDefault="00514961" w:rsidP="00A11F05">
            <w:pPr>
              <w:pStyle w:val="TableText"/>
              <w:spacing w:before="40" w:after="40"/>
            </w:pPr>
            <w:r w:rsidRPr="00C601A2">
              <w:t>reaeration coefficient</w:t>
            </w:r>
          </w:p>
        </w:tc>
      </w:tr>
      <w:tr w:rsidR="00514961" w:rsidRPr="00C601A2" w14:paraId="26401DD3"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434244AB" w14:textId="77777777" w:rsidR="00514961" w:rsidRPr="00C601A2" w:rsidRDefault="00514961" w:rsidP="00A11F05">
            <w:pPr>
              <w:pStyle w:val="TableText"/>
              <w:spacing w:before="40" w:after="40"/>
            </w:pPr>
            <w:r w:rsidRPr="00C601A2">
              <w:t>metabolic fingerprint</w:t>
            </w:r>
          </w:p>
        </w:tc>
        <w:tc>
          <w:tcPr>
            <w:tcW w:w="7538" w:type="dxa"/>
          </w:tcPr>
          <w:p w14:paraId="605133E1" w14:textId="77777777" w:rsidR="00514961" w:rsidRPr="00C601A2" w:rsidRDefault="00514961" w:rsidP="00A11F05">
            <w:pPr>
              <w:pStyle w:val="TableText"/>
              <w:spacing w:before="40" w:after="40"/>
            </w:pPr>
            <w:r w:rsidRPr="00C601A2">
              <w:t>a visualisation tool for contrasting annual patterns of metabolism across rivers or across years for the same river</w:t>
            </w:r>
          </w:p>
        </w:tc>
      </w:tr>
      <w:tr w:rsidR="0004517C" w:rsidRPr="00C601A2" w14:paraId="2F3D8681" w14:textId="77777777" w:rsidTr="00E05E18">
        <w:tc>
          <w:tcPr>
            <w:tcW w:w="1987" w:type="dxa"/>
          </w:tcPr>
          <w:p w14:paraId="7160E68D" w14:textId="4EA570BB" w:rsidR="0004517C" w:rsidRPr="00C601A2" w:rsidRDefault="003F561C" w:rsidP="00A11F05">
            <w:pPr>
              <w:pStyle w:val="TableText"/>
              <w:spacing w:before="40" w:after="40"/>
            </w:pPr>
            <w:r>
              <w:t>m</w:t>
            </w:r>
            <w:r w:rsidR="0004517C">
              <w:t>etabolic throughput</w:t>
            </w:r>
          </w:p>
        </w:tc>
        <w:tc>
          <w:tcPr>
            <w:tcW w:w="7538" w:type="dxa"/>
          </w:tcPr>
          <w:p w14:paraId="2D79A862" w14:textId="121F8B4D" w:rsidR="0004517C" w:rsidRPr="00C601A2" w:rsidRDefault="004812FE" w:rsidP="00A11F05">
            <w:pPr>
              <w:pStyle w:val="TableText"/>
              <w:spacing w:before="40" w:after="40"/>
            </w:pPr>
            <w:r>
              <w:t>describes the overall rates of metabolic activity</w:t>
            </w:r>
            <w:r w:rsidR="00B91CB8">
              <w:t>;</w:t>
            </w:r>
            <w:r w:rsidR="001B0A7B">
              <w:t xml:space="preserve"> for example,</w:t>
            </w:r>
            <w:r w:rsidR="003F561C" w:rsidRPr="003F561C">
              <w:t xml:space="preserve"> high rates of both GPP and ER (i.e.</w:t>
            </w:r>
            <w:r w:rsidR="00B91CB8">
              <w:t> </w:t>
            </w:r>
            <w:r w:rsidR="003F561C" w:rsidRPr="003F561C">
              <w:t>with a GPP:ER close to 1) indicate rapid cycling or ‘throughput’ of carbon by aquatic organisms. In contrast, low but balanced GPP and ER indicate slow cycling and low throughput</w:t>
            </w:r>
          </w:p>
        </w:tc>
      </w:tr>
      <w:tr w:rsidR="00514961" w:rsidRPr="00C601A2" w14:paraId="417B44AF"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04C4EE63" w14:textId="77777777" w:rsidR="00514961" w:rsidRPr="00C601A2" w:rsidRDefault="00514961" w:rsidP="00A11F05">
            <w:pPr>
              <w:pStyle w:val="TableText"/>
              <w:spacing w:before="40" w:after="40"/>
            </w:pPr>
            <w:r w:rsidRPr="00C601A2">
              <w:t>NEP</w:t>
            </w:r>
          </w:p>
        </w:tc>
        <w:tc>
          <w:tcPr>
            <w:tcW w:w="7538" w:type="dxa"/>
          </w:tcPr>
          <w:p w14:paraId="11FA116D" w14:textId="77777777" w:rsidR="00514961" w:rsidRPr="00C601A2" w:rsidRDefault="00514961" w:rsidP="00A11F05">
            <w:pPr>
              <w:pStyle w:val="TableText"/>
              <w:spacing w:before="40" w:after="40"/>
            </w:pPr>
            <w:r w:rsidRPr="00C601A2">
              <w:t>net ecosystem production</w:t>
            </w:r>
          </w:p>
        </w:tc>
      </w:tr>
      <w:tr w:rsidR="00514961" w:rsidRPr="00C601A2" w14:paraId="17BE881D" w14:textId="77777777" w:rsidTr="00E05E18">
        <w:tc>
          <w:tcPr>
            <w:tcW w:w="1987" w:type="dxa"/>
          </w:tcPr>
          <w:p w14:paraId="4911263D" w14:textId="77777777" w:rsidR="00514961" w:rsidRPr="00C601A2" w:rsidRDefault="00514961" w:rsidP="00A11F05">
            <w:pPr>
              <w:pStyle w:val="TableText"/>
              <w:spacing w:before="40" w:after="40"/>
            </w:pPr>
            <w:r w:rsidRPr="00C601A2">
              <w:t>PAR</w:t>
            </w:r>
          </w:p>
        </w:tc>
        <w:tc>
          <w:tcPr>
            <w:tcW w:w="7538" w:type="dxa"/>
          </w:tcPr>
          <w:p w14:paraId="31F4CF39" w14:textId="77777777" w:rsidR="00514961" w:rsidRPr="00C601A2" w:rsidRDefault="00514961" w:rsidP="00A11F05">
            <w:pPr>
              <w:pStyle w:val="TableText"/>
              <w:spacing w:before="40" w:after="40"/>
            </w:pPr>
            <w:r w:rsidRPr="00C601A2">
              <w:t>photosynthetically active radiation</w:t>
            </w:r>
          </w:p>
        </w:tc>
      </w:tr>
      <w:tr w:rsidR="00514961" w:rsidRPr="00C601A2" w14:paraId="199AF51A" w14:textId="77777777" w:rsidTr="00E05E18">
        <w:trPr>
          <w:cnfStyle w:val="000000100000" w:firstRow="0" w:lastRow="0" w:firstColumn="0" w:lastColumn="0" w:oddVBand="0" w:evenVBand="0" w:oddHBand="1" w:evenHBand="0" w:firstRowFirstColumn="0" w:firstRowLastColumn="0" w:lastRowFirstColumn="0" w:lastRowLastColumn="0"/>
        </w:trPr>
        <w:tc>
          <w:tcPr>
            <w:tcW w:w="1987" w:type="dxa"/>
          </w:tcPr>
          <w:p w14:paraId="33FA0DFC" w14:textId="77777777" w:rsidR="00514961" w:rsidRPr="00C601A2" w:rsidRDefault="00514961" w:rsidP="00A11F05">
            <w:pPr>
              <w:pStyle w:val="TableText"/>
              <w:spacing w:before="40" w:after="40"/>
            </w:pPr>
            <w:r w:rsidRPr="00C601A2">
              <w:t>the Strategy</w:t>
            </w:r>
          </w:p>
        </w:tc>
        <w:tc>
          <w:tcPr>
            <w:tcW w:w="7538" w:type="dxa"/>
          </w:tcPr>
          <w:p w14:paraId="1AF73AE4" w14:textId="128E953E" w:rsidR="00514961" w:rsidRPr="00C601A2" w:rsidRDefault="00055401" w:rsidP="00A11F05">
            <w:pPr>
              <w:pStyle w:val="TableText"/>
              <w:spacing w:before="40" w:after="40"/>
            </w:pPr>
            <w:r>
              <w:t>s</w:t>
            </w:r>
            <w:r w:rsidR="00A74DAC">
              <w:t xml:space="preserve">hortened form </w:t>
            </w:r>
            <w:r>
              <w:t xml:space="preserve">for </w:t>
            </w:r>
            <w:r w:rsidR="00514961" w:rsidRPr="00C601A2">
              <w:t xml:space="preserve">the </w:t>
            </w:r>
            <w:r w:rsidR="00514961" w:rsidRPr="00C601A2">
              <w:rPr>
                <w:rStyle w:val="Italics"/>
              </w:rPr>
              <w:t>Basin-wide environmental watering strategy</w:t>
            </w:r>
            <w:r w:rsidR="00514961" w:rsidRPr="00C601A2">
              <w:t xml:space="preserve"> (MDBA 2019)</w:t>
            </w:r>
          </w:p>
        </w:tc>
      </w:tr>
      <w:tr w:rsidR="00152C5A" w:rsidRPr="00C601A2" w14:paraId="6859B159" w14:textId="77777777" w:rsidTr="00E05E18">
        <w:tc>
          <w:tcPr>
            <w:tcW w:w="1987" w:type="dxa"/>
          </w:tcPr>
          <w:p w14:paraId="2F89F383" w14:textId="40C3FE86" w:rsidR="00E576CF" w:rsidRPr="00C601A2" w:rsidRDefault="00E576CF" w:rsidP="00A11F05">
            <w:pPr>
              <w:pStyle w:val="TableText"/>
              <w:spacing w:before="40" w:after="40"/>
            </w:pPr>
            <w:r>
              <w:t>water year</w:t>
            </w:r>
          </w:p>
        </w:tc>
        <w:tc>
          <w:tcPr>
            <w:tcW w:w="7539" w:type="dxa"/>
          </w:tcPr>
          <w:p w14:paraId="5A4FAE0C" w14:textId="0A51743A" w:rsidR="00E576CF" w:rsidRPr="00C601A2" w:rsidRDefault="00E576CF" w:rsidP="00A11F05">
            <w:pPr>
              <w:pStyle w:val="TableText"/>
              <w:spacing w:before="40" w:after="40"/>
            </w:pPr>
            <w:r>
              <w:t>year in which Commonwealth environmental water is delivered (1 July to 30 June)</w:t>
            </w:r>
          </w:p>
        </w:tc>
      </w:tr>
    </w:tbl>
    <w:p w14:paraId="68B9A9BB" w14:textId="77777777" w:rsidR="00514961" w:rsidRPr="00C601A2" w:rsidRDefault="00514961" w:rsidP="00514961">
      <w:pPr>
        <w:spacing w:after="0"/>
      </w:pPr>
    </w:p>
    <w:p w14:paraId="35B1491F" w14:textId="77777777" w:rsidR="00514961" w:rsidRPr="00C601A2" w:rsidRDefault="00514961" w:rsidP="00514961">
      <w:pPr>
        <w:pStyle w:val="Heading1"/>
        <w:sectPr w:rsidR="00514961" w:rsidRPr="00C601A2" w:rsidSect="00546DF6">
          <w:headerReference w:type="even" r:id="rId106"/>
          <w:headerReference w:type="default" r:id="rId107"/>
          <w:footerReference w:type="default" r:id="rId108"/>
          <w:headerReference w:type="first" r:id="rId109"/>
          <w:pgSz w:w="11906" w:h="16838" w:code="9"/>
          <w:pgMar w:top="1134" w:right="1134" w:bottom="1134" w:left="1134" w:header="510" w:footer="510" w:gutter="0"/>
          <w:cols w:space="284"/>
          <w:docGrid w:linePitch="360"/>
        </w:sectPr>
      </w:pPr>
    </w:p>
    <w:p w14:paraId="481820E6" w14:textId="3E890BB3" w:rsidR="001172BE" w:rsidRPr="00C601A2" w:rsidRDefault="001172BE" w:rsidP="002E2260">
      <w:pPr>
        <w:pStyle w:val="Heading1notnumbered"/>
      </w:pPr>
      <w:bookmarkStart w:id="425" w:name="_Toc169543890"/>
      <w:bookmarkStart w:id="426" w:name="_Toc202187875"/>
      <w:r w:rsidRPr="00C601A2">
        <w:lastRenderedPageBreak/>
        <w:t>References</w:t>
      </w:r>
      <w:bookmarkEnd w:id="232"/>
      <w:bookmarkEnd w:id="425"/>
      <w:bookmarkEnd w:id="426"/>
    </w:p>
    <w:bookmarkEnd w:id="0"/>
    <w:p w14:paraId="6AAF23D4" w14:textId="60DA0D07" w:rsidR="00EF0647" w:rsidRDefault="00EF0647" w:rsidP="00CA15EC">
      <w:pPr>
        <w:pStyle w:val="Reference"/>
      </w:pPr>
      <w:r w:rsidRPr="00EF0647">
        <w:t xml:space="preserve">Bernhardt ES, Heffernan JB, Grimm NB, Stanley EH, Harvey J, </w:t>
      </w:r>
      <w:proofErr w:type="spellStart"/>
      <w:r w:rsidRPr="00EF0647">
        <w:t>Arroita</w:t>
      </w:r>
      <w:proofErr w:type="spellEnd"/>
      <w:r w:rsidRPr="00EF0647">
        <w:t xml:space="preserve"> M, Appling AP, Cohen M, McDowell WH, Hall Jr R (2018) The metabolic regimes of flowing waters. Limnology and Oceanography 63(S1), S99–S118, doi:</w:t>
      </w:r>
      <w:hyperlink r:id="rId110" w:history="1">
        <w:r w:rsidRPr="0041173D">
          <w:rPr>
            <w:rStyle w:val="Hyperlink"/>
          </w:rPr>
          <w:t>10.1002/lno.10726</w:t>
        </w:r>
      </w:hyperlink>
      <w:r w:rsidRPr="00EF0647">
        <w:t>.</w:t>
      </w:r>
    </w:p>
    <w:p w14:paraId="258E7DCA" w14:textId="3B35ABF6" w:rsidR="00EB3D01" w:rsidRPr="00F34BEF" w:rsidRDefault="00EB3D01" w:rsidP="00CA15EC">
      <w:pPr>
        <w:pStyle w:val="Reference"/>
      </w:pPr>
      <w:r w:rsidRPr="00F34BEF">
        <w:t xml:space="preserve">Bernhardt ES, Savoy P, </w:t>
      </w:r>
      <w:proofErr w:type="spellStart"/>
      <w:r w:rsidRPr="00F34BEF">
        <w:t>Vlah</w:t>
      </w:r>
      <w:proofErr w:type="spellEnd"/>
      <w:r w:rsidRPr="00F34BEF">
        <w:t xml:space="preserve"> MJ, Appling AP, Koenig LE, Hall RO, </w:t>
      </w:r>
      <w:proofErr w:type="spellStart"/>
      <w:r w:rsidRPr="00F34BEF">
        <w:t>Arroita</w:t>
      </w:r>
      <w:proofErr w:type="spellEnd"/>
      <w:r w:rsidRPr="00F34BEF">
        <w:t xml:space="preserve"> M, Blaszczak JR, Carter AM, Cohen M, Harvey JW, Heffernan JB, Helton AM, Hosen JD, Kirk L, McDowell WH, Stanley EH, </w:t>
      </w:r>
      <w:proofErr w:type="spellStart"/>
      <w:r w:rsidRPr="00F34BEF">
        <w:t>Yackulic</w:t>
      </w:r>
      <w:proofErr w:type="spellEnd"/>
      <w:r w:rsidRPr="00F34BEF">
        <w:t xml:space="preserve"> CB, Grimm NB (2022) Light and flow regimes regulate the metabolism of rivers. Proceedings of the National Academy of Sciences 119(8), e2121976119, doi:</w:t>
      </w:r>
      <w:hyperlink r:id="rId111" w:history="1">
        <w:r w:rsidRPr="001F56E7">
          <w:rPr>
            <w:rStyle w:val="Hyperlink"/>
          </w:rPr>
          <w:t>10.1073/pnas.2121976119</w:t>
        </w:r>
      </w:hyperlink>
      <w:r w:rsidRPr="00F34BEF">
        <w:t>.</w:t>
      </w:r>
    </w:p>
    <w:p w14:paraId="4D4180E7" w14:textId="0D7FCEA3" w:rsidR="00EB3D01" w:rsidRPr="00F34BEF" w:rsidRDefault="00EB3D01" w:rsidP="00CA15EC">
      <w:pPr>
        <w:pStyle w:val="Reference"/>
      </w:pPr>
      <w:r w:rsidRPr="00F34BEF">
        <w:t xml:space="preserve">Bunn S, Abal E, Greenfield P, Tarte D (2007) Making the connection between healthy waterways and healthy catchments: </w:t>
      </w:r>
      <w:proofErr w:type="gramStart"/>
      <w:r w:rsidRPr="00F34BEF">
        <w:t>South East</w:t>
      </w:r>
      <w:proofErr w:type="gramEnd"/>
      <w:r w:rsidRPr="00F34BEF">
        <w:t xml:space="preserve"> Queensland, Australia. Water Science and Technology: Water Supply 7(2), 93</w:t>
      </w:r>
      <w:r w:rsidRPr="00F34BEF">
        <w:rPr>
          <w:rFonts w:cstheme="minorHAnsi"/>
        </w:rPr>
        <w:t>–</w:t>
      </w:r>
      <w:r w:rsidRPr="00F34BEF">
        <w:t>100</w:t>
      </w:r>
      <w:r w:rsidR="001C15FD" w:rsidRPr="00F34BEF">
        <w:t>, doi:</w:t>
      </w:r>
      <w:hyperlink r:id="rId112" w:tgtFrame="_blank" w:history="1">
        <w:r w:rsidR="001C15FD" w:rsidRPr="00FF674F">
          <w:rPr>
            <w:rStyle w:val="Hyperlink"/>
          </w:rPr>
          <w:t>10.2166/ws.2007.044</w:t>
        </w:r>
      </w:hyperlink>
      <w:r w:rsidR="0080749C" w:rsidRPr="00F34BEF">
        <w:t>.</w:t>
      </w:r>
    </w:p>
    <w:p w14:paraId="074EC8A4" w14:textId="2875214F" w:rsidR="001C15FD" w:rsidRPr="00F34BEF" w:rsidRDefault="001C15FD" w:rsidP="00CA15EC">
      <w:pPr>
        <w:pStyle w:val="Reference"/>
      </w:pPr>
      <w:r w:rsidRPr="00F34BEF">
        <w:t>CEWH (202</w:t>
      </w:r>
      <w:r w:rsidR="00F33015">
        <w:t>4</w:t>
      </w:r>
      <w:r w:rsidRPr="00F34BEF">
        <w:t xml:space="preserve">a) </w:t>
      </w:r>
      <w:r w:rsidR="009D74CA" w:rsidRPr="00F34BEF">
        <w:t xml:space="preserve">Commonwealth Environmental Water Holder </w:t>
      </w:r>
      <w:r w:rsidRPr="00F34BEF">
        <w:t>Monitoring, Evaluation and Research Program: Gwydir River Selected Area 202</w:t>
      </w:r>
      <w:r w:rsidR="00F33015">
        <w:t>3</w:t>
      </w:r>
      <w:r w:rsidR="00236805">
        <w:t>–</w:t>
      </w:r>
      <w:r w:rsidRPr="00F34BEF">
        <w:t>2</w:t>
      </w:r>
      <w:r w:rsidR="00F33015">
        <w:t>4</w:t>
      </w:r>
      <w:r w:rsidRPr="00F34BEF">
        <w:t xml:space="preserve"> </w:t>
      </w:r>
      <w:r w:rsidR="00676495" w:rsidRPr="00F34BEF">
        <w:t>A</w:t>
      </w:r>
      <w:r w:rsidRPr="00F34BEF">
        <w:t xml:space="preserve">nnual </w:t>
      </w:r>
      <w:r w:rsidR="00676495" w:rsidRPr="00F34BEF">
        <w:t>S</w:t>
      </w:r>
      <w:r w:rsidRPr="00F34BEF">
        <w:t xml:space="preserve">ummary </w:t>
      </w:r>
      <w:r w:rsidR="00676495" w:rsidRPr="00F34BEF">
        <w:t>R</w:t>
      </w:r>
      <w:r w:rsidRPr="00F34BEF">
        <w:t>eport</w:t>
      </w:r>
      <w:r w:rsidR="00D33CD5">
        <w:t>:</w:t>
      </w:r>
      <w:r w:rsidR="00F33015">
        <w:t xml:space="preserve"> Appendix</w:t>
      </w:r>
      <w:r w:rsidR="00D33CD5">
        <w:t xml:space="preserve"> </w:t>
      </w:r>
      <w:r w:rsidR="00F33015">
        <w:t>B</w:t>
      </w:r>
      <w:r w:rsidR="00A53ADE">
        <w:t xml:space="preserve"> Food Webs Monitoring.</w:t>
      </w:r>
      <w:r w:rsidRPr="00F34BEF">
        <w:t xml:space="preserve"> Commonwealth of Australia, Canberra.</w:t>
      </w:r>
    </w:p>
    <w:p w14:paraId="6F292DE9" w14:textId="58B0FFB9" w:rsidR="00660B9A" w:rsidRDefault="00F76351" w:rsidP="00CA15EC">
      <w:pPr>
        <w:pStyle w:val="Reference"/>
      </w:pPr>
      <w:r w:rsidRPr="00F34BEF">
        <w:t>CEWH</w:t>
      </w:r>
      <w:r w:rsidR="00703416" w:rsidRPr="00F34BEF">
        <w:t xml:space="preserve"> </w:t>
      </w:r>
      <w:r w:rsidR="001C15FD" w:rsidRPr="00F34BEF">
        <w:t>(202</w:t>
      </w:r>
      <w:r w:rsidR="00F33015">
        <w:t>4</w:t>
      </w:r>
      <w:r w:rsidR="001C15FD" w:rsidRPr="00F34BEF">
        <w:t xml:space="preserve">b) </w:t>
      </w:r>
      <w:r w:rsidR="00703416" w:rsidRPr="00F34BEF">
        <w:t xml:space="preserve">Monitoring, Evaluation and Research Program: Junction of the </w:t>
      </w:r>
      <w:proofErr w:type="spellStart"/>
      <w:r w:rsidR="00703416" w:rsidRPr="00F34BEF">
        <w:t>Warriku</w:t>
      </w:r>
      <w:proofErr w:type="spellEnd"/>
      <w:r w:rsidR="00703416" w:rsidRPr="00F34BEF">
        <w:t xml:space="preserve"> (Warrego) and Baaka (Darling) Rivers Selected Area Monitoring, Evaluation and Research </w:t>
      </w:r>
      <w:r w:rsidR="00D5754B" w:rsidRPr="00F34BEF">
        <w:t>A</w:t>
      </w:r>
      <w:r w:rsidR="00703416" w:rsidRPr="00F34BEF">
        <w:t xml:space="preserve">nnual </w:t>
      </w:r>
      <w:r w:rsidR="00D5754B" w:rsidRPr="00F34BEF">
        <w:t>S</w:t>
      </w:r>
      <w:r w:rsidR="00703416" w:rsidRPr="00F34BEF">
        <w:t xml:space="preserve">ummary </w:t>
      </w:r>
      <w:r w:rsidR="00D5754B" w:rsidRPr="00F34BEF">
        <w:t>R</w:t>
      </w:r>
      <w:r w:rsidR="00703416" w:rsidRPr="00F34BEF">
        <w:t>eport</w:t>
      </w:r>
      <w:r w:rsidR="00D33CD5">
        <w:t xml:space="preserve">: Appendix </w:t>
      </w:r>
      <w:r w:rsidR="00794F34">
        <w:t>C Food</w:t>
      </w:r>
      <w:r w:rsidR="00A53ADE">
        <w:t xml:space="preserve"> W</w:t>
      </w:r>
      <w:r w:rsidR="00794F34">
        <w:t>ebs</w:t>
      </w:r>
      <w:r w:rsidR="00A53ADE">
        <w:t xml:space="preserve"> Monitoring</w:t>
      </w:r>
      <w:r w:rsidR="00703416" w:rsidRPr="00F34BEF">
        <w:t xml:space="preserve"> (202</w:t>
      </w:r>
      <w:r w:rsidR="00F33015">
        <w:t>3</w:t>
      </w:r>
      <w:r w:rsidR="001C15FD" w:rsidRPr="00F34BEF">
        <w:t>–</w:t>
      </w:r>
      <w:r w:rsidR="00703416" w:rsidRPr="00F34BEF">
        <w:t>202</w:t>
      </w:r>
      <w:r w:rsidR="00F33015">
        <w:t>4</w:t>
      </w:r>
      <w:r w:rsidR="00703416" w:rsidRPr="00F34BEF">
        <w:t>)</w:t>
      </w:r>
      <w:r w:rsidR="001C15FD" w:rsidRPr="00F34BEF">
        <w:t>.</w:t>
      </w:r>
      <w:r w:rsidR="00703416" w:rsidRPr="00F34BEF">
        <w:t xml:space="preserve"> Commonwealth of Australia</w:t>
      </w:r>
      <w:r w:rsidR="001C15FD" w:rsidRPr="00F34BEF">
        <w:t>, Canberra</w:t>
      </w:r>
      <w:r w:rsidR="00703416" w:rsidRPr="00F34BEF">
        <w:t>.</w:t>
      </w:r>
    </w:p>
    <w:p w14:paraId="6B521AE8" w14:textId="77777777" w:rsidR="001B4F20" w:rsidRDefault="001B4F20" w:rsidP="001B4F20">
      <w:pPr>
        <w:pStyle w:val="Reference"/>
      </w:pPr>
      <w:r>
        <w:t>CEWH (2024) 2023–24 Flow-MER watering actions table. Prepared by Science Division, Commonwealth Environmental Water Holder, Department of Climate Change, Energy, the Environment and Water, Canberra. Unpublished.</w:t>
      </w:r>
    </w:p>
    <w:p w14:paraId="6287D51E" w14:textId="22FA9D25" w:rsidR="0080749C" w:rsidRPr="00F34BEF" w:rsidRDefault="00EB3D01" w:rsidP="00CA15EC">
      <w:pPr>
        <w:pStyle w:val="Reference"/>
      </w:pPr>
      <w:r w:rsidRPr="00F34BEF">
        <w:t xml:space="preserve">Davies P, Harris J, Hillman T, Walker K (2010) The </w:t>
      </w:r>
      <w:r w:rsidR="00A453C2" w:rsidRPr="00F34BEF">
        <w:t>S</w:t>
      </w:r>
      <w:r w:rsidRPr="00F34BEF">
        <w:t xml:space="preserve">ustainable </w:t>
      </w:r>
      <w:r w:rsidR="00A453C2" w:rsidRPr="00F34BEF">
        <w:t>R</w:t>
      </w:r>
      <w:r w:rsidRPr="00F34BEF">
        <w:t xml:space="preserve">ivers </w:t>
      </w:r>
      <w:r w:rsidR="00A453C2" w:rsidRPr="00F34BEF">
        <w:t>A</w:t>
      </w:r>
      <w:r w:rsidRPr="00F34BEF">
        <w:t>udit: assessing river ecosystem health in the Murray–Darling Basin, Australia. Marine and Freshwater Research 61(7), 764</w:t>
      </w:r>
      <w:r w:rsidRPr="00F34BEF">
        <w:rPr>
          <w:rFonts w:cstheme="minorHAnsi"/>
        </w:rPr>
        <w:t>–</w:t>
      </w:r>
      <w:r w:rsidRPr="00F34BEF">
        <w:t>777</w:t>
      </w:r>
      <w:r w:rsidR="00A453C2" w:rsidRPr="00F34BEF">
        <w:t>, doi:</w:t>
      </w:r>
      <w:hyperlink r:id="rId113" w:tgtFrame="_blank" w:history="1">
        <w:r w:rsidR="00A453C2" w:rsidRPr="00DA626F">
          <w:rPr>
            <w:rStyle w:val="Hyperlink"/>
          </w:rPr>
          <w:t>10.1071/MF09043</w:t>
        </w:r>
      </w:hyperlink>
      <w:r w:rsidR="0080749C" w:rsidRPr="00F34BEF">
        <w:t>.</w:t>
      </w:r>
    </w:p>
    <w:p w14:paraId="1007BE76" w14:textId="47CF3BBB" w:rsidR="0080749C" w:rsidRPr="00F34BEF" w:rsidRDefault="00EB3D01" w:rsidP="00CA15EC">
      <w:pPr>
        <w:pStyle w:val="Reference"/>
      </w:pPr>
      <w:r w:rsidRPr="00F34BEF">
        <w:t>Dixon P (2003) VEGAN, a package of R functions for community ecology. Journal of Vegetation Science 14(6), 927</w:t>
      </w:r>
      <w:r w:rsidRPr="00F34BEF">
        <w:rPr>
          <w:rFonts w:cstheme="minorHAnsi"/>
        </w:rPr>
        <w:t>–</w:t>
      </w:r>
      <w:r w:rsidRPr="00F34BEF">
        <w:t>930</w:t>
      </w:r>
      <w:r w:rsidR="00A453C2" w:rsidRPr="00F34BEF">
        <w:t>, doi:</w:t>
      </w:r>
      <w:hyperlink r:id="rId114" w:history="1">
        <w:r w:rsidR="00A453C2" w:rsidRPr="00060BEF">
          <w:rPr>
            <w:rStyle w:val="Hyperlink"/>
          </w:rPr>
          <w:t>10.1111/j.1654-1103.2003.tb02228.x</w:t>
        </w:r>
      </w:hyperlink>
      <w:r w:rsidR="0080749C" w:rsidRPr="00F34BEF">
        <w:t>.</w:t>
      </w:r>
    </w:p>
    <w:p w14:paraId="7BE99BAC" w14:textId="6E31214F" w:rsidR="00603D8E" w:rsidRDefault="00603D8E" w:rsidP="00CA15EC">
      <w:pPr>
        <w:pStyle w:val="Reference"/>
      </w:pPr>
      <w:proofErr w:type="spellStart"/>
      <w:r w:rsidRPr="00603D8E">
        <w:t>Giling</w:t>
      </w:r>
      <w:proofErr w:type="spellEnd"/>
      <w:r w:rsidRPr="00603D8E">
        <w:t xml:space="preserve"> DP, Broadhurst B, Dyer F, Grace M, Joehnk K, McInerney PJ, Pollino C, Rees G, Sengupta A, </w:t>
      </w:r>
      <w:proofErr w:type="spellStart"/>
      <w:r w:rsidRPr="00603D8E">
        <w:t>Tschierschke</w:t>
      </w:r>
      <w:proofErr w:type="spellEnd"/>
      <w:r w:rsidRPr="00603D8E">
        <w:t xml:space="preserve"> A, Thompson RM (2025) Season and </w:t>
      </w:r>
      <w:r w:rsidR="004B140F">
        <w:t>f</w:t>
      </w:r>
      <w:r w:rsidRPr="00603D8E">
        <w:t xml:space="preserve">low </w:t>
      </w:r>
      <w:r w:rsidR="004B140F">
        <w:t>d</w:t>
      </w:r>
      <w:r w:rsidRPr="00603D8E">
        <w:t xml:space="preserve">rive </w:t>
      </w:r>
      <w:r w:rsidR="004B140F">
        <w:t>p</w:t>
      </w:r>
      <w:r w:rsidRPr="00603D8E">
        <w:t xml:space="preserve">roductivity of a </w:t>
      </w:r>
      <w:r w:rsidR="004B140F">
        <w:t>r</w:t>
      </w:r>
      <w:r w:rsidRPr="00603D8E">
        <w:t xml:space="preserve">egulated </w:t>
      </w:r>
      <w:r w:rsidR="004B140F">
        <w:t>r</w:t>
      </w:r>
      <w:r w:rsidRPr="00603D8E">
        <w:t>iver. Ecosystems, 28(1), 5</w:t>
      </w:r>
      <w:r w:rsidR="00485C99">
        <w:t>, doi</w:t>
      </w:r>
      <w:r w:rsidR="00214A0C">
        <w:t>:</w:t>
      </w:r>
      <w:hyperlink r:id="rId115" w:history="1">
        <w:r w:rsidR="00485C99" w:rsidRPr="00485C99">
          <w:rPr>
            <w:rStyle w:val="Hyperlink"/>
          </w:rPr>
          <w:t>10.1007/s10021-024-00945-6</w:t>
        </w:r>
      </w:hyperlink>
      <w:r w:rsidR="00214A0C">
        <w:t>.</w:t>
      </w:r>
      <w:r w:rsidRPr="00603D8E">
        <w:t xml:space="preserve"> </w:t>
      </w:r>
    </w:p>
    <w:p w14:paraId="0C585D88" w14:textId="13854D0D" w:rsidR="00EB3D01" w:rsidRPr="00F34BEF" w:rsidRDefault="00EB3D01" w:rsidP="00CA15EC">
      <w:pPr>
        <w:pStyle w:val="Reference"/>
      </w:pPr>
      <w:r w:rsidRPr="00F34BEF">
        <w:t>Grace M (2019) Basin Matter – Stream Metabolism and Water Quality foundation report – revision 2019. La Trobe University, Wodonga.</w:t>
      </w:r>
    </w:p>
    <w:p w14:paraId="522FE204" w14:textId="716A90F8" w:rsidR="00EB3D01" w:rsidRPr="00F34BEF" w:rsidRDefault="00EB3D01" w:rsidP="00CA15EC">
      <w:pPr>
        <w:pStyle w:val="Reference"/>
      </w:pPr>
      <w:r w:rsidRPr="00F34BEF">
        <w:t>Grace M (2020) 2018–19 Basin scale evaluation of Commonwealth environmental water — Stream Metabolism and Water Quality. Final report prepared for the Commonwealth Environmental Water Office by La Trobe University. Publication 247/2020. La Trobe University, Wodonga.</w:t>
      </w:r>
    </w:p>
    <w:p w14:paraId="085CFA62" w14:textId="058D3B0C" w:rsidR="0080749C" w:rsidRPr="00F34BEF" w:rsidRDefault="00EB3D01" w:rsidP="00CA15EC">
      <w:pPr>
        <w:pStyle w:val="Reference"/>
      </w:pPr>
      <w:r w:rsidRPr="00F34BEF">
        <w:t xml:space="preserve">Hale J, Stoffels R, Butcher R, Shackleton M, </w:t>
      </w:r>
      <w:proofErr w:type="spellStart"/>
      <w:r w:rsidRPr="00F34BEF">
        <w:t>Brooks</w:t>
      </w:r>
      <w:proofErr w:type="spellEnd"/>
      <w:r w:rsidRPr="00F34BEF">
        <w:t xml:space="preserve"> S, Gawne B, Stewardson M (2014) Commonwealth Environmental Water Office Long Term Intervention Monitoring Project – standard methods. Report prepared for the Commonwealth Environmental Water Office. Murray</w:t>
      </w:r>
      <w:r w:rsidRPr="00F34BEF">
        <w:rPr>
          <w:rFonts w:cstheme="minorHAnsi"/>
        </w:rPr>
        <w:t>–</w:t>
      </w:r>
      <w:r w:rsidRPr="00F34BEF">
        <w:t>Darling Freshwater Research Centre, Albury</w:t>
      </w:r>
      <w:r w:rsidR="0080749C" w:rsidRPr="00F34BEF">
        <w:t>.</w:t>
      </w:r>
    </w:p>
    <w:p w14:paraId="4ED0A63B" w14:textId="0851400E" w:rsidR="00EB3D01" w:rsidRPr="00F34BEF" w:rsidRDefault="00EB3D01" w:rsidP="00CA15EC">
      <w:pPr>
        <w:pStyle w:val="Reference"/>
      </w:pPr>
      <w:r w:rsidRPr="00F34BEF">
        <w:t>Hall RO (2016) Metabolism of streams and rivers: estimation, controls, and application. In: Jones JB, Stanley EH (eds), Stream ecosystems in a changing environment. Academic Press, Boston, 151</w:t>
      </w:r>
      <w:r w:rsidRPr="00F34BEF">
        <w:rPr>
          <w:rFonts w:cstheme="minorHAnsi"/>
        </w:rPr>
        <w:t>–</w:t>
      </w:r>
      <w:r w:rsidRPr="00F34BEF">
        <w:t>180, doi:</w:t>
      </w:r>
      <w:hyperlink r:id="rId116" w:history="1">
        <w:r w:rsidRPr="00797295">
          <w:rPr>
            <w:rStyle w:val="Hyperlink"/>
          </w:rPr>
          <w:t>10.1016/B978-0-12-405890-3.00004-X</w:t>
        </w:r>
      </w:hyperlink>
      <w:r w:rsidRPr="00F34BEF">
        <w:t>.</w:t>
      </w:r>
    </w:p>
    <w:p w14:paraId="3CEDC804" w14:textId="4DA7FCBF" w:rsidR="00E87E7F" w:rsidRDefault="00E87E7F" w:rsidP="00266B4B">
      <w:pPr>
        <w:pStyle w:val="Reference"/>
      </w:pPr>
      <w:proofErr w:type="spellStart"/>
      <w:r w:rsidRPr="00E87E7F">
        <w:lastRenderedPageBreak/>
        <w:t>Higgisson</w:t>
      </w:r>
      <w:proofErr w:type="spellEnd"/>
      <w:r w:rsidRPr="00E87E7F">
        <w:t xml:space="preserve"> W, Broadhurst B, </w:t>
      </w:r>
      <w:proofErr w:type="spellStart"/>
      <w:r w:rsidRPr="00E87E7F">
        <w:t>Tschierschke</w:t>
      </w:r>
      <w:proofErr w:type="spellEnd"/>
      <w:r w:rsidRPr="00E87E7F">
        <w:t xml:space="preserve"> A, Stocks J, van der </w:t>
      </w:r>
      <w:proofErr w:type="spellStart"/>
      <w:r w:rsidRPr="00E87E7F">
        <w:t>Meulen</w:t>
      </w:r>
      <w:proofErr w:type="spellEnd"/>
      <w:r w:rsidRPr="00E87E7F">
        <w:t xml:space="preserve"> D, </w:t>
      </w:r>
      <w:proofErr w:type="spellStart"/>
      <w:r w:rsidRPr="00E87E7F">
        <w:t>Kerezsy</w:t>
      </w:r>
      <w:proofErr w:type="spellEnd"/>
      <w:r w:rsidRPr="00E87E7F">
        <w:t xml:space="preserve"> A, Lenehan J, Thompson R</w:t>
      </w:r>
      <w:r w:rsidR="005C44A3">
        <w:t xml:space="preserve">, </w:t>
      </w:r>
      <w:r w:rsidRPr="00E87E7F">
        <w:t>Dyer F (2024) Commonwealth Environmental Water Holder Monitoring, Evaluation and Research Program: Lachlan River System Selected Area 2023–24 Monitoring, and Evaluation and Research Technical Report. Commonwealth of Australia.</w:t>
      </w:r>
    </w:p>
    <w:p w14:paraId="5ED52009" w14:textId="1DF50B1D" w:rsidR="00D76A7F" w:rsidRPr="00D76A7F" w:rsidRDefault="00D76A7F" w:rsidP="00D76A7F">
      <w:pPr>
        <w:pStyle w:val="Reference"/>
      </w:pPr>
      <w:r w:rsidRPr="00D76A7F">
        <w:t>Jeffrey SJ, Carter JO, Moodie KB</w:t>
      </w:r>
      <w:r w:rsidR="007E488E">
        <w:t>,</w:t>
      </w:r>
      <w:r w:rsidRPr="00D76A7F">
        <w:t xml:space="preserve"> Beswick AR (2001) Using spatial interpolation to construct a comprehensive archive of Australian climate data, Environmental Modelling and Software, Vol 16/4, pp 309</w:t>
      </w:r>
      <w:r w:rsidR="00DD3251">
        <w:t>–</w:t>
      </w:r>
      <w:r w:rsidRPr="00D76A7F">
        <w:t>330.</w:t>
      </w:r>
    </w:p>
    <w:p w14:paraId="38E5596A" w14:textId="6113F25D" w:rsidR="00266B4B" w:rsidRPr="00266B4B" w:rsidRDefault="00266B4B" w:rsidP="00266B4B">
      <w:pPr>
        <w:pStyle w:val="Reference"/>
      </w:pPr>
      <w:r w:rsidRPr="00266B4B">
        <w:t xml:space="preserve">Liu X, Arrowsmith C, Bond N, </w:t>
      </w:r>
      <w:proofErr w:type="spellStart"/>
      <w:r w:rsidRPr="00266B4B">
        <w:t>Elgindy</w:t>
      </w:r>
      <w:proofErr w:type="spellEnd"/>
      <w:r w:rsidRPr="00266B4B">
        <w:t xml:space="preserve"> P, Healy S, Lewis S, </w:t>
      </w:r>
      <w:proofErr w:type="spellStart"/>
      <w:r w:rsidRPr="00266B4B">
        <w:t>McCasker</w:t>
      </w:r>
      <w:proofErr w:type="spellEnd"/>
      <w:r w:rsidRPr="00266B4B">
        <w:t xml:space="preserve"> N, Stocks J, </w:t>
      </w:r>
      <w:proofErr w:type="spellStart"/>
      <w:r w:rsidRPr="00266B4B">
        <w:t>Trethewie</w:t>
      </w:r>
      <w:proofErr w:type="spellEnd"/>
      <w:r w:rsidRPr="00266B4B">
        <w:t xml:space="preserve"> J, van der </w:t>
      </w:r>
      <w:proofErr w:type="spellStart"/>
      <w:r w:rsidRPr="00266B4B">
        <w:t>Meulen</w:t>
      </w:r>
      <w:proofErr w:type="spellEnd"/>
      <w:r w:rsidRPr="00266B4B">
        <w:t xml:space="preserve"> D</w:t>
      </w:r>
      <w:r w:rsidR="00A108F3">
        <w:t>,</w:t>
      </w:r>
      <w:r w:rsidRPr="00266B4B">
        <w:t xml:space="preserve"> Watts RJ (2024) Commonwealth Environmental Water Holder’s Monitoring, Evaluation and Research Project: Edward/Kolety</w:t>
      </w:r>
      <w:r w:rsidR="00380856">
        <w:t>–</w:t>
      </w:r>
      <w:r w:rsidRPr="00266B4B">
        <w:t>Wakool Flow Selected Area Technical Report 2023</w:t>
      </w:r>
      <w:r w:rsidR="000C0468">
        <w:t>–</w:t>
      </w:r>
      <w:r w:rsidRPr="00266B4B">
        <w:t>24. Report prepared for Commonwealth Environmental Water Holder. Commonwealth of Australia.</w:t>
      </w:r>
    </w:p>
    <w:p w14:paraId="2DA0970A" w14:textId="1C8E20AA" w:rsidR="00972019" w:rsidRPr="00F34BEF" w:rsidRDefault="00972019" w:rsidP="00CA15EC">
      <w:pPr>
        <w:pStyle w:val="Reference"/>
      </w:pPr>
      <w:r w:rsidRPr="00F34BEF">
        <w:t xml:space="preserve">McInerney P, Linke S, Rees G, </w:t>
      </w:r>
      <w:proofErr w:type="spellStart"/>
      <w:r w:rsidRPr="00F34BEF">
        <w:t>Giling</w:t>
      </w:r>
      <w:proofErr w:type="spellEnd"/>
      <w:r w:rsidRPr="00F34BEF">
        <w:t xml:space="preserve"> D, Hitchcock J, Ryder D, Thompson R (2021) Basin-scale evaluation of 2019–20 Commonwealth environmental water: Food Webs and Water Quality. Report to the Commonwealth Environmental Water Office’s Flow-MER Program, CEWH, Canberra.</w:t>
      </w:r>
    </w:p>
    <w:p w14:paraId="6CBBAC2D" w14:textId="5A510E7A" w:rsidR="00972019" w:rsidRPr="00F34BEF" w:rsidRDefault="00972019" w:rsidP="00CA15EC">
      <w:pPr>
        <w:pStyle w:val="Reference"/>
      </w:pPr>
      <w:r w:rsidRPr="00F34BEF">
        <w:t xml:space="preserve">McInerney P, Linke S, Rees G, </w:t>
      </w:r>
      <w:proofErr w:type="spellStart"/>
      <w:r w:rsidRPr="00F34BEF">
        <w:t>Giling</w:t>
      </w:r>
      <w:proofErr w:type="spellEnd"/>
      <w:r w:rsidRPr="00F34BEF">
        <w:t xml:space="preserve"> D, Hitchcock J, Ryder D, Thompson R (2022) Basin-scale evaluation of 2020–21 Commonwealth environmental water: Food Webs and Water Quality. Report to the Commonwealth Environmental Water Holder’s Flow-MER Program, CEWH, Canberra.</w:t>
      </w:r>
    </w:p>
    <w:p w14:paraId="523BD571" w14:textId="0F6C0996" w:rsidR="00EB3199" w:rsidRPr="00F34BEF" w:rsidRDefault="00EB3199" w:rsidP="00CA15EC">
      <w:pPr>
        <w:pStyle w:val="Reference"/>
      </w:pPr>
      <w:r w:rsidRPr="00F34BEF">
        <w:t xml:space="preserve">McInerney </w:t>
      </w:r>
      <w:r w:rsidR="00E76CCB" w:rsidRPr="00F34BEF">
        <w:t xml:space="preserve">P, Linke S, Rees G, </w:t>
      </w:r>
      <w:proofErr w:type="spellStart"/>
      <w:r w:rsidR="00E76CCB" w:rsidRPr="00F34BEF">
        <w:t>Giling</w:t>
      </w:r>
      <w:proofErr w:type="spellEnd"/>
      <w:r w:rsidR="00E76CCB" w:rsidRPr="00F34BEF">
        <w:t xml:space="preserve"> D, Hitchcock J, Ryder D, Thompson R (2023)</w:t>
      </w:r>
      <w:r w:rsidR="00013A16" w:rsidRPr="00F34BEF">
        <w:t xml:space="preserve"> Basin-scale evaluation of 2021–22 </w:t>
      </w:r>
      <w:r w:rsidR="00E76CCB" w:rsidRPr="00F34BEF">
        <w:t>Commonwealth environmental water: Food Webs and Water Quality. Report to the Commonwealth Environmental Water Holder’s Flow-MER Program, CEWH, Canberra.</w:t>
      </w:r>
    </w:p>
    <w:p w14:paraId="68CFC52C" w14:textId="5ECCE2FC" w:rsidR="0080749C" w:rsidRPr="00F34BEF" w:rsidRDefault="00EB3D01" w:rsidP="00CA15EC">
      <w:pPr>
        <w:pStyle w:val="Reference"/>
      </w:pPr>
      <w:r w:rsidRPr="00F34BEF">
        <w:t xml:space="preserve">MDBA (Murray–Darling Basin Authority) (2019) Basin-wide environmental watering strategy (2nd </w:t>
      </w:r>
      <w:proofErr w:type="spellStart"/>
      <w:r w:rsidRPr="00F34BEF">
        <w:t>edn</w:t>
      </w:r>
      <w:proofErr w:type="spellEnd"/>
      <w:r w:rsidRPr="00F34BEF">
        <w:t>). MDBA Publication No 42/19. Murray–Darling Basin Authority, Canberra.</w:t>
      </w:r>
    </w:p>
    <w:p w14:paraId="66ED7CC0" w14:textId="77777777" w:rsidR="00F54ABD" w:rsidRPr="00F34BEF" w:rsidRDefault="00F54ABD" w:rsidP="00CA15EC">
      <w:pPr>
        <w:pStyle w:val="Reference"/>
      </w:pPr>
      <w:r w:rsidRPr="00F34BEF">
        <w:t xml:space="preserve">Norris RH, Liston P, Davies N, </w:t>
      </w:r>
      <w:proofErr w:type="spellStart"/>
      <w:r w:rsidRPr="00F34BEF">
        <w:t>Coysh</w:t>
      </w:r>
      <w:proofErr w:type="spellEnd"/>
      <w:r w:rsidRPr="00F34BEF">
        <w:t xml:space="preserve"> J, Dyer F, Linke S, Prosser I, Young B (2001) Snapshot of the Murray–Darling Basin river condition. Report to the Murray–Darling Basin Commission (MDBC). MDBC, Canberra.</w:t>
      </w:r>
    </w:p>
    <w:p w14:paraId="05CC1F00" w14:textId="633ADFFC" w:rsidR="0080749C" w:rsidRPr="00F34BEF" w:rsidRDefault="00EB3D01" w:rsidP="00CA15EC">
      <w:pPr>
        <w:pStyle w:val="Reference"/>
      </w:pPr>
      <w:r w:rsidRPr="00F34BEF">
        <w:t>Norris RH, Linke S, Prosser I, Young WJ, Liston P, Bauer N, Sloane N, Dyer F, Thoms M (2007) Very‐broad‐scale assessment of human impacts on river condition. Freshwater Biology 52(5), 959</w:t>
      </w:r>
      <w:r w:rsidRPr="00F34BEF">
        <w:rPr>
          <w:rFonts w:cstheme="minorHAnsi"/>
        </w:rPr>
        <w:t>–</w:t>
      </w:r>
      <w:r w:rsidRPr="00F34BEF">
        <w:t>976</w:t>
      </w:r>
      <w:r w:rsidR="00067691">
        <w:t>, doi:</w:t>
      </w:r>
      <w:hyperlink r:id="rId117" w:history="1">
        <w:r w:rsidR="00067691" w:rsidRPr="00067691">
          <w:rPr>
            <w:rStyle w:val="Hyperlink"/>
          </w:rPr>
          <w:t>10.1111/j.1365-2427.2006.01701.x</w:t>
        </w:r>
      </w:hyperlink>
      <w:r w:rsidR="0080749C" w:rsidRPr="00F34BEF">
        <w:t>.</w:t>
      </w:r>
    </w:p>
    <w:p w14:paraId="1B3B6E8A" w14:textId="45E44B5F" w:rsidR="00EB3D01" w:rsidRDefault="00EB3D01" w:rsidP="00CA15EC">
      <w:pPr>
        <w:pStyle w:val="Reference"/>
      </w:pPr>
      <w:r w:rsidRPr="00F34BEF">
        <w:t>O</w:t>
      </w:r>
      <w:r w:rsidR="00A11ED2" w:rsidRPr="00F34BEF">
        <w:t>’</w:t>
      </w:r>
      <w:r w:rsidRPr="00F34BEF">
        <w:t>Connor BL, Harvey JW, McPhillips LE (2012) Thresholds of flow-induced bed disturbances and their effects on stream metabolism in an agricultural river. Water Resources Research 48(8), doi:</w:t>
      </w:r>
      <w:hyperlink r:id="rId118" w:history="1">
        <w:r w:rsidRPr="009C7FE8">
          <w:rPr>
            <w:rStyle w:val="Hyperlink"/>
          </w:rPr>
          <w:t>10.1029/2011WR011488</w:t>
        </w:r>
      </w:hyperlink>
      <w:r w:rsidRPr="00F34BEF">
        <w:t>.</w:t>
      </w:r>
    </w:p>
    <w:p w14:paraId="7B89B9D8" w14:textId="77777777" w:rsidR="00C51E72" w:rsidRPr="003F4A0B" w:rsidRDefault="00C51E72" w:rsidP="00CA15EC">
      <w:pPr>
        <w:pStyle w:val="Reference"/>
      </w:pPr>
      <w:r>
        <w:t xml:space="preserve">O’Sullivan J, Cuddy SM (eds) (2024) Flow-MER Basin-scale evaluation of Commonwealth environmental water: Methods. </w:t>
      </w:r>
      <w:r w:rsidRPr="00570460">
        <w:t>Flow-MER Program.</w:t>
      </w:r>
      <w:r w:rsidRPr="00077E51">
        <w:t xml:space="preserve"> Commonwealth Environmental Water </w:t>
      </w:r>
      <w:r>
        <w:t xml:space="preserve">Holder, </w:t>
      </w:r>
      <w:r w:rsidRPr="00077E51">
        <w:t xml:space="preserve">Department of </w:t>
      </w:r>
      <w:r>
        <w:t xml:space="preserve">Climate </w:t>
      </w:r>
      <w:r w:rsidRPr="000E1CFB">
        <w:t>Change</w:t>
      </w:r>
      <w:r>
        <w:t xml:space="preserve">, Energy, Environment and Water, </w:t>
      </w:r>
      <w:r w:rsidRPr="00077E51">
        <w:t>Australia</w:t>
      </w:r>
      <w:r>
        <w:t>.</w:t>
      </w:r>
    </w:p>
    <w:p w14:paraId="02CDF9B4" w14:textId="596BB406" w:rsidR="0080749C" w:rsidRPr="00F34BEF" w:rsidRDefault="00EB3D01" w:rsidP="00CA15EC">
      <w:pPr>
        <w:pStyle w:val="Reference"/>
      </w:pPr>
      <w:r w:rsidRPr="00F34BEF">
        <w:t>Palmer M, Ruhi A (2019) Linkages between flow regime, biota, and ecosystem processes: implications for river restoration. Science 365(6459), eaaw2087, doi:</w:t>
      </w:r>
      <w:hyperlink r:id="rId119" w:history="1">
        <w:r w:rsidRPr="00B8459D">
          <w:rPr>
            <w:rStyle w:val="Hyperlink"/>
          </w:rPr>
          <w:t>10.1126/science.aaw2087</w:t>
        </w:r>
      </w:hyperlink>
      <w:r w:rsidRPr="00F34BEF">
        <w:t>.</w:t>
      </w:r>
    </w:p>
    <w:p w14:paraId="557803F8" w14:textId="7E2BEF0E" w:rsidR="00EB3D01" w:rsidRPr="00F34BEF" w:rsidRDefault="00EB3D01" w:rsidP="00CA15EC">
      <w:pPr>
        <w:pStyle w:val="Reference"/>
      </w:pPr>
      <w:r w:rsidRPr="00F34BEF">
        <w:t xml:space="preserve">Reisinger AJ, Rosi EJ, Bechtold HA, Doody TR, Kaushal SS, </w:t>
      </w:r>
      <w:proofErr w:type="spellStart"/>
      <w:r w:rsidRPr="00F34BEF">
        <w:t>Groffman</w:t>
      </w:r>
      <w:proofErr w:type="spellEnd"/>
      <w:r w:rsidRPr="00F34BEF">
        <w:t xml:space="preserve"> PM (2017) Recovery and resilience of urban stream metabolism following Superstorm Sandy and other floods. Ecosphere 8(4), e01776, doi:</w:t>
      </w:r>
      <w:hyperlink r:id="rId120" w:history="1">
        <w:r w:rsidRPr="004A7608">
          <w:rPr>
            <w:rStyle w:val="Hyperlink"/>
          </w:rPr>
          <w:t>10.1002/ecs2.1776</w:t>
        </w:r>
      </w:hyperlink>
      <w:r w:rsidRPr="00F34BEF">
        <w:t>.</w:t>
      </w:r>
    </w:p>
    <w:p w14:paraId="5D55BC71" w14:textId="7DDFA8C4" w:rsidR="00EB3D01" w:rsidRPr="00F34BEF" w:rsidRDefault="00EB3D01" w:rsidP="00CA15EC">
      <w:pPr>
        <w:pStyle w:val="Reference"/>
      </w:pPr>
      <w:r w:rsidRPr="00F34BEF">
        <w:t xml:space="preserve">Resh VH, Brown AV, Covich AP, </w:t>
      </w:r>
      <w:proofErr w:type="spellStart"/>
      <w:r w:rsidRPr="00F34BEF">
        <w:t>Gurtz</w:t>
      </w:r>
      <w:proofErr w:type="spellEnd"/>
      <w:r w:rsidRPr="00F34BEF">
        <w:t xml:space="preserve"> ME, Li HW, Minshall GW, Reice SR, Sheldon AL, Wallace JB, </w:t>
      </w:r>
      <w:proofErr w:type="spellStart"/>
      <w:r w:rsidRPr="00F34BEF">
        <w:t>Wissmar</w:t>
      </w:r>
      <w:proofErr w:type="spellEnd"/>
      <w:r w:rsidRPr="00F34BEF">
        <w:t xml:space="preserve"> RC (1988) The role of disturbance in stream ecology. Journal of the North American </w:t>
      </w:r>
      <w:proofErr w:type="spellStart"/>
      <w:r w:rsidRPr="00F34BEF">
        <w:t>Benthological</w:t>
      </w:r>
      <w:proofErr w:type="spellEnd"/>
      <w:r w:rsidRPr="00F34BEF">
        <w:t xml:space="preserve"> Society 7(4), 433</w:t>
      </w:r>
      <w:r w:rsidRPr="00F34BEF">
        <w:rPr>
          <w:rFonts w:cstheme="minorHAnsi"/>
        </w:rPr>
        <w:t>–</w:t>
      </w:r>
      <w:r w:rsidRPr="00F34BEF">
        <w:t>455, doi:</w:t>
      </w:r>
      <w:hyperlink r:id="rId121" w:history="1">
        <w:r w:rsidRPr="00461053">
          <w:rPr>
            <w:rStyle w:val="Hyperlink"/>
          </w:rPr>
          <w:t>10.2307/1467300</w:t>
        </w:r>
      </w:hyperlink>
      <w:r w:rsidRPr="00F34BEF">
        <w:t>.</w:t>
      </w:r>
    </w:p>
    <w:p w14:paraId="655C4376" w14:textId="0CFEEC66" w:rsidR="0080749C" w:rsidRDefault="00EB3D01" w:rsidP="00CA15EC">
      <w:pPr>
        <w:pStyle w:val="Reference"/>
      </w:pPr>
      <w:proofErr w:type="spellStart"/>
      <w:r w:rsidRPr="00F34BEF">
        <w:lastRenderedPageBreak/>
        <w:t>Rüegg</w:t>
      </w:r>
      <w:proofErr w:type="spellEnd"/>
      <w:r w:rsidRPr="00F34BEF">
        <w:t xml:space="preserve"> J, Conn CC, Anderson EP, Battin TJ, Bernhardt ES, Boix </w:t>
      </w:r>
      <w:proofErr w:type="spellStart"/>
      <w:r w:rsidRPr="00F34BEF">
        <w:t>Canadell</w:t>
      </w:r>
      <w:proofErr w:type="spellEnd"/>
      <w:r w:rsidRPr="00F34BEF">
        <w:t xml:space="preserve"> M, Bonjour SM, Hosen JD, Marzolf NS, </w:t>
      </w:r>
      <w:proofErr w:type="spellStart"/>
      <w:r w:rsidRPr="00F34BEF">
        <w:t>Yackulic</w:t>
      </w:r>
      <w:proofErr w:type="spellEnd"/>
      <w:r w:rsidRPr="00F34BEF">
        <w:t xml:space="preserve"> CB (2021) Thinking like a consumer: linking aquatic basal metabolism and consumer dynamics. Limnology and Oceanography Letters 6(1), 1</w:t>
      </w:r>
      <w:r w:rsidRPr="00F34BEF">
        <w:rPr>
          <w:rFonts w:cstheme="minorHAnsi"/>
        </w:rPr>
        <w:t>–</w:t>
      </w:r>
      <w:r w:rsidRPr="00F34BEF">
        <w:t>17</w:t>
      </w:r>
      <w:r w:rsidR="00A11ED2" w:rsidRPr="00F34BEF">
        <w:t>, doi:</w:t>
      </w:r>
      <w:hyperlink r:id="rId122" w:history="1">
        <w:r w:rsidR="00A11ED2" w:rsidRPr="00503A9D">
          <w:rPr>
            <w:rStyle w:val="Hyperlink"/>
          </w:rPr>
          <w:t>10.1002/lol2.10172</w:t>
        </w:r>
      </w:hyperlink>
      <w:r w:rsidR="0080749C" w:rsidRPr="00F34BEF">
        <w:t>.</w:t>
      </w:r>
    </w:p>
    <w:p w14:paraId="4E9683AF" w14:textId="6CE54105" w:rsidR="000E061C" w:rsidRPr="000E061C" w:rsidRDefault="000E061C" w:rsidP="000E061C">
      <w:pPr>
        <w:pStyle w:val="Reference"/>
      </w:pPr>
      <w:r w:rsidRPr="00F34BEF">
        <w:t xml:space="preserve">Treadwell S, Bovill W, Webb A, Baker B, </w:t>
      </w:r>
      <w:proofErr w:type="spellStart"/>
      <w:r w:rsidRPr="00F34BEF">
        <w:t>Casanelia</w:t>
      </w:r>
      <w:proofErr w:type="spellEnd"/>
      <w:r w:rsidRPr="00F34BEF">
        <w:t xml:space="preserve"> S, Gower T</w:t>
      </w:r>
      <w:r>
        <w:t>,</w:t>
      </w:r>
      <w:r w:rsidRPr="00F34BEF">
        <w:t xml:space="preserve"> Grace M</w:t>
      </w:r>
      <w:r>
        <w:t xml:space="preserve">, </w:t>
      </w:r>
      <w:r w:rsidRPr="00F34BEF">
        <w:t>Greet J</w:t>
      </w:r>
      <w:r>
        <w:t xml:space="preserve">, </w:t>
      </w:r>
      <w:r w:rsidRPr="00F34BEF">
        <w:t xml:space="preserve">Kellar C, Koster W, Lovell D, Morris K, Pettigrove V, Sutton F, </w:t>
      </w:r>
      <w:r>
        <w:t>Wilkins T</w:t>
      </w:r>
      <w:r w:rsidR="006E5853">
        <w:t>,</w:t>
      </w:r>
      <w:r>
        <w:t xml:space="preserve"> </w:t>
      </w:r>
      <w:r w:rsidRPr="00F34BEF">
        <w:t>Vietz G (202</w:t>
      </w:r>
      <w:r>
        <w:t>4</w:t>
      </w:r>
      <w:r w:rsidRPr="00F34BEF">
        <w:t>) Commonwealth Environmental Water Office Monitoring, Evaluation and Research Program: Goulburn River Selected Area Scientific Report 202</w:t>
      </w:r>
      <w:r>
        <w:t>3</w:t>
      </w:r>
      <w:r w:rsidRPr="00F34BEF">
        <w:t>–2</w:t>
      </w:r>
      <w:r>
        <w:t>4</w:t>
      </w:r>
      <w:r w:rsidRPr="00F34BEF">
        <w:t>. Commonwealth of Australia, Canberra.</w:t>
      </w:r>
    </w:p>
    <w:p w14:paraId="1CC85348" w14:textId="161A41F9" w:rsidR="00EB3D01" w:rsidRPr="00F34BEF" w:rsidRDefault="00EB3D01" w:rsidP="00CA15EC">
      <w:pPr>
        <w:pStyle w:val="Reference"/>
      </w:pPr>
      <w:proofErr w:type="spellStart"/>
      <w:r w:rsidRPr="00F34BEF">
        <w:t>Uehlinger</w:t>
      </w:r>
      <w:proofErr w:type="spellEnd"/>
      <w:r w:rsidRPr="00F34BEF">
        <w:t xml:space="preserve"> U (2000) Resistance and resilience of ecosystem metabolism in a flood-prone river system. Freshwater Biology 45(3), 319</w:t>
      </w:r>
      <w:r w:rsidRPr="00F34BEF">
        <w:rPr>
          <w:rFonts w:cstheme="minorHAnsi"/>
        </w:rPr>
        <w:t>–</w:t>
      </w:r>
      <w:r w:rsidRPr="00F34BEF">
        <w:t>332,</w:t>
      </w:r>
      <w:r w:rsidRPr="00F34BEF" w:rsidDel="008C04E3">
        <w:t xml:space="preserve"> </w:t>
      </w:r>
      <w:r w:rsidRPr="00F34BEF">
        <w:t>doi:</w:t>
      </w:r>
      <w:hyperlink r:id="rId123" w:history="1">
        <w:r w:rsidRPr="006E5853">
          <w:rPr>
            <w:rStyle w:val="Hyperlink"/>
          </w:rPr>
          <w:t>10.1111/j.1365-2427.2000.00620.x</w:t>
        </w:r>
      </w:hyperlink>
      <w:r w:rsidRPr="00F34BEF">
        <w:t>.</w:t>
      </w:r>
    </w:p>
    <w:p w14:paraId="01EF7B36" w14:textId="246AA25E" w:rsidR="00693E5B" w:rsidRPr="00F34BEF" w:rsidRDefault="00EB3D01" w:rsidP="00CA15EC">
      <w:pPr>
        <w:pStyle w:val="Reference"/>
      </w:pPr>
      <w:r w:rsidRPr="00F34BEF">
        <w:t xml:space="preserve">Van </w:t>
      </w:r>
      <w:proofErr w:type="spellStart"/>
      <w:r w:rsidRPr="00F34BEF">
        <w:t>Looy</w:t>
      </w:r>
      <w:proofErr w:type="spellEnd"/>
      <w:r w:rsidRPr="00F34BEF">
        <w:t xml:space="preserve"> K, Tonkin JD, Floury M, Leigh C, Soininen J, Larsen S, Heino J, LeRoy Poff N, Delong M, </w:t>
      </w:r>
      <w:proofErr w:type="spellStart"/>
      <w:r w:rsidRPr="00F34BEF">
        <w:t>Jähnig</w:t>
      </w:r>
      <w:proofErr w:type="spellEnd"/>
      <w:r w:rsidRPr="00F34BEF">
        <w:t xml:space="preserve"> SC (2019) The three Rs of river ecosystem resilience: resources, recruitment, and refugia. River Research and Applications 35(2), 107–120</w:t>
      </w:r>
      <w:r w:rsidR="00A11ED2" w:rsidRPr="00F34BEF">
        <w:t>, doi:</w:t>
      </w:r>
      <w:hyperlink r:id="rId124" w:history="1">
        <w:r w:rsidR="00A11ED2" w:rsidRPr="007A67B7">
          <w:rPr>
            <w:rStyle w:val="Hyperlink"/>
          </w:rPr>
          <w:t>10.1002/rra.3396</w:t>
        </w:r>
      </w:hyperlink>
      <w:r w:rsidRPr="00F34BEF">
        <w:t>.</w:t>
      </w:r>
    </w:p>
    <w:p w14:paraId="36E0915C" w14:textId="52F81973" w:rsidR="00DD6AA6" w:rsidRDefault="00DD6AA6" w:rsidP="00CA15EC">
      <w:pPr>
        <w:pStyle w:val="Reference"/>
        <w:rPr>
          <w:rStyle w:val="author"/>
        </w:rPr>
      </w:pPr>
      <w:r w:rsidRPr="00B42A19">
        <w:rPr>
          <w:rStyle w:val="author"/>
        </w:rPr>
        <w:t>Wassens S, Spencer J, Heath J</w:t>
      </w:r>
      <w:r>
        <w:rPr>
          <w:rStyle w:val="author"/>
        </w:rPr>
        <w:t xml:space="preserve">, </w:t>
      </w:r>
      <w:r w:rsidRPr="00B42A19">
        <w:rPr>
          <w:rStyle w:val="author"/>
        </w:rPr>
        <w:t xml:space="preserve">Kobayashi T, </w:t>
      </w:r>
      <w:r>
        <w:rPr>
          <w:rStyle w:val="author"/>
        </w:rPr>
        <w:t>Stocks J</w:t>
      </w:r>
      <w:r w:rsidR="00721B66">
        <w:rPr>
          <w:rStyle w:val="author"/>
        </w:rPr>
        <w:t>,</w:t>
      </w:r>
      <w:r>
        <w:rPr>
          <w:rStyle w:val="author"/>
        </w:rPr>
        <w:t xml:space="preserve"> </w:t>
      </w:r>
      <w:proofErr w:type="spellStart"/>
      <w:r>
        <w:rPr>
          <w:rStyle w:val="author"/>
        </w:rPr>
        <w:t>Mathwin</w:t>
      </w:r>
      <w:proofErr w:type="spellEnd"/>
      <w:r>
        <w:rPr>
          <w:rStyle w:val="author"/>
        </w:rPr>
        <w:t xml:space="preserve"> R</w:t>
      </w:r>
      <w:r w:rsidR="007A67B7">
        <w:rPr>
          <w:rStyle w:val="author"/>
        </w:rPr>
        <w:t>,</w:t>
      </w:r>
      <w:r>
        <w:rPr>
          <w:rStyle w:val="author"/>
          <w:vertAlign w:val="superscript"/>
        </w:rPr>
        <w:t xml:space="preserve"> </w:t>
      </w:r>
      <w:r w:rsidRPr="0087439F">
        <w:rPr>
          <w:rStyle w:val="author"/>
        </w:rPr>
        <w:t>Talbot</w:t>
      </w:r>
      <w:r w:rsidRPr="00B42A19">
        <w:rPr>
          <w:rStyle w:val="author"/>
        </w:rPr>
        <w:t xml:space="preserve"> S, Bino G, </w:t>
      </w:r>
      <w:r w:rsidRPr="000C2FD0">
        <w:rPr>
          <w:rStyle w:val="author"/>
        </w:rPr>
        <w:t>Walcott</w:t>
      </w:r>
      <w:r>
        <w:rPr>
          <w:rStyle w:val="author"/>
        </w:rPr>
        <w:t xml:space="preserve"> A, </w:t>
      </w:r>
      <w:r w:rsidRPr="000C2FD0">
        <w:rPr>
          <w:rStyle w:val="author"/>
        </w:rPr>
        <w:t>Cain</w:t>
      </w:r>
      <w:r>
        <w:rPr>
          <w:rStyle w:val="author"/>
        </w:rPr>
        <w:t xml:space="preserve"> V</w:t>
      </w:r>
      <w:r w:rsidR="00116CF2">
        <w:rPr>
          <w:rStyle w:val="author"/>
        </w:rPr>
        <w:t>,</w:t>
      </w:r>
      <w:r w:rsidRPr="000C2FD0">
        <w:rPr>
          <w:rStyle w:val="author"/>
        </w:rPr>
        <w:t xml:space="preserve"> </w:t>
      </w:r>
      <w:r>
        <w:t>Francis</w:t>
      </w:r>
      <w:r w:rsidRPr="000B4824">
        <w:t xml:space="preserve"> </w:t>
      </w:r>
      <w:r>
        <w:t>R,</w:t>
      </w:r>
      <w:r w:rsidRPr="000B4824">
        <w:t xml:space="preserve"> Gopalakrishnan</w:t>
      </w:r>
      <w:r>
        <w:t xml:space="preserve"> T, Grimmett L, P</w:t>
      </w:r>
      <w:r>
        <w:rPr>
          <w:rStyle w:val="author"/>
        </w:rPr>
        <w:t>rasad K</w:t>
      </w:r>
      <w:r w:rsidR="00DF5B7C">
        <w:rPr>
          <w:rStyle w:val="author"/>
        </w:rPr>
        <w:t>,</w:t>
      </w:r>
      <w:r>
        <w:rPr>
          <w:rStyle w:val="author"/>
        </w:rPr>
        <w:t xml:space="preserve"> </w:t>
      </w:r>
      <w:r w:rsidRPr="00B42A19">
        <w:rPr>
          <w:rStyle w:val="author"/>
        </w:rPr>
        <w:t>Hall A</w:t>
      </w:r>
      <w:r w:rsidR="003B2611">
        <w:rPr>
          <w:rStyle w:val="author"/>
        </w:rPr>
        <w:t xml:space="preserve"> (2024) </w:t>
      </w:r>
      <w:r w:rsidR="007F542C" w:rsidRPr="007F542C">
        <w:rPr>
          <w:rStyle w:val="author"/>
        </w:rPr>
        <w:t>Commonwealth Environmental Water Holder Monitoring, Evaluation and Research Program Murrumbidgee River System Technical Report, 2014</w:t>
      </w:r>
      <w:r w:rsidR="00DF5B7C">
        <w:rPr>
          <w:rStyle w:val="author"/>
        </w:rPr>
        <w:t>–</w:t>
      </w:r>
      <w:r w:rsidR="007F542C" w:rsidRPr="007F542C">
        <w:rPr>
          <w:rStyle w:val="author"/>
        </w:rPr>
        <w:t>2</w:t>
      </w:r>
      <w:r w:rsidR="007F542C">
        <w:rPr>
          <w:rStyle w:val="author"/>
        </w:rPr>
        <w:t>4.</w:t>
      </w:r>
      <w:r w:rsidR="008229A3">
        <w:rPr>
          <w:rStyle w:val="author"/>
        </w:rPr>
        <w:t xml:space="preserve"> </w:t>
      </w:r>
      <w:r w:rsidR="008229A3" w:rsidRPr="00B42A19">
        <w:rPr>
          <w:rStyle w:val="author"/>
        </w:rPr>
        <w:t>School of Agricultural, Environmental and Veterinary Science, Charles Sturt University</w:t>
      </w:r>
      <w:r w:rsidR="00721B66">
        <w:rPr>
          <w:rStyle w:val="author"/>
        </w:rPr>
        <w:t>.</w:t>
      </w:r>
    </w:p>
    <w:p w14:paraId="65925B1D" w14:textId="0D6E47A2" w:rsidR="00EB3D01" w:rsidRPr="00F34BEF" w:rsidRDefault="00EB3D01" w:rsidP="00CA15EC">
      <w:pPr>
        <w:pStyle w:val="Reference"/>
      </w:pPr>
      <w:r w:rsidRPr="00F34BEF">
        <w:t xml:space="preserve">Ye Q, </w:t>
      </w:r>
      <w:proofErr w:type="spellStart"/>
      <w:r w:rsidRPr="00F34BEF">
        <w:t>Giatas</w:t>
      </w:r>
      <w:proofErr w:type="spellEnd"/>
      <w:r w:rsidRPr="00F34BEF">
        <w:t xml:space="preserve"> G, Bice C, Brookes J, Furst D, Gibbs M, Nicol J, Oliver R, Zampatti B, </w:t>
      </w:r>
      <w:proofErr w:type="spellStart"/>
      <w:r w:rsidRPr="00F34BEF">
        <w:t>Bucater</w:t>
      </w:r>
      <w:proofErr w:type="spellEnd"/>
      <w:r w:rsidRPr="00F34BEF">
        <w:t xml:space="preserve"> L, Deane D, </w:t>
      </w:r>
      <w:proofErr w:type="spellStart"/>
      <w:r w:rsidRPr="00F34BEF">
        <w:t>Frahn</w:t>
      </w:r>
      <w:proofErr w:type="spellEnd"/>
      <w:r w:rsidRPr="00F34BEF">
        <w:t xml:space="preserve"> K, </w:t>
      </w:r>
      <w:proofErr w:type="spellStart"/>
      <w:r w:rsidRPr="00F34BEF">
        <w:t>Hipsey</w:t>
      </w:r>
      <w:proofErr w:type="spellEnd"/>
      <w:r w:rsidRPr="00F34BEF">
        <w:t xml:space="preserve"> M, Kok C, Huang P, Lorenz Z, Mills J, Shiel R, Zhai S (2022) Commonwealth Environmental Water Office Monitoring, Evaluation and Research Pr</w:t>
      </w:r>
      <w:r w:rsidR="0049338C" w:rsidRPr="00F34BEF">
        <w:t>ogram</w:t>
      </w:r>
      <w:r w:rsidRPr="00F34BEF">
        <w:t>: Lower Murray 2020</w:t>
      </w:r>
      <w:r w:rsidRPr="00F34BEF">
        <w:rPr>
          <w:rFonts w:cstheme="minorHAnsi"/>
        </w:rPr>
        <w:t>–</w:t>
      </w:r>
      <w:r w:rsidRPr="00F34BEF">
        <w:t xml:space="preserve">21 </w:t>
      </w:r>
      <w:r w:rsidR="00A11ED2" w:rsidRPr="00F34BEF">
        <w:t>t</w:t>
      </w:r>
      <w:r w:rsidRPr="00F34BEF">
        <w:t xml:space="preserve">echnical report. </w:t>
      </w:r>
      <w:r w:rsidR="00965FEC">
        <w:t>R</w:t>
      </w:r>
      <w:r w:rsidRPr="00F34BEF">
        <w:t>eport prepared for the Commonwealth Environmental Water Office by the South Australian Research and Development Institute, Aquatic Sciences.</w:t>
      </w:r>
    </w:p>
    <w:p w14:paraId="620811BA" w14:textId="77777777" w:rsidR="002A192C" w:rsidRPr="00F34BEF" w:rsidRDefault="002A192C" w:rsidP="002A192C">
      <w:pPr>
        <w:pStyle w:val="Reference"/>
      </w:pPr>
      <w:r w:rsidRPr="00F34BEF">
        <w:t xml:space="preserve">Ye Q, </w:t>
      </w:r>
      <w:proofErr w:type="spellStart"/>
      <w:r w:rsidRPr="00F34BEF">
        <w:t>Giatas</w:t>
      </w:r>
      <w:proofErr w:type="spellEnd"/>
      <w:r w:rsidRPr="00F34BEF">
        <w:t xml:space="preserve"> G, Bice C, Brookes J, </w:t>
      </w:r>
      <w:proofErr w:type="spellStart"/>
      <w:r w:rsidRPr="004977AA">
        <w:t>Frahn</w:t>
      </w:r>
      <w:proofErr w:type="spellEnd"/>
      <w:r w:rsidRPr="004977AA">
        <w:t>, K</w:t>
      </w:r>
      <w:r>
        <w:t>,</w:t>
      </w:r>
      <w:r w:rsidRPr="00F34BEF">
        <w:t xml:space="preserve"> Furst D, Gibbs M, Nicol J, Oliver R, Zampatti B, </w:t>
      </w:r>
      <w:proofErr w:type="spellStart"/>
      <w:r w:rsidRPr="00F34BEF">
        <w:t>Bucater</w:t>
      </w:r>
      <w:proofErr w:type="spellEnd"/>
      <w:r w:rsidRPr="00F34BEF">
        <w:t xml:space="preserve"> L, Deane D, </w:t>
      </w:r>
      <w:proofErr w:type="spellStart"/>
      <w:r w:rsidRPr="00F34BEF">
        <w:t>Hipsey</w:t>
      </w:r>
      <w:proofErr w:type="spellEnd"/>
      <w:r w:rsidRPr="00F34BEF">
        <w:t xml:space="preserve"> M, Huang P, Lorenz Z, Mills J, Shiel R, Zhai S (202</w:t>
      </w:r>
      <w:r>
        <w:t>5</w:t>
      </w:r>
      <w:r w:rsidRPr="00F34BEF">
        <w:t>) Commonwealth Environmental Water Office Monitoring, Evaluation and Research Program: Lower Murray 202</w:t>
      </w:r>
      <w:r>
        <w:t>3</w:t>
      </w:r>
      <w:r w:rsidRPr="00F34BEF">
        <w:t>–2</w:t>
      </w:r>
      <w:r>
        <w:t>4</w:t>
      </w:r>
      <w:r w:rsidRPr="00F34BEF">
        <w:t xml:space="preserve"> technical report. </w:t>
      </w:r>
      <w:r>
        <w:t>D</w:t>
      </w:r>
      <w:r w:rsidRPr="00F34BEF">
        <w:t xml:space="preserve">raft report prepared for the Commonwealth Environmental Water Office by the South Australian Research and Development Institute, Aquatic Sciences. </w:t>
      </w:r>
    </w:p>
    <w:p w14:paraId="2BCC166B" w14:textId="77777777" w:rsidR="002544C4" w:rsidRPr="002544C4" w:rsidRDefault="002544C4" w:rsidP="002544C4">
      <w:pPr>
        <w:pStyle w:val="BodyText"/>
      </w:pPr>
    </w:p>
    <w:p w14:paraId="6774AC2F" w14:textId="0E7B22A0" w:rsidR="00081E06" w:rsidRPr="00C601A2" w:rsidRDefault="00081E06" w:rsidP="00075DC3">
      <w:pPr>
        <w:pStyle w:val="BodyText"/>
        <w:sectPr w:rsidR="00081E06" w:rsidRPr="00C601A2" w:rsidSect="00546DF6">
          <w:headerReference w:type="even" r:id="rId125"/>
          <w:headerReference w:type="default" r:id="rId126"/>
          <w:footerReference w:type="default" r:id="rId127"/>
          <w:headerReference w:type="first" r:id="rId128"/>
          <w:pgSz w:w="11906" w:h="16838" w:code="9"/>
          <w:pgMar w:top="1134" w:right="1134" w:bottom="1134" w:left="1134" w:header="510" w:footer="510" w:gutter="0"/>
          <w:cols w:space="284"/>
          <w:docGrid w:linePitch="360"/>
        </w:sectPr>
      </w:pPr>
    </w:p>
    <w:sdt>
      <w:sdtPr>
        <w:rPr>
          <w:b w:val="0"/>
          <w:bCs w:val="0"/>
          <w:color w:val="2B579A"/>
          <w:sz w:val="22"/>
          <w:szCs w:val="22"/>
          <w:shd w:val="clear" w:color="auto" w:fill="E6E6E6"/>
        </w:rPr>
        <w:id w:val="-1369530439"/>
        <w:docPartObj>
          <w:docPartGallery w:val="Cover Pages"/>
        </w:docPartObj>
      </w:sdtPr>
      <w:sdtEndPr>
        <w:rPr>
          <w:color w:val="000000"/>
          <w:shd w:val="clear" w:color="auto" w:fill="auto"/>
        </w:rPr>
      </w:sdtEndPr>
      <w:sdtContent>
        <w:sdt>
          <w:sdtPr>
            <w:rPr>
              <w:b w:val="0"/>
              <w:bCs w:val="0"/>
              <w:color w:val="000000"/>
              <w:sz w:val="22"/>
              <w:szCs w:val="22"/>
            </w:rPr>
            <w:id w:val="1472487590"/>
            <w:docPartObj>
              <w:docPartGallery w:val="Cover Pages"/>
            </w:docPartObj>
          </w:sdtPr>
          <w:sdtEndPr>
            <w:rPr>
              <w:color w:val="000000" w:themeColor="text2"/>
            </w:rPr>
          </w:sdtEndPr>
          <w:sdtContent>
            <w:p w14:paraId="6C22C89D" w14:textId="77777777" w:rsidR="005E5DBC" w:rsidRDefault="005E5DBC" w:rsidP="000F33F3">
              <w:pPr>
                <w:pStyle w:val="BackCoverWebAddress"/>
                <w:rPr>
                  <w:b w:val="0"/>
                  <w:bCs w:val="0"/>
                  <w:color w:val="auto"/>
                  <w:sz w:val="22"/>
                  <w:szCs w:val="22"/>
                </w:rPr>
              </w:pPr>
            </w:p>
            <w:sdt>
              <w:sdtPr>
                <w:rPr>
                  <w:b w:val="0"/>
                  <w:bCs w:val="0"/>
                  <w:color w:val="000000"/>
                  <w:sz w:val="22"/>
                  <w:szCs w:val="22"/>
                </w:rPr>
                <w:id w:val="-1092243198"/>
                <w:docPartObj>
                  <w:docPartGallery w:val="Cover Pages"/>
                </w:docPartObj>
              </w:sdtPr>
              <w:sdtEndPr>
                <w:rPr>
                  <w:color w:val="000000" w:themeColor="text2"/>
                </w:rPr>
              </w:sdtEndPr>
              <w:sdtContent>
                <w:p w14:paraId="10B6AFA6" w14:textId="57E35B90" w:rsidR="000F33F3" w:rsidRPr="0050639C" w:rsidRDefault="000F33F3" w:rsidP="000F33F3">
                  <w:pPr>
                    <w:pStyle w:val="BackCoverWebAddress"/>
                  </w:pPr>
                  <w:r>
                    <w:rPr>
                      <w:noProof/>
                    </w:rPr>
                    <mc:AlternateContent>
                      <mc:Choice Requires="wps">
                        <w:drawing>
                          <wp:anchor distT="0" distB="0" distL="114300" distR="114300" simplePos="0" relativeHeight="251658243" behindDoc="1" locked="1" layoutInCell="1" allowOverlap="1" wp14:anchorId="18184F64" wp14:editId="77AA64C0">
                            <wp:simplePos x="0" y="0"/>
                            <wp:positionH relativeFrom="page">
                              <wp:align>right</wp:align>
                            </wp:positionH>
                            <wp:positionV relativeFrom="page">
                              <wp:align>bottom</wp:align>
                            </wp:positionV>
                            <wp:extent cx="7560310" cy="393700"/>
                            <wp:effectExtent l="0" t="0" r="2540" b="6350"/>
                            <wp:wrapNone/>
                            <wp:docPr id="37" name="Rectangl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dec="http://schemas.microsoft.com/office/drawing/2017/decorative" xmlns:pic="http://schemas.openxmlformats.org/drawingml/2006/picture" xmlns:a="http://schemas.openxmlformats.org/drawingml/2006/main">
                        <w:pict w14:anchorId="32DEC3FD">
                          <v:rect id="Rectangle 37" style="position:absolute;margin-left:544.1pt;margin-top:0;width:595.3pt;height:31pt;z-index:-25165107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stroked="f" w14:anchorId="14790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">
                            <w10:wrap anchorx="page" anchory="page"/>
                            <w10:anchorlock/>
                          </v:rect>
                        </w:pict>
                      </mc:Fallback>
                    </mc:AlternateContent>
                  </w:r>
                  <w:hyperlink r:id="rId129" w:history="1">
                    <w:r w:rsidRPr="00CC0115">
                      <w:rPr>
                        <w:rStyle w:val="Hyperlink"/>
                      </w:rPr>
                      <w:t>https://flow-mer.org.au</w:t>
                    </w:r>
                  </w:hyperlink>
                </w:p>
                <w:sdt>
                  <w:sdtPr>
                    <w:rPr>
                      <w:color w:val="2B579A"/>
                      <w:shd w:val="clear" w:color="auto" w:fill="E6E6E6"/>
                    </w:rPr>
                    <w:id w:val="-218667930"/>
                    <w:docPartObj>
                      <w:docPartGallery w:val="Cover Pages"/>
                    </w:docPartObj>
                  </w:sdtPr>
                  <w:sdtEndPr>
                    <w:rPr>
                      <w:color w:val="000000"/>
                      <w:shd w:val="clear" w:color="auto" w:fill="auto"/>
                    </w:rPr>
                  </w:sdtEndPr>
                  <w:sdtContent>
                    <w:p w14:paraId="4B7D3936" w14:textId="77777777" w:rsidR="000F33F3" w:rsidRDefault="000F33F3" w:rsidP="000F33F3">
                      <w:pPr>
                        <w:pStyle w:val="BodyText"/>
                      </w:pPr>
                      <w:r>
                        <w:rPr>
                          <w:noProof/>
                          <w:color w:val="2B579A"/>
                          <w:shd w:val="clear" w:color="auto" w:fill="E6E6E6"/>
                        </w:rPr>
                        <w:drawing>
                          <wp:inline distT="0" distB="0" distL="0" distR="0" wp14:anchorId="5EE80725" wp14:editId="4E98C79F">
                            <wp:extent cx="6119488" cy="7711165"/>
                            <wp:effectExtent l="0" t="0" r="0" b="4445"/>
                            <wp:docPr id="1307123690" name="Picture 2" descr="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23690" name="Picture 2" descr="Partner logos"/>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6119488" cy="7711165"/>
                                    </a:xfrm>
                                    <a:prstGeom prst="rect">
                                      <a:avLst/>
                                    </a:prstGeom>
                                    <a:ln>
                                      <a:noFill/>
                                    </a:ln>
                                    <a:extLst>
                                      <a:ext uri="{53640926-AAD7-44D8-BBD7-CCE9431645EC}">
                                        <a14:shadowObscured xmlns:a14="http://schemas.microsoft.com/office/drawing/2010/main"/>
                                      </a:ext>
                                    </a:extLst>
                                  </pic:spPr>
                                </pic:pic>
                              </a:graphicData>
                            </a:graphic>
                          </wp:inline>
                        </w:drawing>
                      </w:r>
                      <w:r w:rsidRPr="00C601A2">
                        <w:rPr>
                          <w:noProof/>
                          <w:color w:val="2B579A"/>
                          <w:shd w:val="clear" w:color="auto" w:fill="E6E6E6"/>
                        </w:rPr>
                        <mc:AlternateContent>
                          <mc:Choice Requires="wps">
                            <w:drawing>
                              <wp:anchor distT="0" distB="0" distL="114300" distR="114300" simplePos="0" relativeHeight="251658244" behindDoc="1" locked="1" layoutInCell="1" allowOverlap="1" wp14:anchorId="373C3EE5" wp14:editId="1D45BA79">
                                <wp:simplePos x="0" y="0"/>
                                <wp:positionH relativeFrom="page">
                                  <wp:align>right</wp:align>
                                </wp:positionH>
                                <wp:positionV relativeFrom="page">
                                  <wp:align>bottom</wp:align>
                                </wp:positionV>
                                <wp:extent cx="7560310" cy="393700"/>
                                <wp:effectExtent l="0" t="0" r="2540" b="6350"/>
                                <wp:wrapNone/>
                                <wp:docPr id="926988037" name="Rectangle 9269880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dec="http://schemas.microsoft.com/office/drawing/2017/decorative" xmlns:pic="http://schemas.openxmlformats.org/drawingml/2006/picture" xmlns:a="http://schemas.openxmlformats.org/drawingml/2006/main">
                            <w:pict w14:anchorId="3F224DFB">
                              <v:rect id="Rectangle 926988037" style="position:absolute;margin-left:544.1pt;margin-top:0;width:595.3pt;height:31pt;z-index:-25165004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7FDF22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p>
                  </w:sdtContent>
                </w:sdt>
                <w:p w14:paraId="1E08B884" w14:textId="77777777" w:rsidR="000F33F3" w:rsidRDefault="00000000" w:rsidP="000F33F3">
                  <w:pPr>
                    <w:pStyle w:val="BodyText"/>
                  </w:pPr>
                </w:p>
              </w:sdtContent>
            </w:sdt>
          </w:sdtContent>
        </w:sdt>
        <w:p w14:paraId="1A9317BF" w14:textId="4F9B6902" w:rsidR="00833E6F" w:rsidRPr="00C601A2" w:rsidRDefault="00075DC3" w:rsidP="00075DC3">
          <w:pPr>
            <w:pStyle w:val="BodyText"/>
          </w:pPr>
          <w:r w:rsidRPr="00C601A2">
            <w:rPr>
              <w:noProof/>
              <w:color w:val="2B579A"/>
              <w:shd w:val="clear" w:color="auto" w:fill="E6E6E6"/>
            </w:rPr>
            <mc:AlternateContent>
              <mc:Choice Requires="wps">
                <w:drawing>
                  <wp:anchor distT="0" distB="0" distL="114300" distR="114300" simplePos="0" relativeHeight="251658241" behindDoc="1" locked="1" layoutInCell="1" allowOverlap="1" wp14:anchorId="3A4DCF76" wp14:editId="056918A2">
                    <wp:simplePos x="0" y="0"/>
                    <wp:positionH relativeFrom="page">
                      <wp:align>right</wp:align>
                    </wp:positionH>
                    <wp:positionV relativeFrom="page">
                      <wp:align>bottom</wp:align>
                    </wp:positionV>
                    <wp:extent cx="7560310" cy="393700"/>
                    <wp:effectExtent l="0" t="0" r="2540" b="6350"/>
                    <wp:wrapNone/>
                    <wp:docPr id="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dec="http://schemas.microsoft.com/office/drawing/2017/decorative" xmlns:pic="http://schemas.openxmlformats.org/drawingml/2006/picture" xmlns:a="http://schemas.openxmlformats.org/drawingml/2006/main">
                <w:pict w14:anchorId="33C8248F">
                  <v:rect id="Rectangle 4" style="position:absolute;margin-left:544.1pt;margin-top:0;width:595.3pt;height:31pt;z-index:-251658239;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172DE6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p>
      </w:sdtContent>
    </w:sdt>
    <w:sectPr w:rsidR="00833E6F" w:rsidRPr="00C601A2" w:rsidSect="00B64686">
      <w:headerReference w:type="even" r:id="rId131"/>
      <w:headerReference w:type="default" r:id="rId132"/>
      <w:footerReference w:type="even" r:id="rId133"/>
      <w:footerReference w:type="default" r:id="rId134"/>
      <w:headerReference w:type="first" r:id="rId135"/>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755AB4" w14:textId="77777777" w:rsidR="00A406DF" w:rsidRDefault="00A406DF" w:rsidP="009964E7">
      <w:r>
        <w:separator/>
      </w:r>
    </w:p>
    <w:p w14:paraId="0A2565D7" w14:textId="77777777" w:rsidR="00A406DF" w:rsidRDefault="00A406DF"/>
  </w:endnote>
  <w:endnote w:type="continuationSeparator" w:id="0">
    <w:p w14:paraId="116C6703" w14:textId="77777777" w:rsidR="00A406DF" w:rsidRDefault="00A406DF" w:rsidP="009964E7">
      <w:r>
        <w:continuationSeparator/>
      </w:r>
    </w:p>
    <w:p w14:paraId="06B8A8CC" w14:textId="77777777" w:rsidR="00A406DF" w:rsidRDefault="00A406DF"/>
  </w:endnote>
  <w:endnote w:type="continuationNotice" w:id="1">
    <w:p w14:paraId="59AA1ED3" w14:textId="77777777" w:rsidR="00A406DF" w:rsidRDefault="00A406D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altName w:val="メイリオ"/>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67E6B" w14:textId="77777777" w:rsidR="00581E00" w:rsidRDefault="00581E0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3758628"/>
      <w:docPartObj>
        <w:docPartGallery w:val="Page Numbers (Bottom of Page)"/>
        <w:docPartUnique/>
      </w:docPartObj>
    </w:sdtPr>
    <w:sdtContent>
      <w:p w14:paraId="7B7955A1" w14:textId="3FEC837F" w:rsidR="00075DC3" w:rsidRPr="0019241A" w:rsidRDefault="006B1879">
        <w:pPr>
          <w:pStyle w:val="Footer"/>
          <w:jc w:val="right"/>
        </w:pPr>
        <w:fldSimple w:instr="STYLEREF  &quot;Heading 1&quot;  \* MERGEFORMAT">
          <w:r w:rsidR="007C3378">
            <w:rPr>
              <w:noProof/>
            </w:rPr>
            <w:t>Informing adaptive management for food webs and water quality outcomes</w:t>
          </w:r>
        </w:fldSimple>
        <w:r w:rsidR="00075DC3" w:rsidRPr="0019241A">
          <w:t xml:space="preserve">  |  </w:t>
        </w:r>
        <w:r w:rsidR="00075DC3" w:rsidRPr="0019241A">
          <w:fldChar w:fldCharType="begin"/>
        </w:r>
        <w:r w:rsidR="00075DC3" w:rsidRPr="0019241A">
          <w:instrText xml:space="preserve"> PAGE   \* MERGEFORMAT </w:instrText>
        </w:r>
        <w:r w:rsidR="00075DC3" w:rsidRPr="0019241A">
          <w:fldChar w:fldCharType="separate"/>
        </w:r>
        <w:r w:rsidR="00075DC3" w:rsidRPr="0019241A">
          <w:t>ii</w:t>
        </w:r>
        <w:proofErr w:type="spellStart"/>
        <w:r w:rsidR="00075DC3" w:rsidRPr="0019241A">
          <w:t>i</w:t>
        </w:r>
        <w:proofErr w:type="spellEnd"/>
        <w:r w:rsidR="00075DC3" w:rsidRPr="0019241A">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5125275"/>
      <w:docPartObj>
        <w:docPartGallery w:val="Page Numbers (Bottom of Page)"/>
        <w:docPartUnique/>
      </w:docPartObj>
    </w:sdtPr>
    <w:sdtContent>
      <w:p w14:paraId="1AC5A837" w14:textId="61222072" w:rsidR="00D60368" w:rsidRDefault="00C7087D">
        <w:pPr>
          <w:pStyle w:val="Footer"/>
          <w:jc w:val="right"/>
        </w:pPr>
        <w:fldSimple w:instr="STYLEREF  &quot;Heading 9,Appendix Heading 1&quot; \n  \* MERGEFORMAT">
          <w:r w:rsidR="007C3378" w:rsidRPr="007C3378">
            <w:rPr>
              <w:b/>
              <w:bCs/>
              <w:noProof/>
              <w:lang w:val="en-US"/>
            </w:rPr>
            <w:t>Appendix A</w:t>
          </w:r>
        </w:fldSimple>
        <w:r w:rsidR="00257E57">
          <w:rPr>
            <w:b/>
            <w:bCs/>
            <w:noProof/>
            <w:lang w:val="en-US"/>
          </w:rPr>
          <w:t xml:space="preserve"> </w:t>
        </w:r>
        <w:r w:rsidR="00257E57">
          <w:rPr>
            <w:b/>
            <w:bCs/>
            <w:noProof/>
            <w:lang w:val="en-US"/>
          </w:rPr>
          <w:fldChar w:fldCharType="begin"/>
        </w:r>
        <w:r w:rsidR="00257E57">
          <w:rPr>
            <w:b/>
            <w:bCs/>
            <w:noProof/>
            <w:lang w:val="en-US"/>
          </w:rPr>
          <w:instrText xml:space="preserve"> STYLEREF  "Heading 9,Appendix Heading 1"  \* MERGEFORMAT </w:instrText>
        </w:r>
        <w:r w:rsidR="00257E57">
          <w:rPr>
            <w:b/>
            <w:bCs/>
            <w:noProof/>
            <w:lang w:val="en-US"/>
          </w:rPr>
          <w:fldChar w:fldCharType="separate"/>
        </w:r>
        <w:r w:rsidR="007C3378" w:rsidRPr="007C3378">
          <w:rPr>
            <w:noProof/>
            <w:lang w:val="en-US"/>
          </w:rPr>
          <w:t>Stream metabolic responses to flow at sites in 7</w:t>
        </w:r>
        <w:r w:rsidR="007C3378">
          <w:rPr>
            <w:b/>
            <w:bCs/>
            <w:noProof/>
            <w:lang w:val="en-US"/>
          </w:rPr>
          <w:t xml:space="preserve"> Selected Areas</w:t>
        </w:r>
        <w:r w:rsidR="00257E57">
          <w:rPr>
            <w:b/>
            <w:bCs/>
            <w:noProof/>
            <w:lang w:val="en-US"/>
          </w:rPr>
          <w:fldChar w:fldCharType="end"/>
        </w:r>
        <w:r w:rsidR="00D60368">
          <w:t xml:space="preserve">  |  </w:t>
        </w:r>
        <w:r w:rsidR="00D60368" w:rsidRPr="00240160">
          <w:fldChar w:fldCharType="begin"/>
        </w:r>
        <w:r w:rsidR="00D60368">
          <w:instrText xml:space="preserve"> PAGE   \* MERGEFORMAT </w:instrText>
        </w:r>
        <w:r w:rsidR="00D60368" w:rsidRPr="00240160">
          <w:fldChar w:fldCharType="separate"/>
        </w:r>
        <w:r w:rsidR="00D60368">
          <w:t>ii</w:t>
        </w:r>
        <w:proofErr w:type="spellStart"/>
        <w:r w:rsidR="00D60368">
          <w:t>i</w:t>
        </w:r>
        <w:proofErr w:type="spellEnd"/>
        <w:r w:rsidR="00D60368" w:rsidRPr="00240160">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1F08F" w14:textId="468EC44E" w:rsidR="00514961" w:rsidRDefault="009571AC" w:rsidP="00CC6A8B">
    <w:pPr>
      <w:pStyle w:val="Footer"/>
      <w:jc w:val="right"/>
    </w:pPr>
    <w:fldSimple w:instr="STYLEREF  &quot;Heading 1 not numbered&quot;  \* MERGEFORMAT">
      <w:r>
        <w:rPr>
          <w:noProof/>
        </w:rPr>
        <w:t>Abbreviations and terms</w:t>
      </w:r>
    </w:fldSimple>
    <w:r w:rsidR="00514961">
      <w:t xml:space="preserve">  |  </w:t>
    </w:r>
    <w:r w:rsidR="00514961" w:rsidRPr="00240160">
      <w:fldChar w:fldCharType="begin"/>
    </w:r>
    <w:r w:rsidR="00514961">
      <w:instrText xml:space="preserve"> PAGE   \* MERGEFORMAT </w:instrText>
    </w:r>
    <w:r w:rsidR="00514961" w:rsidRPr="00240160">
      <w:fldChar w:fldCharType="separate"/>
    </w:r>
    <w:r w:rsidR="00514961">
      <w:t>ii</w:t>
    </w:r>
    <w:proofErr w:type="spellStart"/>
    <w:r w:rsidR="00514961">
      <w:t>i</w:t>
    </w:r>
    <w:proofErr w:type="spellEnd"/>
    <w:r w:rsidR="00514961" w:rsidRPr="00240160">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4898854"/>
      <w:docPartObj>
        <w:docPartGallery w:val="Page Numbers (Bottom of Page)"/>
        <w:docPartUnique/>
      </w:docPartObj>
    </w:sdtPr>
    <w:sdtContent>
      <w:p w14:paraId="5DD9AAC8" w14:textId="4AD69B85" w:rsidR="002E2260" w:rsidRDefault="00675128">
        <w:pPr>
          <w:pStyle w:val="Footer"/>
          <w:jc w:val="right"/>
        </w:pPr>
        <w:fldSimple w:instr="STYLEREF  &quot;Heading 1 not numbered&quot;  \* MERGEFORMAT">
          <w:r w:rsidR="007C3378">
            <w:rPr>
              <w:noProof/>
            </w:rPr>
            <w:t>References</w:t>
          </w:r>
        </w:fldSimple>
        <w:r w:rsidR="002E2260">
          <w:t xml:space="preserve">  |  </w:t>
        </w:r>
        <w:r w:rsidR="002E2260" w:rsidRPr="00240160">
          <w:fldChar w:fldCharType="begin"/>
        </w:r>
        <w:r w:rsidR="002E2260">
          <w:instrText xml:space="preserve"> PAGE   \* MERGEFORMAT </w:instrText>
        </w:r>
        <w:r w:rsidR="002E2260" w:rsidRPr="00240160">
          <w:fldChar w:fldCharType="separate"/>
        </w:r>
        <w:r w:rsidR="002E2260">
          <w:t>ii</w:t>
        </w:r>
        <w:proofErr w:type="spellStart"/>
        <w:r w:rsidR="002E2260">
          <w:t>i</w:t>
        </w:r>
        <w:proofErr w:type="spellEnd"/>
        <w:r w:rsidR="002E2260" w:rsidRPr="00240160">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8B5F0" w14:textId="19301375" w:rsidR="00F147DC" w:rsidRPr="00DD7FCD" w:rsidRDefault="00F147DC" w:rsidP="0024245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FBB45" w14:textId="39072A3C" w:rsidR="00AD458F" w:rsidRDefault="00AD458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239A7" w14:textId="77777777" w:rsidR="00581E00" w:rsidRDefault="00581E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E0E9A" w14:textId="77777777" w:rsidR="00581E00" w:rsidRDefault="00581E0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57320" w14:textId="58F9322E" w:rsidR="00F147DC" w:rsidRPr="00D50345" w:rsidRDefault="00F147DC" w:rsidP="00D50345">
    <w:pPr>
      <w:pStyle w:val="Footer"/>
    </w:pPr>
    <w:r w:rsidRPr="00D50345">
      <w:fldChar w:fldCharType="begin"/>
    </w:r>
    <w:r w:rsidRPr="00D50345">
      <w:instrText xml:space="preserve"> PAGE   \* MERGEFORMAT </w:instrText>
    </w:r>
    <w:r w:rsidRPr="00D50345">
      <w:fldChar w:fldCharType="separate"/>
    </w:r>
    <w:r w:rsidRPr="00D50345">
      <w:t>i</w:t>
    </w:r>
    <w:proofErr w:type="spellStart"/>
    <w:r w:rsidRPr="00D50345">
      <w:t>i</w:t>
    </w:r>
    <w:proofErr w:type="spellEnd"/>
    <w:r w:rsidRPr="00D50345">
      <w:fldChar w:fldCharType="end"/>
    </w:r>
    <w:r w:rsidRPr="00D50345">
      <w:t xml:space="preserve"> </w:t>
    </w:r>
    <w:r w:rsidR="00374624" w:rsidRPr="00D50345">
      <w:t xml:space="preserve"> </w:t>
    </w:r>
    <w:r w:rsidRPr="00D50345">
      <w:t>|</w:t>
    </w:r>
    <w:r w:rsidR="00374624" w:rsidRPr="00D50345">
      <w:t xml:space="preserve"> </w:t>
    </w:r>
    <w:r w:rsidRPr="00D50345">
      <w:t xml:space="preserve"> </w:t>
    </w:r>
    <w:sdt>
      <w:sdtPr>
        <w:alias w:val="Title"/>
        <w:tag w:val=""/>
        <w:id w:val="-51698815"/>
        <w:placeholder>
          <w:docPart w:val="453E085EB6CF413AB0702B10126AAEDD"/>
        </w:placeholder>
        <w:dataBinding w:prefixMappings="xmlns:ns0='http://purl.org/dc/elements/1.1/' xmlns:ns1='http://schemas.openxmlformats.org/package/2006/metadata/core-properties' " w:xpath="/ns1:coreProperties[1]/ns0:title[1]" w:storeItemID="{6C3C8BC8-F283-45AE-878A-BAB7291924A1}"/>
        <w:text/>
      </w:sdtPr>
      <w:sdtContent>
        <w:r w:rsidR="0056302B">
          <w:t>Basin-scale evaluation of 2023–24 Commonwealth environmental water: Food Webs and Water Quality</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A105E" w14:textId="0A54F96C" w:rsidR="00F147DC" w:rsidRPr="00C86D33" w:rsidRDefault="00604DAD" w:rsidP="00C86D33">
    <w:pPr>
      <w:pStyle w:val="Footer"/>
      <w:jc w:val="right"/>
    </w:pPr>
    <w:fldSimple w:instr="STYLEREF  &quot;Heading 1 not numbered&quot;  \* MERGEFORMAT">
      <w:r w:rsidR="007C3378">
        <w:rPr>
          <w:noProof/>
        </w:rPr>
        <w:t>Executive summary</w:t>
      </w:r>
    </w:fldSimple>
    <w:r w:rsidR="00F147DC" w:rsidRPr="00C86D33">
      <w:t xml:space="preserve">  |  </w:t>
    </w:r>
    <w:r w:rsidR="00F147DC" w:rsidRPr="00C86D33">
      <w:fldChar w:fldCharType="begin"/>
    </w:r>
    <w:r w:rsidR="00F147DC" w:rsidRPr="00C86D33">
      <w:instrText xml:space="preserve"> PAGE   \* MERGEFORMAT </w:instrText>
    </w:r>
    <w:r w:rsidR="00F147DC" w:rsidRPr="00C86D33">
      <w:fldChar w:fldCharType="separate"/>
    </w:r>
    <w:r w:rsidR="00F147DC" w:rsidRPr="00C86D33">
      <w:t>ii</w:t>
    </w:r>
    <w:proofErr w:type="spellStart"/>
    <w:r w:rsidR="00F147DC" w:rsidRPr="00C86D33">
      <w:t>i</w:t>
    </w:r>
    <w:proofErr w:type="spellEnd"/>
    <w:r w:rsidR="00F147DC" w:rsidRPr="00C86D3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0DFB5" w14:textId="3179BC69" w:rsidR="00E13F9D" w:rsidRDefault="00604DAD" w:rsidP="007A2703">
    <w:pPr>
      <w:pStyle w:val="Footer"/>
      <w:jc w:val="right"/>
    </w:pPr>
    <w:fldSimple w:instr="STYLEREF  &quot;Heading 1 not numbered&quot;  \* MERGEFORMAT">
      <w:r w:rsidR="007C3378">
        <w:rPr>
          <w:noProof/>
        </w:rPr>
        <w:t>Overview of Flow-MER and this 2023–24 evaluation</w:t>
      </w:r>
    </w:fldSimple>
    <w:r w:rsidR="00E13F9D">
      <w:t xml:space="preserve">  |  </w:t>
    </w:r>
    <w:r w:rsidR="00E13F9D" w:rsidRPr="00240160">
      <w:fldChar w:fldCharType="begin"/>
    </w:r>
    <w:r w:rsidR="00E13F9D">
      <w:instrText xml:space="preserve"> PAGE   \* MERGEFORMAT </w:instrText>
    </w:r>
    <w:r w:rsidR="00E13F9D" w:rsidRPr="00240160">
      <w:fldChar w:fldCharType="separate"/>
    </w:r>
    <w:r w:rsidR="00E13F9D">
      <w:t>ii</w:t>
    </w:r>
    <w:proofErr w:type="spellStart"/>
    <w:r w:rsidR="00E13F9D">
      <w:t>i</w:t>
    </w:r>
    <w:proofErr w:type="spellEnd"/>
    <w:r w:rsidR="00E13F9D" w:rsidRPr="00240160">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D9B84" w14:textId="19CE309F" w:rsidR="00F147DC" w:rsidRDefault="00604DAD" w:rsidP="00F47DF4">
    <w:pPr>
      <w:pStyle w:val="Footer"/>
      <w:jc w:val="right"/>
    </w:pPr>
    <w:fldSimple w:instr="STYLEREF  &quot;Heading 1 not numbered&quot;  \* MERGEFORMAT">
      <w:r w:rsidR="007C3378">
        <w:rPr>
          <w:noProof/>
        </w:rPr>
        <w:t>Contents</w:t>
      </w:r>
    </w:fldSimple>
    <w:r w:rsidR="00F147DC">
      <w:t xml:space="preserve">  |  </w:t>
    </w:r>
    <w:r w:rsidR="00F147DC" w:rsidRPr="00240160">
      <w:fldChar w:fldCharType="begin"/>
    </w:r>
    <w:r w:rsidR="00F147DC">
      <w:instrText xml:space="preserve"> PAGE   \* MERGEFORMAT </w:instrText>
    </w:r>
    <w:r w:rsidR="00F147DC" w:rsidRPr="00240160">
      <w:fldChar w:fldCharType="separate"/>
    </w:r>
    <w:r w:rsidR="00F147DC">
      <w:t>ii</w:t>
    </w:r>
    <w:proofErr w:type="spellStart"/>
    <w:r w:rsidR="00F147DC">
      <w:t>i</w:t>
    </w:r>
    <w:proofErr w:type="spellEnd"/>
    <w:r w:rsidR="00F147DC" w:rsidRPr="00240160">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0358B" w14:textId="46CB7CFF" w:rsidR="00794CD5" w:rsidRDefault="005B413B" w:rsidP="000B459B">
    <w:pPr>
      <w:pStyle w:val="Footer"/>
      <w:jc w:val="right"/>
    </w:pPr>
    <w:fldSimple w:instr="STYLEREF  &quot;Heading 1&quot;  \* MERGEFORMAT">
      <w:r w:rsidR="007C3378">
        <w:rPr>
          <w:noProof/>
        </w:rPr>
        <w:t>Introduction</w:t>
      </w:r>
    </w:fldSimple>
    <w:r w:rsidR="00794CD5">
      <w:t xml:space="preserve">  |  </w:t>
    </w:r>
    <w:r w:rsidR="00DE2D61" w:rsidRPr="00240160">
      <w:fldChar w:fldCharType="begin"/>
    </w:r>
    <w:r w:rsidR="00DE2D61">
      <w:instrText xml:space="preserve"> PAGE   \* MERGEFORMAT </w:instrText>
    </w:r>
    <w:r w:rsidR="00DE2D61" w:rsidRPr="00240160">
      <w:fldChar w:fldCharType="separate"/>
    </w:r>
    <w:r w:rsidR="00DE2D61" w:rsidRPr="00240160">
      <w:t>1</w:t>
    </w:r>
    <w:r w:rsidR="00DE2D61" w:rsidRPr="00240160">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7BC7A" w14:textId="6F6DC87D" w:rsidR="00AF36A6" w:rsidRDefault="006B1879" w:rsidP="00077DDD">
    <w:pPr>
      <w:pStyle w:val="Footer"/>
      <w:jc w:val="right"/>
    </w:pPr>
    <w:fldSimple w:instr="STYLEREF  &quot;Heading 1&quot;  \* MERGEFORMAT">
      <w:r w:rsidR="007C3378">
        <w:rPr>
          <w:noProof/>
        </w:rPr>
        <w:t>Contribution to Basin Plan objectives</w:t>
      </w:r>
    </w:fldSimple>
    <w:r w:rsidR="00AF36A6">
      <w:t xml:space="preserve"> </w:t>
    </w:r>
    <w:r w:rsidR="00374624">
      <w:t xml:space="preserve"> </w:t>
    </w:r>
    <w:r w:rsidR="00AF36A6">
      <w:t xml:space="preserve">|  </w:t>
    </w:r>
    <w:r w:rsidR="00AF36A6" w:rsidRPr="00240160">
      <w:fldChar w:fldCharType="begin"/>
    </w:r>
    <w:r w:rsidR="00AF36A6">
      <w:instrText xml:space="preserve"> PAGE   \* MERGEFORMAT </w:instrText>
    </w:r>
    <w:r w:rsidR="00AF36A6" w:rsidRPr="00240160">
      <w:fldChar w:fldCharType="separate"/>
    </w:r>
    <w:r w:rsidR="00AF36A6">
      <w:t>ii</w:t>
    </w:r>
    <w:proofErr w:type="spellStart"/>
    <w:r w:rsidR="00AF36A6">
      <w:t>i</w:t>
    </w:r>
    <w:proofErr w:type="spellEnd"/>
    <w:r w:rsidR="00AF36A6" w:rsidRPr="00240160">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791CB0" w14:textId="77777777" w:rsidR="00A406DF" w:rsidRDefault="00A406DF">
      <w:r>
        <w:separator/>
      </w:r>
    </w:p>
  </w:footnote>
  <w:footnote w:type="continuationSeparator" w:id="0">
    <w:p w14:paraId="6FAC1915" w14:textId="77777777" w:rsidR="00A406DF" w:rsidRDefault="00A406DF">
      <w:r>
        <w:continuationSeparator/>
      </w:r>
    </w:p>
  </w:footnote>
  <w:footnote w:type="continuationNotice" w:id="1">
    <w:p w14:paraId="359ED746" w14:textId="77777777" w:rsidR="00A406DF" w:rsidRDefault="00A406DF">
      <w:pPr>
        <w:spacing w:after="0"/>
      </w:pPr>
    </w:p>
  </w:footnote>
  <w:footnote w:id="2">
    <w:p w14:paraId="58FBFF90" w14:textId="2DB9E64E" w:rsidR="006D1759" w:rsidRDefault="006D1759">
      <w:pPr>
        <w:pStyle w:val="FootnoteText"/>
      </w:pPr>
      <w:r>
        <w:rPr>
          <w:rStyle w:val="FootnoteReference"/>
        </w:rPr>
        <w:footnoteRef/>
      </w:r>
      <w:r>
        <w:t xml:space="preserve"> At the time of writing, the 2025 edition of the Strategy was not available. </w:t>
      </w:r>
      <w:r w:rsidRPr="008E7569">
        <w:t>2023–24 evaluations reference</w:t>
      </w:r>
      <w:r>
        <w:t xml:space="preserve"> the 2019 edition (MDBA 2019).</w:t>
      </w:r>
    </w:p>
  </w:footnote>
  <w:footnote w:id="3">
    <w:p w14:paraId="247A6F00" w14:textId="26061C97" w:rsidR="00EC6238" w:rsidRDefault="00EC6238" w:rsidP="00A558EF">
      <w:pPr>
        <w:pStyle w:val="BodyText"/>
        <w:spacing w:before="60" w:after="60"/>
      </w:pPr>
      <w:r w:rsidRPr="009D75E7">
        <w:rPr>
          <w:rStyle w:val="FootnoteTextChar"/>
          <w:vertAlign w:val="superscript"/>
        </w:rPr>
        <w:footnoteRef/>
      </w:r>
      <w:r w:rsidRPr="009D75E7">
        <w:rPr>
          <w:rStyle w:val="FootnoteTextChar"/>
          <w:vertAlign w:val="superscript"/>
        </w:rPr>
        <w:t xml:space="preserve"> </w:t>
      </w:r>
      <w:r w:rsidRPr="001B4152">
        <w:rPr>
          <w:rStyle w:val="FootnoteTextChar"/>
        </w:rPr>
        <w:t xml:space="preserve">Stream metabolism comprises 2 key ecological processes, </w:t>
      </w:r>
      <w:r w:rsidRPr="001B4152">
        <w:rPr>
          <w:rStyle w:val="FootnoteTextChar"/>
          <w:bCs/>
        </w:rPr>
        <w:t>gross primary production</w:t>
      </w:r>
      <w:r w:rsidRPr="001B4152">
        <w:rPr>
          <w:rStyle w:val="FootnoteTextChar"/>
        </w:rPr>
        <w:t xml:space="preserve"> (GPP) which generates organic matter; and </w:t>
      </w:r>
      <w:r w:rsidRPr="001B4152">
        <w:rPr>
          <w:rStyle w:val="FootnoteTextChar"/>
          <w:bCs/>
        </w:rPr>
        <w:t>ecosystem respiration</w:t>
      </w:r>
      <w:r w:rsidRPr="001B4152">
        <w:rPr>
          <w:rStyle w:val="FootnoteTextChar"/>
          <w:b/>
        </w:rPr>
        <w:t xml:space="preserve"> </w:t>
      </w:r>
      <w:r w:rsidRPr="001B4152">
        <w:rPr>
          <w:rStyle w:val="FootnoteTextChar"/>
        </w:rPr>
        <w:t>(ER) w</w:t>
      </w:r>
      <w:r w:rsidR="0078464B">
        <w:rPr>
          <w:rStyle w:val="FootnoteTextChar"/>
        </w:rPr>
        <w:t>hich</w:t>
      </w:r>
      <w:r w:rsidRPr="001B4152">
        <w:rPr>
          <w:rStyle w:val="FootnoteTextChar"/>
        </w:rPr>
        <w:t xml:space="preserve"> recycles organic matter. </w:t>
      </w:r>
      <w:r w:rsidRPr="001B4152">
        <w:rPr>
          <w:rStyle w:val="FootnoteTextChar"/>
          <w:b/>
          <w:bCs/>
        </w:rPr>
        <w:t>Stream metabolism</w:t>
      </w:r>
      <w:r w:rsidRPr="001B4152">
        <w:rPr>
          <w:rStyle w:val="FootnoteTextChar"/>
        </w:rPr>
        <w:t xml:space="preserve"> measurements estimate the instream rates of GPP and ER by measuring changes in dissolved oxygen. Net ecosystem production – the difference between GPP and ER – determines whether carbon accumulates or is depleted within an ecosystem. Volumetric GPP and ER rates represent the amount of carbon being fixed or respired per litre of water, which is important for understanding food web processes and assessing potential water quality risks, such as algal blooms or hypoxia. Since GPP represents the fixing of carbon into organic matter and ER is the breakdown of this matter and remineralisation of the carbon, high rates of both GPP and ER (i.e. with a GPP:ER close to 1) indicate rapid cycling or ‘</w:t>
      </w:r>
      <w:r w:rsidR="00226941">
        <w:rPr>
          <w:rStyle w:val="FootnoteTextChar"/>
        </w:rPr>
        <w:t xml:space="preserve">metabolic </w:t>
      </w:r>
      <w:r w:rsidRPr="001B4152">
        <w:rPr>
          <w:rStyle w:val="FootnoteTextChar"/>
        </w:rPr>
        <w:t>throughput’ of carbon by aquatic organisms. In contrast, low but balanced GPP and ER indicates slow cycling and low throughput.</w:t>
      </w:r>
    </w:p>
  </w:footnote>
  <w:footnote w:id="4">
    <w:p w14:paraId="5EEFA308" w14:textId="6970496A" w:rsidR="00074247" w:rsidRDefault="00074247">
      <w:pPr>
        <w:pStyle w:val="FootnoteText"/>
      </w:pPr>
      <w:r>
        <w:rPr>
          <w:rStyle w:val="FootnoteReference"/>
        </w:rPr>
        <w:footnoteRef/>
      </w:r>
      <w:r>
        <w:t xml:space="preserve"> At the time of writing, the 2025 edition of the Strategy was not available. </w:t>
      </w:r>
      <w:r w:rsidRPr="008E7569">
        <w:t>2023–24 evaluations reference</w:t>
      </w:r>
      <w:r>
        <w:t xml:space="preserve"> the 2019 edition (MDBA 2019).</w:t>
      </w:r>
    </w:p>
  </w:footnote>
  <w:footnote w:id="5">
    <w:p w14:paraId="1215AC91" w14:textId="0B3BD1BA" w:rsidR="002D083C" w:rsidRDefault="002D083C" w:rsidP="002D083C">
      <w:pPr>
        <w:pStyle w:val="BodyText10"/>
        <w:spacing w:before="0" w:after="60"/>
      </w:pPr>
      <w:r w:rsidRPr="002C07A3">
        <w:rPr>
          <w:rStyle w:val="FootnoteReference"/>
        </w:rPr>
        <w:footnoteRef/>
      </w:r>
      <w:r>
        <w:t xml:space="preserve"> </w:t>
      </w:r>
      <w:r>
        <w:rPr>
          <w:rStyle w:val="FootnoteTextChar"/>
        </w:rPr>
        <w:t>Th</w:t>
      </w:r>
      <w:r w:rsidRPr="002A1F42">
        <w:rPr>
          <w:rStyle w:val="FootnoteTextChar"/>
        </w:rPr>
        <w:t xml:space="preserve">e </w:t>
      </w:r>
      <w:hyperlink r:id="rId1" w:history="1">
        <w:r w:rsidRPr="006C443A">
          <w:rPr>
            <w:rStyle w:val="Hyperlink"/>
            <w:sz w:val="16"/>
          </w:rPr>
          <w:t xml:space="preserve">Long Term Intervention Monitoring </w:t>
        </w:r>
      </w:hyperlink>
      <w:r w:rsidRPr="002A1F42">
        <w:rPr>
          <w:rStyle w:val="FootnoteTextChar"/>
        </w:rPr>
        <w:t xml:space="preserve">and </w:t>
      </w:r>
      <w:hyperlink r:id="rId2" w:history="1">
        <w:r w:rsidRPr="006C443A">
          <w:rPr>
            <w:rStyle w:val="Hyperlink"/>
            <w:sz w:val="16"/>
          </w:rPr>
          <w:t>Environmental Water Knowledge and Research</w:t>
        </w:r>
      </w:hyperlink>
      <w:r w:rsidRPr="002A1F42">
        <w:rPr>
          <w:rStyle w:val="FootnoteTextChar"/>
        </w:rPr>
        <w:t xml:space="preserve"> projects (2014–19)</w:t>
      </w:r>
    </w:p>
  </w:footnote>
  <w:footnote w:id="6">
    <w:p w14:paraId="1A3FDBC4" w14:textId="1B151499" w:rsidR="00684EAE" w:rsidRPr="00FE19EB" w:rsidRDefault="00684EAE" w:rsidP="00684EAE">
      <w:pPr>
        <w:pStyle w:val="FootnoteText"/>
      </w:pPr>
      <w:r w:rsidRPr="002C07A3">
        <w:rPr>
          <w:rStyle w:val="FootnoteReference"/>
        </w:rPr>
        <w:footnoteRef/>
      </w:r>
      <w:r w:rsidR="00EA4D3D" w:rsidRPr="00FE19EB">
        <w:t xml:space="preserve">In the counterfactual approach, </w:t>
      </w:r>
      <w:r w:rsidR="00EA4D3D">
        <w:t>C</w:t>
      </w:r>
      <w:r w:rsidR="00D76D66">
        <w:t>EW i</w:t>
      </w:r>
      <w:r w:rsidR="00EA4D3D">
        <w:t xml:space="preserve">s </w:t>
      </w:r>
      <w:r w:rsidR="00EA4D3D" w:rsidRPr="00FE19EB">
        <w:t xml:space="preserve">removed from the observed streamflow time series, creating a hypothetical (counterfactual) daily streamflow time series with no </w:t>
      </w:r>
      <w:r w:rsidR="00EA4D3D">
        <w:t>C</w:t>
      </w:r>
      <w:r w:rsidR="00D76D66">
        <w:t>EW</w:t>
      </w:r>
      <w:r w:rsidR="00EA4D3D" w:rsidRPr="00FE19EB">
        <w:t xml:space="preserve">. This approach is used to infer the effects of </w:t>
      </w:r>
      <w:r w:rsidR="00EA4D3D">
        <w:t>C</w:t>
      </w:r>
      <w:r w:rsidR="00D76D66">
        <w:t>EW</w:t>
      </w:r>
      <w:r w:rsidR="00EA4D3D">
        <w:t xml:space="preserve"> as </w:t>
      </w:r>
      <w:r w:rsidR="00EA4D3D" w:rsidRPr="00FE19EB">
        <w:t>an experimental design with controls and/or before–after comparisons is not possible.</w:t>
      </w:r>
    </w:p>
  </w:footnote>
  <w:footnote w:id="7">
    <w:p w14:paraId="1EDEA773" w14:textId="5CEB95EA" w:rsidR="00684EAE" w:rsidRPr="00FE19EB" w:rsidRDefault="00684EAE" w:rsidP="00684EAE">
      <w:pPr>
        <w:pStyle w:val="FootnoteText"/>
      </w:pPr>
      <w:r w:rsidRPr="002C07A3">
        <w:rPr>
          <w:rStyle w:val="FootnoteReference"/>
        </w:rPr>
        <w:footnoteRef/>
      </w:r>
      <w:r w:rsidRPr="00FE19EB">
        <w:t xml:space="preserve"> In these evaluations it is not possible to attribute the Commonwealth’s contribution separately to other environmental water</w:t>
      </w:r>
      <w:r w:rsidR="00EA4D3D">
        <w:t xml:space="preserve"> under the current methods</w:t>
      </w:r>
      <w:r w:rsidRPr="00FE19EB">
        <w:t>.</w:t>
      </w:r>
    </w:p>
  </w:footnote>
  <w:footnote w:id="8">
    <w:p w14:paraId="3CF2E7BD" w14:textId="4F109F73" w:rsidR="00BA3B97" w:rsidRDefault="00BA3B97">
      <w:pPr>
        <w:pStyle w:val="FootnoteText"/>
      </w:pPr>
      <w:r>
        <w:rPr>
          <w:rStyle w:val="FootnoteReference"/>
        </w:rPr>
        <w:footnoteRef/>
      </w:r>
      <w:r>
        <w:t xml:space="preserve"> The counterfactual modelling was</w:t>
      </w:r>
      <w:r w:rsidR="00A030EA">
        <w:t xml:space="preserve"> introduced for the 2023–24 evaluation. It is fully described in O’Sullivan and Cuddy (2025).</w:t>
      </w:r>
    </w:p>
  </w:footnote>
  <w:footnote w:id="9">
    <w:p w14:paraId="6270CC3B" w14:textId="370FFDEC" w:rsidR="0036393F" w:rsidRDefault="0036393F">
      <w:pPr>
        <w:pStyle w:val="FootnoteText"/>
      </w:pPr>
      <w:r>
        <w:rPr>
          <w:rStyle w:val="FootnoteReference"/>
        </w:rPr>
        <w:footnoteRef/>
      </w:r>
      <w:r>
        <w:t xml:space="preserve"> Refer to </w:t>
      </w:r>
      <w:r w:rsidR="009E369C">
        <w:t xml:space="preserve">caption note to </w:t>
      </w:r>
      <w:r w:rsidR="009E369C">
        <w:fldChar w:fldCharType="begin"/>
      </w:r>
      <w:r w:rsidR="009E369C">
        <w:instrText xml:space="preserve"> REF _Ref201937473 \h </w:instrText>
      </w:r>
      <w:r w:rsidR="009E369C">
        <w:fldChar w:fldCharType="separate"/>
      </w:r>
      <w:r w:rsidR="009E369C" w:rsidRPr="00C601A2">
        <w:t>Table</w:t>
      </w:r>
      <w:r w:rsidR="009E369C">
        <w:t> .</w:t>
      </w:r>
      <w:r w:rsidR="009E369C">
        <w:rPr>
          <w:noProof/>
        </w:rPr>
        <w:t>1</w:t>
      </w:r>
      <w:r w:rsidR="009E369C">
        <w:fldChar w:fldCharType="end"/>
      </w:r>
      <w:r w:rsidR="009E369C">
        <w:t xml:space="preserve"> for information on this process.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570EA" w14:textId="77777777" w:rsidR="00581E00" w:rsidRDefault="00581E0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E93B0" w14:textId="172A1514" w:rsidR="003632C5" w:rsidRPr="001A3035" w:rsidRDefault="003632C5" w:rsidP="001A303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B7C4F" w14:textId="302C77DF" w:rsidR="003632C5" w:rsidRPr="009959B3" w:rsidRDefault="003632C5" w:rsidP="009959B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E45EB" w14:textId="1766D349" w:rsidR="00F147DC" w:rsidRDefault="00A406DF">
    <w:pPr>
      <w:pStyle w:val="Header"/>
    </w:pPr>
    <w:r>
      <w:rPr>
        <w:noProof/>
      </w:rPr>
      <w:pict w14:anchorId="5961FC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71" o:spid="_x0000_s1032" type="#_x0000_t136" alt="" style="position:absolute;margin-left:0;margin-top:0;width:494.15pt;height:185.3pt;rotation:315;z-index:-25165823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85F7C" w14:textId="01280E17" w:rsidR="003632C5" w:rsidRPr="00F52883" w:rsidRDefault="003632C5" w:rsidP="00F52883">
    <w:pPr>
      <w:pStyle w:val="Header"/>
      <w:jc w:val="center"/>
      <w:rPr>
        <w:color w:val="auto"/>
        <w:sz w:val="24"/>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007BD" w14:textId="53074337" w:rsidR="003632C5" w:rsidRPr="008F6EB5" w:rsidRDefault="003632C5" w:rsidP="001B4152">
    <w:pPr>
      <w:pStyle w:val="Header"/>
      <w:jc w:val="center"/>
      <w:rPr>
        <w:color w:val="auto"/>
        <w:sz w:val="24"/>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D7FA7" w14:textId="2C3BA1C6" w:rsidR="00AF36A6" w:rsidRDefault="00A406DF">
    <w:pPr>
      <w:pStyle w:val="Header"/>
    </w:pPr>
    <w:r>
      <w:rPr>
        <w:noProof/>
      </w:rPr>
      <w:pict w14:anchorId="6BD1E9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77" o:spid="_x0000_s1031" type="#_x0000_t136" alt="" style="position:absolute;margin-left:0;margin-top:0;width:494.15pt;height:185.3pt;rotation:315;z-index:-251658229;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3B5E9" w14:textId="6B48EC8A" w:rsidR="003632C5" w:rsidRPr="00F52883" w:rsidRDefault="003632C5" w:rsidP="00F52883">
    <w:pPr>
      <w:pStyle w:val="Header"/>
      <w:jc w:val="center"/>
      <w:rPr>
        <w:color w:val="auto"/>
        <w:sz w:val="24"/>
        <w:szCs w:val="2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3D65B" w14:textId="57BE007C" w:rsidR="003632C5" w:rsidRPr="00A40D64" w:rsidRDefault="003632C5" w:rsidP="001B4152">
    <w:pPr>
      <w:pStyle w:val="Header"/>
      <w:jc w:val="center"/>
      <w:rPr>
        <w:color w:val="auto"/>
        <w:sz w:val="24"/>
        <w:szCs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8B50C" w14:textId="06B9FEE0" w:rsidR="00075DC3" w:rsidRDefault="00A406DF">
    <w:pPr>
      <w:pStyle w:val="Header"/>
    </w:pPr>
    <w:r>
      <w:rPr>
        <w:noProof/>
      </w:rPr>
      <w:pict w14:anchorId="63DFC5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80" o:spid="_x0000_s1030" type="#_x0000_t136" alt="" style="position:absolute;margin-left:0;margin-top:0;width:494.15pt;height:185.3pt;rotation:315;z-index:-25165822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871AF" w14:textId="44663798" w:rsidR="005D44A1" w:rsidRPr="008575F6" w:rsidRDefault="005D44A1" w:rsidP="008575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8C39507" w14:paraId="776D8D01" w14:textId="77777777" w:rsidTr="00D05EAF">
      <w:trPr>
        <w:trHeight w:val="300"/>
      </w:trPr>
      <w:tc>
        <w:tcPr>
          <w:tcW w:w="3210" w:type="dxa"/>
        </w:tcPr>
        <w:p w14:paraId="2A58C876" w14:textId="73B3195D" w:rsidR="68C39507" w:rsidRDefault="68C39507" w:rsidP="00D05EAF">
          <w:pPr>
            <w:pStyle w:val="Header"/>
            <w:ind w:left="-115"/>
          </w:pPr>
        </w:p>
      </w:tc>
      <w:tc>
        <w:tcPr>
          <w:tcW w:w="3210" w:type="dxa"/>
        </w:tcPr>
        <w:p w14:paraId="336D733C" w14:textId="09D55CC9" w:rsidR="68C39507" w:rsidRDefault="68C39507" w:rsidP="00D05EAF">
          <w:pPr>
            <w:pStyle w:val="Header"/>
            <w:jc w:val="center"/>
          </w:pPr>
        </w:p>
      </w:tc>
      <w:tc>
        <w:tcPr>
          <w:tcW w:w="3210" w:type="dxa"/>
        </w:tcPr>
        <w:p w14:paraId="3098747E" w14:textId="03680E69" w:rsidR="68C39507" w:rsidRDefault="68C39507" w:rsidP="00D05EAF">
          <w:pPr>
            <w:pStyle w:val="Header"/>
            <w:ind w:right="-115"/>
            <w:jc w:val="right"/>
          </w:pPr>
        </w:p>
      </w:tc>
    </w:tr>
  </w:tbl>
  <w:p w14:paraId="65C401E5" w14:textId="0BBC106C" w:rsidR="68C39507" w:rsidRDefault="68C39507" w:rsidP="00D05EA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AB26F" w14:textId="12C8ADB8" w:rsidR="005D44A1" w:rsidRPr="004E2C1A" w:rsidRDefault="005D44A1" w:rsidP="001B4152">
    <w:pPr>
      <w:pStyle w:val="Header"/>
      <w:jc w:val="center"/>
      <w:rPr>
        <w:color w:val="auto"/>
        <w:sz w:val="24"/>
        <w:szCs w:val="24"/>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37053" w14:textId="287397F7" w:rsidR="005D44A1" w:rsidRDefault="00A406DF">
    <w:pPr>
      <w:pStyle w:val="Header"/>
    </w:pPr>
    <w:r>
      <w:rPr>
        <w:noProof/>
      </w:rPr>
      <w:pict w14:anchorId="247F55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83" o:spid="_x0000_s1029" type="#_x0000_t136" alt="" style="position:absolute;margin-left:0;margin-top:0;width:494.15pt;height:185.3pt;rotation:315;z-index:-251658227;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43" behindDoc="1" locked="0" layoutInCell="0" allowOverlap="1" wp14:anchorId="2518A4E0" wp14:editId="3960542D">
              <wp:simplePos x="0" y="0"/>
              <wp:positionH relativeFrom="margin">
                <wp:align>center</wp:align>
              </wp:positionH>
              <wp:positionV relativeFrom="margin">
                <wp:align>center</wp:align>
              </wp:positionV>
              <wp:extent cx="6275705" cy="2353310"/>
              <wp:effectExtent l="0" t="1447800" r="0" b="1332865"/>
              <wp:wrapNone/>
              <wp:docPr id="385847669"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2220B13"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518A4E0" id="_x0000_t202" coordsize="21600,21600" o:spt="202" path="m,l,21600r21600,l21600,xe">
              <v:stroke joinstyle="miter"/>
              <v:path gradientshapeok="t" o:connecttype="rect"/>
            </v:shapetype>
            <v:shape id="WordArt 11" o:spid="_x0000_s1028" type="#_x0000_t202" style="position:absolute;margin-left:0;margin-top:0;width:494.15pt;height:185.3pt;rotation:-45;z-index:-25165823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" o:allowincell="f" filled="f" stroked="f">
              <v:stroke joinstyle="round"/>
              <o:lock v:ext="edit" shapetype="t"/>
              <v:textbox style="mso-fit-shape-to-text:t">
                <w:txbxContent>
                  <w:p w14:paraId="42220B13"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A6F4E" w14:textId="7B3FB09C" w:rsidR="00514961" w:rsidRPr="008A03E8" w:rsidRDefault="00514961" w:rsidP="001B4152">
    <w:pPr>
      <w:pStyle w:val="Header"/>
      <w:jc w:val="center"/>
      <w:rPr>
        <w:color w:val="auto"/>
        <w:sz w:val="24"/>
        <w:szCs w:val="24"/>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F9AC7" w14:textId="3BD8A59F" w:rsidR="00514961" w:rsidRDefault="0051496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58D15" w14:textId="7599A83B" w:rsidR="00514961" w:rsidRDefault="00A406DF">
    <w:pPr>
      <w:pStyle w:val="Header"/>
    </w:pPr>
    <w:r>
      <w:rPr>
        <w:noProof/>
      </w:rPr>
      <w:pict w14:anchorId="76FF20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86" o:spid="_x0000_s1028" type="#_x0000_t136" alt="" style="position:absolute;margin-left:0;margin-top:0;width:494.15pt;height:185.3pt;rotation:315;z-index:-25165822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44" behindDoc="1" locked="0" layoutInCell="0" allowOverlap="1" wp14:anchorId="7D631EED" wp14:editId="624CC517">
              <wp:simplePos x="0" y="0"/>
              <wp:positionH relativeFrom="margin">
                <wp:align>center</wp:align>
              </wp:positionH>
              <wp:positionV relativeFrom="margin">
                <wp:align>center</wp:align>
              </wp:positionV>
              <wp:extent cx="6275705" cy="2353310"/>
              <wp:effectExtent l="0" t="1447800" r="0" b="1332865"/>
              <wp:wrapNone/>
              <wp:docPr id="403809956"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C07C0A5"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31EED" id="_x0000_t202" coordsize="21600,21600" o:spt="202" path="m,l,21600r21600,l21600,xe">
              <v:stroke joinstyle="miter"/>
              <v:path gradientshapeok="t" o:connecttype="rect"/>
            </v:shapetype>
            <v:shape id="WordArt 8" o:spid="_x0000_s1029" type="#_x0000_t202" style="position:absolute;margin-left:0;margin-top:0;width:494.15pt;height:185.3pt;rotation:-45;z-index:-2516582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" o:allowincell="f" filled="f" stroked="f">
              <v:stroke joinstyle="round"/>
              <o:lock v:ext="edit" shapetype="t"/>
              <v:textbox style="mso-fit-shape-to-text:t">
                <w:txbxContent>
                  <w:p w14:paraId="2C07C0A5"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r w:rsidR="00EB4F66">
      <w:rPr>
        <w:noProof/>
        <w:color w:val="2B579A"/>
        <w:shd w:val="clear" w:color="auto" w:fill="E6E6E6"/>
      </w:rPr>
      <mc:AlternateContent>
        <mc:Choice Requires="wps">
          <w:drawing>
            <wp:anchor distT="0" distB="0" distL="114300" distR="114300" simplePos="0" relativeHeight="251658241" behindDoc="1" locked="0" layoutInCell="0" allowOverlap="1" wp14:anchorId="0777B7FF" wp14:editId="7109F3A9">
              <wp:simplePos x="0" y="0"/>
              <wp:positionH relativeFrom="margin">
                <wp:align>center</wp:align>
              </wp:positionH>
              <wp:positionV relativeFrom="margin">
                <wp:align>center</wp:align>
              </wp:positionV>
              <wp:extent cx="6275705" cy="2353310"/>
              <wp:effectExtent l="0" t="1704975" r="0" b="1323340"/>
              <wp:wrapNone/>
              <wp:docPr id="2070218171"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CFAFFB"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77B7FF" id="WordArt 7" o:spid="_x0000_s1030" type="#_x0000_t202" style="position:absolute;margin-left:0;margin-top:0;width:494.15pt;height:185.3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" o:allowincell="f" filled="f" stroked="f">
              <v:stroke joinstyle="round"/>
              <o:lock v:ext="edit" shapetype="t"/>
              <v:textbox style="mso-fit-shape-to-text:t">
                <w:txbxContent>
                  <w:p w14:paraId="13CFAFFB"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0D9BD" w14:textId="42A0A5C0" w:rsidR="005D44A1" w:rsidRPr="008A03E8" w:rsidRDefault="005D44A1" w:rsidP="001B4152">
    <w:pPr>
      <w:pStyle w:val="Header"/>
      <w:jc w:val="center"/>
      <w:rPr>
        <w:color w:val="auto"/>
        <w:sz w:val="24"/>
        <w:szCs w:val="24"/>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96C0F" w14:textId="4001E5CA" w:rsidR="005D44A1" w:rsidRPr="005C4FF2" w:rsidRDefault="005D44A1" w:rsidP="001B4152">
    <w:pPr>
      <w:pStyle w:val="Header"/>
      <w:jc w:val="center"/>
      <w:rPr>
        <w:color w:val="auto"/>
        <w:sz w:val="24"/>
        <w:szCs w:val="24"/>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8168F" w14:textId="22D7E6E8" w:rsidR="005D44A1" w:rsidRDefault="00A406DF">
    <w:pPr>
      <w:pStyle w:val="Header"/>
    </w:pPr>
    <w:r>
      <w:rPr>
        <w:noProof/>
      </w:rPr>
      <w:pict w14:anchorId="67A082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89" o:spid="_x0000_s1027" type="#_x0000_t136" alt="" style="position:absolute;margin-left:0;margin-top:0;width:494.15pt;height:185.3pt;rotation:315;z-index:-251658225;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45" behindDoc="1" locked="0" layoutInCell="0" allowOverlap="1" wp14:anchorId="63AD13BF" wp14:editId="48C8E1E3">
              <wp:simplePos x="0" y="0"/>
              <wp:positionH relativeFrom="margin">
                <wp:align>center</wp:align>
              </wp:positionH>
              <wp:positionV relativeFrom="margin">
                <wp:align>center</wp:align>
              </wp:positionV>
              <wp:extent cx="6275705" cy="2353310"/>
              <wp:effectExtent l="0" t="1447800" r="0" b="1332865"/>
              <wp:wrapNone/>
              <wp:docPr id="688995221"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B27456"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3AD13BF" id="_x0000_t202" coordsize="21600,21600" o:spt="202" path="m,l,21600r21600,l21600,xe">
              <v:stroke joinstyle="miter"/>
              <v:path gradientshapeok="t" o:connecttype="rect"/>
            </v:shapetype>
            <v:shape id="WordArt 4" o:spid="_x0000_s1031" type="#_x0000_t202" style="position:absolute;margin-left:0;margin-top:0;width:494.15pt;height:185.3pt;rotation:-45;z-index:-25165823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" o:allowincell="f" filled="f" stroked="f">
              <v:stroke joinstyle="round"/>
              <o:lock v:ext="edit" shapetype="t"/>
              <v:textbox style="mso-fit-shape-to-text:t">
                <w:txbxContent>
                  <w:p w14:paraId="23B27456"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6C918" w14:textId="07E6049A" w:rsidR="00F147DC" w:rsidRDefault="00F147D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2113A" w14:textId="4FC21557" w:rsidR="00F147DC" w:rsidRDefault="00A406DF">
    <w:pPr>
      <w:pStyle w:val="Header"/>
    </w:pPr>
    <w:r>
      <w:rPr>
        <w:noProof/>
      </w:rPr>
      <w:pict w14:anchorId="289F68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94" o:spid="_x0000_s1026" type="#_x0000_t136" alt="" style="position:absolute;margin-left:0;margin-top:0;width:494.15pt;height:185.3pt;rotation:315;z-index:-251658223;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46" behindDoc="1" locked="0" layoutInCell="0" allowOverlap="1" wp14:anchorId="30D17A2E" wp14:editId="11508A8F">
              <wp:simplePos x="0" y="0"/>
              <wp:positionH relativeFrom="margin">
                <wp:align>center</wp:align>
              </wp:positionH>
              <wp:positionV relativeFrom="margin">
                <wp:align>center</wp:align>
              </wp:positionV>
              <wp:extent cx="6275705" cy="2353310"/>
              <wp:effectExtent l="0" t="1447800" r="0" b="1332865"/>
              <wp:wrapNone/>
              <wp:docPr id="195893736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170E46"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0D17A2E" id="_x0000_t202" coordsize="21600,21600" o:spt="202" path="m,l,21600r21600,l21600,xe">
              <v:stroke joinstyle="miter"/>
              <v:path gradientshapeok="t" o:connecttype="rect"/>
            </v:shapetype>
            <v:shape id="WordArt 2" o:spid="_x0000_s1032" type="#_x0000_t202" style="position:absolute;margin-left:0;margin-top:0;width:494.15pt;height:185.3pt;rotation:-45;z-index:-25165823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" o:allowincell="f" filled="f" stroked="f">
              <v:stroke joinstyle="round"/>
              <o:lock v:ext="edit" shapetype="t"/>
              <v:textbox style="mso-fit-shape-to-text:t">
                <w:txbxContent>
                  <w:p w14:paraId="55170E46"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13C5C" w14:textId="7868424B" w:rsidR="003632C5" w:rsidRDefault="00A406DF">
    <w:pPr>
      <w:pStyle w:val="Header"/>
    </w:pPr>
    <w:r>
      <w:rPr>
        <w:noProof/>
      </w:rPr>
      <w:pict w14:anchorId="222F0F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62" o:spid="_x0000_s1035" type="#_x0000_t136" alt="" style="position:absolute;margin-left:0;margin-top:0;width:494.15pt;height:185.3pt;rotation:315;z-index:-251658233;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C8357" w14:textId="63B99A3F" w:rsidR="00F147DC" w:rsidRDefault="00A406DF">
    <w:pPr>
      <w:pStyle w:val="Header"/>
    </w:pPr>
    <w:r>
      <w:rPr>
        <w:noProof/>
      </w:rPr>
      <w:pict w14:anchorId="69A1AC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92" o:spid="_x0000_s1025" type="#_x0000_t136" alt="" style="position:absolute;margin-left:0;margin-top:0;width:494.15pt;height:185.3pt;rotation:315;z-index:-25165822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DC308" w14:textId="4A310721" w:rsidR="00F147DC" w:rsidRPr="00F52883" w:rsidRDefault="00F147DC" w:rsidP="00F52883">
    <w:pPr>
      <w:pStyle w:val="Header"/>
      <w:jc w:val="center"/>
      <w:rPr>
        <w:color w:val="auto"/>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D2526" w14:textId="4F6DAC11" w:rsidR="00F147DC" w:rsidRPr="00F52883" w:rsidRDefault="00F147DC" w:rsidP="00F52883">
    <w:pPr>
      <w:pStyle w:val="Header"/>
      <w:jc w:val="center"/>
      <w:rPr>
        <w:color w:val="auto"/>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5CCE1" w14:textId="52C42E15" w:rsidR="00F147DC" w:rsidRDefault="00A406DF">
    <w:pPr>
      <w:pStyle w:val="Header"/>
    </w:pPr>
    <w:r>
      <w:rPr>
        <w:noProof/>
      </w:rPr>
      <w:pict w14:anchorId="4C171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65" o:spid="_x0000_s1034" type="#_x0000_t136" alt="" style="position:absolute;margin-left:0;margin-top:0;width:494.15pt;height:185.3pt;rotation:315;z-index:-25165823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8FD95" w14:textId="4B28B8C4" w:rsidR="00E13F9D" w:rsidRDefault="00E13F9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75F38" w14:textId="469B1F07" w:rsidR="00E13F9D" w:rsidRPr="00D7231D" w:rsidRDefault="00E13F9D" w:rsidP="001B4152">
    <w:pPr>
      <w:pStyle w:val="Header"/>
      <w:jc w:val="center"/>
      <w:rPr>
        <w:color w:val="auto"/>
        <w:sz w:val="24"/>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C2C3F" w14:textId="74450893" w:rsidR="00E13F9D" w:rsidRDefault="00A406DF">
    <w:pPr>
      <w:pStyle w:val="Header"/>
    </w:pPr>
    <w:r>
      <w:rPr>
        <w:noProof/>
      </w:rPr>
      <w:pict w14:anchorId="673CA1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68" o:spid="_x0000_s1033" type="#_x0000_t136" alt="" style="position:absolute;margin-left:0;margin-top:0;width:494.15pt;height:185.3pt;rotation:315;z-index:-251658231;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42" behindDoc="1" locked="0" layoutInCell="0" allowOverlap="1" wp14:anchorId="3FA812B4" wp14:editId="32FA6B9C">
              <wp:simplePos x="0" y="0"/>
              <wp:positionH relativeFrom="margin">
                <wp:align>center</wp:align>
              </wp:positionH>
              <wp:positionV relativeFrom="margin">
                <wp:align>center</wp:align>
              </wp:positionV>
              <wp:extent cx="6275705" cy="2353310"/>
              <wp:effectExtent l="0" t="1447800" r="0" b="1332865"/>
              <wp:wrapNone/>
              <wp:docPr id="1929151524"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D5C99A"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FA812B4" id="_x0000_t202" coordsize="21600,21600" o:spt="202" path="m,l,21600r21600,l21600,xe">
              <v:stroke joinstyle="miter"/>
              <v:path gradientshapeok="t" o:connecttype="rect"/>
            </v:shapetype>
            <v:shape id="WordArt 27" o:spid="_x0000_s1026" type="#_x0000_t202" style="position:absolute;margin-left:0;margin-top:0;width:494.15pt;height:185.3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" o:allowincell="f" filled="f" stroked="f">
              <v:stroke joinstyle="round"/>
              <o:lock v:ext="edit" shapetype="t"/>
              <v:textbox style="mso-fit-shape-to-text:t">
                <w:txbxContent>
                  <w:p w14:paraId="21D5C99A"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r w:rsidR="00EB4F66">
      <w:rPr>
        <w:noProof/>
        <w:color w:val="2B579A"/>
        <w:shd w:val="clear" w:color="auto" w:fill="E6E6E6"/>
      </w:rPr>
      <mc:AlternateContent>
        <mc:Choice Requires="wps">
          <w:drawing>
            <wp:anchor distT="0" distB="0" distL="114300" distR="114300" simplePos="0" relativeHeight="251658240" behindDoc="1" locked="0" layoutInCell="0" allowOverlap="1" wp14:anchorId="60DF926C" wp14:editId="580E870B">
              <wp:simplePos x="0" y="0"/>
              <wp:positionH relativeFrom="margin">
                <wp:align>center</wp:align>
              </wp:positionH>
              <wp:positionV relativeFrom="margin">
                <wp:align>center</wp:align>
              </wp:positionV>
              <wp:extent cx="6275705" cy="2353310"/>
              <wp:effectExtent l="0" t="1704975" r="0" b="1323340"/>
              <wp:wrapNone/>
              <wp:docPr id="1062983845" name="WordAr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F03F2F"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Final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0DF926C" id="WordArt 26" o:spid="_x0000_s1027" type="#_x0000_t202" style="position:absolute;margin-left:0;margin-top:0;width:494.15pt;height:185.3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" o:allowincell="f" filled="f" stroked="f">
              <v:stroke joinstyle="round"/>
              <o:lock v:ext="edit" shapetype="t"/>
              <v:textbox style="mso-fit-shape-to-text:t">
                <w:txbxContent>
                  <w:p w14:paraId="6AF03F2F"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Final</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AF1AF792"/>
    <w:lvl w:ilvl="0">
      <w:start w:val="1"/>
      <w:numFmt w:val="bullet"/>
      <w:pStyle w:val="ListBullet5"/>
      <w:lvlText w:val="–"/>
      <w:lvlJc w:val="left"/>
      <w:pPr>
        <w:ind w:left="360" w:hanging="360"/>
      </w:pPr>
      <w:rPr>
        <w:rFonts w:ascii="Feijoa Medium" w:hAnsi="Feijoa Medium" w:hint="default"/>
      </w:rPr>
    </w:lvl>
  </w:abstractNum>
  <w:abstractNum w:abstractNumId="3" w15:restartNumberingAfterBreak="0">
    <w:nsid w:val="FFFFFF88"/>
    <w:multiLevelType w:val="singleLevel"/>
    <w:tmpl w:val="4912A8EA"/>
    <w:lvl w:ilvl="0">
      <w:start w:val="1"/>
      <w:numFmt w:val="decimal"/>
      <w:pStyle w:val="ListBullet4"/>
      <w:lvlText w:val="%1."/>
      <w:lvlJc w:val="left"/>
      <w:pPr>
        <w:tabs>
          <w:tab w:val="num" w:pos="360"/>
        </w:tabs>
        <w:ind w:left="360" w:hanging="360"/>
      </w:pPr>
    </w:lvl>
  </w:abstractNum>
  <w:abstractNum w:abstractNumId="4" w15:restartNumberingAfterBreak="0">
    <w:nsid w:val="FFFFFF89"/>
    <w:multiLevelType w:val="singleLevel"/>
    <w:tmpl w:val="11180C9A"/>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6" w15:restartNumberingAfterBreak="0">
    <w:nsid w:val="078AA1DE"/>
    <w:multiLevelType w:val="hybridMultilevel"/>
    <w:tmpl w:val="921810D0"/>
    <w:lvl w:ilvl="0" w:tplc="6FE2BDDE">
      <w:start w:val="1"/>
      <w:numFmt w:val="decimal"/>
      <w:lvlText w:val="%1."/>
      <w:lvlJc w:val="left"/>
      <w:pPr>
        <w:ind w:left="720" w:hanging="360"/>
      </w:pPr>
    </w:lvl>
    <w:lvl w:ilvl="1" w:tplc="771AAE84">
      <w:start w:val="1"/>
      <w:numFmt w:val="lowerLetter"/>
      <w:lvlText w:val="%2."/>
      <w:lvlJc w:val="left"/>
      <w:pPr>
        <w:ind w:left="1440" w:hanging="360"/>
      </w:pPr>
    </w:lvl>
    <w:lvl w:ilvl="2" w:tplc="7FFEA874">
      <w:start w:val="1"/>
      <w:numFmt w:val="lowerRoman"/>
      <w:lvlText w:val="%3."/>
      <w:lvlJc w:val="right"/>
      <w:pPr>
        <w:ind w:left="2160" w:hanging="180"/>
      </w:pPr>
    </w:lvl>
    <w:lvl w:ilvl="3" w:tplc="01A095BC">
      <w:start w:val="1"/>
      <w:numFmt w:val="decimal"/>
      <w:lvlText w:val="%4."/>
      <w:lvlJc w:val="left"/>
      <w:pPr>
        <w:ind w:left="2880" w:hanging="360"/>
      </w:pPr>
    </w:lvl>
    <w:lvl w:ilvl="4" w:tplc="EE027D98">
      <w:start w:val="1"/>
      <w:numFmt w:val="lowerLetter"/>
      <w:lvlText w:val="%5."/>
      <w:lvlJc w:val="left"/>
      <w:pPr>
        <w:ind w:left="3600" w:hanging="360"/>
      </w:pPr>
    </w:lvl>
    <w:lvl w:ilvl="5" w:tplc="B22E189A">
      <w:start w:val="1"/>
      <w:numFmt w:val="lowerRoman"/>
      <w:lvlText w:val="%6."/>
      <w:lvlJc w:val="right"/>
      <w:pPr>
        <w:ind w:left="4320" w:hanging="180"/>
      </w:pPr>
    </w:lvl>
    <w:lvl w:ilvl="6" w:tplc="2D461D14">
      <w:start w:val="1"/>
      <w:numFmt w:val="decimal"/>
      <w:lvlText w:val="%7."/>
      <w:lvlJc w:val="left"/>
      <w:pPr>
        <w:ind w:left="5040" w:hanging="360"/>
      </w:pPr>
    </w:lvl>
    <w:lvl w:ilvl="7" w:tplc="D608775C">
      <w:start w:val="1"/>
      <w:numFmt w:val="lowerLetter"/>
      <w:lvlText w:val="%8."/>
      <w:lvlJc w:val="left"/>
      <w:pPr>
        <w:ind w:left="5760" w:hanging="360"/>
      </w:pPr>
    </w:lvl>
    <w:lvl w:ilvl="8" w:tplc="621094C6">
      <w:start w:val="1"/>
      <w:numFmt w:val="lowerRoman"/>
      <w:lvlText w:val="%9."/>
      <w:lvlJc w:val="right"/>
      <w:pPr>
        <w:ind w:left="6480" w:hanging="180"/>
      </w:pPr>
    </w:lvl>
  </w:abstractNum>
  <w:abstractNum w:abstractNumId="7" w15:restartNumberingAfterBreak="0">
    <w:nsid w:val="11CA3726"/>
    <w:multiLevelType w:val="hybridMultilevel"/>
    <w:tmpl w:val="F624514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9" w15:restartNumberingAfterBreak="0">
    <w:nsid w:val="1AB722A9"/>
    <w:multiLevelType w:val="hybridMultilevel"/>
    <w:tmpl w:val="B7747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2"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3"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15:restartNumberingAfterBreak="0">
    <w:nsid w:val="3EA7459B"/>
    <w:multiLevelType w:val="multilevel"/>
    <w:tmpl w:val="61E86026"/>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5" w15:restartNumberingAfterBreak="0">
    <w:nsid w:val="3F972C85"/>
    <w:multiLevelType w:val="hybridMultilevel"/>
    <w:tmpl w:val="FFFFFFFF"/>
    <w:lvl w:ilvl="0" w:tplc="9E6AE416">
      <w:start w:val="1"/>
      <w:numFmt w:val="bullet"/>
      <w:lvlText w:val=""/>
      <w:lvlJc w:val="left"/>
      <w:pPr>
        <w:ind w:left="720" w:hanging="360"/>
      </w:pPr>
      <w:rPr>
        <w:rFonts w:ascii="Symbol" w:hAnsi="Symbol" w:hint="default"/>
      </w:rPr>
    </w:lvl>
    <w:lvl w:ilvl="1" w:tplc="B4828B24">
      <w:start w:val="1"/>
      <w:numFmt w:val="bullet"/>
      <w:lvlText w:val="o"/>
      <w:lvlJc w:val="left"/>
      <w:pPr>
        <w:ind w:left="1440" w:hanging="360"/>
      </w:pPr>
      <w:rPr>
        <w:rFonts w:ascii="Courier New" w:hAnsi="Courier New" w:hint="default"/>
      </w:rPr>
    </w:lvl>
    <w:lvl w:ilvl="2" w:tplc="61E4C38A">
      <w:start w:val="1"/>
      <w:numFmt w:val="bullet"/>
      <w:lvlText w:val=""/>
      <w:lvlJc w:val="left"/>
      <w:pPr>
        <w:ind w:left="2160" w:hanging="360"/>
      </w:pPr>
      <w:rPr>
        <w:rFonts w:ascii="Wingdings" w:hAnsi="Wingdings" w:hint="default"/>
      </w:rPr>
    </w:lvl>
    <w:lvl w:ilvl="3" w:tplc="067ABDF8">
      <w:start w:val="1"/>
      <w:numFmt w:val="bullet"/>
      <w:lvlText w:val=""/>
      <w:lvlJc w:val="left"/>
      <w:pPr>
        <w:ind w:left="2880" w:hanging="360"/>
      </w:pPr>
      <w:rPr>
        <w:rFonts w:ascii="Symbol" w:hAnsi="Symbol" w:hint="default"/>
      </w:rPr>
    </w:lvl>
    <w:lvl w:ilvl="4" w:tplc="5860F092">
      <w:start w:val="1"/>
      <w:numFmt w:val="bullet"/>
      <w:lvlText w:val="o"/>
      <w:lvlJc w:val="left"/>
      <w:pPr>
        <w:ind w:left="3600" w:hanging="360"/>
      </w:pPr>
      <w:rPr>
        <w:rFonts w:ascii="Courier New" w:hAnsi="Courier New" w:hint="default"/>
      </w:rPr>
    </w:lvl>
    <w:lvl w:ilvl="5" w:tplc="A4528FA0">
      <w:start w:val="1"/>
      <w:numFmt w:val="bullet"/>
      <w:lvlText w:val=""/>
      <w:lvlJc w:val="left"/>
      <w:pPr>
        <w:ind w:left="4320" w:hanging="360"/>
      </w:pPr>
      <w:rPr>
        <w:rFonts w:ascii="Wingdings" w:hAnsi="Wingdings" w:hint="default"/>
      </w:rPr>
    </w:lvl>
    <w:lvl w:ilvl="6" w:tplc="8D5C7E72">
      <w:start w:val="1"/>
      <w:numFmt w:val="bullet"/>
      <w:lvlText w:val=""/>
      <w:lvlJc w:val="left"/>
      <w:pPr>
        <w:ind w:left="5040" w:hanging="360"/>
      </w:pPr>
      <w:rPr>
        <w:rFonts w:ascii="Symbol" w:hAnsi="Symbol" w:hint="default"/>
      </w:rPr>
    </w:lvl>
    <w:lvl w:ilvl="7" w:tplc="5FA6E20E">
      <w:start w:val="1"/>
      <w:numFmt w:val="bullet"/>
      <w:lvlText w:val="o"/>
      <w:lvlJc w:val="left"/>
      <w:pPr>
        <w:ind w:left="5760" w:hanging="360"/>
      </w:pPr>
      <w:rPr>
        <w:rFonts w:ascii="Courier New" w:hAnsi="Courier New" w:hint="default"/>
      </w:rPr>
    </w:lvl>
    <w:lvl w:ilvl="8" w:tplc="E9A27D78">
      <w:start w:val="1"/>
      <w:numFmt w:val="bullet"/>
      <w:lvlText w:val=""/>
      <w:lvlJc w:val="left"/>
      <w:pPr>
        <w:ind w:left="6480" w:hanging="360"/>
      </w:pPr>
      <w:rPr>
        <w:rFonts w:ascii="Wingdings" w:hAnsi="Wingdings" w:hint="default"/>
      </w:rPr>
    </w:lvl>
  </w:abstractNum>
  <w:abstractNum w:abstractNumId="16" w15:restartNumberingAfterBreak="0">
    <w:nsid w:val="400A01B7"/>
    <w:multiLevelType w:val="hybridMultilevel"/>
    <w:tmpl w:val="F43A00A6"/>
    <w:lvl w:ilvl="0" w:tplc="202CC29C">
      <w:start w:val="1"/>
      <w:numFmt w:val="bullet"/>
      <w:pStyle w:val="ListBullet1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8" w15:restartNumberingAfterBreak="0">
    <w:nsid w:val="4D213CF0"/>
    <w:multiLevelType w:val="hybridMultilevel"/>
    <w:tmpl w:val="002007B4"/>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9" w15:restartNumberingAfterBreak="0">
    <w:nsid w:val="51F9080A"/>
    <w:multiLevelType w:val="multilevel"/>
    <w:tmpl w:val="8B92EF5C"/>
    <w:lvl w:ilvl="0">
      <w:start w:val="1"/>
      <w:numFmt w:val="bullet"/>
      <w:pStyle w:val="ListBullet"/>
      <w:lvlText w:val=""/>
      <w:lvlJc w:val="left"/>
      <w:pPr>
        <w:ind w:left="482" w:hanging="198"/>
      </w:pPr>
      <w:rPr>
        <w:rFonts w:ascii="Symbol" w:hAnsi="Symbol" w:hint="default"/>
        <w:color w:val="auto"/>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20" w15:restartNumberingAfterBreak="0">
    <w:nsid w:val="59444BE6"/>
    <w:multiLevelType w:val="multilevel"/>
    <w:tmpl w:val="A2EE0640"/>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1"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22"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3" w15:restartNumberingAfterBreak="0">
    <w:nsid w:val="66063429"/>
    <w:multiLevelType w:val="multilevel"/>
    <w:tmpl w:val="C84ED0DC"/>
    <w:lvl w:ilvl="0">
      <w:start w:val="1"/>
      <w:numFmt w:val="upperLetter"/>
      <w:pStyle w:val="AppendixHeading1base"/>
      <w:lvlText w:val="Appendix %1"/>
      <w:lvlJc w:val="left"/>
      <w:pPr>
        <w:ind w:left="0" w:firstLine="0"/>
      </w:pPr>
      <w:rPr>
        <w:rFonts w:cs="Times New Roman" w:hint="default"/>
        <w:b w:val="0"/>
        <w:bCs w:val="0"/>
        <w:i w:val="0"/>
        <w:iCs w:val="0"/>
        <w:caps w:val="0"/>
        <w:smallCaps w:val="0"/>
        <w:strike w:val="0"/>
        <w:dstrike w:val="0"/>
        <w:noProof w:val="0"/>
        <w:vanish w:val="0"/>
        <w:color w:val="757579" w:themeColor="accent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0" w:firstLine="0"/>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4" w15:restartNumberingAfterBreak="0">
    <w:nsid w:val="7E956543"/>
    <w:multiLevelType w:val="hybridMultilevel"/>
    <w:tmpl w:val="EDB82EC2"/>
    <w:lvl w:ilvl="0" w:tplc="1E2CDDA4">
      <w:start w:val="1"/>
      <w:numFmt w:val="bullet"/>
      <w:lvlText w:val=""/>
      <w:lvlJc w:val="left"/>
      <w:pPr>
        <w:ind w:left="1440" w:hanging="360"/>
      </w:pPr>
      <w:rPr>
        <w:rFonts w:ascii="Symbol" w:hAnsi="Symbol"/>
      </w:rPr>
    </w:lvl>
    <w:lvl w:ilvl="1" w:tplc="72CC7F6C">
      <w:start w:val="1"/>
      <w:numFmt w:val="bullet"/>
      <w:lvlText w:val=""/>
      <w:lvlJc w:val="left"/>
      <w:pPr>
        <w:ind w:left="1440" w:hanging="360"/>
      </w:pPr>
      <w:rPr>
        <w:rFonts w:ascii="Symbol" w:hAnsi="Symbol"/>
      </w:rPr>
    </w:lvl>
    <w:lvl w:ilvl="2" w:tplc="E4D67D4A">
      <w:start w:val="1"/>
      <w:numFmt w:val="bullet"/>
      <w:lvlText w:val=""/>
      <w:lvlJc w:val="left"/>
      <w:pPr>
        <w:ind w:left="1440" w:hanging="360"/>
      </w:pPr>
      <w:rPr>
        <w:rFonts w:ascii="Symbol" w:hAnsi="Symbol"/>
      </w:rPr>
    </w:lvl>
    <w:lvl w:ilvl="3" w:tplc="0390E396">
      <w:start w:val="1"/>
      <w:numFmt w:val="bullet"/>
      <w:lvlText w:val=""/>
      <w:lvlJc w:val="left"/>
      <w:pPr>
        <w:ind w:left="1440" w:hanging="360"/>
      </w:pPr>
      <w:rPr>
        <w:rFonts w:ascii="Symbol" w:hAnsi="Symbol"/>
      </w:rPr>
    </w:lvl>
    <w:lvl w:ilvl="4" w:tplc="955435EE">
      <w:start w:val="1"/>
      <w:numFmt w:val="bullet"/>
      <w:lvlText w:val=""/>
      <w:lvlJc w:val="left"/>
      <w:pPr>
        <w:ind w:left="1440" w:hanging="360"/>
      </w:pPr>
      <w:rPr>
        <w:rFonts w:ascii="Symbol" w:hAnsi="Symbol"/>
      </w:rPr>
    </w:lvl>
    <w:lvl w:ilvl="5" w:tplc="479810CA">
      <w:start w:val="1"/>
      <w:numFmt w:val="bullet"/>
      <w:lvlText w:val=""/>
      <w:lvlJc w:val="left"/>
      <w:pPr>
        <w:ind w:left="1440" w:hanging="360"/>
      </w:pPr>
      <w:rPr>
        <w:rFonts w:ascii="Symbol" w:hAnsi="Symbol"/>
      </w:rPr>
    </w:lvl>
    <w:lvl w:ilvl="6" w:tplc="6EF41B48">
      <w:start w:val="1"/>
      <w:numFmt w:val="bullet"/>
      <w:lvlText w:val=""/>
      <w:lvlJc w:val="left"/>
      <w:pPr>
        <w:ind w:left="1440" w:hanging="360"/>
      </w:pPr>
      <w:rPr>
        <w:rFonts w:ascii="Symbol" w:hAnsi="Symbol"/>
      </w:rPr>
    </w:lvl>
    <w:lvl w:ilvl="7" w:tplc="0FE2A518">
      <w:start w:val="1"/>
      <w:numFmt w:val="bullet"/>
      <w:lvlText w:val=""/>
      <w:lvlJc w:val="left"/>
      <w:pPr>
        <w:ind w:left="1440" w:hanging="360"/>
      </w:pPr>
      <w:rPr>
        <w:rFonts w:ascii="Symbol" w:hAnsi="Symbol"/>
      </w:rPr>
    </w:lvl>
    <w:lvl w:ilvl="8" w:tplc="3D08AFC6">
      <w:start w:val="1"/>
      <w:numFmt w:val="bullet"/>
      <w:lvlText w:val=""/>
      <w:lvlJc w:val="left"/>
      <w:pPr>
        <w:ind w:left="1440" w:hanging="360"/>
      </w:pPr>
      <w:rPr>
        <w:rFonts w:ascii="Symbol" w:hAnsi="Symbol"/>
      </w:rPr>
    </w:lvl>
  </w:abstractNum>
  <w:num w:numId="1" w16cid:durableId="903877671">
    <w:abstractNumId w:val="13"/>
  </w:num>
  <w:num w:numId="2" w16cid:durableId="429081852">
    <w:abstractNumId w:val="12"/>
  </w:num>
  <w:num w:numId="3" w16cid:durableId="1936747243">
    <w:abstractNumId w:val="20"/>
  </w:num>
  <w:num w:numId="4" w16cid:durableId="325329477">
    <w:abstractNumId w:val="22"/>
  </w:num>
  <w:num w:numId="5" w16cid:durableId="577132939">
    <w:abstractNumId w:val="5"/>
  </w:num>
  <w:num w:numId="6" w16cid:durableId="371657252">
    <w:abstractNumId w:val="17"/>
  </w:num>
  <w:num w:numId="7" w16cid:durableId="677540855">
    <w:abstractNumId w:val="23"/>
  </w:num>
  <w:num w:numId="8" w16cid:durableId="41489788">
    <w:abstractNumId w:val="16"/>
  </w:num>
  <w:num w:numId="9" w16cid:durableId="1595817275">
    <w:abstractNumId w:val="19"/>
  </w:num>
  <w:num w:numId="10" w16cid:durableId="1474058674">
    <w:abstractNumId w:val="3"/>
  </w:num>
  <w:num w:numId="11" w16cid:durableId="883055694">
    <w:abstractNumId w:val="2"/>
  </w:num>
  <w:num w:numId="12" w16cid:durableId="339504509">
    <w:abstractNumId w:val="8"/>
  </w:num>
  <w:num w:numId="13" w16cid:durableId="607734365">
    <w:abstractNumId w:val="1"/>
  </w:num>
  <w:num w:numId="14" w16cid:durableId="686903525">
    <w:abstractNumId w:val="0"/>
  </w:num>
  <w:num w:numId="15" w16cid:durableId="701201594">
    <w:abstractNumId w:val="21"/>
  </w:num>
  <w:num w:numId="16" w16cid:durableId="239146425">
    <w:abstractNumId w:val="11"/>
  </w:num>
  <w:num w:numId="17" w16cid:durableId="1571303189">
    <w:abstractNumId w:val="10"/>
  </w:num>
  <w:num w:numId="18" w16cid:durableId="1878928080">
    <w:abstractNumId w:val="14"/>
  </w:num>
  <w:num w:numId="19" w16cid:durableId="14357053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61455366">
    <w:abstractNumId w:val="15"/>
  </w:num>
  <w:num w:numId="21" w16cid:durableId="420637913">
    <w:abstractNumId w:val="9"/>
  </w:num>
  <w:num w:numId="22" w16cid:durableId="1586955275">
    <w:abstractNumId w:val="18"/>
  </w:num>
  <w:num w:numId="23" w16cid:durableId="1174221583">
    <w:abstractNumId w:val="7"/>
  </w:num>
  <w:num w:numId="24" w16cid:durableId="946280459">
    <w:abstractNumId w:val="6"/>
  </w:num>
  <w:num w:numId="25" w16cid:durableId="1728871055">
    <w:abstractNumId w:val="19"/>
  </w:num>
  <w:num w:numId="26" w16cid:durableId="432166370">
    <w:abstractNumId w:val="4"/>
  </w:num>
  <w:num w:numId="27" w16cid:durableId="1812672649">
    <w:abstractNumId w:val="2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ocumentProtection w:edit="comments" w:enforcement="0"/>
  <w:defaultTabStop w:val="720"/>
  <w:defaultTableStyle w:val="TableFlow-MER"/>
  <w:evenAndOddHeaders/>
  <w:drawingGridHorizontalSpacing w:val="100"/>
  <w:displayHorizontalDrawingGridEvery w:val="2"/>
  <w:characterSpacingControl w:val="doNotCompress"/>
  <w:hdrShapeDefaults>
    <o:shapedefaults v:ext="edit" spidmax="2050" style="mso-position-vertical-relative:page;v-text-anchor:bottom" fill="f" fillcolor="white" stroke="f">
      <v:fill color="white" on="f"/>
      <v:stroke on="f"/>
      <v:textbox inset="0,0,0,0"/>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EN.InstantFormat" w:val="&lt;ENInstantFormat&gt;&lt;Enabled&gt;1&lt;/Enabled&gt;&lt;ScanUnformatted&gt;1&lt;/ScanUnformatted&gt;&lt;ScanChanges&gt;1&lt;/ScanChanges&gt;&lt;Suspended&gt;1&lt;/Suspended&gt;&lt;/ENInstantFormat&gt;"/>
    <w:docVar w:name="EN.Layout" w:val="&lt;ENLayout&gt;&lt;Style&gt;APA 7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25sv9509t0df1evdw6xf5r6ppts2setzfw5&quot;&gt;library 2016-Converted&lt;record-ids&gt;&lt;item&gt;993&lt;/item&gt;&lt;item&gt;1291&lt;/item&gt;&lt;item&gt;1625&lt;/item&gt;&lt;item&gt;1671&lt;/item&gt;&lt;item&gt;1672&lt;/item&gt;&lt;item&gt;1673&lt;/item&gt;&lt;item&gt;1674&lt;/item&gt;&lt;item&gt;1675&lt;/item&gt;&lt;item&gt;1676&lt;/item&gt;&lt;item&gt;1677&lt;/item&gt;&lt;item&gt;1683&lt;/item&gt;&lt;item&gt;2063&lt;/item&gt;&lt;item&gt;2293&lt;/item&gt;&lt;item&gt;2295&lt;/item&gt;&lt;item&gt;2296&lt;/item&gt;&lt;item&gt;2297&lt;/item&gt;&lt;item&gt;2299&lt;/item&gt;&lt;item&gt;2305&lt;/item&gt;&lt;item&gt;2306&lt;/item&gt;&lt;item&gt;2307&lt;/item&gt;&lt;item&gt;2308&lt;/item&gt;&lt;item&gt;2309&lt;/item&gt;&lt;item&gt;2310&lt;/item&gt;&lt;item&gt;2311&lt;/item&gt;&lt;item&gt;2312&lt;/item&gt;&lt;item&gt;2313&lt;/item&gt;&lt;item&gt;2314&lt;/item&gt;&lt;item&gt;2317&lt;/item&gt;&lt;item&gt;2318&lt;/item&gt;&lt;item&gt;2319&lt;/item&gt;&lt;item&gt;2320&lt;/item&gt;&lt;item&gt;2321&lt;/item&gt;&lt;item&gt;2323&lt;/item&gt;&lt;item&gt;2324&lt;/item&gt;&lt;item&gt;2362&lt;/item&gt;&lt;item&gt;2450&lt;/item&gt;&lt;item&gt;2451&lt;/item&gt;&lt;item&gt;2452&lt;/item&gt;&lt;item&gt;2453&lt;/item&gt;&lt;item&gt;2454&lt;/item&gt;&lt;item&gt;2455&lt;/item&gt;&lt;/record-ids&gt;&lt;/item&gt;&lt;/Libraries&gt;"/>
  </w:docVars>
  <w:rsids>
    <w:rsidRoot w:val="00FC6A95"/>
    <w:rsid w:val="00000199"/>
    <w:rsid w:val="0000036C"/>
    <w:rsid w:val="0000058A"/>
    <w:rsid w:val="000008C0"/>
    <w:rsid w:val="0000098E"/>
    <w:rsid w:val="00000C59"/>
    <w:rsid w:val="00000CB1"/>
    <w:rsid w:val="00000D94"/>
    <w:rsid w:val="00000E1B"/>
    <w:rsid w:val="00000EEA"/>
    <w:rsid w:val="00001088"/>
    <w:rsid w:val="000017DD"/>
    <w:rsid w:val="00001864"/>
    <w:rsid w:val="00002139"/>
    <w:rsid w:val="000021CF"/>
    <w:rsid w:val="00002229"/>
    <w:rsid w:val="00002282"/>
    <w:rsid w:val="000023B4"/>
    <w:rsid w:val="000028D2"/>
    <w:rsid w:val="0000291E"/>
    <w:rsid w:val="000029BD"/>
    <w:rsid w:val="00002AA7"/>
    <w:rsid w:val="00002B22"/>
    <w:rsid w:val="00002C11"/>
    <w:rsid w:val="00002D7C"/>
    <w:rsid w:val="00002D82"/>
    <w:rsid w:val="00002DC3"/>
    <w:rsid w:val="00002E33"/>
    <w:rsid w:val="00002EC5"/>
    <w:rsid w:val="00002EEA"/>
    <w:rsid w:val="000030A5"/>
    <w:rsid w:val="000031E1"/>
    <w:rsid w:val="000039B5"/>
    <w:rsid w:val="00003EF1"/>
    <w:rsid w:val="00003F54"/>
    <w:rsid w:val="00003F55"/>
    <w:rsid w:val="00003F92"/>
    <w:rsid w:val="00004122"/>
    <w:rsid w:val="0000415F"/>
    <w:rsid w:val="00004241"/>
    <w:rsid w:val="0000424E"/>
    <w:rsid w:val="00004AB1"/>
    <w:rsid w:val="00004BD7"/>
    <w:rsid w:val="00004E41"/>
    <w:rsid w:val="000051B0"/>
    <w:rsid w:val="000051E7"/>
    <w:rsid w:val="00005823"/>
    <w:rsid w:val="00005BA6"/>
    <w:rsid w:val="00005E78"/>
    <w:rsid w:val="0000620D"/>
    <w:rsid w:val="00006351"/>
    <w:rsid w:val="0000664E"/>
    <w:rsid w:val="00006695"/>
    <w:rsid w:val="000067E2"/>
    <w:rsid w:val="000068D3"/>
    <w:rsid w:val="000069BB"/>
    <w:rsid w:val="00006AA3"/>
    <w:rsid w:val="00006AD0"/>
    <w:rsid w:val="00006BC2"/>
    <w:rsid w:val="00006F33"/>
    <w:rsid w:val="00007359"/>
    <w:rsid w:val="0000770B"/>
    <w:rsid w:val="000077DD"/>
    <w:rsid w:val="0000797D"/>
    <w:rsid w:val="00007A55"/>
    <w:rsid w:val="00010290"/>
    <w:rsid w:val="00010742"/>
    <w:rsid w:val="0001097B"/>
    <w:rsid w:val="00010A0B"/>
    <w:rsid w:val="00010A86"/>
    <w:rsid w:val="00010BCD"/>
    <w:rsid w:val="00010C15"/>
    <w:rsid w:val="00010F66"/>
    <w:rsid w:val="00011015"/>
    <w:rsid w:val="00011022"/>
    <w:rsid w:val="0001180A"/>
    <w:rsid w:val="00011841"/>
    <w:rsid w:val="00011D23"/>
    <w:rsid w:val="00011FC6"/>
    <w:rsid w:val="000120E2"/>
    <w:rsid w:val="000121AC"/>
    <w:rsid w:val="000126EB"/>
    <w:rsid w:val="0001296A"/>
    <w:rsid w:val="00012C0B"/>
    <w:rsid w:val="00012D96"/>
    <w:rsid w:val="00013337"/>
    <w:rsid w:val="000134CD"/>
    <w:rsid w:val="000134FF"/>
    <w:rsid w:val="00013745"/>
    <w:rsid w:val="00013A16"/>
    <w:rsid w:val="00013C7A"/>
    <w:rsid w:val="00013FD3"/>
    <w:rsid w:val="00014016"/>
    <w:rsid w:val="00014121"/>
    <w:rsid w:val="00014191"/>
    <w:rsid w:val="0001426B"/>
    <w:rsid w:val="000143E4"/>
    <w:rsid w:val="0001468C"/>
    <w:rsid w:val="00014898"/>
    <w:rsid w:val="00014916"/>
    <w:rsid w:val="00014AC0"/>
    <w:rsid w:val="00014B9D"/>
    <w:rsid w:val="00014EBE"/>
    <w:rsid w:val="00014F2F"/>
    <w:rsid w:val="00014F5D"/>
    <w:rsid w:val="0001519E"/>
    <w:rsid w:val="0001556B"/>
    <w:rsid w:val="00015DC2"/>
    <w:rsid w:val="00015E82"/>
    <w:rsid w:val="00016385"/>
    <w:rsid w:val="00016587"/>
    <w:rsid w:val="000167ED"/>
    <w:rsid w:val="00016952"/>
    <w:rsid w:val="00016C86"/>
    <w:rsid w:val="000172A4"/>
    <w:rsid w:val="00017316"/>
    <w:rsid w:val="0001775B"/>
    <w:rsid w:val="00017B77"/>
    <w:rsid w:val="00017CD7"/>
    <w:rsid w:val="00017DD2"/>
    <w:rsid w:val="00017F24"/>
    <w:rsid w:val="00017F77"/>
    <w:rsid w:val="00020419"/>
    <w:rsid w:val="00020563"/>
    <w:rsid w:val="000207AD"/>
    <w:rsid w:val="0002111F"/>
    <w:rsid w:val="0002160D"/>
    <w:rsid w:val="00021B37"/>
    <w:rsid w:val="00021B47"/>
    <w:rsid w:val="00021C20"/>
    <w:rsid w:val="00021D6D"/>
    <w:rsid w:val="00021F2C"/>
    <w:rsid w:val="000223BC"/>
    <w:rsid w:val="000223E3"/>
    <w:rsid w:val="00022475"/>
    <w:rsid w:val="00022605"/>
    <w:rsid w:val="00022877"/>
    <w:rsid w:val="00022CFC"/>
    <w:rsid w:val="00022DB2"/>
    <w:rsid w:val="00022DD1"/>
    <w:rsid w:val="00023321"/>
    <w:rsid w:val="00023515"/>
    <w:rsid w:val="00023676"/>
    <w:rsid w:val="00023684"/>
    <w:rsid w:val="00023E00"/>
    <w:rsid w:val="00023F31"/>
    <w:rsid w:val="000240B1"/>
    <w:rsid w:val="000241B4"/>
    <w:rsid w:val="0002428C"/>
    <w:rsid w:val="0002438A"/>
    <w:rsid w:val="0002465F"/>
    <w:rsid w:val="0002467E"/>
    <w:rsid w:val="00024717"/>
    <w:rsid w:val="00024746"/>
    <w:rsid w:val="000248BD"/>
    <w:rsid w:val="0002495C"/>
    <w:rsid w:val="0002497E"/>
    <w:rsid w:val="00024D26"/>
    <w:rsid w:val="00024F6E"/>
    <w:rsid w:val="000255E7"/>
    <w:rsid w:val="00025A48"/>
    <w:rsid w:val="00025DA4"/>
    <w:rsid w:val="00025FD5"/>
    <w:rsid w:val="00025FEF"/>
    <w:rsid w:val="000260E7"/>
    <w:rsid w:val="000262B1"/>
    <w:rsid w:val="000262B5"/>
    <w:rsid w:val="00026374"/>
    <w:rsid w:val="00026700"/>
    <w:rsid w:val="0002686D"/>
    <w:rsid w:val="00026999"/>
    <w:rsid w:val="000269EB"/>
    <w:rsid w:val="00026AFD"/>
    <w:rsid w:val="00026D93"/>
    <w:rsid w:val="00027672"/>
    <w:rsid w:val="00027AC2"/>
    <w:rsid w:val="00027B1E"/>
    <w:rsid w:val="00027D26"/>
    <w:rsid w:val="00027E30"/>
    <w:rsid w:val="000300E9"/>
    <w:rsid w:val="000306EE"/>
    <w:rsid w:val="00030915"/>
    <w:rsid w:val="00030D95"/>
    <w:rsid w:val="00031098"/>
    <w:rsid w:val="00031106"/>
    <w:rsid w:val="00031116"/>
    <w:rsid w:val="000312EA"/>
    <w:rsid w:val="000316D4"/>
    <w:rsid w:val="00031719"/>
    <w:rsid w:val="000317F8"/>
    <w:rsid w:val="00031B12"/>
    <w:rsid w:val="00031B2B"/>
    <w:rsid w:val="00031E69"/>
    <w:rsid w:val="0003217B"/>
    <w:rsid w:val="0003255C"/>
    <w:rsid w:val="0003279B"/>
    <w:rsid w:val="00032C10"/>
    <w:rsid w:val="00032D01"/>
    <w:rsid w:val="00032FFF"/>
    <w:rsid w:val="000331CF"/>
    <w:rsid w:val="000331D4"/>
    <w:rsid w:val="000331E4"/>
    <w:rsid w:val="00033464"/>
    <w:rsid w:val="000334C3"/>
    <w:rsid w:val="000334DA"/>
    <w:rsid w:val="0003355E"/>
    <w:rsid w:val="000335BF"/>
    <w:rsid w:val="00033DF2"/>
    <w:rsid w:val="0003406B"/>
    <w:rsid w:val="000346B9"/>
    <w:rsid w:val="00034A45"/>
    <w:rsid w:val="00034CCC"/>
    <w:rsid w:val="00034E0B"/>
    <w:rsid w:val="00034E8B"/>
    <w:rsid w:val="00034FB1"/>
    <w:rsid w:val="00035223"/>
    <w:rsid w:val="000352CE"/>
    <w:rsid w:val="000355D2"/>
    <w:rsid w:val="0003571E"/>
    <w:rsid w:val="00035DA4"/>
    <w:rsid w:val="000360DF"/>
    <w:rsid w:val="0003619F"/>
    <w:rsid w:val="00036384"/>
    <w:rsid w:val="0003659D"/>
    <w:rsid w:val="00036C3C"/>
    <w:rsid w:val="00036CE8"/>
    <w:rsid w:val="00036DB7"/>
    <w:rsid w:val="0003719B"/>
    <w:rsid w:val="00037703"/>
    <w:rsid w:val="000377D2"/>
    <w:rsid w:val="00037838"/>
    <w:rsid w:val="000378E0"/>
    <w:rsid w:val="00037B21"/>
    <w:rsid w:val="00037CE4"/>
    <w:rsid w:val="00037E67"/>
    <w:rsid w:val="00037F8E"/>
    <w:rsid w:val="0004010A"/>
    <w:rsid w:val="0004038C"/>
    <w:rsid w:val="000403C2"/>
    <w:rsid w:val="0004041E"/>
    <w:rsid w:val="000406A7"/>
    <w:rsid w:val="00040780"/>
    <w:rsid w:val="00040A40"/>
    <w:rsid w:val="00040C3B"/>
    <w:rsid w:val="00040DA0"/>
    <w:rsid w:val="00040F98"/>
    <w:rsid w:val="00041051"/>
    <w:rsid w:val="000412A3"/>
    <w:rsid w:val="00041326"/>
    <w:rsid w:val="0004158F"/>
    <w:rsid w:val="0004171D"/>
    <w:rsid w:val="000418D2"/>
    <w:rsid w:val="00041A73"/>
    <w:rsid w:val="00041D72"/>
    <w:rsid w:val="00041DF9"/>
    <w:rsid w:val="0004256D"/>
    <w:rsid w:val="000428D8"/>
    <w:rsid w:val="0004296F"/>
    <w:rsid w:val="00042A1A"/>
    <w:rsid w:val="00042E02"/>
    <w:rsid w:val="00042E63"/>
    <w:rsid w:val="00042F08"/>
    <w:rsid w:val="00043030"/>
    <w:rsid w:val="0004337D"/>
    <w:rsid w:val="000435F0"/>
    <w:rsid w:val="0004365F"/>
    <w:rsid w:val="0004385D"/>
    <w:rsid w:val="00043876"/>
    <w:rsid w:val="00043ADE"/>
    <w:rsid w:val="00043BAC"/>
    <w:rsid w:val="00043EF5"/>
    <w:rsid w:val="00043FA8"/>
    <w:rsid w:val="00043FBC"/>
    <w:rsid w:val="0004409A"/>
    <w:rsid w:val="0004416A"/>
    <w:rsid w:val="00044359"/>
    <w:rsid w:val="000443E1"/>
    <w:rsid w:val="00044424"/>
    <w:rsid w:val="0004484F"/>
    <w:rsid w:val="00044A59"/>
    <w:rsid w:val="00044D11"/>
    <w:rsid w:val="00044DE8"/>
    <w:rsid w:val="00044E3F"/>
    <w:rsid w:val="00045160"/>
    <w:rsid w:val="0004517C"/>
    <w:rsid w:val="000451EF"/>
    <w:rsid w:val="00045798"/>
    <w:rsid w:val="00045A83"/>
    <w:rsid w:val="00045B01"/>
    <w:rsid w:val="00045B2B"/>
    <w:rsid w:val="00045CB8"/>
    <w:rsid w:val="00045F43"/>
    <w:rsid w:val="00046336"/>
    <w:rsid w:val="00046533"/>
    <w:rsid w:val="0004653F"/>
    <w:rsid w:val="00046684"/>
    <w:rsid w:val="0004676A"/>
    <w:rsid w:val="00046A2F"/>
    <w:rsid w:val="00046C96"/>
    <w:rsid w:val="00046E62"/>
    <w:rsid w:val="00046FE4"/>
    <w:rsid w:val="00047207"/>
    <w:rsid w:val="0004750E"/>
    <w:rsid w:val="00047B5E"/>
    <w:rsid w:val="00047BA3"/>
    <w:rsid w:val="00047C14"/>
    <w:rsid w:val="0005048B"/>
    <w:rsid w:val="00050890"/>
    <w:rsid w:val="00050D11"/>
    <w:rsid w:val="00050D12"/>
    <w:rsid w:val="00050DE5"/>
    <w:rsid w:val="00050E0C"/>
    <w:rsid w:val="00051219"/>
    <w:rsid w:val="000513C6"/>
    <w:rsid w:val="00051456"/>
    <w:rsid w:val="00051820"/>
    <w:rsid w:val="00051975"/>
    <w:rsid w:val="00051C27"/>
    <w:rsid w:val="00051C98"/>
    <w:rsid w:val="00051EED"/>
    <w:rsid w:val="00052022"/>
    <w:rsid w:val="000520E6"/>
    <w:rsid w:val="0005226F"/>
    <w:rsid w:val="00052839"/>
    <w:rsid w:val="00052A5C"/>
    <w:rsid w:val="00052E18"/>
    <w:rsid w:val="00052FC3"/>
    <w:rsid w:val="0005310C"/>
    <w:rsid w:val="0005330C"/>
    <w:rsid w:val="00053429"/>
    <w:rsid w:val="00053574"/>
    <w:rsid w:val="0005371F"/>
    <w:rsid w:val="0005391D"/>
    <w:rsid w:val="00053B42"/>
    <w:rsid w:val="00053B4B"/>
    <w:rsid w:val="00053D94"/>
    <w:rsid w:val="00053E08"/>
    <w:rsid w:val="00053E83"/>
    <w:rsid w:val="00053EA7"/>
    <w:rsid w:val="00053EDA"/>
    <w:rsid w:val="000546E2"/>
    <w:rsid w:val="00054CA0"/>
    <w:rsid w:val="00054F5E"/>
    <w:rsid w:val="00055028"/>
    <w:rsid w:val="00055171"/>
    <w:rsid w:val="00055401"/>
    <w:rsid w:val="00055618"/>
    <w:rsid w:val="00055658"/>
    <w:rsid w:val="0005566A"/>
    <w:rsid w:val="000557E1"/>
    <w:rsid w:val="000559AC"/>
    <w:rsid w:val="00055A89"/>
    <w:rsid w:val="00055E97"/>
    <w:rsid w:val="00055ED5"/>
    <w:rsid w:val="000561B7"/>
    <w:rsid w:val="000562B4"/>
    <w:rsid w:val="000562EC"/>
    <w:rsid w:val="00056568"/>
    <w:rsid w:val="0005685F"/>
    <w:rsid w:val="00056C55"/>
    <w:rsid w:val="00056CCF"/>
    <w:rsid w:val="00056D0A"/>
    <w:rsid w:val="00056D88"/>
    <w:rsid w:val="00056F7C"/>
    <w:rsid w:val="00056FD0"/>
    <w:rsid w:val="00057039"/>
    <w:rsid w:val="0005742E"/>
    <w:rsid w:val="000575DB"/>
    <w:rsid w:val="0005765B"/>
    <w:rsid w:val="0005776B"/>
    <w:rsid w:val="00057956"/>
    <w:rsid w:val="000579AD"/>
    <w:rsid w:val="000579CE"/>
    <w:rsid w:val="00057AD6"/>
    <w:rsid w:val="00057CC4"/>
    <w:rsid w:val="00057F0E"/>
    <w:rsid w:val="000600DC"/>
    <w:rsid w:val="000603A4"/>
    <w:rsid w:val="0006041F"/>
    <w:rsid w:val="00060607"/>
    <w:rsid w:val="00060743"/>
    <w:rsid w:val="00060B36"/>
    <w:rsid w:val="00060BEF"/>
    <w:rsid w:val="00060E2D"/>
    <w:rsid w:val="00061094"/>
    <w:rsid w:val="00061143"/>
    <w:rsid w:val="00061203"/>
    <w:rsid w:val="000613F2"/>
    <w:rsid w:val="000614AC"/>
    <w:rsid w:val="000615FD"/>
    <w:rsid w:val="00061759"/>
    <w:rsid w:val="0006185D"/>
    <w:rsid w:val="00061B3F"/>
    <w:rsid w:val="00061B91"/>
    <w:rsid w:val="00061C79"/>
    <w:rsid w:val="00061E66"/>
    <w:rsid w:val="00061E6A"/>
    <w:rsid w:val="00062619"/>
    <w:rsid w:val="000627A2"/>
    <w:rsid w:val="00062A65"/>
    <w:rsid w:val="00062BAE"/>
    <w:rsid w:val="00062DE4"/>
    <w:rsid w:val="00062F0E"/>
    <w:rsid w:val="00063170"/>
    <w:rsid w:val="000631DA"/>
    <w:rsid w:val="00063262"/>
    <w:rsid w:val="0006328A"/>
    <w:rsid w:val="00063333"/>
    <w:rsid w:val="00063A5B"/>
    <w:rsid w:val="00063C05"/>
    <w:rsid w:val="00063CC1"/>
    <w:rsid w:val="00063DEE"/>
    <w:rsid w:val="00063E80"/>
    <w:rsid w:val="00064087"/>
    <w:rsid w:val="00064221"/>
    <w:rsid w:val="00064475"/>
    <w:rsid w:val="00064612"/>
    <w:rsid w:val="00064883"/>
    <w:rsid w:val="00064E7F"/>
    <w:rsid w:val="0006503C"/>
    <w:rsid w:val="0006503E"/>
    <w:rsid w:val="000653AB"/>
    <w:rsid w:val="000656FF"/>
    <w:rsid w:val="000658FD"/>
    <w:rsid w:val="000658FE"/>
    <w:rsid w:val="00065911"/>
    <w:rsid w:val="0006598A"/>
    <w:rsid w:val="00065C89"/>
    <w:rsid w:val="00065DEC"/>
    <w:rsid w:val="00066032"/>
    <w:rsid w:val="00066147"/>
    <w:rsid w:val="00066206"/>
    <w:rsid w:val="000662EC"/>
    <w:rsid w:val="000663AA"/>
    <w:rsid w:val="000666D4"/>
    <w:rsid w:val="000667A4"/>
    <w:rsid w:val="000668C6"/>
    <w:rsid w:val="00066D8E"/>
    <w:rsid w:val="00066EA8"/>
    <w:rsid w:val="000672FB"/>
    <w:rsid w:val="000673A4"/>
    <w:rsid w:val="00067560"/>
    <w:rsid w:val="00067691"/>
    <w:rsid w:val="000676A8"/>
    <w:rsid w:val="000676B9"/>
    <w:rsid w:val="000678A8"/>
    <w:rsid w:val="0006796C"/>
    <w:rsid w:val="00067A2E"/>
    <w:rsid w:val="00067A9A"/>
    <w:rsid w:val="00067D53"/>
    <w:rsid w:val="00070314"/>
    <w:rsid w:val="000705CC"/>
    <w:rsid w:val="000705DC"/>
    <w:rsid w:val="000705FE"/>
    <w:rsid w:val="0007095F"/>
    <w:rsid w:val="00070CF0"/>
    <w:rsid w:val="00070D6C"/>
    <w:rsid w:val="00070F2D"/>
    <w:rsid w:val="00070F34"/>
    <w:rsid w:val="00071402"/>
    <w:rsid w:val="0007150A"/>
    <w:rsid w:val="00071539"/>
    <w:rsid w:val="00071875"/>
    <w:rsid w:val="000718EF"/>
    <w:rsid w:val="00072235"/>
    <w:rsid w:val="00072338"/>
    <w:rsid w:val="0007270A"/>
    <w:rsid w:val="000727B1"/>
    <w:rsid w:val="0007296A"/>
    <w:rsid w:val="00072FFA"/>
    <w:rsid w:val="0007355F"/>
    <w:rsid w:val="000735EA"/>
    <w:rsid w:val="000737DF"/>
    <w:rsid w:val="00073825"/>
    <w:rsid w:val="000738F7"/>
    <w:rsid w:val="00073950"/>
    <w:rsid w:val="00073A0B"/>
    <w:rsid w:val="00073B38"/>
    <w:rsid w:val="00073CAB"/>
    <w:rsid w:val="00073DD0"/>
    <w:rsid w:val="0007402F"/>
    <w:rsid w:val="0007412E"/>
    <w:rsid w:val="00074247"/>
    <w:rsid w:val="0007442A"/>
    <w:rsid w:val="0007444C"/>
    <w:rsid w:val="0007448F"/>
    <w:rsid w:val="00074615"/>
    <w:rsid w:val="000746E8"/>
    <w:rsid w:val="0007474C"/>
    <w:rsid w:val="00074CE2"/>
    <w:rsid w:val="00074DFE"/>
    <w:rsid w:val="00074FCC"/>
    <w:rsid w:val="00075111"/>
    <w:rsid w:val="00075668"/>
    <w:rsid w:val="00075774"/>
    <w:rsid w:val="00075AA9"/>
    <w:rsid w:val="00075B0B"/>
    <w:rsid w:val="00075B35"/>
    <w:rsid w:val="00075C95"/>
    <w:rsid w:val="00075CEA"/>
    <w:rsid w:val="00075DC3"/>
    <w:rsid w:val="00075E38"/>
    <w:rsid w:val="00075FDF"/>
    <w:rsid w:val="00076491"/>
    <w:rsid w:val="0007665A"/>
    <w:rsid w:val="00076828"/>
    <w:rsid w:val="00076989"/>
    <w:rsid w:val="00076DC5"/>
    <w:rsid w:val="00076DE6"/>
    <w:rsid w:val="00076EC2"/>
    <w:rsid w:val="00076F52"/>
    <w:rsid w:val="000770CE"/>
    <w:rsid w:val="00077147"/>
    <w:rsid w:val="000775A3"/>
    <w:rsid w:val="000775E5"/>
    <w:rsid w:val="000776DA"/>
    <w:rsid w:val="0007782F"/>
    <w:rsid w:val="00077A2D"/>
    <w:rsid w:val="00077C8F"/>
    <w:rsid w:val="00077CFD"/>
    <w:rsid w:val="00077DDD"/>
    <w:rsid w:val="000802B4"/>
    <w:rsid w:val="000804F3"/>
    <w:rsid w:val="0008080B"/>
    <w:rsid w:val="0008080F"/>
    <w:rsid w:val="000808EA"/>
    <w:rsid w:val="00080943"/>
    <w:rsid w:val="000809EF"/>
    <w:rsid w:val="00080E49"/>
    <w:rsid w:val="0008109C"/>
    <w:rsid w:val="00081310"/>
    <w:rsid w:val="0008150A"/>
    <w:rsid w:val="000815C2"/>
    <w:rsid w:val="00081854"/>
    <w:rsid w:val="00081980"/>
    <w:rsid w:val="00081BA6"/>
    <w:rsid w:val="00081C91"/>
    <w:rsid w:val="00081E06"/>
    <w:rsid w:val="00081E16"/>
    <w:rsid w:val="00081F60"/>
    <w:rsid w:val="0008204E"/>
    <w:rsid w:val="0008217B"/>
    <w:rsid w:val="0008230E"/>
    <w:rsid w:val="00082375"/>
    <w:rsid w:val="00082681"/>
    <w:rsid w:val="000829D1"/>
    <w:rsid w:val="00082DCB"/>
    <w:rsid w:val="000830B8"/>
    <w:rsid w:val="00083284"/>
    <w:rsid w:val="0008336C"/>
    <w:rsid w:val="000833F9"/>
    <w:rsid w:val="0008363F"/>
    <w:rsid w:val="0008365D"/>
    <w:rsid w:val="00083793"/>
    <w:rsid w:val="000837FD"/>
    <w:rsid w:val="00083A68"/>
    <w:rsid w:val="00083AE1"/>
    <w:rsid w:val="00083BF3"/>
    <w:rsid w:val="00083C71"/>
    <w:rsid w:val="00083CBE"/>
    <w:rsid w:val="00083DB4"/>
    <w:rsid w:val="00083EA8"/>
    <w:rsid w:val="00083FBD"/>
    <w:rsid w:val="0008401C"/>
    <w:rsid w:val="0008408D"/>
    <w:rsid w:val="00084185"/>
    <w:rsid w:val="000841B3"/>
    <w:rsid w:val="000841F2"/>
    <w:rsid w:val="00084321"/>
    <w:rsid w:val="0008436C"/>
    <w:rsid w:val="000843C6"/>
    <w:rsid w:val="00084619"/>
    <w:rsid w:val="0008470C"/>
    <w:rsid w:val="00084736"/>
    <w:rsid w:val="000847B7"/>
    <w:rsid w:val="0008480F"/>
    <w:rsid w:val="00084B7C"/>
    <w:rsid w:val="00084C9E"/>
    <w:rsid w:val="00084FDE"/>
    <w:rsid w:val="00084FED"/>
    <w:rsid w:val="00085006"/>
    <w:rsid w:val="0008543A"/>
    <w:rsid w:val="0008553F"/>
    <w:rsid w:val="000855F7"/>
    <w:rsid w:val="000856E1"/>
    <w:rsid w:val="0008595B"/>
    <w:rsid w:val="00085C01"/>
    <w:rsid w:val="00085C2C"/>
    <w:rsid w:val="00085DC0"/>
    <w:rsid w:val="00085F74"/>
    <w:rsid w:val="000861A3"/>
    <w:rsid w:val="00086223"/>
    <w:rsid w:val="000862EF"/>
    <w:rsid w:val="000863CB"/>
    <w:rsid w:val="00086514"/>
    <w:rsid w:val="000869E4"/>
    <w:rsid w:val="00087214"/>
    <w:rsid w:val="0008740F"/>
    <w:rsid w:val="00087674"/>
    <w:rsid w:val="000877EB"/>
    <w:rsid w:val="0008780C"/>
    <w:rsid w:val="000878C5"/>
    <w:rsid w:val="00087ADA"/>
    <w:rsid w:val="00087AE6"/>
    <w:rsid w:val="00087F17"/>
    <w:rsid w:val="000901D5"/>
    <w:rsid w:val="00090570"/>
    <w:rsid w:val="00090685"/>
    <w:rsid w:val="000906F2"/>
    <w:rsid w:val="0009091A"/>
    <w:rsid w:val="00090B69"/>
    <w:rsid w:val="00090CA8"/>
    <w:rsid w:val="0009100A"/>
    <w:rsid w:val="0009114F"/>
    <w:rsid w:val="000911A2"/>
    <w:rsid w:val="00091221"/>
    <w:rsid w:val="00091465"/>
    <w:rsid w:val="0009167A"/>
    <w:rsid w:val="000916E9"/>
    <w:rsid w:val="000917DD"/>
    <w:rsid w:val="00091861"/>
    <w:rsid w:val="00091B3E"/>
    <w:rsid w:val="00091D8A"/>
    <w:rsid w:val="00091DBB"/>
    <w:rsid w:val="00091F4C"/>
    <w:rsid w:val="00092018"/>
    <w:rsid w:val="00092128"/>
    <w:rsid w:val="0009251A"/>
    <w:rsid w:val="000927DA"/>
    <w:rsid w:val="000927F3"/>
    <w:rsid w:val="0009283E"/>
    <w:rsid w:val="00092866"/>
    <w:rsid w:val="000928E3"/>
    <w:rsid w:val="00092A73"/>
    <w:rsid w:val="00092D93"/>
    <w:rsid w:val="00092DE2"/>
    <w:rsid w:val="00092F06"/>
    <w:rsid w:val="00093309"/>
    <w:rsid w:val="000933C3"/>
    <w:rsid w:val="00093553"/>
    <w:rsid w:val="0009369A"/>
    <w:rsid w:val="000938E3"/>
    <w:rsid w:val="00093906"/>
    <w:rsid w:val="00093ADF"/>
    <w:rsid w:val="00093AEC"/>
    <w:rsid w:val="00093B16"/>
    <w:rsid w:val="00093F14"/>
    <w:rsid w:val="00093F1F"/>
    <w:rsid w:val="00094212"/>
    <w:rsid w:val="00094250"/>
    <w:rsid w:val="000946BD"/>
    <w:rsid w:val="000946E9"/>
    <w:rsid w:val="0009476A"/>
    <w:rsid w:val="00094875"/>
    <w:rsid w:val="00094B67"/>
    <w:rsid w:val="00094D02"/>
    <w:rsid w:val="00094EDE"/>
    <w:rsid w:val="000951B1"/>
    <w:rsid w:val="000951D9"/>
    <w:rsid w:val="000953B6"/>
    <w:rsid w:val="0009547B"/>
    <w:rsid w:val="00095687"/>
    <w:rsid w:val="00095705"/>
    <w:rsid w:val="00095EF2"/>
    <w:rsid w:val="000962D3"/>
    <w:rsid w:val="000964A2"/>
    <w:rsid w:val="000967CF"/>
    <w:rsid w:val="00096922"/>
    <w:rsid w:val="00096C37"/>
    <w:rsid w:val="00096D2E"/>
    <w:rsid w:val="00096D33"/>
    <w:rsid w:val="0009706A"/>
    <w:rsid w:val="00097133"/>
    <w:rsid w:val="00097186"/>
    <w:rsid w:val="0009751B"/>
    <w:rsid w:val="0009754E"/>
    <w:rsid w:val="000975A2"/>
    <w:rsid w:val="000977D4"/>
    <w:rsid w:val="000979AD"/>
    <w:rsid w:val="00097E0F"/>
    <w:rsid w:val="000A0259"/>
    <w:rsid w:val="000A04F4"/>
    <w:rsid w:val="000A0811"/>
    <w:rsid w:val="000A08F1"/>
    <w:rsid w:val="000A098A"/>
    <w:rsid w:val="000A09DC"/>
    <w:rsid w:val="000A0B34"/>
    <w:rsid w:val="000A0EF9"/>
    <w:rsid w:val="000A14CD"/>
    <w:rsid w:val="000A1559"/>
    <w:rsid w:val="000A15D4"/>
    <w:rsid w:val="000A17F3"/>
    <w:rsid w:val="000A18DC"/>
    <w:rsid w:val="000A18F9"/>
    <w:rsid w:val="000A19B0"/>
    <w:rsid w:val="000A1A2C"/>
    <w:rsid w:val="000A1DEB"/>
    <w:rsid w:val="000A21D3"/>
    <w:rsid w:val="000A2838"/>
    <w:rsid w:val="000A2A1A"/>
    <w:rsid w:val="000A2C56"/>
    <w:rsid w:val="000A2D63"/>
    <w:rsid w:val="000A2F9E"/>
    <w:rsid w:val="000A2FB9"/>
    <w:rsid w:val="000A2FEE"/>
    <w:rsid w:val="000A3013"/>
    <w:rsid w:val="000A30D0"/>
    <w:rsid w:val="000A32C7"/>
    <w:rsid w:val="000A35FC"/>
    <w:rsid w:val="000A3671"/>
    <w:rsid w:val="000A377D"/>
    <w:rsid w:val="000A3EFE"/>
    <w:rsid w:val="000A3F5E"/>
    <w:rsid w:val="000A3F85"/>
    <w:rsid w:val="000A3FE7"/>
    <w:rsid w:val="000A46E0"/>
    <w:rsid w:val="000A4716"/>
    <w:rsid w:val="000A4B18"/>
    <w:rsid w:val="000A536D"/>
    <w:rsid w:val="000A55ED"/>
    <w:rsid w:val="000A57B1"/>
    <w:rsid w:val="000A5A9D"/>
    <w:rsid w:val="000A5F14"/>
    <w:rsid w:val="000A6274"/>
    <w:rsid w:val="000A6596"/>
    <w:rsid w:val="000A68BF"/>
    <w:rsid w:val="000A6A2F"/>
    <w:rsid w:val="000A6B97"/>
    <w:rsid w:val="000A6D1E"/>
    <w:rsid w:val="000A6F11"/>
    <w:rsid w:val="000A6F32"/>
    <w:rsid w:val="000A6F3B"/>
    <w:rsid w:val="000A6F40"/>
    <w:rsid w:val="000A6F86"/>
    <w:rsid w:val="000A7147"/>
    <w:rsid w:val="000A7195"/>
    <w:rsid w:val="000A7358"/>
    <w:rsid w:val="000A7622"/>
    <w:rsid w:val="000A7BEF"/>
    <w:rsid w:val="000A7DDA"/>
    <w:rsid w:val="000A7EB3"/>
    <w:rsid w:val="000A7F91"/>
    <w:rsid w:val="000A7FD2"/>
    <w:rsid w:val="000B0056"/>
    <w:rsid w:val="000B0A3D"/>
    <w:rsid w:val="000B1042"/>
    <w:rsid w:val="000B10E8"/>
    <w:rsid w:val="000B1355"/>
    <w:rsid w:val="000B139E"/>
    <w:rsid w:val="000B1470"/>
    <w:rsid w:val="000B166E"/>
    <w:rsid w:val="000B1AA2"/>
    <w:rsid w:val="000B2344"/>
    <w:rsid w:val="000B240B"/>
    <w:rsid w:val="000B2438"/>
    <w:rsid w:val="000B25A3"/>
    <w:rsid w:val="000B27B6"/>
    <w:rsid w:val="000B2841"/>
    <w:rsid w:val="000B2991"/>
    <w:rsid w:val="000B2B79"/>
    <w:rsid w:val="000B2E5D"/>
    <w:rsid w:val="000B317C"/>
    <w:rsid w:val="000B3276"/>
    <w:rsid w:val="000B32B0"/>
    <w:rsid w:val="000B32B6"/>
    <w:rsid w:val="000B3486"/>
    <w:rsid w:val="000B36CD"/>
    <w:rsid w:val="000B38A3"/>
    <w:rsid w:val="000B3958"/>
    <w:rsid w:val="000B3B76"/>
    <w:rsid w:val="000B3D92"/>
    <w:rsid w:val="000B4097"/>
    <w:rsid w:val="000B40F1"/>
    <w:rsid w:val="000B459B"/>
    <w:rsid w:val="000B45B9"/>
    <w:rsid w:val="000B4820"/>
    <w:rsid w:val="000B48A6"/>
    <w:rsid w:val="000B4C0F"/>
    <w:rsid w:val="000B4E25"/>
    <w:rsid w:val="000B51C0"/>
    <w:rsid w:val="000B5537"/>
    <w:rsid w:val="000B59E1"/>
    <w:rsid w:val="000B5A35"/>
    <w:rsid w:val="000B5E7C"/>
    <w:rsid w:val="000B5F4D"/>
    <w:rsid w:val="000B60D5"/>
    <w:rsid w:val="000B65FF"/>
    <w:rsid w:val="000B6667"/>
    <w:rsid w:val="000B6DC2"/>
    <w:rsid w:val="000B6F8B"/>
    <w:rsid w:val="000B703F"/>
    <w:rsid w:val="000B7207"/>
    <w:rsid w:val="000B74EA"/>
    <w:rsid w:val="000B7534"/>
    <w:rsid w:val="000B7636"/>
    <w:rsid w:val="000B763D"/>
    <w:rsid w:val="000B78DB"/>
    <w:rsid w:val="000B7F36"/>
    <w:rsid w:val="000B7FF4"/>
    <w:rsid w:val="000C009A"/>
    <w:rsid w:val="000C00A2"/>
    <w:rsid w:val="000C0244"/>
    <w:rsid w:val="000C02C0"/>
    <w:rsid w:val="000C02C5"/>
    <w:rsid w:val="000C0468"/>
    <w:rsid w:val="000C05F1"/>
    <w:rsid w:val="000C0903"/>
    <w:rsid w:val="000C0940"/>
    <w:rsid w:val="000C0A6D"/>
    <w:rsid w:val="000C0B19"/>
    <w:rsid w:val="000C0CB9"/>
    <w:rsid w:val="000C0E41"/>
    <w:rsid w:val="000C0E7F"/>
    <w:rsid w:val="000C0EFA"/>
    <w:rsid w:val="000C108B"/>
    <w:rsid w:val="000C1205"/>
    <w:rsid w:val="000C12A4"/>
    <w:rsid w:val="000C1D25"/>
    <w:rsid w:val="000C1F78"/>
    <w:rsid w:val="000C1FEC"/>
    <w:rsid w:val="000C20D9"/>
    <w:rsid w:val="000C2214"/>
    <w:rsid w:val="000C249F"/>
    <w:rsid w:val="000C24E9"/>
    <w:rsid w:val="000C2A2D"/>
    <w:rsid w:val="000C2B6E"/>
    <w:rsid w:val="000C2CF4"/>
    <w:rsid w:val="000C2D27"/>
    <w:rsid w:val="000C34E0"/>
    <w:rsid w:val="000C3801"/>
    <w:rsid w:val="000C3860"/>
    <w:rsid w:val="000C39C1"/>
    <w:rsid w:val="000C3FA5"/>
    <w:rsid w:val="000C4051"/>
    <w:rsid w:val="000C40C2"/>
    <w:rsid w:val="000C40D1"/>
    <w:rsid w:val="000C432C"/>
    <w:rsid w:val="000C48AB"/>
    <w:rsid w:val="000C499D"/>
    <w:rsid w:val="000C4D04"/>
    <w:rsid w:val="000C4D4F"/>
    <w:rsid w:val="000C4E3D"/>
    <w:rsid w:val="000C4EAA"/>
    <w:rsid w:val="000C5101"/>
    <w:rsid w:val="000C5503"/>
    <w:rsid w:val="000C5523"/>
    <w:rsid w:val="000C553E"/>
    <w:rsid w:val="000C55D2"/>
    <w:rsid w:val="000C56F9"/>
    <w:rsid w:val="000C5995"/>
    <w:rsid w:val="000C61C0"/>
    <w:rsid w:val="000C6610"/>
    <w:rsid w:val="000C6732"/>
    <w:rsid w:val="000C6771"/>
    <w:rsid w:val="000C6971"/>
    <w:rsid w:val="000C6DAA"/>
    <w:rsid w:val="000C6F22"/>
    <w:rsid w:val="000C6F27"/>
    <w:rsid w:val="000C6F50"/>
    <w:rsid w:val="000C75CE"/>
    <w:rsid w:val="000C75F7"/>
    <w:rsid w:val="000C77AC"/>
    <w:rsid w:val="000C79E5"/>
    <w:rsid w:val="000C7B1A"/>
    <w:rsid w:val="000C7B42"/>
    <w:rsid w:val="000C7B69"/>
    <w:rsid w:val="000C7D15"/>
    <w:rsid w:val="000D0298"/>
    <w:rsid w:val="000D049F"/>
    <w:rsid w:val="000D0702"/>
    <w:rsid w:val="000D0810"/>
    <w:rsid w:val="000D0C7E"/>
    <w:rsid w:val="000D0EEE"/>
    <w:rsid w:val="000D12BE"/>
    <w:rsid w:val="000D1325"/>
    <w:rsid w:val="000D132D"/>
    <w:rsid w:val="000D1686"/>
    <w:rsid w:val="000D19DE"/>
    <w:rsid w:val="000D1B5C"/>
    <w:rsid w:val="000D1B9F"/>
    <w:rsid w:val="000D1D56"/>
    <w:rsid w:val="000D1DAB"/>
    <w:rsid w:val="000D2013"/>
    <w:rsid w:val="000D2104"/>
    <w:rsid w:val="000D220E"/>
    <w:rsid w:val="000D2218"/>
    <w:rsid w:val="000D23C1"/>
    <w:rsid w:val="000D279A"/>
    <w:rsid w:val="000D2E5C"/>
    <w:rsid w:val="000D30E2"/>
    <w:rsid w:val="000D32A6"/>
    <w:rsid w:val="000D3395"/>
    <w:rsid w:val="000D3684"/>
    <w:rsid w:val="000D3708"/>
    <w:rsid w:val="000D3B66"/>
    <w:rsid w:val="000D3BFC"/>
    <w:rsid w:val="000D3D67"/>
    <w:rsid w:val="000D436B"/>
    <w:rsid w:val="000D4ABE"/>
    <w:rsid w:val="000D4D46"/>
    <w:rsid w:val="000D4DA2"/>
    <w:rsid w:val="000D4E3B"/>
    <w:rsid w:val="000D4FB0"/>
    <w:rsid w:val="000D501B"/>
    <w:rsid w:val="000D5053"/>
    <w:rsid w:val="000D53A2"/>
    <w:rsid w:val="000D5415"/>
    <w:rsid w:val="000D5430"/>
    <w:rsid w:val="000D56EB"/>
    <w:rsid w:val="000D624D"/>
    <w:rsid w:val="000D6380"/>
    <w:rsid w:val="000D6427"/>
    <w:rsid w:val="000D64F4"/>
    <w:rsid w:val="000D671D"/>
    <w:rsid w:val="000D6D2F"/>
    <w:rsid w:val="000D7256"/>
    <w:rsid w:val="000D730C"/>
    <w:rsid w:val="000D7490"/>
    <w:rsid w:val="000D74D4"/>
    <w:rsid w:val="000D7604"/>
    <w:rsid w:val="000D76B5"/>
    <w:rsid w:val="000D7724"/>
    <w:rsid w:val="000D786D"/>
    <w:rsid w:val="000D78A4"/>
    <w:rsid w:val="000D7BCE"/>
    <w:rsid w:val="000D7C38"/>
    <w:rsid w:val="000E0008"/>
    <w:rsid w:val="000E00CD"/>
    <w:rsid w:val="000E0395"/>
    <w:rsid w:val="000E061C"/>
    <w:rsid w:val="000E0844"/>
    <w:rsid w:val="000E084C"/>
    <w:rsid w:val="000E08DD"/>
    <w:rsid w:val="000E08F4"/>
    <w:rsid w:val="000E1235"/>
    <w:rsid w:val="000E1481"/>
    <w:rsid w:val="000E164D"/>
    <w:rsid w:val="000E17F6"/>
    <w:rsid w:val="000E1850"/>
    <w:rsid w:val="000E18C1"/>
    <w:rsid w:val="000E1CF3"/>
    <w:rsid w:val="000E21A8"/>
    <w:rsid w:val="000E21EE"/>
    <w:rsid w:val="000E22AE"/>
    <w:rsid w:val="000E2326"/>
    <w:rsid w:val="000E2422"/>
    <w:rsid w:val="000E25E2"/>
    <w:rsid w:val="000E2A09"/>
    <w:rsid w:val="000E2DB0"/>
    <w:rsid w:val="000E3372"/>
    <w:rsid w:val="000E364D"/>
    <w:rsid w:val="000E36B7"/>
    <w:rsid w:val="000E37BB"/>
    <w:rsid w:val="000E37D0"/>
    <w:rsid w:val="000E39AD"/>
    <w:rsid w:val="000E3A69"/>
    <w:rsid w:val="000E3B68"/>
    <w:rsid w:val="000E3D7F"/>
    <w:rsid w:val="000E3F4C"/>
    <w:rsid w:val="000E4216"/>
    <w:rsid w:val="000E43EE"/>
    <w:rsid w:val="000E52A5"/>
    <w:rsid w:val="000E57DC"/>
    <w:rsid w:val="000E5997"/>
    <w:rsid w:val="000E599F"/>
    <w:rsid w:val="000E5AC0"/>
    <w:rsid w:val="000E5CFC"/>
    <w:rsid w:val="000E63C4"/>
    <w:rsid w:val="000E6550"/>
    <w:rsid w:val="000E6812"/>
    <w:rsid w:val="000E6822"/>
    <w:rsid w:val="000E6CEA"/>
    <w:rsid w:val="000E6FFC"/>
    <w:rsid w:val="000E7076"/>
    <w:rsid w:val="000E7309"/>
    <w:rsid w:val="000E7452"/>
    <w:rsid w:val="000E747E"/>
    <w:rsid w:val="000E77E5"/>
    <w:rsid w:val="000E7800"/>
    <w:rsid w:val="000E7C5F"/>
    <w:rsid w:val="000E7D67"/>
    <w:rsid w:val="000E7FEB"/>
    <w:rsid w:val="000EB92B"/>
    <w:rsid w:val="000F00A4"/>
    <w:rsid w:val="000F0331"/>
    <w:rsid w:val="000F0423"/>
    <w:rsid w:val="000F0690"/>
    <w:rsid w:val="000F09CE"/>
    <w:rsid w:val="000F0AC2"/>
    <w:rsid w:val="000F0B97"/>
    <w:rsid w:val="000F0DAF"/>
    <w:rsid w:val="000F0E5A"/>
    <w:rsid w:val="000F0F1D"/>
    <w:rsid w:val="000F10BF"/>
    <w:rsid w:val="000F10F3"/>
    <w:rsid w:val="000F1317"/>
    <w:rsid w:val="000F145A"/>
    <w:rsid w:val="000F16C0"/>
    <w:rsid w:val="000F172D"/>
    <w:rsid w:val="000F1776"/>
    <w:rsid w:val="000F17AD"/>
    <w:rsid w:val="000F1888"/>
    <w:rsid w:val="000F1EC3"/>
    <w:rsid w:val="000F1FE4"/>
    <w:rsid w:val="000F2258"/>
    <w:rsid w:val="000F245A"/>
    <w:rsid w:val="000F24EC"/>
    <w:rsid w:val="000F2943"/>
    <w:rsid w:val="000F2AE7"/>
    <w:rsid w:val="000F2C0E"/>
    <w:rsid w:val="000F2D90"/>
    <w:rsid w:val="000F324A"/>
    <w:rsid w:val="000F330B"/>
    <w:rsid w:val="000F33F3"/>
    <w:rsid w:val="000F3535"/>
    <w:rsid w:val="000F35BC"/>
    <w:rsid w:val="000F3BFC"/>
    <w:rsid w:val="000F3C6B"/>
    <w:rsid w:val="000F3F80"/>
    <w:rsid w:val="000F4430"/>
    <w:rsid w:val="000F492C"/>
    <w:rsid w:val="000F49B6"/>
    <w:rsid w:val="000F49F1"/>
    <w:rsid w:val="000F4B8A"/>
    <w:rsid w:val="000F4E52"/>
    <w:rsid w:val="000F5070"/>
    <w:rsid w:val="000F51C6"/>
    <w:rsid w:val="000F52CA"/>
    <w:rsid w:val="000F5421"/>
    <w:rsid w:val="000F5558"/>
    <w:rsid w:val="000F5D23"/>
    <w:rsid w:val="000F5E15"/>
    <w:rsid w:val="000F5F58"/>
    <w:rsid w:val="000F614D"/>
    <w:rsid w:val="000F6815"/>
    <w:rsid w:val="000F6906"/>
    <w:rsid w:val="000F6973"/>
    <w:rsid w:val="000F6F6E"/>
    <w:rsid w:val="000F71B9"/>
    <w:rsid w:val="000F723F"/>
    <w:rsid w:val="000F756E"/>
    <w:rsid w:val="000F75C7"/>
    <w:rsid w:val="000F75F5"/>
    <w:rsid w:val="000F7AA8"/>
    <w:rsid w:val="000F7B19"/>
    <w:rsid w:val="000F7E1D"/>
    <w:rsid w:val="000F7F39"/>
    <w:rsid w:val="000F7F5E"/>
    <w:rsid w:val="00100139"/>
    <w:rsid w:val="0010013E"/>
    <w:rsid w:val="00100480"/>
    <w:rsid w:val="0010051E"/>
    <w:rsid w:val="001006E4"/>
    <w:rsid w:val="0010079E"/>
    <w:rsid w:val="0010084F"/>
    <w:rsid w:val="00100A44"/>
    <w:rsid w:val="00100B2F"/>
    <w:rsid w:val="00100B50"/>
    <w:rsid w:val="00100F7F"/>
    <w:rsid w:val="00101246"/>
    <w:rsid w:val="0010141D"/>
    <w:rsid w:val="001014F6"/>
    <w:rsid w:val="0010181B"/>
    <w:rsid w:val="001018F0"/>
    <w:rsid w:val="00101A2A"/>
    <w:rsid w:val="00101C90"/>
    <w:rsid w:val="00101E24"/>
    <w:rsid w:val="001021B4"/>
    <w:rsid w:val="0010223C"/>
    <w:rsid w:val="001023DB"/>
    <w:rsid w:val="001027B7"/>
    <w:rsid w:val="00102BE0"/>
    <w:rsid w:val="00103387"/>
    <w:rsid w:val="00103557"/>
    <w:rsid w:val="0010362D"/>
    <w:rsid w:val="00103709"/>
    <w:rsid w:val="0010374D"/>
    <w:rsid w:val="00103ACC"/>
    <w:rsid w:val="00103BA2"/>
    <w:rsid w:val="00104612"/>
    <w:rsid w:val="0010472B"/>
    <w:rsid w:val="0010482D"/>
    <w:rsid w:val="00104992"/>
    <w:rsid w:val="00104B5F"/>
    <w:rsid w:val="00104FBD"/>
    <w:rsid w:val="0010505C"/>
    <w:rsid w:val="001052F4"/>
    <w:rsid w:val="0010552C"/>
    <w:rsid w:val="00105570"/>
    <w:rsid w:val="001055C8"/>
    <w:rsid w:val="00105AFE"/>
    <w:rsid w:val="00105CB8"/>
    <w:rsid w:val="00105DEE"/>
    <w:rsid w:val="00105E40"/>
    <w:rsid w:val="0010640D"/>
    <w:rsid w:val="00106661"/>
    <w:rsid w:val="0010668C"/>
    <w:rsid w:val="001067F0"/>
    <w:rsid w:val="001068F9"/>
    <w:rsid w:val="00106962"/>
    <w:rsid w:val="00106BE1"/>
    <w:rsid w:val="00106BF5"/>
    <w:rsid w:val="0010717C"/>
    <w:rsid w:val="00107357"/>
    <w:rsid w:val="001076EE"/>
    <w:rsid w:val="00107857"/>
    <w:rsid w:val="00107AF1"/>
    <w:rsid w:val="00107D12"/>
    <w:rsid w:val="00107E9E"/>
    <w:rsid w:val="001100D4"/>
    <w:rsid w:val="00110279"/>
    <w:rsid w:val="00110481"/>
    <w:rsid w:val="00110984"/>
    <w:rsid w:val="00110A65"/>
    <w:rsid w:val="00110CDB"/>
    <w:rsid w:val="00110E40"/>
    <w:rsid w:val="00110EB0"/>
    <w:rsid w:val="00110FF9"/>
    <w:rsid w:val="00111236"/>
    <w:rsid w:val="001112D0"/>
    <w:rsid w:val="00111391"/>
    <w:rsid w:val="0011158B"/>
    <w:rsid w:val="001117FF"/>
    <w:rsid w:val="00111897"/>
    <w:rsid w:val="00111ADE"/>
    <w:rsid w:val="00111CDF"/>
    <w:rsid w:val="001120DD"/>
    <w:rsid w:val="001123B7"/>
    <w:rsid w:val="00112430"/>
    <w:rsid w:val="0011254A"/>
    <w:rsid w:val="00112607"/>
    <w:rsid w:val="0011279A"/>
    <w:rsid w:val="00112AE8"/>
    <w:rsid w:val="00112B54"/>
    <w:rsid w:val="00112D5E"/>
    <w:rsid w:val="0011320D"/>
    <w:rsid w:val="001132B2"/>
    <w:rsid w:val="0011346D"/>
    <w:rsid w:val="00113495"/>
    <w:rsid w:val="001134E0"/>
    <w:rsid w:val="00113500"/>
    <w:rsid w:val="001135AB"/>
    <w:rsid w:val="001136FA"/>
    <w:rsid w:val="001138E9"/>
    <w:rsid w:val="001139B3"/>
    <w:rsid w:val="00113EFB"/>
    <w:rsid w:val="00114696"/>
    <w:rsid w:val="0011470B"/>
    <w:rsid w:val="0011495D"/>
    <w:rsid w:val="00114964"/>
    <w:rsid w:val="00114B30"/>
    <w:rsid w:val="00114C53"/>
    <w:rsid w:val="00114D6E"/>
    <w:rsid w:val="00114E0A"/>
    <w:rsid w:val="0011531D"/>
    <w:rsid w:val="0011590E"/>
    <w:rsid w:val="001159FE"/>
    <w:rsid w:val="00115AA1"/>
    <w:rsid w:val="00115C3B"/>
    <w:rsid w:val="00115CD2"/>
    <w:rsid w:val="00115E91"/>
    <w:rsid w:val="0011666E"/>
    <w:rsid w:val="00116778"/>
    <w:rsid w:val="0011684C"/>
    <w:rsid w:val="00116C15"/>
    <w:rsid w:val="00116C3E"/>
    <w:rsid w:val="00116CF2"/>
    <w:rsid w:val="00116CF9"/>
    <w:rsid w:val="001170F2"/>
    <w:rsid w:val="00117118"/>
    <w:rsid w:val="001172BE"/>
    <w:rsid w:val="001174F6"/>
    <w:rsid w:val="001176B5"/>
    <w:rsid w:val="001177A2"/>
    <w:rsid w:val="00117AEE"/>
    <w:rsid w:val="00117E59"/>
    <w:rsid w:val="00120021"/>
    <w:rsid w:val="001202BB"/>
    <w:rsid w:val="00120673"/>
    <w:rsid w:val="001209BC"/>
    <w:rsid w:val="00120C6C"/>
    <w:rsid w:val="00120E09"/>
    <w:rsid w:val="00120E3A"/>
    <w:rsid w:val="001211DB"/>
    <w:rsid w:val="00121213"/>
    <w:rsid w:val="001212C0"/>
    <w:rsid w:val="001215E5"/>
    <w:rsid w:val="00121A03"/>
    <w:rsid w:val="00121A94"/>
    <w:rsid w:val="00121BA3"/>
    <w:rsid w:val="00121F80"/>
    <w:rsid w:val="0012201E"/>
    <w:rsid w:val="0012277C"/>
    <w:rsid w:val="00122809"/>
    <w:rsid w:val="00122BB9"/>
    <w:rsid w:val="001235B0"/>
    <w:rsid w:val="00123B95"/>
    <w:rsid w:val="00123BCC"/>
    <w:rsid w:val="00123BE9"/>
    <w:rsid w:val="00123F03"/>
    <w:rsid w:val="00123FD7"/>
    <w:rsid w:val="00124089"/>
    <w:rsid w:val="00124096"/>
    <w:rsid w:val="001243E7"/>
    <w:rsid w:val="00124516"/>
    <w:rsid w:val="00124781"/>
    <w:rsid w:val="001247AA"/>
    <w:rsid w:val="001249CC"/>
    <w:rsid w:val="00124B94"/>
    <w:rsid w:val="00124C91"/>
    <w:rsid w:val="00124CE5"/>
    <w:rsid w:val="00124E22"/>
    <w:rsid w:val="00124E34"/>
    <w:rsid w:val="0012504A"/>
    <w:rsid w:val="00125084"/>
    <w:rsid w:val="001250AE"/>
    <w:rsid w:val="00125433"/>
    <w:rsid w:val="001259E2"/>
    <w:rsid w:val="00125D50"/>
    <w:rsid w:val="00125D54"/>
    <w:rsid w:val="00125F93"/>
    <w:rsid w:val="00126050"/>
    <w:rsid w:val="00126820"/>
    <w:rsid w:val="001268B4"/>
    <w:rsid w:val="001269E8"/>
    <w:rsid w:val="00126B4B"/>
    <w:rsid w:val="00126C32"/>
    <w:rsid w:val="00126D2F"/>
    <w:rsid w:val="00126E43"/>
    <w:rsid w:val="00126F60"/>
    <w:rsid w:val="00126FC9"/>
    <w:rsid w:val="00127078"/>
    <w:rsid w:val="00127132"/>
    <w:rsid w:val="001273B3"/>
    <w:rsid w:val="001273CF"/>
    <w:rsid w:val="001277D9"/>
    <w:rsid w:val="0012785A"/>
    <w:rsid w:val="00130875"/>
    <w:rsid w:val="0013089B"/>
    <w:rsid w:val="001308F6"/>
    <w:rsid w:val="00130CE4"/>
    <w:rsid w:val="00130CF0"/>
    <w:rsid w:val="00130DA2"/>
    <w:rsid w:val="00130F0B"/>
    <w:rsid w:val="00130F35"/>
    <w:rsid w:val="0013115F"/>
    <w:rsid w:val="00131177"/>
    <w:rsid w:val="0013138C"/>
    <w:rsid w:val="0013139E"/>
    <w:rsid w:val="00131542"/>
    <w:rsid w:val="00131801"/>
    <w:rsid w:val="00131A32"/>
    <w:rsid w:val="00131AF5"/>
    <w:rsid w:val="00132403"/>
    <w:rsid w:val="00132671"/>
    <w:rsid w:val="00132AD8"/>
    <w:rsid w:val="00132E89"/>
    <w:rsid w:val="00132F76"/>
    <w:rsid w:val="00133074"/>
    <w:rsid w:val="00133212"/>
    <w:rsid w:val="00133260"/>
    <w:rsid w:val="0013331F"/>
    <w:rsid w:val="0013384F"/>
    <w:rsid w:val="00133A72"/>
    <w:rsid w:val="00133A9A"/>
    <w:rsid w:val="00133CFB"/>
    <w:rsid w:val="0013422F"/>
    <w:rsid w:val="001346AE"/>
    <w:rsid w:val="00134FC3"/>
    <w:rsid w:val="001352AF"/>
    <w:rsid w:val="0013542E"/>
    <w:rsid w:val="00135AC7"/>
    <w:rsid w:val="00135B79"/>
    <w:rsid w:val="00135C7D"/>
    <w:rsid w:val="00135D49"/>
    <w:rsid w:val="00135E50"/>
    <w:rsid w:val="0013622A"/>
    <w:rsid w:val="001362D8"/>
    <w:rsid w:val="00136527"/>
    <w:rsid w:val="00136B7F"/>
    <w:rsid w:val="00136CA2"/>
    <w:rsid w:val="00136D23"/>
    <w:rsid w:val="00136D7B"/>
    <w:rsid w:val="00136EDC"/>
    <w:rsid w:val="00136F93"/>
    <w:rsid w:val="00137123"/>
    <w:rsid w:val="0013716D"/>
    <w:rsid w:val="00137316"/>
    <w:rsid w:val="001375E7"/>
    <w:rsid w:val="00137A81"/>
    <w:rsid w:val="0014037E"/>
    <w:rsid w:val="001405D8"/>
    <w:rsid w:val="00140602"/>
    <w:rsid w:val="00140B74"/>
    <w:rsid w:val="00140CD2"/>
    <w:rsid w:val="00140D0D"/>
    <w:rsid w:val="00140EF4"/>
    <w:rsid w:val="00140F65"/>
    <w:rsid w:val="0014117A"/>
    <w:rsid w:val="00141690"/>
    <w:rsid w:val="0014178A"/>
    <w:rsid w:val="001417BD"/>
    <w:rsid w:val="00141932"/>
    <w:rsid w:val="00141A2F"/>
    <w:rsid w:val="00141D5A"/>
    <w:rsid w:val="00141FAE"/>
    <w:rsid w:val="001421E4"/>
    <w:rsid w:val="00142334"/>
    <w:rsid w:val="00142861"/>
    <w:rsid w:val="00142A18"/>
    <w:rsid w:val="00142D76"/>
    <w:rsid w:val="00142E9E"/>
    <w:rsid w:val="00142F12"/>
    <w:rsid w:val="001430F7"/>
    <w:rsid w:val="00143142"/>
    <w:rsid w:val="001431DF"/>
    <w:rsid w:val="0014333C"/>
    <w:rsid w:val="001436F2"/>
    <w:rsid w:val="001436FB"/>
    <w:rsid w:val="0014391E"/>
    <w:rsid w:val="00143CC8"/>
    <w:rsid w:val="00143D3E"/>
    <w:rsid w:val="0014425D"/>
    <w:rsid w:val="00144310"/>
    <w:rsid w:val="0014451A"/>
    <w:rsid w:val="00144952"/>
    <w:rsid w:val="001449CB"/>
    <w:rsid w:val="00144E85"/>
    <w:rsid w:val="0014511D"/>
    <w:rsid w:val="001454FF"/>
    <w:rsid w:val="00145514"/>
    <w:rsid w:val="00145989"/>
    <w:rsid w:val="00145E8A"/>
    <w:rsid w:val="00145EF5"/>
    <w:rsid w:val="00146121"/>
    <w:rsid w:val="00146226"/>
    <w:rsid w:val="001463EB"/>
    <w:rsid w:val="0014655F"/>
    <w:rsid w:val="00146826"/>
    <w:rsid w:val="00146B4A"/>
    <w:rsid w:val="00146B93"/>
    <w:rsid w:val="00146CB0"/>
    <w:rsid w:val="00146F10"/>
    <w:rsid w:val="00147034"/>
    <w:rsid w:val="001474B5"/>
    <w:rsid w:val="00147A25"/>
    <w:rsid w:val="00147A6C"/>
    <w:rsid w:val="00147F39"/>
    <w:rsid w:val="0015005D"/>
    <w:rsid w:val="0015010E"/>
    <w:rsid w:val="001504CB"/>
    <w:rsid w:val="0015080A"/>
    <w:rsid w:val="001508D1"/>
    <w:rsid w:val="00150C71"/>
    <w:rsid w:val="00150D5F"/>
    <w:rsid w:val="00150DB1"/>
    <w:rsid w:val="00150F27"/>
    <w:rsid w:val="001510B5"/>
    <w:rsid w:val="0015137A"/>
    <w:rsid w:val="0015158E"/>
    <w:rsid w:val="00151820"/>
    <w:rsid w:val="00151864"/>
    <w:rsid w:val="0015205D"/>
    <w:rsid w:val="001522A7"/>
    <w:rsid w:val="0015264B"/>
    <w:rsid w:val="001527BB"/>
    <w:rsid w:val="0015288E"/>
    <w:rsid w:val="00152AE7"/>
    <w:rsid w:val="00152B6E"/>
    <w:rsid w:val="00152C5A"/>
    <w:rsid w:val="00152D35"/>
    <w:rsid w:val="00152DFE"/>
    <w:rsid w:val="00152E1C"/>
    <w:rsid w:val="00152F35"/>
    <w:rsid w:val="0015311D"/>
    <w:rsid w:val="00153159"/>
    <w:rsid w:val="00153172"/>
    <w:rsid w:val="0015363B"/>
    <w:rsid w:val="0015363D"/>
    <w:rsid w:val="00153888"/>
    <w:rsid w:val="00153978"/>
    <w:rsid w:val="00153A91"/>
    <w:rsid w:val="00153AAC"/>
    <w:rsid w:val="00153B0A"/>
    <w:rsid w:val="00154168"/>
    <w:rsid w:val="0015440D"/>
    <w:rsid w:val="001544CF"/>
    <w:rsid w:val="00154536"/>
    <w:rsid w:val="0015478C"/>
    <w:rsid w:val="001549E9"/>
    <w:rsid w:val="00154DF8"/>
    <w:rsid w:val="001550A9"/>
    <w:rsid w:val="00155270"/>
    <w:rsid w:val="001552CD"/>
    <w:rsid w:val="001556CD"/>
    <w:rsid w:val="0015572F"/>
    <w:rsid w:val="00156040"/>
    <w:rsid w:val="0015605C"/>
    <w:rsid w:val="001561DF"/>
    <w:rsid w:val="00156203"/>
    <w:rsid w:val="00156497"/>
    <w:rsid w:val="00156818"/>
    <w:rsid w:val="00156A3C"/>
    <w:rsid w:val="00156AE0"/>
    <w:rsid w:val="00156BB5"/>
    <w:rsid w:val="00156E6D"/>
    <w:rsid w:val="00156E9F"/>
    <w:rsid w:val="00156F31"/>
    <w:rsid w:val="001570B7"/>
    <w:rsid w:val="001571CB"/>
    <w:rsid w:val="001571ED"/>
    <w:rsid w:val="001572CB"/>
    <w:rsid w:val="00157444"/>
    <w:rsid w:val="00157A9F"/>
    <w:rsid w:val="00157AAE"/>
    <w:rsid w:val="00160075"/>
    <w:rsid w:val="00160158"/>
    <w:rsid w:val="00160159"/>
    <w:rsid w:val="001603EC"/>
    <w:rsid w:val="00160741"/>
    <w:rsid w:val="00160935"/>
    <w:rsid w:val="0016097B"/>
    <w:rsid w:val="001609FA"/>
    <w:rsid w:val="00160ADD"/>
    <w:rsid w:val="00160B2B"/>
    <w:rsid w:val="00160B8A"/>
    <w:rsid w:val="00160FC1"/>
    <w:rsid w:val="001615B9"/>
    <w:rsid w:val="00161875"/>
    <w:rsid w:val="00161BB6"/>
    <w:rsid w:val="00161EAF"/>
    <w:rsid w:val="00161FC3"/>
    <w:rsid w:val="001621CD"/>
    <w:rsid w:val="00162498"/>
    <w:rsid w:val="001624BC"/>
    <w:rsid w:val="00162728"/>
    <w:rsid w:val="00162792"/>
    <w:rsid w:val="00162D5B"/>
    <w:rsid w:val="00162EF9"/>
    <w:rsid w:val="00163160"/>
    <w:rsid w:val="00163369"/>
    <w:rsid w:val="001633F7"/>
    <w:rsid w:val="00163635"/>
    <w:rsid w:val="00163905"/>
    <w:rsid w:val="00163C83"/>
    <w:rsid w:val="00163D13"/>
    <w:rsid w:val="00164264"/>
    <w:rsid w:val="0016440D"/>
    <w:rsid w:val="00164760"/>
    <w:rsid w:val="0016494D"/>
    <w:rsid w:val="00164CF8"/>
    <w:rsid w:val="00165116"/>
    <w:rsid w:val="00165204"/>
    <w:rsid w:val="00165345"/>
    <w:rsid w:val="001657AE"/>
    <w:rsid w:val="001657C9"/>
    <w:rsid w:val="00165B41"/>
    <w:rsid w:val="00165D90"/>
    <w:rsid w:val="00165DAB"/>
    <w:rsid w:val="00165F78"/>
    <w:rsid w:val="0016616A"/>
    <w:rsid w:val="00166767"/>
    <w:rsid w:val="00166A6F"/>
    <w:rsid w:val="00166ABF"/>
    <w:rsid w:val="00166B08"/>
    <w:rsid w:val="0016727A"/>
    <w:rsid w:val="00167422"/>
    <w:rsid w:val="00167807"/>
    <w:rsid w:val="00167D03"/>
    <w:rsid w:val="00167D16"/>
    <w:rsid w:val="0016EBF7"/>
    <w:rsid w:val="00170024"/>
    <w:rsid w:val="00170389"/>
    <w:rsid w:val="00170440"/>
    <w:rsid w:val="00170825"/>
    <w:rsid w:val="0017088C"/>
    <w:rsid w:val="001708B3"/>
    <w:rsid w:val="0017095B"/>
    <w:rsid w:val="00171128"/>
    <w:rsid w:val="0017123A"/>
    <w:rsid w:val="001713E4"/>
    <w:rsid w:val="00171423"/>
    <w:rsid w:val="00171978"/>
    <w:rsid w:val="00171AC0"/>
    <w:rsid w:val="00171D57"/>
    <w:rsid w:val="00171E33"/>
    <w:rsid w:val="001722A1"/>
    <w:rsid w:val="00172474"/>
    <w:rsid w:val="001725E0"/>
    <w:rsid w:val="001726B3"/>
    <w:rsid w:val="001728FF"/>
    <w:rsid w:val="00172998"/>
    <w:rsid w:val="00172C80"/>
    <w:rsid w:val="00172C96"/>
    <w:rsid w:val="00172F7B"/>
    <w:rsid w:val="001731A4"/>
    <w:rsid w:val="0017337E"/>
    <w:rsid w:val="00173723"/>
    <w:rsid w:val="00173767"/>
    <w:rsid w:val="001739C1"/>
    <w:rsid w:val="00173B12"/>
    <w:rsid w:val="00173C4D"/>
    <w:rsid w:val="00174242"/>
    <w:rsid w:val="001742A9"/>
    <w:rsid w:val="00174950"/>
    <w:rsid w:val="00174986"/>
    <w:rsid w:val="00174A49"/>
    <w:rsid w:val="00174FA5"/>
    <w:rsid w:val="00174FC8"/>
    <w:rsid w:val="00175388"/>
    <w:rsid w:val="001754FE"/>
    <w:rsid w:val="00175520"/>
    <w:rsid w:val="001756B4"/>
    <w:rsid w:val="001756BC"/>
    <w:rsid w:val="001758DA"/>
    <w:rsid w:val="00175939"/>
    <w:rsid w:val="00175E37"/>
    <w:rsid w:val="001763CA"/>
    <w:rsid w:val="001765FA"/>
    <w:rsid w:val="0017668C"/>
    <w:rsid w:val="00176A74"/>
    <w:rsid w:val="00176DF3"/>
    <w:rsid w:val="00177270"/>
    <w:rsid w:val="001772D6"/>
    <w:rsid w:val="00177482"/>
    <w:rsid w:val="001774F0"/>
    <w:rsid w:val="0017758B"/>
    <w:rsid w:val="001775BF"/>
    <w:rsid w:val="00177A6D"/>
    <w:rsid w:val="00177AFA"/>
    <w:rsid w:val="00177B84"/>
    <w:rsid w:val="00177C05"/>
    <w:rsid w:val="00177E10"/>
    <w:rsid w:val="0018010D"/>
    <w:rsid w:val="00180335"/>
    <w:rsid w:val="001806AA"/>
    <w:rsid w:val="00180747"/>
    <w:rsid w:val="00180775"/>
    <w:rsid w:val="0018087A"/>
    <w:rsid w:val="00180A8E"/>
    <w:rsid w:val="00180CCF"/>
    <w:rsid w:val="00180ED2"/>
    <w:rsid w:val="001810D3"/>
    <w:rsid w:val="0018122D"/>
    <w:rsid w:val="00181259"/>
    <w:rsid w:val="00181264"/>
    <w:rsid w:val="0018138D"/>
    <w:rsid w:val="001813A3"/>
    <w:rsid w:val="00181471"/>
    <w:rsid w:val="00181517"/>
    <w:rsid w:val="00181571"/>
    <w:rsid w:val="00181812"/>
    <w:rsid w:val="001819B4"/>
    <w:rsid w:val="00181AAA"/>
    <w:rsid w:val="00181E9D"/>
    <w:rsid w:val="00181F0C"/>
    <w:rsid w:val="00182391"/>
    <w:rsid w:val="001826A8"/>
    <w:rsid w:val="001827B5"/>
    <w:rsid w:val="001827FD"/>
    <w:rsid w:val="001828E7"/>
    <w:rsid w:val="00182F35"/>
    <w:rsid w:val="00183373"/>
    <w:rsid w:val="0018341E"/>
    <w:rsid w:val="001835F3"/>
    <w:rsid w:val="001838DD"/>
    <w:rsid w:val="001839C6"/>
    <w:rsid w:val="00183A3A"/>
    <w:rsid w:val="00183A97"/>
    <w:rsid w:val="0018402F"/>
    <w:rsid w:val="0018460A"/>
    <w:rsid w:val="001849D9"/>
    <w:rsid w:val="00184A7E"/>
    <w:rsid w:val="00184C16"/>
    <w:rsid w:val="00184CA6"/>
    <w:rsid w:val="00184D9B"/>
    <w:rsid w:val="00184E63"/>
    <w:rsid w:val="001852F3"/>
    <w:rsid w:val="001853EC"/>
    <w:rsid w:val="001857D1"/>
    <w:rsid w:val="00185A29"/>
    <w:rsid w:val="00185E26"/>
    <w:rsid w:val="00186163"/>
    <w:rsid w:val="00186209"/>
    <w:rsid w:val="0018629D"/>
    <w:rsid w:val="0018641B"/>
    <w:rsid w:val="0018649A"/>
    <w:rsid w:val="0018685B"/>
    <w:rsid w:val="00186AD7"/>
    <w:rsid w:val="00186AD9"/>
    <w:rsid w:val="00186B34"/>
    <w:rsid w:val="00186B9A"/>
    <w:rsid w:val="00186BA5"/>
    <w:rsid w:val="00186BFD"/>
    <w:rsid w:val="00186C15"/>
    <w:rsid w:val="00187063"/>
    <w:rsid w:val="0018718C"/>
    <w:rsid w:val="001871C3"/>
    <w:rsid w:val="00187219"/>
    <w:rsid w:val="001873C9"/>
    <w:rsid w:val="001874E7"/>
    <w:rsid w:val="0018753B"/>
    <w:rsid w:val="00187C5D"/>
    <w:rsid w:val="00187D8C"/>
    <w:rsid w:val="00190022"/>
    <w:rsid w:val="001900C8"/>
    <w:rsid w:val="0019024A"/>
    <w:rsid w:val="001902C2"/>
    <w:rsid w:val="001902E0"/>
    <w:rsid w:val="00190381"/>
    <w:rsid w:val="0019072B"/>
    <w:rsid w:val="001907FB"/>
    <w:rsid w:val="00190972"/>
    <w:rsid w:val="00190CDC"/>
    <w:rsid w:val="00190D00"/>
    <w:rsid w:val="00190E0B"/>
    <w:rsid w:val="00191883"/>
    <w:rsid w:val="001918D7"/>
    <w:rsid w:val="00191E56"/>
    <w:rsid w:val="0019221C"/>
    <w:rsid w:val="0019241A"/>
    <w:rsid w:val="00192576"/>
    <w:rsid w:val="00192674"/>
    <w:rsid w:val="00192AC7"/>
    <w:rsid w:val="00192C15"/>
    <w:rsid w:val="00192D2B"/>
    <w:rsid w:val="00192D8F"/>
    <w:rsid w:val="00192E59"/>
    <w:rsid w:val="00193056"/>
    <w:rsid w:val="00193162"/>
    <w:rsid w:val="00193529"/>
    <w:rsid w:val="00193966"/>
    <w:rsid w:val="00193A1C"/>
    <w:rsid w:val="00193C51"/>
    <w:rsid w:val="00194542"/>
    <w:rsid w:val="0019475E"/>
    <w:rsid w:val="00194C71"/>
    <w:rsid w:val="00195301"/>
    <w:rsid w:val="0019550C"/>
    <w:rsid w:val="00195629"/>
    <w:rsid w:val="001959E4"/>
    <w:rsid w:val="00195A0B"/>
    <w:rsid w:val="00195B00"/>
    <w:rsid w:val="00195BD1"/>
    <w:rsid w:val="00195C64"/>
    <w:rsid w:val="00195C96"/>
    <w:rsid w:val="00195CFA"/>
    <w:rsid w:val="00195E70"/>
    <w:rsid w:val="00196146"/>
    <w:rsid w:val="001961D8"/>
    <w:rsid w:val="001963A3"/>
    <w:rsid w:val="00196663"/>
    <w:rsid w:val="0019667D"/>
    <w:rsid w:val="00196711"/>
    <w:rsid w:val="0019693D"/>
    <w:rsid w:val="00196E07"/>
    <w:rsid w:val="001972F9"/>
    <w:rsid w:val="001973C1"/>
    <w:rsid w:val="001974EB"/>
    <w:rsid w:val="00197BE5"/>
    <w:rsid w:val="00197CBE"/>
    <w:rsid w:val="00197F0C"/>
    <w:rsid w:val="001A0056"/>
    <w:rsid w:val="001A095A"/>
    <w:rsid w:val="001A0A18"/>
    <w:rsid w:val="001A0ABA"/>
    <w:rsid w:val="001A1005"/>
    <w:rsid w:val="001A1020"/>
    <w:rsid w:val="001A102C"/>
    <w:rsid w:val="001A107B"/>
    <w:rsid w:val="001A14D3"/>
    <w:rsid w:val="001A14FD"/>
    <w:rsid w:val="001A157B"/>
    <w:rsid w:val="001A1745"/>
    <w:rsid w:val="001A1894"/>
    <w:rsid w:val="001A19FD"/>
    <w:rsid w:val="001A1B08"/>
    <w:rsid w:val="001A1B7D"/>
    <w:rsid w:val="001A1BA8"/>
    <w:rsid w:val="001A1C96"/>
    <w:rsid w:val="001A1E59"/>
    <w:rsid w:val="001A2023"/>
    <w:rsid w:val="001A21B5"/>
    <w:rsid w:val="001A25BB"/>
    <w:rsid w:val="001A2924"/>
    <w:rsid w:val="001A293F"/>
    <w:rsid w:val="001A3035"/>
    <w:rsid w:val="001A390A"/>
    <w:rsid w:val="001A3E88"/>
    <w:rsid w:val="001A3F80"/>
    <w:rsid w:val="001A4226"/>
    <w:rsid w:val="001A42C8"/>
    <w:rsid w:val="001A4BA0"/>
    <w:rsid w:val="001A501B"/>
    <w:rsid w:val="001A52C9"/>
    <w:rsid w:val="001A53DB"/>
    <w:rsid w:val="001A5594"/>
    <w:rsid w:val="001A5816"/>
    <w:rsid w:val="001A5981"/>
    <w:rsid w:val="001A5A9D"/>
    <w:rsid w:val="001A5B86"/>
    <w:rsid w:val="001A5B94"/>
    <w:rsid w:val="001A5F7B"/>
    <w:rsid w:val="001A638A"/>
    <w:rsid w:val="001A6756"/>
    <w:rsid w:val="001A67DC"/>
    <w:rsid w:val="001A6A51"/>
    <w:rsid w:val="001A6C7F"/>
    <w:rsid w:val="001A6C80"/>
    <w:rsid w:val="001A6E49"/>
    <w:rsid w:val="001A6F7A"/>
    <w:rsid w:val="001A7139"/>
    <w:rsid w:val="001A7581"/>
    <w:rsid w:val="001A7709"/>
    <w:rsid w:val="001A78BA"/>
    <w:rsid w:val="001A7A0E"/>
    <w:rsid w:val="001A7AD0"/>
    <w:rsid w:val="001A7B7C"/>
    <w:rsid w:val="001A7C95"/>
    <w:rsid w:val="001A7EBD"/>
    <w:rsid w:val="001B00A0"/>
    <w:rsid w:val="001B02CC"/>
    <w:rsid w:val="001B0637"/>
    <w:rsid w:val="001B0A7B"/>
    <w:rsid w:val="001B0E12"/>
    <w:rsid w:val="001B0EB1"/>
    <w:rsid w:val="001B1016"/>
    <w:rsid w:val="001B1031"/>
    <w:rsid w:val="001B109B"/>
    <w:rsid w:val="001B15D5"/>
    <w:rsid w:val="001B1853"/>
    <w:rsid w:val="001B19B7"/>
    <w:rsid w:val="001B1B8D"/>
    <w:rsid w:val="001B1C32"/>
    <w:rsid w:val="001B1D6A"/>
    <w:rsid w:val="001B1DBF"/>
    <w:rsid w:val="001B1E18"/>
    <w:rsid w:val="001B22CA"/>
    <w:rsid w:val="001B23ED"/>
    <w:rsid w:val="001B23F7"/>
    <w:rsid w:val="001B2458"/>
    <w:rsid w:val="001B275E"/>
    <w:rsid w:val="001B2854"/>
    <w:rsid w:val="001B2A00"/>
    <w:rsid w:val="001B2B01"/>
    <w:rsid w:val="001B2CF4"/>
    <w:rsid w:val="001B2D66"/>
    <w:rsid w:val="001B2ED2"/>
    <w:rsid w:val="001B3256"/>
    <w:rsid w:val="001B3341"/>
    <w:rsid w:val="001B34DE"/>
    <w:rsid w:val="001B3524"/>
    <w:rsid w:val="001B3A04"/>
    <w:rsid w:val="001B3F2B"/>
    <w:rsid w:val="001B3FBE"/>
    <w:rsid w:val="001B4033"/>
    <w:rsid w:val="001B4152"/>
    <w:rsid w:val="001B425E"/>
    <w:rsid w:val="001B42D3"/>
    <w:rsid w:val="001B4315"/>
    <w:rsid w:val="001B44FB"/>
    <w:rsid w:val="001B465E"/>
    <w:rsid w:val="001B46CA"/>
    <w:rsid w:val="001B4A13"/>
    <w:rsid w:val="001B4E4F"/>
    <w:rsid w:val="001B4E98"/>
    <w:rsid w:val="001B4F20"/>
    <w:rsid w:val="001B4F75"/>
    <w:rsid w:val="001B5224"/>
    <w:rsid w:val="001B52B7"/>
    <w:rsid w:val="001B53F2"/>
    <w:rsid w:val="001B55A5"/>
    <w:rsid w:val="001B55E0"/>
    <w:rsid w:val="001B5A35"/>
    <w:rsid w:val="001B5AB7"/>
    <w:rsid w:val="001B5C29"/>
    <w:rsid w:val="001B5D48"/>
    <w:rsid w:val="001B5E2B"/>
    <w:rsid w:val="001B5F6E"/>
    <w:rsid w:val="001B5FAB"/>
    <w:rsid w:val="001B60F8"/>
    <w:rsid w:val="001B6238"/>
    <w:rsid w:val="001B6258"/>
    <w:rsid w:val="001B6449"/>
    <w:rsid w:val="001B651B"/>
    <w:rsid w:val="001B65DC"/>
    <w:rsid w:val="001B66CC"/>
    <w:rsid w:val="001B68C3"/>
    <w:rsid w:val="001B6ACE"/>
    <w:rsid w:val="001B6BA3"/>
    <w:rsid w:val="001B6CB5"/>
    <w:rsid w:val="001B6DDC"/>
    <w:rsid w:val="001B72DB"/>
    <w:rsid w:val="001B79DA"/>
    <w:rsid w:val="001B7AA2"/>
    <w:rsid w:val="001B7B75"/>
    <w:rsid w:val="001B7BF3"/>
    <w:rsid w:val="001B7C5B"/>
    <w:rsid w:val="001B7E33"/>
    <w:rsid w:val="001C01E6"/>
    <w:rsid w:val="001C0687"/>
    <w:rsid w:val="001C07F5"/>
    <w:rsid w:val="001C08A3"/>
    <w:rsid w:val="001C0B02"/>
    <w:rsid w:val="001C0B1D"/>
    <w:rsid w:val="001C1342"/>
    <w:rsid w:val="001C145C"/>
    <w:rsid w:val="001C15FD"/>
    <w:rsid w:val="001C188D"/>
    <w:rsid w:val="001C1DCF"/>
    <w:rsid w:val="001C211E"/>
    <w:rsid w:val="001C2282"/>
    <w:rsid w:val="001C234A"/>
    <w:rsid w:val="001C23CB"/>
    <w:rsid w:val="001C26AD"/>
    <w:rsid w:val="001C27B6"/>
    <w:rsid w:val="001C28DE"/>
    <w:rsid w:val="001C2A77"/>
    <w:rsid w:val="001C2D24"/>
    <w:rsid w:val="001C2F67"/>
    <w:rsid w:val="001C2FCE"/>
    <w:rsid w:val="001C3137"/>
    <w:rsid w:val="001C34F3"/>
    <w:rsid w:val="001C398C"/>
    <w:rsid w:val="001C3A63"/>
    <w:rsid w:val="001C3A99"/>
    <w:rsid w:val="001C3AAE"/>
    <w:rsid w:val="001C3EDC"/>
    <w:rsid w:val="001C3FF7"/>
    <w:rsid w:val="001C426F"/>
    <w:rsid w:val="001C42A0"/>
    <w:rsid w:val="001C44EB"/>
    <w:rsid w:val="001C4901"/>
    <w:rsid w:val="001C4A36"/>
    <w:rsid w:val="001C51AA"/>
    <w:rsid w:val="001C51DF"/>
    <w:rsid w:val="001C540A"/>
    <w:rsid w:val="001C5821"/>
    <w:rsid w:val="001C5ADD"/>
    <w:rsid w:val="001C5CA5"/>
    <w:rsid w:val="001C5E5E"/>
    <w:rsid w:val="001C60B1"/>
    <w:rsid w:val="001C62B8"/>
    <w:rsid w:val="001C6336"/>
    <w:rsid w:val="001C663B"/>
    <w:rsid w:val="001C6A07"/>
    <w:rsid w:val="001C6AE4"/>
    <w:rsid w:val="001C6B43"/>
    <w:rsid w:val="001C6B77"/>
    <w:rsid w:val="001C6DCB"/>
    <w:rsid w:val="001C701C"/>
    <w:rsid w:val="001C71D6"/>
    <w:rsid w:val="001C767A"/>
    <w:rsid w:val="001C774F"/>
    <w:rsid w:val="001C7952"/>
    <w:rsid w:val="001C7987"/>
    <w:rsid w:val="001C7B7F"/>
    <w:rsid w:val="001C7F93"/>
    <w:rsid w:val="001D011D"/>
    <w:rsid w:val="001D02B0"/>
    <w:rsid w:val="001D03D5"/>
    <w:rsid w:val="001D0768"/>
    <w:rsid w:val="001D08BA"/>
    <w:rsid w:val="001D0E13"/>
    <w:rsid w:val="001D0E75"/>
    <w:rsid w:val="001D13DB"/>
    <w:rsid w:val="001D1412"/>
    <w:rsid w:val="001D1513"/>
    <w:rsid w:val="001D1760"/>
    <w:rsid w:val="001D1913"/>
    <w:rsid w:val="001D1EDE"/>
    <w:rsid w:val="001D1F38"/>
    <w:rsid w:val="001D2865"/>
    <w:rsid w:val="001D29B1"/>
    <w:rsid w:val="001D2A0A"/>
    <w:rsid w:val="001D2A28"/>
    <w:rsid w:val="001D2DE8"/>
    <w:rsid w:val="001D2DFE"/>
    <w:rsid w:val="001D327E"/>
    <w:rsid w:val="001D3374"/>
    <w:rsid w:val="001D347E"/>
    <w:rsid w:val="001D359C"/>
    <w:rsid w:val="001D367C"/>
    <w:rsid w:val="001D36DC"/>
    <w:rsid w:val="001D3A05"/>
    <w:rsid w:val="001D3A57"/>
    <w:rsid w:val="001D3A9A"/>
    <w:rsid w:val="001D3D2A"/>
    <w:rsid w:val="001D3F17"/>
    <w:rsid w:val="001D403C"/>
    <w:rsid w:val="001D417F"/>
    <w:rsid w:val="001D480D"/>
    <w:rsid w:val="001D48CE"/>
    <w:rsid w:val="001D4D59"/>
    <w:rsid w:val="001D4E94"/>
    <w:rsid w:val="001D5243"/>
    <w:rsid w:val="001D526B"/>
    <w:rsid w:val="001D5351"/>
    <w:rsid w:val="001D543B"/>
    <w:rsid w:val="001D54CF"/>
    <w:rsid w:val="001D55B3"/>
    <w:rsid w:val="001D56CF"/>
    <w:rsid w:val="001D57BA"/>
    <w:rsid w:val="001D59FF"/>
    <w:rsid w:val="001D5B3F"/>
    <w:rsid w:val="001D5C7E"/>
    <w:rsid w:val="001D5F9D"/>
    <w:rsid w:val="001D5FF1"/>
    <w:rsid w:val="001D602C"/>
    <w:rsid w:val="001D6388"/>
    <w:rsid w:val="001D6AC2"/>
    <w:rsid w:val="001D6C49"/>
    <w:rsid w:val="001D6F7D"/>
    <w:rsid w:val="001D7113"/>
    <w:rsid w:val="001D713C"/>
    <w:rsid w:val="001D71E7"/>
    <w:rsid w:val="001D7701"/>
    <w:rsid w:val="001D7D87"/>
    <w:rsid w:val="001D7E8D"/>
    <w:rsid w:val="001E004D"/>
    <w:rsid w:val="001E014F"/>
    <w:rsid w:val="001E020D"/>
    <w:rsid w:val="001E0478"/>
    <w:rsid w:val="001E0542"/>
    <w:rsid w:val="001E06FF"/>
    <w:rsid w:val="001E0722"/>
    <w:rsid w:val="001E0A50"/>
    <w:rsid w:val="001E0D94"/>
    <w:rsid w:val="001E0E44"/>
    <w:rsid w:val="001E1115"/>
    <w:rsid w:val="001E13F6"/>
    <w:rsid w:val="001E15EB"/>
    <w:rsid w:val="001E1755"/>
    <w:rsid w:val="001E180C"/>
    <w:rsid w:val="001E190A"/>
    <w:rsid w:val="001E1D0B"/>
    <w:rsid w:val="001E1F3D"/>
    <w:rsid w:val="001E2487"/>
    <w:rsid w:val="001E2D97"/>
    <w:rsid w:val="001E300C"/>
    <w:rsid w:val="001E3037"/>
    <w:rsid w:val="001E30E8"/>
    <w:rsid w:val="001E319B"/>
    <w:rsid w:val="001E3743"/>
    <w:rsid w:val="001E3B9C"/>
    <w:rsid w:val="001E3D2B"/>
    <w:rsid w:val="001E3E28"/>
    <w:rsid w:val="001E404B"/>
    <w:rsid w:val="001E409F"/>
    <w:rsid w:val="001E4398"/>
    <w:rsid w:val="001E44C5"/>
    <w:rsid w:val="001E44EB"/>
    <w:rsid w:val="001E46B7"/>
    <w:rsid w:val="001E49AF"/>
    <w:rsid w:val="001E4C59"/>
    <w:rsid w:val="001E4F3A"/>
    <w:rsid w:val="001E5173"/>
    <w:rsid w:val="001E531C"/>
    <w:rsid w:val="001E5368"/>
    <w:rsid w:val="001E5593"/>
    <w:rsid w:val="001E5AE2"/>
    <w:rsid w:val="001E5AEC"/>
    <w:rsid w:val="001E5F1D"/>
    <w:rsid w:val="001E6010"/>
    <w:rsid w:val="001E6558"/>
    <w:rsid w:val="001E67DA"/>
    <w:rsid w:val="001E6C74"/>
    <w:rsid w:val="001E6EA2"/>
    <w:rsid w:val="001E6F12"/>
    <w:rsid w:val="001E6F48"/>
    <w:rsid w:val="001E6F58"/>
    <w:rsid w:val="001E6FD6"/>
    <w:rsid w:val="001E7704"/>
    <w:rsid w:val="001E7805"/>
    <w:rsid w:val="001E7894"/>
    <w:rsid w:val="001E78C5"/>
    <w:rsid w:val="001E79B7"/>
    <w:rsid w:val="001E7A2A"/>
    <w:rsid w:val="001E7A4A"/>
    <w:rsid w:val="001E7E40"/>
    <w:rsid w:val="001E7FD2"/>
    <w:rsid w:val="001F01FF"/>
    <w:rsid w:val="001F0334"/>
    <w:rsid w:val="001F03BB"/>
    <w:rsid w:val="001F053D"/>
    <w:rsid w:val="001F0983"/>
    <w:rsid w:val="001F0E3F"/>
    <w:rsid w:val="001F1122"/>
    <w:rsid w:val="001F118C"/>
    <w:rsid w:val="001F1579"/>
    <w:rsid w:val="001F16CA"/>
    <w:rsid w:val="001F1798"/>
    <w:rsid w:val="001F1AA4"/>
    <w:rsid w:val="001F1C7D"/>
    <w:rsid w:val="001F1FF4"/>
    <w:rsid w:val="001F20D2"/>
    <w:rsid w:val="001F23AA"/>
    <w:rsid w:val="001F2562"/>
    <w:rsid w:val="001F2581"/>
    <w:rsid w:val="001F2976"/>
    <w:rsid w:val="001F2B01"/>
    <w:rsid w:val="001F2B50"/>
    <w:rsid w:val="001F2EEA"/>
    <w:rsid w:val="001F2F49"/>
    <w:rsid w:val="001F3106"/>
    <w:rsid w:val="001F3476"/>
    <w:rsid w:val="001F365F"/>
    <w:rsid w:val="001F3B0A"/>
    <w:rsid w:val="001F3B53"/>
    <w:rsid w:val="001F3BD9"/>
    <w:rsid w:val="001F3D6D"/>
    <w:rsid w:val="001F3E5B"/>
    <w:rsid w:val="001F3FED"/>
    <w:rsid w:val="001F4119"/>
    <w:rsid w:val="001F43FF"/>
    <w:rsid w:val="001F49EE"/>
    <w:rsid w:val="001F4B20"/>
    <w:rsid w:val="001F4BD6"/>
    <w:rsid w:val="001F4D2F"/>
    <w:rsid w:val="001F4F72"/>
    <w:rsid w:val="001F4FBB"/>
    <w:rsid w:val="001F5034"/>
    <w:rsid w:val="001F50B9"/>
    <w:rsid w:val="001F514D"/>
    <w:rsid w:val="001F51E3"/>
    <w:rsid w:val="001F56E7"/>
    <w:rsid w:val="001F5719"/>
    <w:rsid w:val="001F5A4C"/>
    <w:rsid w:val="001F5C50"/>
    <w:rsid w:val="001F5D1F"/>
    <w:rsid w:val="001F5E94"/>
    <w:rsid w:val="001F5EA6"/>
    <w:rsid w:val="001F6134"/>
    <w:rsid w:val="001F62B6"/>
    <w:rsid w:val="001F63F3"/>
    <w:rsid w:val="001F650C"/>
    <w:rsid w:val="001F6865"/>
    <w:rsid w:val="001F687B"/>
    <w:rsid w:val="001F6AEA"/>
    <w:rsid w:val="001F6F60"/>
    <w:rsid w:val="001F6FB5"/>
    <w:rsid w:val="001F70B8"/>
    <w:rsid w:val="001F71D9"/>
    <w:rsid w:val="001F745A"/>
    <w:rsid w:val="001F749A"/>
    <w:rsid w:val="001F780D"/>
    <w:rsid w:val="001F793F"/>
    <w:rsid w:val="001F7B4D"/>
    <w:rsid w:val="001F7C39"/>
    <w:rsid w:val="001F7DD6"/>
    <w:rsid w:val="001F7EBE"/>
    <w:rsid w:val="001F7ED0"/>
    <w:rsid w:val="002002CF"/>
    <w:rsid w:val="0020034E"/>
    <w:rsid w:val="0020048C"/>
    <w:rsid w:val="0020053D"/>
    <w:rsid w:val="0020060D"/>
    <w:rsid w:val="00200857"/>
    <w:rsid w:val="002009ED"/>
    <w:rsid w:val="00200A9D"/>
    <w:rsid w:val="00200B17"/>
    <w:rsid w:val="00200CCE"/>
    <w:rsid w:val="002013CE"/>
    <w:rsid w:val="00201455"/>
    <w:rsid w:val="00201467"/>
    <w:rsid w:val="002015E6"/>
    <w:rsid w:val="00201745"/>
    <w:rsid w:val="0020190D"/>
    <w:rsid w:val="00201971"/>
    <w:rsid w:val="00201C06"/>
    <w:rsid w:val="002021F1"/>
    <w:rsid w:val="00202504"/>
    <w:rsid w:val="002025F3"/>
    <w:rsid w:val="0020291A"/>
    <w:rsid w:val="00202938"/>
    <w:rsid w:val="0020305E"/>
    <w:rsid w:val="002031D3"/>
    <w:rsid w:val="0020325C"/>
    <w:rsid w:val="002036EA"/>
    <w:rsid w:val="00203706"/>
    <w:rsid w:val="00203AC8"/>
    <w:rsid w:val="00203D68"/>
    <w:rsid w:val="00203E5D"/>
    <w:rsid w:val="00203FD2"/>
    <w:rsid w:val="0020408E"/>
    <w:rsid w:val="00204194"/>
    <w:rsid w:val="00204874"/>
    <w:rsid w:val="0020493C"/>
    <w:rsid w:val="00204990"/>
    <w:rsid w:val="00204F5D"/>
    <w:rsid w:val="0020500A"/>
    <w:rsid w:val="0020509B"/>
    <w:rsid w:val="0020529A"/>
    <w:rsid w:val="0020557C"/>
    <w:rsid w:val="002058AF"/>
    <w:rsid w:val="00205D97"/>
    <w:rsid w:val="00205E86"/>
    <w:rsid w:val="0020615D"/>
    <w:rsid w:val="00206638"/>
    <w:rsid w:val="00206DBE"/>
    <w:rsid w:val="00206E93"/>
    <w:rsid w:val="00207117"/>
    <w:rsid w:val="00207133"/>
    <w:rsid w:val="002071D2"/>
    <w:rsid w:val="0020722C"/>
    <w:rsid w:val="00207307"/>
    <w:rsid w:val="00207331"/>
    <w:rsid w:val="0020747F"/>
    <w:rsid w:val="0020769D"/>
    <w:rsid w:val="00207824"/>
    <w:rsid w:val="00207A2C"/>
    <w:rsid w:val="00207B21"/>
    <w:rsid w:val="00207BE6"/>
    <w:rsid w:val="00207DEE"/>
    <w:rsid w:val="002100E4"/>
    <w:rsid w:val="002101A4"/>
    <w:rsid w:val="002102C0"/>
    <w:rsid w:val="002106DA"/>
    <w:rsid w:val="002108AB"/>
    <w:rsid w:val="002109F9"/>
    <w:rsid w:val="00210E0C"/>
    <w:rsid w:val="002114AC"/>
    <w:rsid w:val="0021152C"/>
    <w:rsid w:val="002116C7"/>
    <w:rsid w:val="00211B92"/>
    <w:rsid w:val="00211DB8"/>
    <w:rsid w:val="00211E11"/>
    <w:rsid w:val="002120CE"/>
    <w:rsid w:val="0021257A"/>
    <w:rsid w:val="00212654"/>
    <w:rsid w:val="002127C2"/>
    <w:rsid w:val="0021286F"/>
    <w:rsid w:val="00212902"/>
    <w:rsid w:val="00212B05"/>
    <w:rsid w:val="00212C09"/>
    <w:rsid w:val="00212F83"/>
    <w:rsid w:val="00213048"/>
    <w:rsid w:val="0021314D"/>
    <w:rsid w:val="00213161"/>
    <w:rsid w:val="0021337F"/>
    <w:rsid w:val="00213420"/>
    <w:rsid w:val="002137D2"/>
    <w:rsid w:val="0021385E"/>
    <w:rsid w:val="0021393E"/>
    <w:rsid w:val="00213B19"/>
    <w:rsid w:val="00213F8C"/>
    <w:rsid w:val="00213FE9"/>
    <w:rsid w:val="00214262"/>
    <w:rsid w:val="002142B9"/>
    <w:rsid w:val="00214440"/>
    <w:rsid w:val="00214A0C"/>
    <w:rsid w:val="00214BBC"/>
    <w:rsid w:val="00214E6B"/>
    <w:rsid w:val="00214FB7"/>
    <w:rsid w:val="002150B0"/>
    <w:rsid w:val="00215132"/>
    <w:rsid w:val="002154A2"/>
    <w:rsid w:val="00215506"/>
    <w:rsid w:val="002156C8"/>
    <w:rsid w:val="00215806"/>
    <w:rsid w:val="00215C2B"/>
    <w:rsid w:val="00215C70"/>
    <w:rsid w:val="00215D7A"/>
    <w:rsid w:val="00215DE1"/>
    <w:rsid w:val="00216190"/>
    <w:rsid w:val="0021688A"/>
    <w:rsid w:val="00216D54"/>
    <w:rsid w:val="00216F29"/>
    <w:rsid w:val="00217005"/>
    <w:rsid w:val="0021718F"/>
    <w:rsid w:val="0021732E"/>
    <w:rsid w:val="00217CA2"/>
    <w:rsid w:val="00217CC5"/>
    <w:rsid w:val="00217DE5"/>
    <w:rsid w:val="00220196"/>
    <w:rsid w:val="002204D7"/>
    <w:rsid w:val="00220ADF"/>
    <w:rsid w:val="00220E02"/>
    <w:rsid w:val="00220ED8"/>
    <w:rsid w:val="0022105C"/>
    <w:rsid w:val="00221394"/>
    <w:rsid w:val="002213F9"/>
    <w:rsid w:val="0022164D"/>
    <w:rsid w:val="00221660"/>
    <w:rsid w:val="00221A8F"/>
    <w:rsid w:val="00221AA8"/>
    <w:rsid w:val="00221D5A"/>
    <w:rsid w:val="00221E98"/>
    <w:rsid w:val="0022221C"/>
    <w:rsid w:val="002222C3"/>
    <w:rsid w:val="002224BB"/>
    <w:rsid w:val="002225ED"/>
    <w:rsid w:val="002227D3"/>
    <w:rsid w:val="002228E5"/>
    <w:rsid w:val="002229DA"/>
    <w:rsid w:val="00222B96"/>
    <w:rsid w:val="00222BA8"/>
    <w:rsid w:val="00223152"/>
    <w:rsid w:val="00223254"/>
    <w:rsid w:val="0022349B"/>
    <w:rsid w:val="00223659"/>
    <w:rsid w:val="00223814"/>
    <w:rsid w:val="00223AAF"/>
    <w:rsid w:val="00223C8D"/>
    <w:rsid w:val="00223F87"/>
    <w:rsid w:val="00223FA0"/>
    <w:rsid w:val="0022400C"/>
    <w:rsid w:val="00224021"/>
    <w:rsid w:val="0022431B"/>
    <w:rsid w:val="00224371"/>
    <w:rsid w:val="002243D8"/>
    <w:rsid w:val="002244FF"/>
    <w:rsid w:val="002247B0"/>
    <w:rsid w:val="002248F2"/>
    <w:rsid w:val="00224C50"/>
    <w:rsid w:val="00224E3A"/>
    <w:rsid w:val="00225062"/>
    <w:rsid w:val="00225175"/>
    <w:rsid w:val="0022524B"/>
    <w:rsid w:val="002254A0"/>
    <w:rsid w:val="00225665"/>
    <w:rsid w:val="002256CA"/>
    <w:rsid w:val="00225AD1"/>
    <w:rsid w:val="00225EF3"/>
    <w:rsid w:val="00226009"/>
    <w:rsid w:val="00226182"/>
    <w:rsid w:val="002262B5"/>
    <w:rsid w:val="002262CD"/>
    <w:rsid w:val="00226413"/>
    <w:rsid w:val="002264D7"/>
    <w:rsid w:val="002267BF"/>
    <w:rsid w:val="002268B2"/>
    <w:rsid w:val="00226941"/>
    <w:rsid w:val="00226A35"/>
    <w:rsid w:val="00226AA3"/>
    <w:rsid w:val="00226AEA"/>
    <w:rsid w:val="00227094"/>
    <w:rsid w:val="00227186"/>
    <w:rsid w:val="00227492"/>
    <w:rsid w:val="002274F9"/>
    <w:rsid w:val="00227507"/>
    <w:rsid w:val="00227515"/>
    <w:rsid w:val="002275BE"/>
    <w:rsid w:val="0022762D"/>
    <w:rsid w:val="00227B7C"/>
    <w:rsid w:val="00227CEB"/>
    <w:rsid w:val="0023003D"/>
    <w:rsid w:val="00230089"/>
    <w:rsid w:val="00230428"/>
    <w:rsid w:val="00230724"/>
    <w:rsid w:val="002307A2"/>
    <w:rsid w:val="00230827"/>
    <w:rsid w:val="0023086E"/>
    <w:rsid w:val="0023091D"/>
    <w:rsid w:val="00230B89"/>
    <w:rsid w:val="00230BA9"/>
    <w:rsid w:val="00230CAD"/>
    <w:rsid w:val="00230D3F"/>
    <w:rsid w:val="00230F6D"/>
    <w:rsid w:val="00231033"/>
    <w:rsid w:val="0023127F"/>
    <w:rsid w:val="002312C6"/>
    <w:rsid w:val="002314F5"/>
    <w:rsid w:val="0023166F"/>
    <w:rsid w:val="00231C46"/>
    <w:rsid w:val="00231D5C"/>
    <w:rsid w:val="00231FEB"/>
    <w:rsid w:val="002328DA"/>
    <w:rsid w:val="00232A93"/>
    <w:rsid w:val="00232B56"/>
    <w:rsid w:val="00233718"/>
    <w:rsid w:val="0023393E"/>
    <w:rsid w:val="0023395F"/>
    <w:rsid w:val="0023404E"/>
    <w:rsid w:val="002341A1"/>
    <w:rsid w:val="00234210"/>
    <w:rsid w:val="0023432B"/>
    <w:rsid w:val="0023434C"/>
    <w:rsid w:val="00234989"/>
    <w:rsid w:val="00234D40"/>
    <w:rsid w:val="00235674"/>
    <w:rsid w:val="002356DE"/>
    <w:rsid w:val="002358BC"/>
    <w:rsid w:val="00235AE7"/>
    <w:rsid w:val="00235C78"/>
    <w:rsid w:val="00235E2D"/>
    <w:rsid w:val="00236008"/>
    <w:rsid w:val="00236011"/>
    <w:rsid w:val="00236107"/>
    <w:rsid w:val="00236624"/>
    <w:rsid w:val="00236805"/>
    <w:rsid w:val="002368BA"/>
    <w:rsid w:val="002371E8"/>
    <w:rsid w:val="002373A3"/>
    <w:rsid w:val="00237514"/>
    <w:rsid w:val="00237571"/>
    <w:rsid w:val="00237609"/>
    <w:rsid w:val="0023767A"/>
    <w:rsid w:val="00237902"/>
    <w:rsid w:val="00237A90"/>
    <w:rsid w:val="00237BB2"/>
    <w:rsid w:val="00237E70"/>
    <w:rsid w:val="00237E9C"/>
    <w:rsid w:val="00240160"/>
    <w:rsid w:val="002404EC"/>
    <w:rsid w:val="0024054C"/>
    <w:rsid w:val="0024060B"/>
    <w:rsid w:val="002407CE"/>
    <w:rsid w:val="0024096B"/>
    <w:rsid w:val="00240A20"/>
    <w:rsid w:val="00240AE8"/>
    <w:rsid w:val="00240DBA"/>
    <w:rsid w:val="00240EFA"/>
    <w:rsid w:val="00240FDE"/>
    <w:rsid w:val="00240FE9"/>
    <w:rsid w:val="002415BB"/>
    <w:rsid w:val="00241697"/>
    <w:rsid w:val="002418DA"/>
    <w:rsid w:val="00241BAC"/>
    <w:rsid w:val="00241C1F"/>
    <w:rsid w:val="00241D43"/>
    <w:rsid w:val="0024219C"/>
    <w:rsid w:val="002421F2"/>
    <w:rsid w:val="00242344"/>
    <w:rsid w:val="00242372"/>
    <w:rsid w:val="00242446"/>
    <w:rsid w:val="00242459"/>
    <w:rsid w:val="0024267D"/>
    <w:rsid w:val="00242D0A"/>
    <w:rsid w:val="00242E88"/>
    <w:rsid w:val="00242EAD"/>
    <w:rsid w:val="00242F70"/>
    <w:rsid w:val="00243088"/>
    <w:rsid w:val="0024322E"/>
    <w:rsid w:val="00243260"/>
    <w:rsid w:val="0024360E"/>
    <w:rsid w:val="0024370F"/>
    <w:rsid w:val="002439EF"/>
    <w:rsid w:val="00243A34"/>
    <w:rsid w:val="00243BD6"/>
    <w:rsid w:val="0024415C"/>
    <w:rsid w:val="00244166"/>
    <w:rsid w:val="0024418B"/>
    <w:rsid w:val="002443D7"/>
    <w:rsid w:val="00244508"/>
    <w:rsid w:val="00244570"/>
    <w:rsid w:val="002445B3"/>
    <w:rsid w:val="00244823"/>
    <w:rsid w:val="00244870"/>
    <w:rsid w:val="00244960"/>
    <w:rsid w:val="00244A42"/>
    <w:rsid w:val="00244DF6"/>
    <w:rsid w:val="00244DFC"/>
    <w:rsid w:val="00244F8E"/>
    <w:rsid w:val="002451E8"/>
    <w:rsid w:val="002453A3"/>
    <w:rsid w:val="00245A20"/>
    <w:rsid w:val="00245C2B"/>
    <w:rsid w:val="00245C63"/>
    <w:rsid w:val="00245DB8"/>
    <w:rsid w:val="00245E2E"/>
    <w:rsid w:val="002463E4"/>
    <w:rsid w:val="00246929"/>
    <w:rsid w:val="002469DC"/>
    <w:rsid w:val="00246B84"/>
    <w:rsid w:val="00246B91"/>
    <w:rsid w:val="00246D31"/>
    <w:rsid w:val="00246F40"/>
    <w:rsid w:val="00246F62"/>
    <w:rsid w:val="002475A3"/>
    <w:rsid w:val="002476D3"/>
    <w:rsid w:val="00247852"/>
    <w:rsid w:val="002479C4"/>
    <w:rsid w:val="00247A31"/>
    <w:rsid w:val="00247A7C"/>
    <w:rsid w:val="00247AD7"/>
    <w:rsid w:val="00247BA5"/>
    <w:rsid w:val="00250360"/>
    <w:rsid w:val="0025056E"/>
    <w:rsid w:val="002507C6"/>
    <w:rsid w:val="00250813"/>
    <w:rsid w:val="002508DD"/>
    <w:rsid w:val="002508F3"/>
    <w:rsid w:val="00250BBC"/>
    <w:rsid w:val="00251130"/>
    <w:rsid w:val="0025118A"/>
    <w:rsid w:val="00251361"/>
    <w:rsid w:val="00251684"/>
    <w:rsid w:val="0025177C"/>
    <w:rsid w:val="00251A71"/>
    <w:rsid w:val="00251C20"/>
    <w:rsid w:val="00251DDE"/>
    <w:rsid w:val="00251E50"/>
    <w:rsid w:val="00252109"/>
    <w:rsid w:val="0025220B"/>
    <w:rsid w:val="00252475"/>
    <w:rsid w:val="00252C53"/>
    <w:rsid w:val="00252CBB"/>
    <w:rsid w:val="00252DEF"/>
    <w:rsid w:val="00252E61"/>
    <w:rsid w:val="00252FFA"/>
    <w:rsid w:val="0025347E"/>
    <w:rsid w:val="00253609"/>
    <w:rsid w:val="0025362E"/>
    <w:rsid w:val="00253703"/>
    <w:rsid w:val="0025394F"/>
    <w:rsid w:val="00253C57"/>
    <w:rsid w:val="00253D5D"/>
    <w:rsid w:val="00253F4B"/>
    <w:rsid w:val="00254115"/>
    <w:rsid w:val="00254364"/>
    <w:rsid w:val="002544C4"/>
    <w:rsid w:val="00254A4D"/>
    <w:rsid w:val="00254D58"/>
    <w:rsid w:val="00255138"/>
    <w:rsid w:val="0025514E"/>
    <w:rsid w:val="0025530F"/>
    <w:rsid w:val="00255326"/>
    <w:rsid w:val="00255493"/>
    <w:rsid w:val="0025566C"/>
    <w:rsid w:val="002559A1"/>
    <w:rsid w:val="00255FBD"/>
    <w:rsid w:val="00256054"/>
    <w:rsid w:val="002561E8"/>
    <w:rsid w:val="00256564"/>
    <w:rsid w:val="00256664"/>
    <w:rsid w:val="0025674B"/>
    <w:rsid w:val="00256A25"/>
    <w:rsid w:val="00256B17"/>
    <w:rsid w:val="00257168"/>
    <w:rsid w:val="00257237"/>
    <w:rsid w:val="00257271"/>
    <w:rsid w:val="002579B2"/>
    <w:rsid w:val="00257A86"/>
    <w:rsid w:val="00257E57"/>
    <w:rsid w:val="002602FC"/>
    <w:rsid w:val="00260CC9"/>
    <w:rsid w:val="00260DEB"/>
    <w:rsid w:val="002611E3"/>
    <w:rsid w:val="00261869"/>
    <w:rsid w:val="002618DF"/>
    <w:rsid w:val="00261954"/>
    <w:rsid w:val="002619E5"/>
    <w:rsid w:val="00261A8A"/>
    <w:rsid w:val="00261CC3"/>
    <w:rsid w:val="00262374"/>
    <w:rsid w:val="002624C8"/>
    <w:rsid w:val="002626AB"/>
    <w:rsid w:val="002628E3"/>
    <w:rsid w:val="002628EB"/>
    <w:rsid w:val="00262AA2"/>
    <w:rsid w:val="00262F49"/>
    <w:rsid w:val="002631EF"/>
    <w:rsid w:val="00263217"/>
    <w:rsid w:val="00263405"/>
    <w:rsid w:val="002635C2"/>
    <w:rsid w:val="00263A58"/>
    <w:rsid w:val="00263ACC"/>
    <w:rsid w:val="00263EE4"/>
    <w:rsid w:val="00264021"/>
    <w:rsid w:val="0026445D"/>
    <w:rsid w:val="002645A9"/>
    <w:rsid w:val="002649A7"/>
    <w:rsid w:val="00264B6A"/>
    <w:rsid w:val="002650A2"/>
    <w:rsid w:val="002651D5"/>
    <w:rsid w:val="00265915"/>
    <w:rsid w:val="00265B0E"/>
    <w:rsid w:val="00265B31"/>
    <w:rsid w:val="00265F49"/>
    <w:rsid w:val="00266205"/>
    <w:rsid w:val="002662C4"/>
    <w:rsid w:val="0026634D"/>
    <w:rsid w:val="002666E8"/>
    <w:rsid w:val="00266A20"/>
    <w:rsid w:val="00266ADD"/>
    <w:rsid w:val="00266B4B"/>
    <w:rsid w:val="00266C28"/>
    <w:rsid w:val="00266CD8"/>
    <w:rsid w:val="00266D72"/>
    <w:rsid w:val="00266ED4"/>
    <w:rsid w:val="00266F96"/>
    <w:rsid w:val="00267060"/>
    <w:rsid w:val="00267364"/>
    <w:rsid w:val="0026739B"/>
    <w:rsid w:val="002678E6"/>
    <w:rsid w:val="002679E4"/>
    <w:rsid w:val="00267A85"/>
    <w:rsid w:val="0027013B"/>
    <w:rsid w:val="0027085C"/>
    <w:rsid w:val="00270992"/>
    <w:rsid w:val="00270C16"/>
    <w:rsid w:val="00270DFA"/>
    <w:rsid w:val="00270E0F"/>
    <w:rsid w:val="00270EFA"/>
    <w:rsid w:val="00270FFA"/>
    <w:rsid w:val="0027108A"/>
    <w:rsid w:val="0027118D"/>
    <w:rsid w:val="00271198"/>
    <w:rsid w:val="0027149E"/>
    <w:rsid w:val="00271720"/>
    <w:rsid w:val="00271A22"/>
    <w:rsid w:val="00271C70"/>
    <w:rsid w:val="00271EC1"/>
    <w:rsid w:val="00271F55"/>
    <w:rsid w:val="00271F6B"/>
    <w:rsid w:val="0027256B"/>
    <w:rsid w:val="00272680"/>
    <w:rsid w:val="0027275E"/>
    <w:rsid w:val="00272843"/>
    <w:rsid w:val="002728E8"/>
    <w:rsid w:val="00272BB0"/>
    <w:rsid w:val="00272C4D"/>
    <w:rsid w:val="00272CCA"/>
    <w:rsid w:val="00272DC2"/>
    <w:rsid w:val="00273327"/>
    <w:rsid w:val="00273342"/>
    <w:rsid w:val="002734B4"/>
    <w:rsid w:val="002735EF"/>
    <w:rsid w:val="00273860"/>
    <w:rsid w:val="002739D7"/>
    <w:rsid w:val="00273A31"/>
    <w:rsid w:val="00273AB0"/>
    <w:rsid w:val="00273BD1"/>
    <w:rsid w:val="00273C9F"/>
    <w:rsid w:val="00273D55"/>
    <w:rsid w:val="00274483"/>
    <w:rsid w:val="002744E5"/>
    <w:rsid w:val="002748ED"/>
    <w:rsid w:val="002749D5"/>
    <w:rsid w:val="00274D7B"/>
    <w:rsid w:val="00274DF1"/>
    <w:rsid w:val="00274EF4"/>
    <w:rsid w:val="00274FBB"/>
    <w:rsid w:val="00274FEA"/>
    <w:rsid w:val="002750D4"/>
    <w:rsid w:val="00275291"/>
    <w:rsid w:val="002756D7"/>
    <w:rsid w:val="00275717"/>
    <w:rsid w:val="0027574D"/>
    <w:rsid w:val="002759A0"/>
    <w:rsid w:val="00275A27"/>
    <w:rsid w:val="00275B78"/>
    <w:rsid w:val="00275FA1"/>
    <w:rsid w:val="002760DD"/>
    <w:rsid w:val="0027614E"/>
    <w:rsid w:val="00276822"/>
    <w:rsid w:val="00276954"/>
    <w:rsid w:val="00276AF0"/>
    <w:rsid w:val="00276CCE"/>
    <w:rsid w:val="00276CDD"/>
    <w:rsid w:val="00276E3E"/>
    <w:rsid w:val="00277064"/>
    <w:rsid w:val="00277152"/>
    <w:rsid w:val="00277240"/>
    <w:rsid w:val="00277376"/>
    <w:rsid w:val="00277610"/>
    <w:rsid w:val="0027768F"/>
    <w:rsid w:val="00277A22"/>
    <w:rsid w:val="00277A23"/>
    <w:rsid w:val="002801F3"/>
    <w:rsid w:val="0028041F"/>
    <w:rsid w:val="00280BA1"/>
    <w:rsid w:val="00280D2C"/>
    <w:rsid w:val="00280E4B"/>
    <w:rsid w:val="00280E89"/>
    <w:rsid w:val="0028108E"/>
    <w:rsid w:val="002810F9"/>
    <w:rsid w:val="002816B5"/>
    <w:rsid w:val="00281716"/>
    <w:rsid w:val="00281A87"/>
    <w:rsid w:val="00281A8E"/>
    <w:rsid w:val="00281F45"/>
    <w:rsid w:val="00281F61"/>
    <w:rsid w:val="00282AB3"/>
    <w:rsid w:val="00282ACD"/>
    <w:rsid w:val="00282D9E"/>
    <w:rsid w:val="00282E63"/>
    <w:rsid w:val="0028310E"/>
    <w:rsid w:val="00283254"/>
    <w:rsid w:val="002833FA"/>
    <w:rsid w:val="00283985"/>
    <w:rsid w:val="00283A78"/>
    <w:rsid w:val="00283AD4"/>
    <w:rsid w:val="002841BF"/>
    <w:rsid w:val="0028437F"/>
    <w:rsid w:val="00284435"/>
    <w:rsid w:val="00284715"/>
    <w:rsid w:val="00284912"/>
    <w:rsid w:val="00284B34"/>
    <w:rsid w:val="00284C15"/>
    <w:rsid w:val="00284D1A"/>
    <w:rsid w:val="0028505E"/>
    <w:rsid w:val="002850D0"/>
    <w:rsid w:val="002850E1"/>
    <w:rsid w:val="002852DB"/>
    <w:rsid w:val="0028531B"/>
    <w:rsid w:val="002857BB"/>
    <w:rsid w:val="0028582C"/>
    <w:rsid w:val="00285BDF"/>
    <w:rsid w:val="00285F1E"/>
    <w:rsid w:val="00285F27"/>
    <w:rsid w:val="00285FA8"/>
    <w:rsid w:val="0028636D"/>
    <w:rsid w:val="00286385"/>
    <w:rsid w:val="0028638B"/>
    <w:rsid w:val="002866A3"/>
    <w:rsid w:val="00286718"/>
    <w:rsid w:val="00286A0B"/>
    <w:rsid w:val="00286ADE"/>
    <w:rsid w:val="00286C1F"/>
    <w:rsid w:val="00286C77"/>
    <w:rsid w:val="00286CFD"/>
    <w:rsid w:val="00286D23"/>
    <w:rsid w:val="00286D2F"/>
    <w:rsid w:val="00286DB3"/>
    <w:rsid w:val="002876F6"/>
    <w:rsid w:val="002876F8"/>
    <w:rsid w:val="002878F6"/>
    <w:rsid w:val="002879A1"/>
    <w:rsid w:val="00287A92"/>
    <w:rsid w:val="00287D32"/>
    <w:rsid w:val="00287FAF"/>
    <w:rsid w:val="00287FBB"/>
    <w:rsid w:val="0029026E"/>
    <w:rsid w:val="002905CF"/>
    <w:rsid w:val="002906CD"/>
    <w:rsid w:val="00290889"/>
    <w:rsid w:val="002908D5"/>
    <w:rsid w:val="00290B50"/>
    <w:rsid w:val="00290CD2"/>
    <w:rsid w:val="00290DFB"/>
    <w:rsid w:val="002911F5"/>
    <w:rsid w:val="00291508"/>
    <w:rsid w:val="002915A6"/>
    <w:rsid w:val="00291C9C"/>
    <w:rsid w:val="00291D6C"/>
    <w:rsid w:val="00291ECE"/>
    <w:rsid w:val="00291F0F"/>
    <w:rsid w:val="002921EA"/>
    <w:rsid w:val="002921F8"/>
    <w:rsid w:val="00292239"/>
    <w:rsid w:val="00292D61"/>
    <w:rsid w:val="00292FBE"/>
    <w:rsid w:val="00293298"/>
    <w:rsid w:val="00293542"/>
    <w:rsid w:val="0029371B"/>
    <w:rsid w:val="002939B9"/>
    <w:rsid w:val="00293EB0"/>
    <w:rsid w:val="0029402B"/>
    <w:rsid w:val="00294198"/>
    <w:rsid w:val="00294370"/>
    <w:rsid w:val="0029457C"/>
    <w:rsid w:val="00294723"/>
    <w:rsid w:val="00294F30"/>
    <w:rsid w:val="00294F8A"/>
    <w:rsid w:val="002952D9"/>
    <w:rsid w:val="0029549A"/>
    <w:rsid w:val="002954CC"/>
    <w:rsid w:val="00295666"/>
    <w:rsid w:val="00295948"/>
    <w:rsid w:val="00295B79"/>
    <w:rsid w:val="00295D01"/>
    <w:rsid w:val="0029631D"/>
    <w:rsid w:val="00296324"/>
    <w:rsid w:val="002964DC"/>
    <w:rsid w:val="00296632"/>
    <w:rsid w:val="00296805"/>
    <w:rsid w:val="00296865"/>
    <w:rsid w:val="0029686F"/>
    <w:rsid w:val="00296940"/>
    <w:rsid w:val="00296A99"/>
    <w:rsid w:val="00296C13"/>
    <w:rsid w:val="00296E9F"/>
    <w:rsid w:val="00297629"/>
    <w:rsid w:val="00297990"/>
    <w:rsid w:val="00297B9C"/>
    <w:rsid w:val="00297BA5"/>
    <w:rsid w:val="002A037F"/>
    <w:rsid w:val="002A055F"/>
    <w:rsid w:val="002A119C"/>
    <w:rsid w:val="002A1584"/>
    <w:rsid w:val="002A15D8"/>
    <w:rsid w:val="002A192C"/>
    <w:rsid w:val="002A1A66"/>
    <w:rsid w:val="002A1B51"/>
    <w:rsid w:val="002A1DA8"/>
    <w:rsid w:val="002A1FD9"/>
    <w:rsid w:val="002A208D"/>
    <w:rsid w:val="002A2205"/>
    <w:rsid w:val="002A2328"/>
    <w:rsid w:val="002A23F9"/>
    <w:rsid w:val="002A26FA"/>
    <w:rsid w:val="002A2C98"/>
    <w:rsid w:val="002A3044"/>
    <w:rsid w:val="002A317D"/>
    <w:rsid w:val="002A32B2"/>
    <w:rsid w:val="002A339C"/>
    <w:rsid w:val="002A349B"/>
    <w:rsid w:val="002A353F"/>
    <w:rsid w:val="002A356E"/>
    <w:rsid w:val="002A3A26"/>
    <w:rsid w:val="002A3BD0"/>
    <w:rsid w:val="002A3C5E"/>
    <w:rsid w:val="002A46F2"/>
    <w:rsid w:val="002A47DB"/>
    <w:rsid w:val="002A49EA"/>
    <w:rsid w:val="002A4C35"/>
    <w:rsid w:val="002A4EC2"/>
    <w:rsid w:val="002A4ED8"/>
    <w:rsid w:val="002A50F8"/>
    <w:rsid w:val="002A52F6"/>
    <w:rsid w:val="002A565C"/>
    <w:rsid w:val="002A5939"/>
    <w:rsid w:val="002A599A"/>
    <w:rsid w:val="002A5A18"/>
    <w:rsid w:val="002A5A1B"/>
    <w:rsid w:val="002A5BEF"/>
    <w:rsid w:val="002A5D8F"/>
    <w:rsid w:val="002A5DBD"/>
    <w:rsid w:val="002A5FC4"/>
    <w:rsid w:val="002A63BF"/>
    <w:rsid w:val="002A64B3"/>
    <w:rsid w:val="002A658F"/>
    <w:rsid w:val="002A6807"/>
    <w:rsid w:val="002A682C"/>
    <w:rsid w:val="002A6A12"/>
    <w:rsid w:val="002A6D26"/>
    <w:rsid w:val="002A6D5F"/>
    <w:rsid w:val="002A6E05"/>
    <w:rsid w:val="002A6EEB"/>
    <w:rsid w:val="002A6FF4"/>
    <w:rsid w:val="002A70CC"/>
    <w:rsid w:val="002A72DA"/>
    <w:rsid w:val="002A72E7"/>
    <w:rsid w:val="002A7406"/>
    <w:rsid w:val="002A7765"/>
    <w:rsid w:val="002A77F3"/>
    <w:rsid w:val="002A7880"/>
    <w:rsid w:val="002A7A2A"/>
    <w:rsid w:val="002A7D58"/>
    <w:rsid w:val="002A7DB5"/>
    <w:rsid w:val="002A7DF6"/>
    <w:rsid w:val="002A7E0E"/>
    <w:rsid w:val="002A7F38"/>
    <w:rsid w:val="002B043F"/>
    <w:rsid w:val="002B05A2"/>
    <w:rsid w:val="002B07C7"/>
    <w:rsid w:val="002B07D3"/>
    <w:rsid w:val="002B0938"/>
    <w:rsid w:val="002B096B"/>
    <w:rsid w:val="002B09D9"/>
    <w:rsid w:val="002B0BF2"/>
    <w:rsid w:val="002B0C97"/>
    <w:rsid w:val="002B0D0D"/>
    <w:rsid w:val="002B0EC1"/>
    <w:rsid w:val="002B0EF9"/>
    <w:rsid w:val="002B0F07"/>
    <w:rsid w:val="002B0F74"/>
    <w:rsid w:val="002B105D"/>
    <w:rsid w:val="002B1141"/>
    <w:rsid w:val="002B11BB"/>
    <w:rsid w:val="002B1259"/>
    <w:rsid w:val="002B1617"/>
    <w:rsid w:val="002B1765"/>
    <w:rsid w:val="002B1A7F"/>
    <w:rsid w:val="002B1B73"/>
    <w:rsid w:val="002B1C49"/>
    <w:rsid w:val="002B1D7C"/>
    <w:rsid w:val="002B208E"/>
    <w:rsid w:val="002B20EC"/>
    <w:rsid w:val="002B22E0"/>
    <w:rsid w:val="002B2524"/>
    <w:rsid w:val="002B257B"/>
    <w:rsid w:val="002B28BC"/>
    <w:rsid w:val="002B2949"/>
    <w:rsid w:val="002B2A12"/>
    <w:rsid w:val="002B2B97"/>
    <w:rsid w:val="002B2C62"/>
    <w:rsid w:val="002B2DEE"/>
    <w:rsid w:val="002B2E9F"/>
    <w:rsid w:val="002B2F5E"/>
    <w:rsid w:val="002B3189"/>
    <w:rsid w:val="002B31E3"/>
    <w:rsid w:val="002B338F"/>
    <w:rsid w:val="002B3457"/>
    <w:rsid w:val="002B3769"/>
    <w:rsid w:val="002B3986"/>
    <w:rsid w:val="002B3A7F"/>
    <w:rsid w:val="002B3AB6"/>
    <w:rsid w:val="002B3C10"/>
    <w:rsid w:val="002B3E6E"/>
    <w:rsid w:val="002B3F36"/>
    <w:rsid w:val="002B4035"/>
    <w:rsid w:val="002B4054"/>
    <w:rsid w:val="002B444A"/>
    <w:rsid w:val="002B4524"/>
    <w:rsid w:val="002B4734"/>
    <w:rsid w:val="002B4981"/>
    <w:rsid w:val="002B4D0B"/>
    <w:rsid w:val="002B4E59"/>
    <w:rsid w:val="002B4F17"/>
    <w:rsid w:val="002B531F"/>
    <w:rsid w:val="002B53A9"/>
    <w:rsid w:val="002B5550"/>
    <w:rsid w:val="002B59DD"/>
    <w:rsid w:val="002B6027"/>
    <w:rsid w:val="002B64FC"/>
    <w:rsid w:val="002B6561"/>
    <w:rsid w:val="002B6668"/>
    <w:rsid w:val="002B6857"/>
    <w:rsid w:val="002B68F6"/>
    <w:rsid w:val="002B6C89"/>
    <w:rsid w:val="002B6D92"/>
    <w:rsid w:val="002B6E80"/>
    <w:rsid w:val="002B6FAD"/>
    <w:rsid w:val="002B725E"/>
    <w:rsid w:val="002B72C6"/>
    <w:rsid w:val="002B74E7"/>
    <w:rsid w:val="002B7851"/>
    <w:rsid w:val="002B79CD"/>
    <w:rsid w:val="002B7B48"/>
    <w:rsid w:val="002B7CCD"/>
    <w:rsid w:val="002B7DD8"/>
    <w:rsid w:val="002C0104"/>
    <w:rsid w:val="002C0755"/>
    <w:rsid w:val="002C07A3"/>
    <w:rsid w:val="002C0936"/>
    <w:rsid w:val="002C098C"/>
    <w:rsid w:val="002C0990"/>
    <w:rsid w:val="002C0A25"/>
    <w:rsid w:val="002C1119"/>
    <w:rsid w:val="002C187E"/>
    <w:rsid w:val="002C1B39"/>
    <w:rsid w:val="002C22B4"/>
    <w:rsid w:val="002C248F"/>
    <w:rsid w:val="002C27CE"/>
    <w:rsid w:val="002C2CE6"/>
    <w:rsid w:val="002C3017"/>
    <w:rsid w:val="002C3140"/>
    <w:rsid w:val="002C358D"/>
    <w:rsid w:val="002C39BB"/>
    <w:rsid w:val="002C3D6D"/>
    <w:rsid w:val="002C3DE7"/>
    <w:rsid w:val="002C417C"/>
    <w:rsid w:val="002C43E5"/>
    <w:rsid w:val="002C4896"/>
    <w:rsid w:val="002C48FA"/>
    <w:rsid w:val="002C48FD"/>
    <w:rsid w:val="002C4968"/>
    <w:rsid w:val="002C4AD8"/>
    <w:rsid w:val="002C4D10"/>
    <w:rsid w:val="002C4EE5"/>
    <w:rsid w:val="002C4F7A"/>
    <w:rsid w:val="002C5174"/>
    <w:rsid w:val="002C5384"/>
    <w:rsid w:val="002C54A6"/>
    <w:rsid w:val="002C5553"/>
    <w:rsid w:val="002C55D6"/>
    <w:rsid w:val="002C561E"/>
    <w:rsid w:val="002C59B2"/>
    <w:rsid w:val="002C59C2"/>
    <w:rsid w:val="002C611F"/>
    <w:rsid w:val="002C6586"/>
    <w:rsid w:val="002C66EE"/>
    <w:rsid w:val="002C6789"/>
    <w:rsid w:val="002C6818"/>
    <w:rsid w:val="002C6C49"/>
    <w:rsid w:val="002C6DAE"/>
    <w:rsid w:val="002C6E63"/>
    <w:rsid w:val="002C7071"/>
    <w:rsid w:val="002C72A9"/>
    <w:rsid w:val="002C738C"/>
    <w:rsid w:val="002C776E"/>
    <w:rsid w:val="002C797D"/>
    <w:rsid w:val="002C7986"/>
    <w:rsid w:val="002C7CBC"/>
    <w:rsid w:val="002C7F68"/>
    <w:rsid w:val="002D0374"/>
    <w:rsid w:val="002D047C"/>
    <w:rsid w:val="002D06AB"/>
    <w:rsid w:val="002D083C"/>
    <w:rsid w:val="002D0919"/>
    <w:rsid w:val="002D0C8E"/>
    <w:rsid w:val="002D0F83"/>
    <w:rsid w:val="002D1377"/>
    <w:rsid w:val="002D145A"/>
    <w:rsid w:val="002D15C1"/>
    <w:rsid w:val="002D16F4"/>
    <w:rsid w:val="002D1709"/>
    <w:rsid w:val="002D1716"/>
    <w:rsid w:val="002D1726"/>
    <w:rsid w:val="002D19CD"/>
    <w:rsid w:val="002D1DB6"/>
    <w:rsid w:val="002D2175"/>
    <w:rsid w:val="002D232C"/>
    <w:rsid w:val="002D28A8"/>
    <w:rsid w:val="002D2925"/>
    <w:rsid w:val="002D29FE"/>
    <w:rsid w:val="002D2A48"/>
    <w:rsid w:val="002D2DFA"/>
    <w:rsid w:val="002D3048"/>
    <w:rsid w:val="002D34C9"/>
    <w:rsid w:val="002D358F"/>
    <w:rsid w:val="002D39F8"/>
    <w:rsid w:val="002D3A15"/>
    <w:rsid w:val="002D3A33"/>
    <w:rsid w:val="002D3EBB"/>
    <w:rsid w:val="002D3F08"/>
    <w:rsid w:val="002D40BB"/>
    <w:rsid w:val="002D43BB"/>
    <w:rsid w:val="002D4548"/>
    <w:rsid w:val="002D454C"/>
    <w:rsid w:val="002D45BC"/>
    <w:rsid w:val="002D47D5"/>
    <w:rsid w:val="002D4850"/>
    <w:rsid w:val="002D4A2B"/>
    <w:rsid w:val="002D4C70"/>
    <w:rsid w:val="002D51E9"/>
    <w:rsid w:val="002D5831"/>
    <w:rsid w:val="002D58A5"/>
    <w:rsid w:val="002D5F54"/>
    <w:rsid w:val="002D643A"/>
    <w:rsid w:val="002D649F"/>
    <w:rsid w:val="002D6780"/>
    <w:rsid w:val="002D688F"/>
    <w:rsid w:val="002D6894"/>
    <w:rsid w:val="002D6E3F"/>
    <w:rsid w:val="002D6FC2"/>
    <w:rsid w:val="002D781A"/>
    <w:rsid w:val="002D7BCD"/>
    <w:rsid w:val="002E00BA"/>
    <w:rsid w:val="002E0233"/>
    <w:rsid w:val="002E07F3"/>
    <w:rsid w:val="002E0C1E"/>
    <w:rsid w:val="002E1064"/>
    <w:rsid w:val="002E11E5"/>
    <w:rsid w:val="002E1401"/>
    <w:rsid w:val="002E16AA"/>
    <w:rsid w:val="002E1A83"/>
    <w:rsid w:val="002E2260"/>
    <w:rsid w:val="002E25BD"/>
    <w:rsid w:val="002E2718"/>
    <w:rsid w:val="002E2953"/>
    <w:rsid w:val="002E2B95"/>
    <w:rsid w:val="002E2F45"/>
    <w:rsid w:val="002E3155"/>
    <w:rsid w:val="002E36D1"/>
    <w:rsid w:val="002E3B33"/>
    <w:rsid w:val="002E3BB0"/>
    <w:rsid w:val="002E3BFF"/>
    <w:rsid w:val="002E40D0"/>
    <w:rsid w:val="002E4119"/>
    <w:rsid w:val="002E428C"/>
    <w:rsid w:val="002E433C"/>
    <w:rsid w:val="002E448A"/>
    <w:rsid w:val="002E4803"/>
    <w:rsid w:val="002E49E2"/>
    <w:rsid w:val="002E4AD2"/>
    <w:rsid w:val="002E4F72"/>
    <w:rsid w:val="002E516F"/>
    <w:rsid w:val="002E5281"/>
    <w:rsid w:val="002E572F"/>
    <w:rsid w:val="002E5851"/>
    <w:rsid w:val="002E596A"/>
    <w:rsid w:val="002E5A0E"/>
    <w:rsid w:val="002E5A24"/>
    <w:rsid w:val="002E5A29"/>
    <w:rsid w:val="002E5D66"/>
    <w:rsid w:val="002E5D96"/>
    <w:rsid w:val="002E5DBE"/>
    <w:rsid w:val="002E5FB7"/>
    <w:rsid w:val="002E60D9"/>
    <w:rsid w:val="002E617C"/>
    <w:rsid w:val="002E629E"/>
    <w:rsid w:val="002E6619"/>
    <w:rsid w:val="002E663B"/>
    <w:rsid w:val="002E66CB"/>
    <w:rsid w:val="002E6991"/>
    <w:rsid w:val="002E6F5F"/>
    <w:rsid w:val="002E71DC"/>
    <w:rsid w:val="002E745F"/>
    <w:rsid w:val="002E768A"/>
    <w:rsid w:val="002E7756"/>
    <w:rsid w:val="002E7AB1"/>
    <w:rsid w:val="002E7B0D"/>
    <w:rsid w:val="002E7DC9"/>
    <w:rsid w:val="002E7E64"/>
    <w:rsid w:val="002E7E65"/>
    <w:rsid w:val="002F0071"/>
    <w:rsid w:val="002F042E"/>
    <w:rsid w:val="002F06CC"/>
    <w:rsid w:val="002F06F2"/>
    <w:rsid w:val="002F06FB"/>
    <w:rsid w:val="002F0792"/>
    <w:rsid w:val="002F0B71"/>
    <w:rsid w:val="002F0D21"/>
    <w:rsid w:val="002F0DF4"/>
    <w:rsid w:val="002F0EDA"/>
    <w:rsid w:val="002F10E3"/>
    <w:rsid w:val="002F11D8"/>
    <w:rsid w:val="002F1296"/>
    <w:rsid w:val="002F1696"/>
    <w:rsid w:val="002F173B"/>
    <w:rsid w:val="002F1CE8"/>
    <w:rsid w:val="002F1D91"/>
    <w:rsid w:val="002F1FE6"/>
    <w:rsid w:val="002F214C"/>
    <w:rsid w:val="002F2214"/>
    <w:rsid w:val="002F2881"/>
    <w:rsid w:val="002F3522"/>
    <w:rsid w:val="002F3713"/>
    <w:rsid w:val="002F3729"/>
    <w:rsid w:val="002F3778"/>
    <w:rsid w:val="002F3838"/>
    <w:rsid w:val="002F3D7C"/>
    <w:rsid w:val="002F4377"/>
    <w:rsid w:val="002F44FE"/>
    <w:rsid w:val="002F4521"/>
    <w:rsid w:val="002F47BA"/>
    <w:rsid w:val="002F4846"/>
    <w:rsid w:val="002F498F"/>
    <w:rsid w:val="002F4993"/>
    <w:rsid w:val="002F4B2D"/>
    <w:rsid w:val="002F4D0B"/>
    <w:rsid w:val="002F4F7D"/>
    <w:rsid w:val="002F53D0"/>
    <w:rsid w:val="002F5421"/>
    <w:rsid w:val="002F5550"/>
    <w:rsid w:val="002F56E2"/>
    <w:rsid w:val="002F5983"/>
    <w:rsid w:val="002F59B1"/>
    <w:rsid w:val="002F5EED"/>
    <w:rsid w:val="002F6185"/>
    <w:rsid w:val="002F63B5"/>
    <w:rsid w:val="002F646B"/>
    <w:rsid w:val="002F6542"/>
    <w:rsid w:val="002F6563"/>
    <w:rsid w:val="002F663B"/>
    <w:rsid w:val="002F6697"/>
    <w:rsid w:val="002F6753"/>
    <w:rsid w:val="002F68B2"/>
    <w:rsid w:val="002F6B8D"/>
    <w:rsid w:val="002F6BC8"/>
    <w:rsid w:val="002F6ECC"/>
    <w:rsid w:val="002F70F8"/>
    <w:rsid w:val="002F742E"/>
    <w:rsid w:val="002F7491"/>
    <w:rsid w:val="002F75FD"/>
    <w:rsid w:val="002F77F3"/>
    <w:rsid w:val="002F7A19"/>
    <w:rsid w:val="002F7B96"/>
    <w:rsid w:val="002F7BA5"/>
    <w:rsid w:val="003000BF"/>
    <w:rsid w:val="003001E2"/>
    <w:rsid w:val="0030026D"/>
    <w:rsid w:val="00300496"/>
    <w:rsid w:val="0030053B"/>
    <w:rsid w:val="003007E3"/>
    <w:rsid w:val="00300802"/>
    <w:rsid w:val="00300B81"/>
    <w:rsid w:val="00300C93"/>
    <w:rsid w:val="00300E7F"/>
    <w:rsid w:val="003016B5"/>
    <w:rsid w:val="00301C43"/>
    <w:rsid w:val="00301C5C"/>
    <w:rsid w:val="00301CFC"/>
    <w:rsid w:val="00301D3C"/>
    <w:rsid w:val="00301E8A"/>
    <w:rsid w:val="003022C4"/>
    <w:rsid w:val="00302564"/>
    <w:rsid w:val="00302699"/>
    <w:rsid w:val="00302738"/>
    <w:rsid w:val="003027E0"/>
    <w:rsid w:val="00302871"/>
    <w:rsid w:val="003028AD"/>
    <w:rsid w:val="0030292B"/>
    <w:rsid w:val="00302AFB"/>
    <w:rsid w:val="00302B0F"/>
    <w:rsid w:val="00302E55"/>
    <w:rsid w:val="003032D9"/>
    <w:rsid w:val="0030337F"/>
    <w:rsid w:val="003034FF"/>
    <w:rsid w:val="003036A2"/>
    <w:rsid w:val="00303AAE"/>
    <w:rsid w:val="00303B07"/>
    <w:rsid w:val="00303B0D"/>
    <w:rsid w:val="0030448A"/>
    <w:rsid w:val="003048BB"/>
    <w:rsid w:val="003048F7"/>
    <w:rsid w:val="00304931"/>
    <w:rsid w:val="0030494A"/>
    <w:rsid w:val="00304B5B"/>
    <w:rsid w:val="00304BC6"/>
    <w:rsid w:val="00305191"/>
    <w:rsid w:val="00305242"/>
    <w:rsid w:val="003053AE"/>
    <w:rsid w:val="003053C7"/>
    <w:rsid w:val="003053F7"/>
    <w:rsid w:val="003059EB"/>
    <w:rsid w:val="00305B9F"/>
    <w:rsid w:val="00305CA9"/>
    <w:rsid w:val="00305CCC"/>
    <w:rsid w:val="00305DAE"/>
    <w:rsid w:val="00306355"/>
    <w:rsid w:val="0030659D"/>
    <w:rsid w:val="003067E4"/>
    <w:rsid w:val="0030698F"/>
    <w:rsid w:val="00306A4B"/>
    <w:rsid w:val="003070BC"/>
    <w:rsid w:val="0030734A"/>
    <w:rsid w:val="003074E3"/>
    <w:rsid w:val="003075E6"/>
    <w:rsid w:val="00307688"/>
    <w:rsid w:val="00307B3C"/>
    <w:rsid w:val="00307DAE"/>
    <w:rsid w:val="003101B5"/>
    <w:rsid w:val="00310219"/>
    <w:rsid w:val="00310421"/>
    <w:rsid w:val="00310873"/>
    <w:rsid w:val="0031092E"/>
    <w:rsid w:val="003109F9"/>
    <w:rsid w:val="00310C96"/>
    <w:rsid w:val="00310CC8"/>
    <w:rsid w:val="003118B1"/>
    <w:rsid w:val="00311975"/>
    <w:rsid w:val="00311A72"/>
    <w:rsid w:val="00311C0E"/>
    <w:rsid w:val="00312130"/>
    <w:rsid w:val="003121EE"/>
    <w:rsid w:val="00312427"/>
    <w:rsid w:val="003126A5"/>
    <w:rsid w:val="0031270C"/>
    <w:rsid w:val="00312A30"/>
    <w:rsid w:val="00312F75"/>
    <w:rsid w:val="003132EA"/>
    <w:rsid w:val="0031371A"/>
    <w:rsid w:val="0031388E"/>
    <w:rsid w:val="00313952"/>
    <w:rsid w:val="003139EB"/>
    <w:rsid w:val="00313B5F"/>
    <w:rsid w:val="00313B9B"/>
    <w:rsid w:val="00313CAE"/>
    <w:rsid w:val="00313D39"/>
    <w:rsid w:val="00313EE0"/>
    <w:rsid w:val="00313F43"/>
    <w:rsid w:val="00314495"/>
    <w:rsid w:val="00314679"/>
    <w:rsid w:val="003148F3"/>
    <w:rsid w:val="00314B1E"/>
    <w:rsid w:val="00314C52"/>
    <w:rsid w:val="00314C8E"/>
    <w:rsid w:val="00314D0F"/>
    <w:rsid w:val="00314D85"/>
    <w:rsid w:val="00314D8C"/>
    <w:rsid w:val="0031529E"/>
    <w:rsid w:val="003153FB"/>
    <w:rsid w:val="00315420"/>
    <w:rsid w:val="00315482"/>
    <w:rsid w:val="003155E4"/>
    <w:rsid w:val="00315614"/>
    <w:rsid w:val="003156FA"/>
    <w:rsid w:val="00315709"/>
    <w:rsid w:val="00315B64"/>
    <w:rsid w:val="00315DEF"/>
    <w:rsid w:val="00315EE0"/>
    <w:rsid w:val="0031605A"/>
    <w:rsid w:val="00316076"/>
    <w:rsid w:val="003166AF"/>
    <w:rsid w:val="003168A3"/>
    <w:rsid w:val="00316A06"/>
    <w:rsid w:val="00316E6A"/>
    <w:rsid w:val="003171CA"/>
    <w:rsid w:val="00317526"/>
    <w:rsid w:val="00317722"/>
    <w:rsid w:val="00317784"/>
    <w:rsid w:val="00317A61"/>
    <w:rsid w:val="00317E7E"/>
    <w:rsid w:val="00317F74"/>
    <w:rsid w:val="0032023F"/>
    <w:rsid w:val="00320438"/>
    <w:rsid w:val="003208C6"/>
    <w:rsid w:val="00320BB6"/>
    <w:rsid w:val="00320E3A"/>
    <w:rsid w:val="00321031"/>
    <w:rsid w:val="0032121E"/>
    <w:rsid w:val="003212E6"/>
    <w:rsid w:val="0032131F"/>
    <w:rsid w:val="003216D8"/>
    <w:rsid w:val="0032170C"/>
    <w:rsid w:val="00321A69"/>
    <w:rsid w:val="00321BF0"/>
    <w:rsid w:val="003220C7"/>
    <w:rsid w:val="0032241D"/>
    <w:rsid w:val="0032249D"/>
    <w:rsid w:val="003226A3"/>
    <w:rsid w:val="00322888"/>
    <w:rsid w:val="00322BA1"/>
    <w:rsid w:val="00322C21"/>
    <w:rsid w:val="0032300C"/>
    <w:rsid w:val="0032307E"/>
    <w:rsid w:val="00323259"/>
    <w:rsid w:val="003232F4"/>
    <w:rsid w:val="0032331A"/>
    <w:rsid w:val="0032347E"/>
    <w:rsid w:val="00323AA8"/>
    <w:rsid w:val="00323B7E"/>
    <w:rsid w:val="00323DDE"/>
    <w:rsid w:val="003240ED"/>
    <w:rsid w:val="003243AC"/>
    <w:rsid w:val="00324444"/>
    <w:rsid w:val="003244C4"/>
    <w:rsid w:val="00324690"/>
    <w:rsid w:val="0032478D"/>
    <w:rsid w:val="0032479B"/>
    <w:rsid w:val="003247F4"/>
    <w:rsid w:val="00324A8F"/>
    <w:rsid w:val="00324B66"/>
    <w:rsid w:val="00324E73"/>
    <w:rsid w:val="00324EFE"/>
    <w:rsid w:val="00324F7D"/>
    <w:rsid w:val="003250EE"/>
    <w:rsid w:val="003253B4"/>
    <w:rsid w:val="003253FF"/>
    <w:rsid w:val="00325479"/>
    <w:rsid w:val="003256AE"/>
    <w:rsid w:val="003256C8"/>
    <w:rsid w:val="003259F5"/>
    <w:rsid w:val="00325C26"/>
    <w:rsid w:val="00325CE5"/>
    <w:rsid w:val="00325F2C"/>
    <w:rsid w:val="00325F87"/>
    <w:rsid w:val="0032632E"/>
    <w:rsid w:val="003263A3"/>
    <w:rsid w:val="00326873"/>
    <w:rsid w:val="00326952"/>
    <w:rsid w:val="00326A3E"/>
    <w:rsid w:val="00326AF2"/>
    <w:rsid w:val="00326C1E"/>
    <w:rsid w:val="00326C3B"/>
    <w:rsid w:val="00326D29"/>
    <w:rsid w:val="00326DCF"/>
    <w:rsid w:val="003277A6"/>
    <w:rsid w:val="00327851"/>
    <w:rsid w:val="0032796C"/>
    <w:rsid w:val="00327B25"/>
    <w:rsid w:val="00327E9C"/>
    <w:rsid w:val="00327F39"/>
    <w:rsid w:val="00327FC3"/>
    <w:rsid w:val="003300C8"/>
    <w:rsid w:val="0033014C"/>
    <w:rsid w:val="0033019D"/>
    <w:rsid w:val="003301FB"/>
    <w:rsid w:val="003303BC"/>
    <w:rsid w:val="00330640"/>
    <w:rsid w:val="0033074D"/>
    <w:rsid w:val="00330969"/>
    <w:rsid w:val="00330A3C"/>
    <w:rsid w:val="00330B44"/>
    <w:rsid w:val="00330EB7"/>
    <w:rsid w:val="003312AA"/>
    <w:rsid w:val="00331318"/>
    <w:rsid w:val="00331452"/>
    <w:rsid w:val="003314C9"/>
    <w:rsid w:val="00331664"/>
    <w:rsid w:val="00331731"/>
    <w:rsid w:val="0033174F"/>
    <w:rsid w:val="00331BA6"/>
    <w:rsid w:val="00331E84"/>
    <w:rsid w:val="00332050"/>
    <w:rsid w:val="003322E1"/>
    <w:rsid w:val="00332415"/>
    <w:rsid w:val="0033273B"/>
    <w:rsid w:val="003328A6"/>
    <w:rsid w:val="0033293C"/>
    <w:rsid w:val="00332A70"/>
    <w:rsid w:val="00332B9C"/>
    <w:rsid w:val="00332E61"/>
    <w:rsid w:val="00333092"/>
    <w:rsid w:val="003330EE"/>
    <w:rsid w:val="003332DE"/>
    <w:rsid w:val="00333379"/>
    <w:rsid w:val="0033339B"/>
    <w:rsid w:val="003334CE"/>
    <w:rsid w:val="0033391A"/>
    <w:rsid w:val="0033399E"/>
    <w:rsid w:val="00333EED"/>
    <w:rsid w:val="00334325"/>
    <w:rsid w:val="003343B5"/>
    <w:rsid w:val="003343D5"/>
    <w:rsid w:val="003344D1"/>
    <w:rsid w:val="00334AAE"/>
    <w:rsid w:val="00334BEA"/>
    <w:rsid w:val="00334C23"/>
    <w:rsid w:val="00334DD4"/>
    <w:rsid w:val="0033515B"/>
    <w:rsid w:val="00335195"/>
    <w:rsid w:val="003353B6"/>
    <w:rsid w:val="0033551F"/>
    <w:rsid w:val="003358B8"/>
    <w:rsid w:val="00335A2B"/>
    <w:rsid w:val="003362C1"/>
    <w:rsid w:val="00336673"/>
    <w:rsid w:val="00336B8B"/>
    <w:rsid w:val="00336B93"/>
    <w:rsid w:val="00336F1F"/>
    <w:rsid w:val="003376CA"/>
    <w:rsid w:val="00337A21"/>
    <w:rsid w:val="00337CCA"/>
    <w:rsid w:val="00337FF1"/>
    <w:rsid w:val="003404A4"/>
    <w:rsid w:val="00340806"/>
    <w:rsid w:val="00340817"/>
    <w:rsid w:val="00340AB1"/>
    <w:rsid w:val="00340CB6"/>
    <w:rsid w:val="0034124E"/>
    <w:rsid w:val="00341918"/>
    <w:rsid w:val="003419EB"/>
    <w:rsid w:val="00341C7F"/>
    <w:rsid w:val="00341FFE"/>
    <w:rsid w:val="0034216A"/>
    <w:rsid w:val="003421D8"/>
    <w:rsid w:val="00342420"/>
    <w:rsid w:val="003425BE"/>
    <w:rsid w:val="003426E1"/>
    <w:rsid w:val="00342D05"/>
    <w:rsid w:val="00342EB3"/>
    <w:rsid w:val="003431C3"/>
    <w:rsid w:val="00343386"/>
    <w:rsid w:val="00343560"/>
    <w:rsid w:val="00343565"/>
    <w:rsid w:val="00343610"/>
    <w:rsid w:val="00343A78"/>
    <w:rsid w:val="00343C26"/>
    <w:rsid w:val="00343C5A"/>
    <w:rsid w:val="00343CD1"/>
    <w:rsid w:val="00343DF4"/>
    <w:rsid w:val="003441B3"/>
    <w:rsid w:val="0034423D"/>
    <w:rsid w:val="003442F6"/>
    <w:rsid w:val="00344349"/>
    <w:rsid w:val="003446DD"/>
    <w:rsid w:val="003450A8"/>
    <w:rsid w:val="00345427"/>
    <w:rsid w:val="00345A97"/>
    <w:rsid w:val="00345BCF"/>
    <w:rsid w:val="00345BE0"/>
    <w:rsid w:val="00345C1E"/>
    <w:rsid w:val="00345CF6"/>
    <w:rsid w:val="00345D16"/>
    <w:rsid w:val="00345F5B"/>
    <w:rsid w:val="0034605B"/>
    <w:rsid w:val="003461B2"/>
    <w:rsid w:val="00346760"/>
    <w:rsid w:val="00346AD5"/>
    <w:rsid w:val="00346E38"/>
    <w:rsid w:val="00346E7C"/>
    <w:rsid w:val="00347123"/>
    <w:rsid w:val="00347129"/>
    <w:rsid w:val="0034736C"/>
    <w:rsid w:val="00347678"/>
    <w:rsid w:val="003478DA"/>
    <w:rsid w:val="00347AA6"/>
    <w:rsid w:val="00347B1A"/>
    <w:rsid w:val="00347CD3"/>
    <w:rsid w:val="00347E25"/>
    <w:rsid w:val="00347F14"/>
    <w:rsid w:val="0035037F"/>
    <w:rsid w:val="0035038D"/>
    <w:rsid w:val="0035097E"/>
    <w:rsid w:val="00350C06"/>
    <w:rsid w:val="00350E09"/>
    <w:rsid w:val="003515ED"/>
    <w:rsid w:val="00352BBF"/>
    <w:rsid w:val="00352C05"/>
    <w:rsid w:val="00352C49"/>
    <w:rsid w:val="00352E00"/>
    <w:rsid w:val="003530ED"/>
    <w:rsid w:val="0035320A"/>
    <w:rsid w:val="0035335D"/>
    <w:rsid w:val="0035337E"/>
    <w:rsid w:val="0035369C"/>
    <w:rsid w:val="003539AC"/>
    <w:rsid w:val="00353A6B"/>
    <w:rsid w:val="00353C2C"/>
    <w:rsid w:val="00353E70"/>
    <w:rsid w:val="00353F9D"/>
    <w:rsid w:val="003541F2"/>
    <w:rsid w:val="0035427D"/>
    <w:rsid w:val="0035440F"/>
    <w:rsid w:val="003545D9"/>
    <w:rsid w:val="00354E3F"/>
    <w:rsid w:val="003553AB"/>
    <w:rsid w:val="00355437"/>
    <w:rsid w:val="00355647"/>
    <w:rsid w:val="00355842"/>
    <w:rsid w:val="0035591C"/>
    <w:rsid w:val="00355B43"/>
    <w:rsid w:val="00355BF9"/>
    <w:rsid w:val="00355C31"/>
    <w:rsid w:val="00355C9A"/>
    <w:rsid w:val="00355E28"/>
    <w:rsid w:val="00355FF2"/>
    <w:rsid w:val="00356455"/>
    <w:rsid w:val="00356904"/>
    <w:rsid w:val="003569C4"/>
    <w:rsid w:val="00356AB2"/>
    <w:rsid w:val="00356B61"/>
    <w:rsid w:val="00356BA5"/>
    <w:rsid w:val="00356C46"/>
    <w:rsid w:val="00357251"/>
    <w:rsid w:val="00357444"/>
    <w:rsid w:val="0035747F"/>
    <w:rsid w:val="003575F8"/>
    <w:rsid w:val="003579A8"/>
    <w:rsid w:val="00357B5F"/>
    <w:rsid w:val="00357F24"/>
    <w:rsid w:val="0036015B"/>
    <w:rsid w:val="003601BE"/>
    <w:rsid w:val="0036027B"/>
    <w:rsid w:val="003603DF"/>
    <w:rsid w:val="003607AB"/>
    <w:rsid w:val="00360AEE"/>
    <w:rsid w:val="00360C19"/>
    <w:rsid w:val="00360D9B"/>
    <w:rsid w:val="003610EB"/>
    <w:rsid w:val="00361804"/>
    <w:rsid w:val="00361EE2"/>
    <w:rsid w:val="003620E0"/>
    <w:rsid w:val="003624FD"/>
    <w:rsid w:val="0036263D"/>
    <w:rsid w:val="003626B8"/>
    <w:rsid w:val="00362BF7"/>
    <w:rsid w:val="00362DEB"/>
    <w:rsid w:val="00362F3B"/>
    <w:rsid w:val="0036319D"/>
    <w:rsid w:val="003632C5"/>
    <w:rsid w:val="0036337E"/>
    <w:rsid w:val="003634AB"/>
    <w:rsid w:val="00363548"/>
    <w:rsid w:val="003635C6"/>
    <w:rsid w:val="0036387A"/>
    <w:rsid w:val="00363883"/>
    <w:rsid w:val="0036393F"/>
    <w:rsid w:val="00363940"/>
    <w:rsid w:val="00363D7D"/>
    <w:rsid w:val="003640C9"/>
    <w:rsid w:val="003641DD"/>
    <w:rsid w:val="00364331"/>
    <w:rsid w:val="003644A7"/>
    <w:rsid w:val="0036454E"/>
    <w:rsid w:val="003648D9"/>
    <w:rsid w:val="00364AA6"/>
    <w:rsid w:val="00364C06"/>
    <w:rsid w:val="00364D05"/>
    <w:rsid w:val="00364F2F"/>
    <w:rsid w:val="00364F60"/>
    <w:rsid w:val="0036506F"/>
    <w:rsid w:val="0036527B"/>
    <w:rsid w:val="00365652"/>
    <w:rsid w:val="00365849"/>
    <w:rsid w:val="00365B7C"/>
    <w:rsid w:val="00365C8E"/>
    <w:rsid w:val="00365E2B"/>
    <w:rsid w:val="0036625E"/>
    <w:rsid w:val="003662FA"/>
    <w:rsid w:val="003664B2"/>
    <w:rsid w:val="00366693"/>
    <w:rsid w:val="0036677D"/>
    <w:rsid w:val="0036678B"/>
    <w:rsid w:val="00366ACC"/>
    <w:rsid w:val="00366F12"/>
    <w:rsid w:val="00366F36"/>
    <w:rsid w:val="00367091"/>
    <w:rsid w:val="003670CA"/>
    <w:rsid w:val="00367596"/>
    <w:rsid w:val="00367ED7"/>
    <w:rsid w:val="00367FA3"/>
    <w:rsid w:val="0037026F"/>
    <w:rsid w:val="0037051A"/>
    <w:rsid w:val="0037064B"/>
    <w:rsid w:val="0037082F"/>
    <w:rsid w:val="00370CA8"/>
    <w:rsid w:val="00370CE7"/>
    <w:rsid w:val="00370E02"/>
    <w:rsid w:val="003710BD"/>
    <w:rsid w:val="0037186E"/>
    <w:rsid w:val="0037189E"/>
    <w:rsid w:val="00371AA3"/>
    <w:rsid w:val="00371D67"/>
    <w:rsid w:val="0037235B"/>
    <w:rsid w:val="00372632"/>
    <w:rsid w:val="003726A8"/>
    <w:rsid w:val="00372858"/>
    <w:rsid w:val="00372D75"/>
    <w:rsid w:val="00372E10"/>
    <w:rsid w:val="0037301B"/>
    <w:rsid w:val="00373428"/>
    <w:rsid w:val="00373525"/>
    <w:rsid w:val="003741C4"/>
    <w:rsid w:val="003741CE"/>
    <w:rsid w:val="003744BF"/>
    <w:rsid w:val="003744FD"/>
    <w:rsid w:val="00374624"/>
    <w:rsid w:val="00374C2F"/>
    <w:rsid w:val="00374D5B"/>
    <w:rsid w:val="00374FF2"/>
    <w:rsid w:val="003755E6"/>
    <w:rsid w:val="00375714"/>
    <w:rsid w:val="003757C7"/>
    <w:rsid w:val="00375801"/>
    <w:rsid w:val="00375A4A"/>
    <w:rsid w:val="00375A8A"/>
    <w:rsid w:val="00375FA0"/>
    <w:rsid w:val="00376429"/>
    <w:rsid w:val="0037659A"/>
    <w:rsid w:val="003766DB"/>
    <w:rsid w:val="00376CD2"/>
    <w:rsid w:val="00376CDA"/>
    <w:rsid w:val="00376EC4"/>
    <w:rsid w:val="00377575"/>
    <w:rsid w:val="0037759A"/>
    <w:rsid w:val="00377EF9"/>
    <w:rsid w:val="0038021E"/>
    <w:rsid w:val="0038026D"/>
    <w:rsid w:val="00380342"/>
    <w:rsid w:val="00380856"/>
    <w:rsid w:val="0038091D"/>
    <w:rsid w:val="00380A09"/>
    <w:rsid w:val="00380D34"/>
    <w:rsid w:val="00380EBD"/>
    <w:rsid w:val="00381136"/>
    <w:rsid w:val="003813E1"/>
    <w:rsid w:val="00381799"/>
    <w:rsid w:val="00381A9C"/>
    <w:rsid w:val="00381DA3"/>
    <w:rsid w:val="00381FF6"/>
    <w:rsid w:val="00381FFD"/>
    <w:rsid w:val="003821F1"/>
    <w:rsid w:val="003823AE"/>
    <w:rsid w:val="0038241C"/>
    <w:rsid w:val="00382492"/>
    <w:rsid w:val="003825A1"/>
    <w:rsid w:val="003827BD"/>
    <w:rsid w:val="00382C3A"/>
    <w:rsid w:val="00383073"/>
    <w:rsid w:val="003830A7"/>
    <w:rsid w:val="003830FA"/>
    <w:rsid w:val="003836A1"/>
    <w:rsid w:val="00383833"/>
    <w:rsid w:val="003838BF"/>
    <w:rsid w:val="0038390F"/>
    <w:rsid w:val="003839D7"/>
    <w:rsid w:val="00383ADF"/>
    <w:rsid w:val="00384044"/>
    <w:rsid w:val="0038407D"/>
    <w:rsid w:val="00384352"/>
    <w:rsid w:val="00384660"/>
    <w:rsid w:val="00384D6D"/>
    <w:rsid w:val="00384F80"/>
    <w:rsid w:val="003850F5"/>
    <w:rsid w:val="003853F5"/>
    <w:rsid w:val="0038558B"/>
    <w:rsid w:val="00385659"/>
    <w:rsid w:val="00385695"/>
    <w:rsid w:val="0038592D"/>
    <w:rsid w:val="00385C75"/>
    <w:rsid w:val="00385D9E"/>
    <w:rsid w:val="00385F19"/>
    <w:rsid w:val="003861C5"/>
    <w:rsid w:val="00386267"/>
    <w:rsid w:val="0038645C"/>
    <w:rsid w:val="00386489"/>
    <w:rsid w:val="00386663"/>
    <w:rsid w:val="00386700"/>
    <w:rsid w:val="0038698B"/>
    <w:rsid w:val="00386B6F"/>
    <w:rsid w:val="00386D2A"/>
    <w:rsid w:val="00386E6A"/>
    <w:rsid w:val="00387078"/>
    <w:rsid w:val="0038753A"/>
    <w:rsid w:val="003877D2"/>
    <w:rsid w:val="00387974"/>
    <w:rsid w:val="00387C4B"/>
    <w:rsid w:val="00387D0A"/>
    <w:rsid w:val="00387DDC"/>
    <w:rsid w:val="00387EAA"/>
    <w:rsid w:val="00387FF3"/>
    <w:rsid w:val="00390015"/>
    <w:rsid w:val="0039015B"/>
    <w:rsid w:val="00390176"/>
    <w:rsid w:val="0039018D"/>
    <w:rsid w:val="003901CA"/>
    <w:rsid w:val="00390528"/>
    <w:rsid w:val="003905D0"/>
    <w:rsid w:val="0039074F"/>
    <w:rsid w:val="003908CF"/>
    <w:rsid w:val="00390AAD"/>
    <w:rsid w:val="00390CCB"/>
    <w:rsid w:val="00390D16"/>
    <w:rsid w:val="00391017"/>
    <w:rsid w:val="003912A0"/>
    <w:rsid w:val="0039175B"/>
    <w:rsid w:val="003919D3"/>
    <w:rsid w:val="00391A1D"/>
    <w:rsid w:val="00391B0E"/>
    <w:rsid w:val="00391F88"/>
    <w:rsid w:val="00391FC9"/>
    <w:rsid w:val="0039220A"/>
    <w:rsid w:val="003922F3"/>
    <w:rsid w:val="003925DE"/>
    <w:rsid w:val="00392694"/>
    <w:rsid w:val="0039270B"/>
    <w:rsid w:val="003929B3"/>
    <w:rsid w:val="00392DB4"/>
    <w:rsid w:val="003936C5"/>
    <w:rsid w:val="00393C81"/>
    <w:rsid w:val="00393D31"/>
    <w:rsid w:val="00393F24"/>
    <w:rsid w:val="00393F5B"/>
    <w:rsid w:val="00394041"/>
    <w:rsid w:val="00394549"/>
    <w:rsid w:val="0039475F"/>
    <w:rsid w:val="003948F6"/>
    <w:rsid w:val="00394E5F"/>
    <w:rsid w:val="00394FD3"/>
    <w:rsid w:val="00395168"/>
    <w:rsid w:val="00395410"/>
    <w:rsid w:val="003955EB"/>
    <w:rsid w:val="003956AD"/>
    <w:rsid w:val="00395CF0"/>
    <w:rsid w:val="00395EEC"/>
    <w:rsid w:val="00395EF5"/>
    <w:rsid w:val="0039629A"/>
    <w:rsid w:val="0039631B"/>
    <w:rsid w:val="0039661F"/>
    <w:rsid w:val="00396680"/>
    <w:rsid w:val="003967D4"/>
    <w:rsid w:val="003968C8"/>
    <w:rsid w:val="00396CEF"/>
    <w:rsid w:val="00396E1A"/>
    <w:rsid w:val="00396EF9"/>
    <w:rsid w:val="00396F06"/>
    <w:rsid w:val="00396F7A"/>
    <w:rsid w:val="00397209"/>
    <w:rsid w:val="00397286"/>
    <w:rsid w:val="0039729E"/>
    <w:rsid w:val="003972AB"/>
    <w:rsid w:val="0039732B"/>
    <w:rsid w:val="00397CAF"/>
    <w:rsid w:val="00397CBF"/>
    <w:rsid w:val="00397D2B"/>
    <w:rsid w:val="00397DD8"/>
    <w:rsid w:val="003A0616"/>
    <w:rsid w:val="003A078C"/>
    <w:rsid w:val="003A08C3"/>
    <w:rsid w:val="003A0E8E"/>
    <w:rsid w:val="003A1281"/>
    <w:rsid w:val="003A13DA"/>
    <w:rsid w:val="003A1696"/>
    <w:rsid w:val="003A1894"/>
    <w:rsid w:val="003A18B2"/>
    <w:rsid w:val="003A1C1F"/>
    <w:rsid w:val="003A1D63"/>
    <w:rsid w:val="003A20F5"/>
    <w:rsid w:val="003A23B4"/>
    <w:rsid w:val="003A2436"/>
    <w:rsid w:val="003A24C6"/>
    <w:rsid w:val="003A24E0"/>
    <w:rsid w:val="003A2672"/>
    <w:rsid w:val="003A26CE"/>
    <w:rsid w:val="003A26F0"/>
    <w:rsid w:val="003A2728"/>
    <w:rsid w:val="003A2D6A"/>
    <w:rsid w:val="003A2FC8"/>
    <w:rsid w:val="003A2FF2"/>
    <w:rsid w:val="003A3052"/>
    <w:rsid w:val="003A3099"/>
    <w:rsid w:val="003A34DB"/>
    <w:rsid w:val="003A3768"/>
    <w:rsid w:val="003A3858"/>
    <w:rsid w:val="003A3893"/>
    <w:rsid w:val="003A3919"/>
    <w:rsid w:val="003A3A4B"/>
    <w:rsid w:val="003A3D31"/>
    <w:rsid w:val="003A3DA9"/>
    <w:rsid w:val="003A3FB5"/>
    <w:rsid w:val="003A415D"/>
    <w:rsid w:val="003A425E"/>
    <w:rsid w:val="003A42C1"/>
    <w:rsid w:val="003A476E"/>
    <w:rsid w:val="003A4AF4"/>
    <w:rsid w:val="003A4B22"/>
    <w:rsid w:val="003A4D40"/>
    <w:rsid w:val="003A4D43"/>
    <w:rsid w:val="003A50F2"/>
    <w:rsid w:val="003A53EA"/>
    <w:rsid w:val="003A540C"/>
    <w:rsid w:val="003A5C21"/>
    <w:rsid w:val="003A5D1C"/>
    <w:rsid w:val="003A5E84"/>
    <w:rsid w:val="003A5FB8"/>
    <w:rsid w:val="003A609C"/>
    <w:rsid w:val="003A6225"/>
    <w:rsid w:val="003A63A1"/>
    <w:rsid w:val="003A63AC"/>
    <w:rsid w:val="003A63C3"/>
    <w:rsid w:val="003A647C"/>
    <w:rsid w:val="003A6602"/>
    <w:rsid w:val="003A6608"/>
    <w:rsid w:val="003A66AC"/>
    <w:rsid w:val="003A710E"/>
    <w:rsid w:val="003A73E4"/>
    <w:rsid w:val="003A7783"/>
    <w:rsid w:val="003A7A63"/>
    <w:rsid w:val="003A7AA2"/>
    <w:rsid w:val="003A7BE9"/>
    <w:rsid w:val="003A7CC4"/>
    <w:rsid w:val="003B0005"/>
    <w:rsid w:val="003B00BB"/>
    <w:rsid w:val="003B0235"/>
    <w:rsid w:val="003B06CD"/>
    <w:rsid w:val="003B08DC"/>
    <w:rsid w:val="003B09CB"/>
    <w:rsid w:val="003B0AF9"/>
    <w:rsid w:val="003B0D8C"/>
    <w:rsid w:val="003B0E86"/>
    <w:rsid w:val="003B0FDD"/>
    <w:rsid w:val="003B1238"/>
    <w:rsid w:val="003B1369"/>
    <w:rsid w:val="003B1ABB"/>
    <w:rsid w:val="003B1C03"/>
    <w:rsid w:val="003B1C9B"/>
    <w:rsid w:val="003B1CC7"/>
    <w:rsid w:val="003B1F6F"/>
    <w:rsid w:val="003B236C"/>
    <w:rsid w:val="003B2538"/>
    <w:rsid w:val="003B2611"/>
    <w:rsid w:val="003B2706"/>
    <w:rsid w:val="003B2FA3"/>
    <w:rsid w:val="003B348E"/>
    <w:rsid w:val="003B3564"/>
    <w:rsid w:val="003B38CC"/>
    <w:rsid w:val="003B3919"/>
    <w:rsid w:val="003B3B8D"/>
    <w:rsid w:val="003B3C3D"/>
    <w:rsid w:val="003B435F"/>
    <w:rsid w:val="003B4380"/>
    <w:rsid w:val="003B44F7"/>
    <w:rsid w:val="003B4AAF"/>
    <w:rsid w:val="003B5377"/>
    <w:rsid w:val="003B5537"/>
    <w:rsid w:val="003B5783"/>
    <w:rsid w:val="003B57CA"/>
    <w:rsid w:val="003B58A6"/>
    <w:rsid w:val="003B5B1E"/>
    <w:rsid w:val="003B5D3E"/>
    <w:rsid w:val="003B5D85"/>
    <w:rsid w:val="003B5ECB"/>
    <w:rsid w:val="003B650F"/>
    <w:rsid w:val="003B6A02"/>
    <w:rsid w:val="003B6B57"/>
    <w:rsid w:val="003B6C81"/>
    <w:rsid w:val="003B6DDF"/>
    <w:rsid w:val="003B708F"/>
    <w:rsid w:val="003B70C9"/>
    <w:rsid w:val="003B71E8"/>
    <w:rsid w:val="003B735F"/>
    <w:rsid w:val="003B7370"/>
    <w:rsid w:val="003B74AE"/>
    <w:rsid w:val="003B775A"/>
    <w:rsid w:val="003B776D"/>
    <w:rsid w:val="003B7809"/>
    <w:rsid w:val="003B7873"/>
    <w:rsid w:val="003B7899"/>
    <w:rsid w:val="003B7929"/>
    <w:rsid w:val="003B7D2C"/>
    <w:rsid w:val="003B7ED7"/>
    <w:rsid w:val="003B7F05"/>
    <w:rsid w:val="003C0415"/>
    <w:rsid w:val="003C05A9"/>
    <w:rsid w:val="003C06E9"/>
    <w:rsid w:val="003C0FB1"/>
    <w:rsid w:val="003C1127"/>
    <w:rsid w:val="003C1639"/>
    <w:rsid w:val="003C17CF"/>
    <w:rsid w:val="003C17F5"/>
    <w:rsid w:val="003C1BE4"/>
    <w:rsid w:val="003C1D33"/>
    <w:rsid w:val="003C1DDF"/>
    <w:rsid w:val="003C1E6B"/>
    <w:rsid w:val="003C2041"/>
    <w:rsid w:val="003C24F5"/>
    <w:rsid w:val="003C2536"/>
    <w:rsid w:val="003C2655"/>
    <w:rsid w:val="003C26B2"/>
    <w:rsid w:val="003C29EC"/>
    <w:rsid w:val="003C3072"/>
    <w:rsid w:val="003C3244"/>
    <w:rsid w:val="003C35E6"/>
    <w:rsid w:val="003C385A"/>
    <w:rsid w:val="003C3B57"/>
    <w:rsid w:val="003C3E7D"/>
    <w:rsid w:val="003C3F9B"/>
    <w:rsid w:val="003C40B6"/>
    <w:rsid w:val="003C4107"/>
    <w:rsid w:val="003C4211"/>
    <w:rsid w:val="003C4742"/>
    <w:rsid w:val="003C4831"/>
    <w:rsid w:val="003C4C99"/>
    <w:rsid w:val="003C4CB2"/>
    <w:rsid w:val="003C4D65"/>
    <w:rsid w:val="003C4E3F"/>
    <w:rsid w:val="003C53E7"/>
    <w:rsid w:val="003C5744"/>
    <w:rsid w:val="003C58E9"/>
    <w:rsid w:val="003C5A6B"/>
    <w:rsid w:val="003C5D73"/>
    <w:rsid w:val="003C5DF8"/>
    <w:rsid w:val="003C5E92"/>
    <w:rsid w:val="003C5FB3"/>
    <w:rsid w:val="003C6048"/>
    <w:rsid w:val="003C60AC"/>
    <w:rsid w:val="003C6229"/>
    <w:rsid w:val="003C676B"/>
    <w:rsid w:val="003C68D1"/>
    <w:rsid w:val="003C68DC"/>
    <w:rsid w:val="003C6902"/>
    <w:rsid w:val="003C6A53"/>
    <w:rsid w:val="003C6A8F"/>
    <w:rsid w:val="003C6DA8"/>
    <w:rsid w:val="003C7045"/>
    <w:rsid w:val="003C7057"/>
    <w:rsid w:val="003C755D"/>
    <w:rsid w:val="003C7B31"/>
    <w:rsid w:val="003C7BDD"/>
    <w:rsid w:val="003C7FB8"/>
    <w:rsid w:val="003D02E4"/>
    <w:rsid w:val="003D0483"/>
    <w:rsid w:val="003D057D"/>
    <w:rsid w:val="003D069A"/>
    <w:rsid w:val="003D0ACE"/>
    <w:rsid w:val="003D0CCA"/>
    <w:rsid w:val="003D0ECC"/>
    <w:rsid w:val="003D107E"/>
    <w:rsid w:val="003D1080"/>
    <w:rsid w:val="003D10D2"/>
    <w:rsid w:val="003D118C"/>
    <w:rsid w:val="003D1372"/>
    <w:rsid w:val="003D18D2"/>
    <w:rsid w:val="003D1B1A"/>
    <w:rsid w:val="003D1E8C"/>
    <w:rsid w:val="003D2213"/>
    <w:rsid w:val="003D23E4"/>
    <w:rsid w:val="003D24D7"/>
    <w:rsid w:val="003D25C2"/>
    <w:rsid w:val="003D2679"/>
    <w:rsid w:val="003D26A3"/>
    <w:rsid w:val="003D2801"/>
    <w:rsid w:val="003D2DC2"/>
    <w:rsid w:val="003D3424"/>
    <w:rsid w:val="003D34F3"/>
    <w:rsid w:val="003D3D30"/>
    <w:rsid w:val="003D3D6F"/>
    <w:rsid w:val="003D3DA2"/>
    <w:rsid w:val="003D3DB6"/>
    <w:rsid w:val="003D3F50"/>
    <w:rsid w:val="003D406D"/>
    <w:rsid w:val="003D4201"/>
    <w:rsid w:val="003D426E"/>
    <w:rsid w:val="003D48A1"/>
    <w:rsid w:val="003D4DAC"/>
    <w:rsid w:val="003D50CA"/>
    <w:rsid w:val="003D5112"/>
    <w:rsid w:val="003D54F3"/>
    <w:rsid w:val="003D5577"/>
    <w:rsid w:val="003D5578"/>
    <w:rsid w:val="003D5585"/>
    <w:rsid w:val="003D56F0"/>
    <w:rsid w:val="003D58BC"/>
    <w:rsid w:val="003D5A1B"/>
    <w:rsid w:val="003D5A62"/>
    <w:rsid w:val="003D5BD1"/>
    <w:rsid w:val="003D5C70"/>
    <w:rsid w:val="003D5D2D"/>
    <w:rsid w:val="003D62C9"/>
    <w:rsid w:val="003D641F"/>
    <w:rsid w:val="003D649F"/>
    <w:rsid w:val="003D6565"/>
    <w:rsid w:val="003D68B4"/>
    <w:rsid w:val="003D6FAF"/>
    <w:rsid w:val="003D7352"/>
    <w:rsid w:val="003D778D"/>
    <w:rsid w:val="003D779B"/>
    <w:rsid w:val="003D7840"/>
    <w:rsid w:val="003D7992"/>
    <w:rsid w:val="003D7D02"/>
    <w:rsid w:val="003D7D7E"/>
    <w:rsid w:val="003D7DE9"/>
    <w:rsid w:val="003E019A"/>
    <w:rsid w:val="003E01C4"/>
    <w:rsid w:val="003E0498"/>
    <w:rsid w:val="003E074A"/>
    <w:rsid w:val="003E0D9A"/>
    <w:rsid w:val="003E0ED9"/>
    <w:rsid w:val="003E1323"/>
    <w:rsid w:val="003E13E7"/>
    <w:rsid w:val="003E15C1"/>
    <w:rsid w:val="003E1649"/>
    <w:rsid w:val="003E182F"/>
    <w:rsid w:val="003E1E4C"/>
    <w:rsid w:val="003E1E85"/>
    <w:rsid w:val="003E2448"/>
    <w:rsid w:val="003E27E2"/>
    <w:rsid w:val="003E2B24"/>
    <w:rsid w:val="003E2B6C"/>
    <w:rsid w:val="003E2C55"/>
    <w:rsid w:val="003E2D00"/>
    <w:rsid w:val="003E2F05"/>
    <w:rsid w:val="003E2FB7"/>
    <w:rsid w:val="003E3046"/>
    <w:rsid w:val="003E30D6"/>
    <w:rsid w:val="003E3232"/>
    <w:rsid w:val="003E3254"/>
    <w:rsid w:val="003E33B8"/>
    <w:rsid w:val="003E364E"/>
    <w:rsid w:val="003E378B"/>
    <w:rsid w:val="003E380F"/>
    <w:rsid w:val="003E38D8"/>
    <w:rsid w:val="003E390A"/>
    <w:rsid w:val="003E3972"/>
    <w:rsid w:val="003E3B2B"/>
    <w:rsid w:val="003E3D53"/>
    <w:rsid w:val="003E3EE3"/>
    <w:rsid w:val="003E3F0F"/>
    <w:rsid w:val="003E41E0"/>
    <w:rsid w:val="003E452C"/>
    <w:rsid w:val="003E46B6"/>
    <w:rsid w:val="003E488D"/>
    <w:rsid w:val="003E4B63"/>
    <w:rsid w:val="003E4C83"/>
    <w:rsid w:val="003E4D39"/>
    <w:rsid w:val="003E4D3E"/>
    <w:rsid w:val="003E4D63"/>
    <w:rsid w:val="003E5081"/>
    <w:rsid w:val="003E5749"/>
    <w:rsid w:val="003E5F1A"/>
    <w:rsid w:val="003E62E2"/>
    <w:rsid w:val="003E687F"/>
    <w:rsid w:val="003E6F65"/>
    <w:rsid w:val="003E7048"/>
    <w:rsid w:val="003E70A7"/>
    <w:rsid w:val="003E75D2"/>
    <w:rsid w:val="003E762C"/>
    <w:rsid w:val="003E765B"/>
    <w:rsid w:val="003E7710"/>
    <w:rsid w:val="003E777D"/>
    <w:rsid w:val="003E787E"/>
    <w:rsid w:val="003E7BBC"/>
    <w:rsid w:val="003E7E97"/>
    <w:rsid w:val="003F0162"/>
    <w:rsid w:val="003F03C7"/>
    <w:rsid w:val="003F061A"/>
    <w:rsid w:val="003F0AA2"/>
    <w:rsid w:val="003F0CC7"/>
    <w:rsid w:val="003F0CCB"/>
    <w:rsid w:val="003F0D79"/>
    <w:rsid w:val="003F0F05"/>
    <w:rsid w:val="003F10D4"/>
    <w:rsid w:val="003F11DA"/>
    <w:rsid w:val="003F12C2"/>
    <w:rsid w:val="003F1661"/>
    <w:rsid w:val="003F1684"/>
    <w:rsid w:val="003F1806"/>
    <w:rsid w:val="003F1808"/>
    <w:rsid w:val="003F1849"/>
    <w:rsid w:val="003F19AD"/>
    <w:rsid w:val="003F1AA6"/>
    <w:rsid w:val="003F1FBD"/>
    <w:rsid w:val="003F208E"/>
    <w:rsid w:val="003F20CE"/>
    <w:rsid w:val="003F21D3"/>
    <w:rsid w:val="003F2253"/>
    <w:rsid w:val="003F2619"/>
    <w:rsid w:val="003F2757"/>
    <w:rsid w:val="003F2A51"/>
    <w:rsid w:val="003F30B0"/>
    <w:rsid w:val="003F33C5"/>
    <w:rsid w:val="003F348D"/>
    <w:rsid w:val="003F3789"/>
    <w:rsid w:val="003F3837"/>
    <w:rsid w:val="003F3AC0"/>
    <w:rsid w:val="003F3CA9"/>
    <w:rsid w:val="003F3F9D"/>
    <w:rsid w:val="003F40CF"/>
    <w:rsid w:val="003F444B"/>
    <w:rsid w:val="003F4763"/>
    <w:rsid w:val="003F47BC"/>
    <w:rsid w:val="003F4B9E"/>
    <w:rsid w:val="003F520B"/>
    <w:rsid w:val="003F561C"/>
    <w:rsid w:val="003F56F1"/>
    <w:rsid w:val="003F5774"/>
    <w:rsid w:val="003F59BA"/>
    <w:rsid w:val="003F5BD3"/>
    <w:rsid w:val="003F5D77"/>
    <w:rsid w:val="003F5D80"/>
    <w:rsid w:val="003F5F14"/>
    <w:rsid w:val="003F5F94"/>
    <w:rsid w:val="003F604A"/>
    <w:rsid w:val="003F607B"/>
    <w:rsid w:val="003F60E6"/>
    <w:rsid w:val="003F6498"/>
    <w:rsid w:val="003F6747"/>
    <w:rsid w:val="003F6B91"/>
    <w:rsid w:val="003F6EAD"/>
    <w:rsid w:val="003F7153"/>
    <w:rsid w:val="003F722D"/>
    <w:rsid w:val="003F790C"/>
    <w:rsid w:val="003F7F78"/>
    <w:rsid w:val="003F7FF4"/>
    <w:rsid w:val="0040036E"/>
    <w:rsid w:val="004006AA"/>
    <w:rsid w:val="004006EE"/>
    <w:rsid w:val="00400774"/>
    <w:rsid w:val="00400833"/>
    <w:rsid w:val="00400BB4"/>
    <w:rsid w:val="00400BF4"/>
    <w:rsid w:val="00400CA7"/>
    <w:rsid w:val="00400DBD"/>
    <w:rsid w:val="00400FD3"/>
    <w:rsid w:val="0040108B"/>
    <w:rsid w:val="0040119E"/>
    <w:rsid w:val="00401243"/>
    <w:rsid w:val="00401405"/>
    <w:rsid w:val="0040162E"/>
    <w:rsid w:val="00401B25"/>
    <w:rsid w:val="00401C9F"/>
    <w:rsid w:val="00401E6C"/>
    <w:rsid w:val="0040208D"/>
    <w:rsid w:val="004021A5"/>
    <w:rsid w:val="00402958"/>
    <w:rsid w:val="00402A95"/>
    <w:rsid w:val="00402BFB"/>
    <w:rsid w:val="00402F3A"/>
    <w:rsid w:val="00402FB5"/>
    <w:rsid w:val="0040307A"/>
    <w:rsid w:val="0040317E"/>
    <w:rsid w:val="004033CB"/>
    <w:rsid w:val="00403562"/>
    <w:rsid w:val="00403A90"/>
    <w:rsid w:val="00403B7E"/>
    <w:rsid w:val="00403DE3"/>
    <w:rsid w:val="004043FD"/>
    <w:rsid w:val="004046A1"/>
    <w:rsid w:val="00404719"/>
    <w:rsid w:val="0040480E"/>
    <w:rsid w:val="00404F4C"/>
    <w:rsid w:val="00404F8B"/>
    <w:rsid w:val="004051B9"/>
    <w:rsid w:val="004051D3"/>
    <w:rsid w:val="00405455"/>
    <w:rsid w:val="00405920"/>
    <w:rsid w:val="00405A6E"/>
    <w:rsid w:val="00405C58"/>
    <w:rsid w:val="004061DD"/>
    <w:rsid w:val="00406369"/>
    <w:rsid w:val="0040659E"/>
    <w:rsid w:val="0040685E"/>
    <w:rsid w:val="00406C8C"/>
    <w:rsid w:val="004070AA"/>
    <w:rsid w:val="0040719B"/>
    <w:rsid w:val="00407216"/>
    <w:rsid w:val="00407236"/>
    <w:rsid w:val="00407969"/>
    <w:rsid w:val="00407D0A"/>
    <w:rsid w:val="00407E0D"/>
    <w:rsid w:val="00410114"/>
    <w:rsid w:val="0041060D"/>
    <w:rsid w:val="00410854"/>
    <w:rsid w:val="004108F1"/>
    <w:rsid w:val="00410BD6"/>
    <w:rsid w:val="00410CB7"/>
    <w:rsid w:val="00410F0F"/>
    <w:rsid w:val="00411579"/>
    <w:rsid w:val="004115F9"/>
    <w:rsid w:val="00411649"/>
    <w:rsid w:val="0041167C"/>
    <w:rsid w:val="00411722"/>
    <w:rsid w:val="0041173D"/>
    <w:rsid w:val="00411916"/>
    <w:rsid w:val="00411D59"/>
    <w:rsid w:val="00411E11"/>
    <w:rsid w:val="00411FA7"/>
    <w:rsid w:val="0041226E"/>
    <w:rsid w:val="004123CA"/>
    <w:rsid w:val="00412433"/>
    <w:rsid w:val="00412461"/>
    <w:rsid w:val="00412553"/>
    <w:rsid w:val="00412CAA"/>
    <w:rsid w:val="004132A1"/>
    <w:rsid w:val="00413394"/>
    <w:rsid w:val="004134DD"/>
    <w:rsid w:val="004137DB"/>
    <w:rsid w:val="0041391E"/>
    <w:rsid w:val="00413ABB"/>
    <w:rsid w:val="0041412D"/>
    <w:rsid w:val="00414344"/>
    <w:rsid w:val="00414624"/>
    <w:rsid w:val="0041476C"/>
    <w:rsid w:val="00414EC2"/>
    <w:rsid w:val="00415164"/>
    <w:rsid w:val="0041517D"/>
    <w:rsid w:val="00415514"/>
    <w:rsid w:val="00415CAB"/>
    <w:rsid w:val="00415DB1"/>
    <w:rsid w:val="00416213"/>
    <w:rsid w:val="00416482"/>
    <w:rsid w:val="00416BC0"/>
    <w:rsid w:val="00416DF7"/>
    <w:rsid w:val="00416E34"/>
    <w:rsid w:val="00416F6B"/>
    <w:rsid w:val="0041710B"/>
    <w:rsid w:val="00417403"/>
    <w:rsid w:val="004174D0"/>
    <w:rsid w:val="00417B19"/>
    <w:rsid w:val="004200AB"/>
    <w:rsid w:val="004201E2"/>
    <w:rsid w:val="004202F8"/>
    <w:rsid w:val="0042051F"/>
    <w:rsid w:val="004205C7"/>
    <w:rsid w:val="00420653"/>
    <w:rsid w:val="00420987"/>
    <w:rsid w:val="00420991"/>
    <w:rsid w:val="00420CC0"/>
    <w:rsid w:val="00420D20"/>
    <w:rsid w:val="00420E46"/>
    <w:rsid w:val="0042106D"/>
    <w:rsid w:val="00421142"/>
    <w:rsid w:val="004215D0"/>
    <w:rsid w:val="0042173E"/>
    <w:rsid w:val="004218CF"/>
    <w:rsid w:val="0042193C"/>
    <w:rsid w:val="00421A9D"/>
    <w:rsid w:val="00421E2F"/>
    <w:rsid w:val="00421F2B"/>
    <w:rsid w:val="00422090"/>
    <w:rsid w:val="004222CC"/>
    <w:rsid w:val="004224CE"/>
    <w:rsid w:val="00422575"/>
    <w:rsid w:val="00422ED8"/>
    <w:rsid w:val="00422F17"/>
    <w:rsid w:val="00422FA0"/>
    <w:rsid w:val="00422FE9"/>
    <w:rsid w:val="00423061"/>
    <w:rsid w:val="0042323C"/>
    <w:rsid w:val="00423845"/>
    <w:rsid w:val="00423A6E"/>
    <w:rsid w:val="004240E9"/>
    <w:rsid w:val="0042412D"/>
    <w:rsid w:val="00424160"/>
    <w:rsid w:val="004243BE"/>
    <w:rsid w:val="004245C5"/>
    <w:rsid w:val="004245EB"/>
    <w:rsid w:val="0042467F"/>
    <w:rsid w:val="00424719"/>
    <w:rsid w:val="00424AAC"/>
    <w:rsid w:val="00424B49"/>
    <w:rsid w:val="00424BEF"/>
    <w:rsid w:val="00424CCB"/>
    <w:rsid w:val="00424DF6"/>
    <w:rsid w:val="004250B9"/>
    <w:rsid w:val="004250FB"/>
    <w:rsid w:val="00425103"/>
    <w:rsid w:val="00425139"/>
    <w:rsid w:val="004251A6"/>
    <w:rsid w:val="004255C0"/>
    <w:rsid w:val="004257AE"/>
    <w:rsid w:val="004257B6"/>
    <w:rsid w:val="0042593E"/>
    <w:rsid w:val="00425B20"/>
    <w:rsid w:val="00426811"/>
    <w:rsid w:val="00426AC5"/>
    <w:rsid w:val="00426AFB"/>
    <w:rsid w:val="00426BA2"/>
    <w:rsid w:val="00426BC5"/>
    <w:rsid w:val="00426C81"/>
    <w:rsid w:val="00426E97"/>
    <w:rsid w:val="0042733D"/>
    <w:rsid w:val="0042760E"/>
    <w:rsid w:val="00427659"/>
    <w:rsid w:val="00427CA1"/>
    <w:rsid w:val="00427CE1"/>
    <w:rsid w:val="00427E1C"/>
    <w:rsid w:val="00427F25"/>
    <w:rsid w:val="00430700"/>
    <w:rsid w:val="0043072D"/>
    <w:rsid w:val="004309EB"/>
    <w:rsid w:val="00430E4E"/>
    <w:rsid w:val="00430EEA"/>
    <w:rsid w:val="00430FCF"/>
    <w:rsid w:val="00431210"/>
    <w:rsid w:val="0043127E"/>
    <w:rsid w:val="0043138D"/>
    <w:rsid w:val="0043169B"/>
    <w:rsid w:val="004318BC"/>
    <w:rsid w:val="00431C28"/>
    <w:rsid w:val="00432024"/>
    <w:rsid w:val="00432082"/>
    <w:rsid w:val="004320DB"/>
    <w:rsid w:val="00432240"/>
    <w:rsid w:val="004323A6"/>
    <w:rsid w:val="004324C8"/>
    <w:rsid w:val="00432839"/>
    <w:rsid w:val="00432B60"/>
    <w:rsid w:val="00432BCD"/>
    <w:rsid w:val="00432C1E"/>
    <w:rsid w:val="004330C3"/>
    <w:rsid w:val="004330DF"/>
    <w:rsid w:val="004334B0"/>
    <w:rsid w:val="004335AC"/>
    <w:rsid w:val="004336A6"/>
    <w:rsid w:val="00433871"/>
    <w:rsid w:val="00433D2C"/>
    <w:rsid w:val="00434ACE"/>
    <w:rsid w:val="00434DF1"/>
    <w:rsid w:val="00434DFB"/>
    <w:rsid w:val="0043515A"/>
    <w:rsid w:val="004354A5"/>
    <w:rsid w:val="004355D1"/>
    <w:rsid w:val="004355DE"/>
    <w:rsid w:val="0043574D"/>
    <w:rsid w:val="0043593F"/>
    <w:rsid w:val="00435D27"/>
    <w:rsid w:val="00435EF1"/>
    <w:rsid w:val="004362E3"/>
    <w:rsid w:val="0043653B"/>
    <w:rsid w:val="0043663A"/>
    <w:rsid w:val="00436810"/>
    <w:rsid w:val="00436840"/>
    <w:rsid w:val="004369FE"/>
    <w:rsid w:val="00436DC0"/>
    <w:rsid w:val="004376B3"/>
    <w:rsid w:val="00437803"/>
    <w:rsid w:val="00437C0F"/>
    <w:rsid w:val="00440045"/>
    <w:rsid w:val="00440347"/>
    <w:rsid w:val="00440853"/>
    <w:rsid w:val="00440B35"/>
    <w:rsid w:val="00440CFE"/>
    <w:rsid w:val="00440E18"/>
    <w:rsid w:val="0044177A"/>
    <w:rsid w:val="004417AB"/>
    <w:rsid w:val="00441916"/>
    <w:rsid w:val="00441D82"/>
    <w:rsid w:val="00441D90"/>
    <w:rsid w:val="00441D99"/>
    <w:rsid w:val="00441DCC"/>
    <w:rsid w:val="004420DA"/>
    <w:rsid w:val="004426B6"/>
    <w:rsid w:val="00442C47"/>
    <w:rsid w:val="00442E29"/>
    <w:rsid w:val="00442F8C"/>
    <w:rsid w:val="00443009"/>
    <w:rsid w:val="004430F7"/>
    <w:rsid w:val="004432CF"/>
    <w:rsid w:val="0044331F"/>
    <w:rsid w:val="004439B8"/>
    <w:rsid w:val="00443A22"/>
    <w:rsid w:val="00443AF2"/>
    <w:rsid w:val="00443E65"/>
    <w:rsid w:val="00444304"/>
    <w:rsid w:val="004444C4"/>
    <w:rsid w:val="0044465E"/>
    <w:rsid w:val="004448D5"/>
    <w:rsid w:val="004448D9"/>
    <w:rsid w:val="00444904"/>
    <w:rsid w:val="00444967"/>
    <w:rsid w:val="00444D4A"/>
    <w:rsid w:val="00444D6C"/>
    <w:rsid w:val="0044548F"/>
    <w:rsid w:val="0044577E"/>
    <w:rsid w:val="00445814"/>
    <w:rsid w:val="004459B1"/>
    <w:rsid w:val="00445C12"/>
    <w:rsid w:val="00445C7E"/>
    <w:rsid w:val="00445EAF"/>
    <w:rsid w:val="004464F9"/>
    <w:rsid w:val="00446504"/>
    <w:rsid w:val="004465AC"/>
    <w:rsid w:val="00446802"/>
    <w:rsid w:val="00446826"/>
    <w:rsid w:val="004468E2"/>
    <w:rsid w:val="00446B9C"/>
    <w:rsid w:val="00446C8E"/>
    <w:rsid w:val="00447193"/>
    <w:rsid w:val="00447498"/>
    <w:rsid w:val="00447618"/>
    <w:rsid w:val="00447746"/>
    <w:rsid w:val="0044783B"/>
    <w:rsid w:val="00447D7E"/>
    <w:rsid w:val="00447EEA"/>
    <w:rsid w:val="00447F21"/>
    <w:rsid w:val="00447F35"/>
    <w:rsid w:val="00450147"/>
    <w:rsid w:val="004501CA"/>
    <w:rsid w:val="004502D2"/>
    <w:rsid w:val="0045036E"/>
    <w:rsid w:val="004503AA"/>
    <w:rsid w:val="0045098E"/>
    <w:rsid w:val="00450A90"/>
    <w:rsid w:val="00450B7D"/>
    <w:rsid w:val="00450C41"/>
    <w:rsid w:val="00450E77"/>
    <w:rsid w:val="00450FDA"/>
    <w:rsid w:val="004511B4"/>
    <w:rsid w:val="0045138A"/>
    <w:rsid w:val="004514BB"/>
    <w:rsid w:val="00451615"/>
    <w:rsid w:val="004516BA"/>
    <w:rsid w:val="00451886"/>
    <w:rsid w:val="004518FA"/>
    <w:rsid w:val="00451B03"/>
    <w:rsid w:val="00451BF6"/>
    <w:rsid w:val="00451CE2"/>
    <w:rsid w:val="00451E1F"/>
    <w:rsid w:val="00451E70"/>
    <w:rsid w:val="00451F45"/>
    <w:rsid w:val="00451F8E"/>
    <w:rsid w:val="00451FB1"/>
    <w:rsid w:val="00452032"/>
    <w:rsid w:val="004524C2"/>
    <w:rsid w:val="00452D41"/>
    <w:rsid w:val="00452FD8"/>
    <w:rsid w:val="00453069"/>
    <w:rsid w:val="00453096"/>
    <w:rsid w:val="0045340B"/>
    <w:rsid w:val="0045348A"/>
    <w:rsid w:val="004535D1"/>
    <w:rsid w:val="004537F0"/>
    <w:rsid w:val="00453E64"/>
    <w:rsid w:val="004540E8"/>
    <w:rsid w:val="00454194"/>
    <w:rsid w:val="00454331"/>
    <w:rsid w:val="00454421"/>
    <w:rsid w:val="00454583"/>
    <w:rsid w:val="004546E0"/>
    <w:rsid w:val="00454B7F"/>
    <w:rsid w:val="00454D9A"/>
    <w:rsid w:val="00454E89"/>
    <w:rsid w:val="00455075"/>
    <w:rsid w:val="00455213"/>
    <w:rsid w:val="0045526F"/>
    <w:rsid w:val="00455296"/>
    <w:rsid w:val="00455703"/>
    <w:rsid w:val="00455807"/>
    <w:rsid w:val="004558E1"/>
    <w:rsid w:val="00455C28"/>
    <w:rsid w:val="00455E3E"/>
    <w:rsid w:val="0045697A"/>
    <w:rsid w:val="00456B15"/>
    <w:rsid w:val="00456CE3"/>
    <w:rsid w:val="00456DB6"/>
    <w:rsid w:val="00456F4A"/>
    <w:rsid w:val="00456F73"/>
    <w:rsid w:val="004573AA"/>
    <w:rsid w:val="00457440"/>
    <w:rsid w:val="00457442"/>
    <w:rsid w:val="004576D3"/>
    <w:rsid w:val="00457780"/>
    <w:rsid w:val="004578B1"/>
    <w:rsid w:val="00457A24"/>
    <w:rsid w:val="00457AC7"/>
    <w:rsid w:val="00457C6E"/>
    <w:rsid w:val="00457D34"/>
    <w:rsid w:val="00460263"/>
    <w:rsid w:val="004602D5"/>
    <w:rsid w:val="0046038D"/>
    <w:rsid w:val="0046070B"/>
    <w:rsid w:val="00460849"/>
    <w:rsid w:val="004608DA"/>
    <w:rsid w:val="00460A79"/>
    <w:rsid w:val="00460C8C"/>
    <w:rsid w:val="00460FB0"/>
    <w:rsid w:val="00461053"/>
    <w:rsid w:val="004614B6"/>
    <w:rsid w:val="00461796"/>
    <w:rsid w:val="00461811"/>
    <w:rsid w:val="00461AC2"/>
    <w:rsid w:val="00461B46"/>
    <w:rsid w:val="00461C35"/>
    <w:rsid w:val="00461CB8"/>
    <w:rsid w:val="00461E99"/>
    <w:rsid w:val="00461ED3"/>
    <w:rsid w:val="0046209B"/>
    <w:rsid w:val="00462182"/>
    <w:rsid w:val="00463395"/>
    <w:rsid w:val="004634D9"/>
    <w:rsid w:val="00463B6D"/>
    <w:rsid w:val="00463ED6"/>
    <w:rsid w:val="00463EF4"/>
    <w:rsid w:val="00463FAB"/>
    <w:rsid w:val="004641AE"/>
    <w:rsid w:val="004641B4"/>
    <w:rsid w:val="00464428"/>
    <w:rsid w:val="004645DA"/>
    <w:rsid w:val="00464644"/>
    <w:rsid w:val="004646DF"/>
    <w:rsid w:val="004646E4"/>
    <w:rsid w:val="004649D9"/>
    <w:rsid w:val="004649F4"/>
    <w:rsid w:val="00464BE6"/>
    <w:rsid w:val="00464C11"/>
    <w:rsid w:val="00464CAC"/>
    <w:rsid w:val="004652A4"/>
    <w:rsid w:val="004652AC"/>
    <w:rsid w:val="0046574F"/>
    <w:rsid w:val="00465AA7"/>
    <w:rsid w:val="00465AAB"/>
    <w:rsid w:val="00466098"/>
    <w:rsid w:val="00466497"/>
    <w:rsid w:val="004664FF"/>
    <w:rsid w:val="00466556"/>
    <w:rsid w:val="00466592"/>
    <w:rsid w:val="004666B7"/>
    <w:rsid w:val="00466722"/>
    <w:rsid w:val="004667D7"/>
    <w:rsid w:val="00466813"/>
    <w:rsid w:val="00466FF1"/>
    <w:rsid w:val="00467046"/>
    <w:rsid w:val="004672EA"/>
    <w:rsid w:val="004673D6"/>
    <w:rsid w:val="00467438"/>
    <w:rsid w:val="00467714"/>
    <w:rsid w:val="00467770"/>
    <w:rsid w:val="004678D0"/>
    <w:rsid w:val="00467994"/>
    <w:rsid w:val="00467EAC"/>
    <w:rsid w:val="00467F02"/>
    <w:rsid w:val="00470348"/>
    <w:rsid w:val="004706D8"/>
    <w:rsid w:val="00470AD6"/>
    <w:rsid w:val="00470BF4"/>
    <w:rsid w:val="00470C67"/>
    <w:rsid w:val="00470DD7"/>
    <w:rsid w:val="00470E8D"/>
    <w:rsid w:val="0047102F"/>
    <w:rsid w:val="004712A8"/>
    <w:rsid w:val="004713AC"/>
    <w:rsid w:val="00471776"/>
    <w:rsid w:val="00471870"/>
    <w:rsid w:val="00471B24"/>
    <w:rsid w:val="00471D36"/>
    <w:rsid w:val="00471DED"/>
    <w:rsid w:val="00471E6F"/>
    <w:rsid w:val="00471F6F"/>
    <w:rsid w:val="00472001"/>
    <w:rsid w:val="00472206"/>
    <w:rsid w:val="004722BC"/>
    <w:rsid w:val="0047264D"/>
    <w:rsid w:val="00472728"/>
    <w:rsid w:val="004728AC"/>
    <w:rsid w:val="00472AFF"/>
    <w:rsid w:val="00472CD7"/>
    <w:rsid w:val="00472D8D"/>
    <w:rsid w:val="00472F30"/>
    <w:rsid w:val="00473347"/>
    <w:rsid w:val="0047342E"/>
    <w:rsid w:val="004736E1"/>
    <w:rsid w:val="00473C47"/>
    <w:rsid w:val="00473DFB"/>
    <w:rsid w:val="00473F92"/>
    <w:rsid w:val="004747A8"/>
    <w:rsid w:val="00474AF8"/>
    <w:rsid w:val="00474E22"/>
    <w:rsid w:val="00474F34"/>
    <w:rsid w:val="0047569A"/>
    <w:rsid w:val="0047582D"/>
    <w:rsid w:val="0047586D"/>
    <w:rsid w:val="0047596C"/>
    <w:rsid w:val="00475AD8"/>
    <w:rsid w:val="00475B17"/>
    <w:rsid w:val="00475BB5"/>
    <w:rsid w:val="00475C57"/>
    <w:rsid w:val="00475EB7"/>
    <w:rsid w:val="004760A7"/>
    <w:rsid w:val="00476130"/>
    <w:rsid w:val="00476202"/>
    <w:rsid w:val="004763AC"/>
    <w:rsid w:val="00476534"/>
    <w:rsid w:val="00476690"/>
    <w:rsid w:val="004766C1"/>
    <w:rsid w:val="004766CB"/>
    <w:rsid w:val="004766E5"/>
    <w:rsid w:val="0047676D"/>
    <w:rsid w:val="004767F1"/>
    <w:rsid w:val="0047699F"/>
    <w:rsid w:val="00476DFA"/>
    <w:rsid w:val="00476F7E"/>
    <w:rsid w:val="00477522"/>
    <w:rsid w:val="00477587"/>
    <w:rsid w:val="00477A5E"/>
    <w:rsid w:val="00480012"/>
    <w:rsid w:val="00480186"/>
    <w:rsid w:val="004802EF"/>
    <w:rsid w:val="00480318"/>
    <w:rsid w:val="0048043E"/>
    <w:rsid w:val="004805C2"/>
    <w:rsid w:val="0048066A"/>
    <w:rsid w:val="004806F1"/>
    <w:rsid w:val="00480AF6"/>
    <w:rsid w:val="00480BC1"/>
    <w:rsid w:val="00480FC9"/>
    <w:rsid w:val="004810E6"/>
    <w:rsid w:val="004812FE"/>
    <w:rsid w:val="004814D4"/>
    <w:rsid w:val="004814DA"/>
    <w:rsid w:val="004818B5"/>
    <w:rsid w:val="00481C46"/>
    <w:rsid w:val="00481D09"/>
    <w:rsid w:val="00481FA6"/>
    <w:rsid w:val="0048231B"/>
    <w:rsid w:val="00482357"/>
    <w:rsid w:val="004823DC"/>
    <w:rsid w:val="0048258E"/>
    <w:rsid w:val="004826CF"/>
    <w:rsid w:val="00482795"/>
    <w:rsid w:val="00482C2A"/>
    <w:rsid w:val="00482F3F"/>
    <w:rsid w:val="00483258"/>
    <w:rsid w:val="00483418"/>
    <w:rsid w:val="004834F8"/>
    <w:rsid w:val="0048360F"/>
    <w:rsid w:val="00483690"/>
    <w:rsid w:val="004837C5"/>
    <w:rsid w:val="004838FE"/>
    <w:rsid w:val="004839D9"/>
    <w:rsid w:val="00483CC7"/>
    <w:rsid w:val="00483E19"/>
    <w:rsid w:val="00483F64"/>
    <w:rsid w:val="00484161"/>
    <w:rsid w:val="00484197"/>
    <w:rsid w:val="0048454F"/>
    <w:rsid w:val="00484815"/>
    <w:rsid w:val="004848B6"/>
    <w:rsid w:val="00484CF0"/>
    <w:rsid w:val="00484EE7"/>
    <w:rsid w:val="004855E8"/>
    <w:rsid w:val="00485806"/>
    <w:rsid w:val="00485B65"/>
    <w:rsid w:val="00485C99"/>
    <w:rsid w:val="004867E0"/>
    <w:rsid w:val="00486840"/>
    <w:rsid w:val="00486869"/>
    <w:rsid w:val="00486978"/>
    <w:rsid w:val="004869F2"/>
    <w:rsid w:val="00486A3A"/>
    <w:rsid w:val="00486CCC"/>
    <w:rsid w:val="004874CA"/>
    <w:rsid w:val="004875E9"/>
    <w:rsid w:val="0048768F"/>
    <w:rsid w:val="004876D7"/>
    <w:rsid w:val="004878DF"/>
    <w:rsid w:val="00487D3D"/>
    <w:rsid w:val="00487E99"/>
    <w:rsid w:val="004900CB"/>
    <w:rsid w:val="004904A8"/>
    <w:rsid w:val="00490632"/>
    <w:rsid w:val="004906B4"/>
    <w:rsid w:val="004908A0"/>
    <w:rsid w:val="004909F9"/>
    <w:rsid w:val="00490C50"/>
    <w:rsid w:val="00490E72"/>
    <w:rsid w:val="00490EBA"/>
    <w:rsid w:val="00490F1B"/>
    <w:rsid w:val="00490F6D"/>
    <w:rsid w:val="00491298"/>
    <w:rsid w:val="004914B1"/>
    <w:rsid w:val="00491784"/>
    <w:rsid w:val="00491828"/>
    <w:rsid w:val="00491A07"/>
    <w:rsid w:val="00491B05"/>
    <w:rsid w:val="00491D11"/>
    <w:rsid w:val="00491EDC"/>
    <w:rsid w:val="004923D5"/>
    <w:rsid w:val="0049249C"/>
    <w:rsid w:val="00492547"/>
    <w:rsid w:val="00492712"/>
    <w:rsid w:val="0049278A"/>
    <w:rsid w:val="00492CDF"/>
    <w:rsid w:val="00493257"/>
    <w:rsid w:val="0049328B"/>
    <w:rsid w:val="004932C3"/>
    <w:rsid w:val="0049338C"/>
    <w:rsid w:val="0049343B"/>
    <w:rsid w:val="0049368A"/>
    <w:rsid w:val="004938FA"/>
    <w:rsid w:val="004939A6"/>
    <w:rsid w:val="00493B34"/>
    <w:rsid w:val="00493D71"/>
    <w:rsid w:val="00493D85"/>
    <w:rsid w:val="00493EFD"/>
    <w:rsid w:val="00493FD2"/>
    <w:rsid w:val="00494129"/>
    <w:rsid w:val="00494587"/>
    <w:rsid w:val="0049469B"/>
    <w:rsid w:val="00494718"/>
    <w:rsid w:val="00494743"/>
    <w:rsid w:val="00494AC3"/>
    <w:rsid w:val="00494C3D"/>
    <w:rsid w:val="00494D65"/>
    <w:rsid w:val="00494EF7"/>
    <w:rsid w:val="00495392"/>
    <w:rsid w:val="004957AF"/>
    <w:rsid w:val="00495EA4"/>
    <w:rsid w:val="0049634C"/>
    <w:rsid w:val="00496774"/>
    <w:rsid w:val="004970E8"/>
    <w:rsid w:val="00497192"/>
    <w:rsid w:val="004971B4"/>
    <w:rsid w:val="0049737C"/>
    <w:rsid w:val="0049764B"/>
    <w:rsid w:val="004978CD"/>
    <w:rsid w:val="00497954"/>
    <w:rsid w:val="00497A78"/>
    <w:rsid w:val="00497B8B"/>
    <w:rsid w:val="00497D3B"/>
    <w:rsid w:val="00497E6A"/>
    <w:rsid w:val="00497FC0"/>
    <w:rsid w:val="00497FEE"/>
    <w:rsid w:val="0049B7C5"/>
    <w:rsid w:val="004A01F8"/>
    <w:rsid w:val="004A0277"/>
    <w:rsid w:val="004A02CA"/>
    <w:rsid w:val="004A067D"/>
    <w:rsid w:val="004A0792"/>
    <w:rsid w:val="004A0A73"/>
    <w:rsid w:val="004A0BEA"/>
    <w:rsid w:val="004A0BED"/>
    <w:rsid w:val="004A0FED"/>
    <w:rsid w:val="004A1068"/>
    <w:rsid w:val="004A1269"/>
    <w:rsid w:val="004A158D"/>
    <w:rsid w:val="004A2109"/>
    <w:rsid w:val="004A2182"/>
    <w:rsid w:val="004A24BA"/>
    <w:rsid w:val="004A2530"/>
    <w:rsid w:val="004A253D"/>
    <w:rsid w:val="004A260F"/>
    <w:rsid w:val="004A2833"/>
    <w:rsid w:val="004A2A8B"/>
    <w:rsid w:val="004A2B77"/>
    <w:rsid w:val="004A2C1F"/>
    <w:rsid w:val="004A2D0C"/>
    <w:rsid w:val="004A3033"/>
    <w:rsid w:val="004A31A5"/>
    <w:rsid w:val="004A3210"/>
    <w:rsid w:val="004A3329"/>
    <w:rsid w:val="004A3434"/>
    <w:rsid w:val="004A3924"/>
    <w:rsid w:val="004A39DE"/>
    <w:rsid w:val="004A3B71"/>
    <w:rsid w:val="004A3C9E"/>
    <w:rsid w:val="004A4028"/>
    <w:rsid w:val="004A40FD"/>
    <w:rsid w:val="004A41BF"/>
    <w:rsid w:val="004A42D7"/>
    <w:rsid w:val="004A45BD"/>
    <w:rsid w:val="004A46E1"/>
    <w:rsid w:val="004A47D5"/>
    <w:rsid w:val="004A4B0F"/>
    <w:rsid w:val="004A4BCB"/>
    <w:rsid w:val="004A4C6D"/>
    <w:rsid w:val="004A4DBC"/>
    <w:rsid w:val="004A4DD3"/>
    <w:rsid w:val="004A4FB2"/>
    <w:rsid w:val="004A5115"/>
    <w:rsid w:val="004A514D"/>
    <w:rsid w:val="004A520B"/>
    <w:rsid w:val="004A55A1"/>
    <w:rsid w:val="004A56C8"/>
    <w:rsid w:val="004A56D5"/>
    <w:rsid w:val="004A575F"/>
    <w:rsid w:val="004A5890"/>
    <w:rsid w:val="004A5B1A"/>
    <w:rsid w:val="004A5CD4"/>
    <w:rsid w:val="004A5ECE"/>
    <w:rsid w:val="004A60EB"/>
    <w:rsid w:val="004A615A"/>
    <w:rsid w:val="004A62F7"/>
    <w:rsid w:val="004A6481"/>
    <w:rsid w:val="004A69AE"/>
    <w:rsid w:val="004A6A37"/>
    <w:rsid w:val="004A6BA4"/>
    <w:rsid w:val="004A6E46"/>
    <w:rsid w:val="004A6F13"/>
    <w:rsid w:val="004A7298"/>
    <w:rsid w:val="004A72D8"/>
    <w:rsid w:val="004A74A0"/>
    <w:rsid w:val="004A7608"/>
    <w:rsid w:val="004A76AA"/>
    <w:rsid w:val="004A77B5"/>
    <w:rsid w:val="004A790E"/>
    <w:rsid w:val="004A7A7A"/>
    <w:rsid w:val="004A7FA7"/>
    <w:rsid w:val="004B072B"/>
    <w:rsid w:val="004B0938"/>
    <w:rsid w:val="004B0A1A"/>
    <w:rsid w:val="004B0DEA"/>
    <w:rsid w:val="004B0DEC"/>
    <w:rsid w:val="004B0E50"/>
    <w:rsid w:val="004B1015"/>
    <w:rsid w:val="004B1330"/>
    <w:rsid w:val="004B140F"/>
    <w:rsid w:val="004B1C5E"/>
    <w:rsid w:val="004B1C90"/>
    <w:rsid w:val="004B1DC1"/>
    <w:rsid w:val="004B1EB4"/>
    <w:rsid w:val="004B1F13"/>
    <w:rsid w:val="004B20D9"/>
    <w:rsid w:val="004B2169"/>
    <w:rsid w:val="004B25B1"/>
    <w:rsid w:val="004B275C"/>
    <w:rsid w:val="004B2DAA"/>
    <w:rsid w:val="004B2DC5"/>
    <w:rsid w:val="004B2EBE"/>
    <w:rsid w:val="004B2EEA"/>
    <w:rsid w:val="004B317B"/>
    <w:rsid w:val="004B3365"/>
    <w:rsid w:val="004B35D5"/>
    <w:rsid w:val="004B3C2E"/>
    <w:rsid w:val="004B3D3E"/>
    <w:rsid w:val="004B3DD6"/>
    <w:rsid w:val="004B3F0E"/>
    <w:rsid w:val="004B42B4"/>
    <w:rsid w:val="004B4744"/>
    <w:rsid w:val="004B4849"/>
    <w:rsid w:val="004B49E8"/>
    <w:rsid w:val="004B4B60"/>
    <w:rsid w:val="004B4CA9"/>
    <w:rsid w:val="004B4CFC"/>
    <w:rsid w:val="004B4DD8"/>
    <w:rsid w:val="004B506C"/>
    <w:rsid w:val="004B53D1"/>
    <w:rsid w:val="004B5650"/>
    <w:rsid w:val="004B57F8"/>
    <w:rsid w:val="004B586A"/>
    <w:rsid w:val="004B5AC9"/>
    <w:rsid w:val="004B5B24"/>
    <w:rsid w:val="004B5E60"/>
    <w:rsid w:val="004B6038"/>
    <w:rsid w:val="004B65AF"/>
    <w:rsid w:val="004B6BAB"/>
    <w:rsid w:val="004B6E70"/>
    <w:rsid w:val="004B72D8"/>
    <w:rsid w:val="004B7343"/>
    <w:rsid w:val="004B7C72"/>
    <w:rsid w:val="004B7E86"/>
    <w:rsid w:val="004C01E7"/>
    <w:rsid w:val="004C0375"/>
    <w:rsid w:val="004C08B6"/>
    <w:rsid w:val="004C09E5"/>
    <w:rsid w:val="004C0BE9"/>
    <w:rsid w:val="004C0D00"/>
    <w:rsid w:val="004C0F3D"/>
    <w:rsid w:val="004C0FC6"/>
    <w:rsid w:val="004C1289"/>
    <w:rsid w:val="004C13AB"/>
    <w:rsid w:val="004C14AB"/>
    <w:rsid w:val="004C17A6"/>
    <w:rsid w:val="004C1D02"/>
    <w:rsid w:val="004C1DCB"/>
    <w:rsid w:val="004C1EFD"/>
    <w:rsid w:val="004C1F91"/>
    <w:rsid w:val="004C1FCB"/>
    <w:rsid w:val="004C1FF7"/>
    <w:rsid w:val="004C2348"/>
    <w:rsid w:val="004C246E"/>
    <w:rsid w:val="004C27F5"/>
    <w:rsid w:val="004C2A75"/>
    <w:rsid w:val="004C327E"/>
    <w:rsid w:val="004C32ED"/>
    <w:rsid w:val="004C342C"/>
    <w:rsid w:val="004C3462"/>
    <w:rsid w:val="004C36C9"/>
    <w:rsid w:val="004C3D69"/>
    <w:rsid w:val="004C457C"/>
    <w:rsid w:val="004C484E"/>
    <w:rsid w:val="004C4A53"/>
    <w:rsid w:val="004C4AD2"/>
    <w:rsid w:val="004C4FFD"/>
    <w:rsid w:val="004C516C"/>
    <w:rsid w:val="004C5278"/>
    <w:rsid w:val="004C52D5"/>
    <w:rsid w:val="004C546D"/>
    <w:rsid w:val="004C54DF"/>
    <w:rsid w:val="004C5772"/>
    <w:rsid w:val="004C5A2E"/>
    <w:rsid w:val="004C6377"/>
    <w:rsid w:val="004C658D"/>
    <w:rsid w:val="004C6781"/>
    <w:rsid w:val="004C69EB"/>
    <w:rsid w:val="004C6ABF"/>
    <w:rsid w:val="004C6B11"/>
    <w:rsid w:val="004C7230"/>
    <w:rsid w:val="004C7A43"/>
    <w:rsid w:val="004C7BE4"/>
    <w:rsid w:val="004C7DA1"/>
    <w:rsid w:val="004C7F1D"/>
    <w:rsid w:val="004C7FB4"/>
    <w:rsid w:val="004D0148"/>
    <w:rsid w:val="004D044A"/>
    <w:rsid w:val="004D0452"/>
    <w:rsid w:val="004D0613"/>
    <w:rsid w:val="004D0815"/>
    <w:rsid w:val="004D0A90"/>
    <w:rsid w:val="004D0B0D"/>
    <w:rsid w:val="004D0C44"/>
    <w:rsid w:val="004D0DC1"/>
    <w:rsid w:val="004D0F5C"/>
    <w:rsid w:val="004D127E"/>
    <w:rsid w:val="004D139E"/>
    <w:rsid w:val="004D19A8"/>
    <w:rsid w:val="004D1CE2"/>
    <w:rsid w:val="004D1D89"/>
    <w:rsid w:val="004D1F04"/>
    <w:rsid w:val="004D2021"/>
    <w:rsid w:val="004D20CC"/>
    <w:rsid w:val="004D2308"/>
    <w:rsid w:val="004D275E"/>
    <w:rsid w:val="004D2808"/>
    <w:rsid w:val="004D2839"/>
    <w:rsid w:val="004D293E"/>
    <w:rsid w:val="004D2991"/>
    <w:rsid w:val="004D29ED"/>
    <w:rsid w:val="004D2B66"/>
    <w:rsid w:val="004D2CCC"/>
    <w:rsid w:val="004D2DFA"/>
    <w:rsid w:val="004D2E40"/>
    <w:rsid w:val="004D2F68"/>
    <w:rsid w:val="004D319C"/>
    <w:rsid w:val="004D3277"/>
    <w:rsid w:val="004D3397"/>
    <w:rsid w:val="004D33B5"/>
    <w:rsid w:val="004D3C16"/>
    <w:rsid w:val="004D3DB4"/>
    <w:rsid w:val="004D3DE8"/>
    <w:rsid w:val="004D3F55"/>
    <w:rsid w:val="004D43A5"/>
    <w:rsid w:val="004D43F9"/>
    <w:rsid w:val="004D44AC"/>
    <w:rsid w:val="004D480B"/>
    <w:rsid w:val="004D48E5"/>
    <w:rsid w:val="004D4AC6"/>
    <w:rsid w:val="004D4DC3"/>
    <w:rsid w:val="004D4EFE"/>
    <w:rsid w:val="004D50C0"/>
    <w:rsid w:val="004D528E"/>
    <w:rsid w:val="004D56DD"/>
    <w:rsid w:val="004D5A28"/>
    <w:rsid w:val="004D5CA8"/>
    <w:rsid w:val="004D5D09"/>
    <w:rsid w:val="004D5D14"/>
    <w:rsid w:val="004D5ED7"/>
    <w:rsid w:val="004D6161"/>
    <w:rsid w:val="004D618F"/>
    <w:rsid w:val="004D61AB"/>
    <w:rsid w:val="004D61F3"/>
    <w:rsid w:val="004D63BD"/>
    <w:rsid w:val="004D663B"/>
    <w:rsid w:val="004D676D"/>
    <w:rsid w:val="004D6986"/>
    <w:rsid w:val="004D6B2E"/>
    <w:rsid w:val="004D6B85"/>
    <w:rsid w:val="004D6CFC"/>
    <w:rsid w:val="004D6D68"/>
    <w:rsid w:val="004D7006"/>
    <w:rsid w:val="004D70A0"/>
    <w:rsid w:val="004D721A"/>
    <w:rsid w:val="004D7310"/>
    <w:rsid w:val="004D7673"/>
    <w:rsid w:val="004D77E3"/>
    <w:rsid w:val="004D7860"/>
    <w:rsid w:val="004D7904"/>
    <w:rsid w:val="004D7B85"/>
    <w:rsid w:val="004D7C68"/>
    <w:rsid w:val="004D7CE4"/>
    <w:rsid w:val="004D7DE4"/>
    <w:rsid w:val="004D7F69"/>
    <w:rsid w:val="004E031E"/>
    <w:rsid w:val="004E0579"/>
    <w:rsid w:val="004E0585"/>
    <w:rsid w:val="004E0761"/>
    <w:rsid w:val="004E0A70"/>
    <w:rsid w:val="004E0CAB"/>
    <w:rsid w:val="004E11E8"/>
    <w:rsid w:val="004E1262"/>
    <w:rsid w:val="004E12C8"/>
    <w:rsid w:val="004E13E2"/>
    <w:rsid w:val="004E158C"/>
    <w:rsid w:val="004E16A4"/>
    <w:rsid w:val="004E1774"/>
    <w:rsid w:val="004E19E6"/>
    <w:rsid w:val="004E1C2B"/>
    <w:rsid w:val="004E1E03"/>
    <w:rsid w:val="004E2291"/>
    <w:rsid w:val="004E23B2"/>
    <w:rsid w:val="004E253A"/>
    <w:rsid w:val="004E264C"/>
    <w:rsid w:val="004E2C1A"/>
    <w:rsid w:val="004E2F3D"/>
    <w:rsid w:val="004E3049"/>
    <w:rsid w:val="004E30A2"/>
    <w:rsid w:val="004E30B7"/>
    <w:rsid w:val="004E31A8"/>
    <w:rsid w:val="004E345C"/>
    <w:rsid w:val="004E34DD"/>
    <w:rsid w:val="004E35E2"/>
    <w:rsid w:val="004E35FB"/>
    <w:rsid w:val="004E37D9"/>
    <w:rsid w:val="004E3877"/>
    <w:rsid w:val="004E3900"/>
    <w:rsid w:val="004E396F"/>
    <w:rsid w:val="004E3983"/>
    <w:rsid w:val="004E3A1C"/>
    <w:rsid w:val="004E3D86"/>
    <w:rsid w:val="004E3FD6"/>
    <w:rsid w:val="004E411B"/>
    <w:rsid w:val="004E4219"/>
    <w:rsid w:val="004E448C"/>
    <w:rsid w:val="004E46DD"/>
    <w:rsid w:val="004E484F"/>
    <w:rsid w:val="004E4871"/>
    <w:rsid w:val="004E4A87"/>
    <w:rsid w:val="004E4EA7"/>
    <w:rsid w:val="004E4EDC"/>
    <w:rsid w:val="004E5109"/>
    <w:rsid w:val="004E5514"/>
    <w:rsid w:val="004E5932"/>
    <w:rsid w:val="004E5C69"/>
    <w:rsid w:val="004E5D08"/>
    <w:rsid w:val="004E5D90"/>
    <w:rsid w:val="004E5DB9"/>
    <w:rsid w:val="004E5E5C"/>
    <w:rsid w:val="004E60D0"/>
    <w:rsid w:val="004E61CD"/>
    <w:rsid w:val="004E68F0"/>
    <w:rsid w:val="004E6AA7"/>
    <w:rsid w:val="004E6AF6"/>
    <w:rsid w:val="004E6EF7"/>
    <w:rsid w:val="004E70BF"/>
    <w:rsid w:val="004E7350"/>
    <w:rsid w:val="004E7A66"/>
    <w:rsid w:val="004F0101"/>
    <w:rsid w:val="004F07E1"/>
    <w:rsid w:val="004F08C9"/>
    <w:rsid w:val="004F0BD1"/>
    <w:rsid w:val="004F0CC8"/>
    <w:rsid w:val="004F10A0"/>
    <w:rsid w:val="004F118B"/>
    <w:rsid w:val="004F12A6"/>
    <w:rsid w:val="004F12D7"/>
    <w:rsid w:val="004F1454"/>
    <w:rsid w:val="004F14D5"/>
    <w:rsid w:val="004F1565"/>
    <w:rsid w:val="004F172F"/>
    <w:rsid w:val="004F1878"/>
    <w:rsid w:val="004F1AB9"/>
    <w:rsid w:val="004F1F83"/>
    <w:rsid w:val="004F2013"/>
    <w:rsid w:val="004F22D5"/>
    <w:rsid w:val="004F2304"/>
    <w:rsid w:val="004F26F8"/>
    <w:rsid w:val="004F2729"/>
    <w:rsid w:val="004F287F"/>
    <w:rsid w:val="004F30B8"/>
    <w:rsid w:val="004F3517"/>
    <w:rsid w:val="004F3596"/>
    <w:rsid w:val="004F378F"/>
    <w:rsid w:val="004F39BB"/>
    <w:rsid w:val="004F3B80"/>
    <w:rsid w:val="004F4142"/>
    <w:rsid w:val="004F4166"/>
    <w:rsid w:val="004F424A"/>
    <w:rsid w:val="004F42CF"/>
    <w:rsid w:val="004F4541"/>
    <w:rsid w:val="004F4C0C"/>
    <w:rsid w:val="004F4C22"/>
    <w:rsid w:val="004F4CC9"/>
    <w:rsid w:val="004F4EB9"/>
    <w:rsid w:val="004F589D"/>
    <w:rsid w:val="004F58A1"/>
    <w:rsid w:val="004F59DF"/>
    <w:rsid w:val="004F5B11"/>
    <w:rsid w:val="004F5E24"/>
    <w:rsid w:val="004F5EC5"/>
    <w:rsid w:val="004F61F9"/>
    <w:rsid w:val="004F6255"/>
    <w:rsid w:val="004F629B"/>
    <w:rsid w:val="004F63BC"/>
    <w:rsid w:val="004F67A8"/>
    <w:rsid w:val="004F67F4"/>
    <w:rsid w:val="004F692C"/>
    <w:rsid w:val="004F6A7E"/>
    <w:rsid w:val="004F6AE8"/>
    <w:rsid w:val="004F6C9C"/>
    <w:rsid w:val="004F7016"/>
    <w:rsid w:val="004F72C0"/>
    <w:rsid w:val="004F7386"/>
    <w:rsid w:val="004F750B"/>
    <w:rsid w:val="004F75D8"/>
    <w:rsid w:val="004F771E"/>
    <w:rsid w:val="004F7957"/>
    <w:rsid w:val="004F7B80"/>
    <w:rsid w:val="004F7EBE"/>
    <w:rsid w:val="005000CC"/>
    <w:rsid w:val="005000DB"/>
    <w:rsid w:val="005002B0"/>
    <w:rsid w:val="005002EB"/>
    <w:rsid w:val="00500340"/>
    <w:rsid w:val="005007FA"/>
    <w:rsid w:val="00500AB3"/>
    <w:rsid w:val="00500F2A"/>
    <w:rsid w:val="005016C3"/>
    <w:rsid w:val="0050179F"/>
    <w:rsid w:val="00501958"/>
    <w:rsid w:val="00501A65"/>
    <w:rsid w:val="00501A7E"/>
    <w:rsid w:val="00501BF3"/>
    <w:rsid w:val="00501F53"/>
    <w:rsid w:val="005025F2"/>
    <w:rsid w:val="005025FE"/>
    <w:rsid w:val="00502641"/>
    <w:rsid w:val="0050264F"/>
    <w:rsid w:val="005026B3"/>
    <w:rsid w:val="00502D3E"/>
    <w:rsid w:val="00502E5E"/>
    <w:rsid w:val="0050320E"/>
    <w:rsid w:val="005033EF"/>
    <w:rsid w:val="00503569"/>
    <w:rsid w:val="00503825"/>
    <w:rsid w:val="00503841"/>
    <w:rsid w:val="005038AD"/>
    <w:rsid w:val="00503A9D"/>
    <w:rsid w:val="00503AA5"/>
    <w:rsid w:val="00503AAC"/>
    <w:rsid w:val="00503CFA"/>
    <w:rsid w:val="005044A1"/>
    <w:rsid w:val="00504585"/>
    <w:rsid w:val="00504657"/>
    <w:rsid w:val="005048D0"/>
    <w:rsid w:val="00504925"/>
    <w:rsid w:val="00504CC0"/>
    <w:rsid w:val="00505064"/>
    <w:rsid w:val="0050508C"/>
    <w:rsid w:val="00505231"/>
    <w:rsid w:val="00505611"/>
    <w:rsid w:val="0050597B"/>
    <w:rsid w:val="00505A65"/>
    <w:rsid w:val="00505D54"/>
    <w:rsid w:val="00505E80"/>
    <w:rsid w:val="00505ED5"/>
    <w:rsid w:val="00506AB0"/>
    <w:rsid w:val="00506D62"/>
    <w:rsid w:val="00506DDE"/>
    <w:rsid w:val="00506E50"/>
    <w:rsid w:val="00506FAC"/>
    <w:rsid w:val="00507006"/>
    <w:rsid w:val="0050714F"/>
    <w:rsid w:val="005071C3"/>
    <w:rsid w:val="005077CE"/>
    <w:rsid w:val="00507C28"/>
    <w:rsid w:val="00507DE3"/>
    <w:rsid w:val="005101B2"/>
    <w:rsid w:val="005101D0"/>
    <w:rsid w:val="0051024D"/>
    <w:rsid w:val="00510422"/>
    <w:rsid w:val="00510667"/>
    <w:rsid w:val="005109D1"/>
    <w:rsid w:val="00510ED1"/>
    <w:rsid w:val="00510FA8"/>
    <w:rsid w:val="00510FF9"/>
    <w:rsid w:val="00511106"/>
    <w:rsid w:val="005111E9"/>
    <w:rsid w:val="005114C7"/>
    <w:rsid w:val="00511507"/>
    <w:rsid w:val="00511524"/>
    <w:rsid w:val="00511555"/>
    <w:rsid w:val="005115B7"/>
    <w:rsid w:val="00511804"/>
    <w:rsid w:val="00511892"/>
    <w:rsid w:val="00511C43"/>
    <w:rsid w:val="00511C65"/>
    <w:rsid w:val="00511C8B"/>
    <w:rsid w:val="00511FE9"/>
    <w:rsid w:val="00511FF7"/>
    <w:rsid w:val="00512020"/>
    <w:rsid w:val="005121CD"/>
    <w:rsid w:val="00512A6D"/>
    <w:rsid w:val="00512CE9"/>
    <w:rsid w:val="00512FF2"/>
    <w:rsid w:val="0051359F"/>
    <w:rsid w:val="005135E4"/>
    <w:rsid w:val="005136AD"/>
    <w:rsid w:val="0051382A"/>
    <w:rsid w:val="005138BA"/>
    <w:rsid w:val="00513923"/>
    <w:rsid w:val="00513965"/>
    <w:rsid w:val="00513E32"/>
    <w:rsid w:val="00513F27"/>
    <w:rsid w:val="00514010"/>
    <w:rsid w:val="0051406B"/>
    <w:rsid w:val="00514366"/>
    <w:rsid w:val="0051448D"/>
    <w:rsid w:val="00514779"/>
    <w:rsid w:val="0051478A"/>
    <w:rsid w:val="00514896"/>
    <w:rsid w:val="00514961"/>
    <w:rsid w:val="00514A4A"/>
    <w:rsid w:val="00514CFB"/>
    <w:rsid w:val="00514D63"/>
    <w:rsid w:val="00514D9D"/>
    <w:rsid w:val="0051549A"/>
    <w:rsid w:val="005155E9"/>
    <w:rsid w:val="0051579B"/>
    <w:rsid w:val="005157A0"/>
    <w:rsid w:val="0051581C"/>
    <w:rsid w:val="00515949"/>
    <w:rsid w:val="00515BBE"/>
    <w:rsid w:val="00515C19"/>
    <w:rsid w:val="00515C28"/>
    <w:rsid w:val="00515CE5"/>
    <w:rsid w:val="00515F16"/>
    <w:rsid w:val="00515FDA"/>
    <w:rsid w:val="005160B2"/>
    <w:rsid w:val="005161AF"/>
    <w:rsid w:val="005161FD"/>
    <w:rsid w:val="00516310"/>
    <w:rsid w:val="00516657"/>
    <w:rsid w:val="00516904"/>
    <w:rsid w:val="00516B60"/>
    <w:rsid w:val="00516E82"/>
    <w:rsid w:val="00516F37"/>
    <w:rsid w:val="00517099"/>
    <w:rsid w:val="0051750C"/>
    <w:rsid w:val="00517B13"/>
    <w:rsid w:val="00517DC2"/>
    <w:rsid w:val="00517ED6"/>
    <w:rsid w:val="00517FC9"/>
    <w:rsid w:val="005204B1"/>
    <w:rsid w:val="005205AC"/>
    <w:rsid w:val="00520A13"/>
    <w:rsid w:val="00520B7D"/>
    <w:rsid w:val="00520CB5"/>
    <w:rsid w:val="00520D00"/>
    <w:rsid w:val="00520D03"/>
    <w:rsid w:val="00520D50"/>
    <w:rsid w:val="005210C8"/>
    <w:rsid w:val="005210CC"/>
    <w:rsid w:val="005211AF"/>
    <w:rsid w:val="00521282"/>
    <w:rsid w:val="005213E2"/>
    <w:rsid w:val="005215D9"/>
    <w:rsid w:val="005215FB"/>
    <w:rsid w:val="005216EC"/>
    <w:rsid w:val="0052187F"/>
    <w:rsid w:val="00521AB9"/>
    <w:rsid w:val="00521EC5"/>
    <w:rsid w:val="00522176"/>
    <w:rsid w:val="00522453"/>
    <w:rsid w:val="005224DC"/>
    <w:rsid w:val="0052278B"/>
    <w:rsid w:val="00522878"/>
    <w:rsid w:val="00522974"/>
    <w:rsid w:val="00522C67"/>
    <w:rsid w:val="00522C9B"/>
    <w:rsid w:val="00522D5C"/>
    <w:rsid w:val="00523264"/>
    <w:rsid w:val="005233B8"/>
    <w:rsid w:val="00523BE0"/>
    <w:rsid w:val="00523C22"/>
    <w:rsid w:val="00523DAA"/>
    <w:rsid w:val="00524129"/>
    <w:rsid w:val="005241E2"/>
    <w:rsid w:val="00524279"/>
    <w:rsid w:val="005242DD"/>
    <w:rsid w:val="00524360"/>
    <w:rsid w:val="005243F9"/>
    <w:rsid w:val="00524635"/>
    <w:rsid w:val="00524704"/>
    <w:rsid w:val="00524900"/>
    <w:rsid w:val="0052498F"/>
    <w:rsid w:val="00524F1B"/>
    <w:rsid w:val="00524FC4"/>
    <w:rsid w:val="0052513C"/>
    <w:rsid w:val="0052536D"/>
    <w:rsid w:val="005253F5"/>
    <w:rsid w:val="0052550F"/>
    <w:rsid w:val="00525760"/>
    <w:rsid w:val="00525A40"/>
    <w:rsid w:val="00525E2C"/>
    <w:rsid w:val="00526028"/>
    <w:rsid w:val="00526206"/>
    <w:rsid w:val="0052644F"/>
    <w:rsid w:val="0052655B"/>
    <w:rsid w:val="0052674A"/>
    <w:rsid w:val="00526CA9"/>
    <w:rsid w:val="00526E9D"/>
    <w:rsid w:val="005270CA"/>
    <w:rsid w:val="005276C2"/>
    <w:rsid w:val="00527BA6"/>
    <w:rsid w:val="00527BF7"/>
    <w:rsid w:val="00527C7D"/>
    <w:rsid w:val="00527D06"/>
    <w:rsid w:val="00527E96"/>
    <w:rsid w:val="00527FD4"/>
    <w:rsid w:val="00530031"/>
    <w:rsid w:val="005302C1"/>
    <w:rsid w:val="005305FC"/>
    <w:rsid w:val="005308DF"/>
    <w:rsid w:val="005309C1"/>
    <w:rsid w:val="00530B33"/>
    <w:rsid w:val="00530F3E"/>
    <w:rsid w:val="00530F8A"/>
    <w:rsid w:val="005314C9"/>
    <w:rsid w:val="005315CE"/>
    <w:rsid w:val="005315D5"/>
    <w:rsid w:val="0053178B"/>
    <w:rsid w:val="00531C45"/>
    <w:rsid w:val="005324EF"/>
    <w:rsid w:val="0053270D"/>
    <w:rsid w:val="005327D6"/>
    <w:rsid w:val="00532853"/>
    <w:rsid w:val="00532E2D"/>
    <w:rsid w:val="0053322E"/>
    <w:rsid w:val="0053329A"/>
    <w:rsid w:val="0053377F"/>
    <w:rsid w:val="00533A63"/>
    <w:rsid w:val="00533DC2"/>
    <w:rsid w:val="00533DCD"/>
    <w:rsid w:val="00533EAE"/>
    <w:rsid w:val="00533EDE"/>
    <w:rsid w:val="00534672"/>
    <w:rsid w:val="005347C5"/>
    <w:rsid w:val="00534919"/>
    <w:rsid w:val="00534A53"/>
    <w:rsid w:val="00534C67"/>
    <w:rsid w:val="00534D7D"/>
    <w:rsid w:val="00534FDE"/>
    <w:rsid w:val="00535124"/>
    <w:rsid w:val="005354C7"/>
    <w:rsid w:val="005355A3"/>
    <w:rsid w:val="0053570E"/>
    <w:rsid w:val="005358BA"/>
    <w:rsid w:val="005358DD"/>
    <w:rsid w:val="00535C84"/>
    <w:rsid w:val="00535E3C"/>
    <w:rsid w:val="00536025"/>
    <w:rsid w:val="00536125"/>
    <w:rsid w:val="00536165"/>
    <w:rsid w:val="005364A3"/>
    <w:rsid w:val="00536573"/>
    <w:rsid w:val="005365BF"/>
    <w:rsid w:val="005366B2"/>
    <w:rsid w:val="005368EF"/>
    <w:rsid w:val="00536BF4"/>
    <w:rsid w:val="00537068"/>
    <w:rsid w:val="005371E4"/>
    <w:rsid w:val="00537A2B"/>
    <w:rsid w:val="005401E0"/>
    <w:rsid w:val="00540384"/>
    <w:rsid w:val="00540635"/>
    <w:rsid w:val="005406F8"/>
    <w:rsid w:val="00540D95"/>
    <w:rsid w:val="00540E33"/>
    <w:rsid w:val="00540EA6"/>
    <w:rsid w:val="00540ECE"/>
    <w:rsid w:val="00540FC0"/>
    <w:rsid w:val="00540FC6"/>
    <w:rsid w:val="005411B9"/>
    <w:rsid w:val="005414AF"/>
    <w:rsid w:val="00541534"/>
    <w:rsid w:val="0054169B"/>
    <w:rsid w:val="005417D2"/>
    <w:rsid w:val="00541D27"/>
    <w:rsid w:val="00541FBF"/>
    <w:rsid w:val="005422E4"/>
    <w:rsid w:val="0054297A"/>
    <w:rsid w:val="00542A38"/>
    <w:rsid w:val="00542BE1"/>
    <w:rsid w:val="00542C41"/>
    <w:rsid w:val="00542D03"/>
    <w:rsid w:val="00542D9E"/>
    <w:rsid w:val="00542DAB"/>
    <w:rsid w:val="00542DC0"/>
    <w:rsid w:val="005431B4"/>
    <w:rsid w:val="00543255"/>
    <w:rsid w:val="00543433"/>
    <w:rsid w:val="00543721"/>
    <w:rsid w:val="00543C94"/>
    <w:rsid w:val="00544161"/>
    <w:rsid w:val="0054436C"/>
    <w:rsid w:val="005443C5"/>
    <w:rsid w:val="00544477"/>
    <w:rsid w:val="0054490E"/>
    <w:rsid w:val="00544C4A"/>
    <w:rsid w:val="00544CE0"/>
    <w:rsid w:val="00544D06"/>
    <w:rsid w:val="00544F8D"/>
    <w:rsid w:val="00544FEE"/>
    <w:rsid w:val="0054513F"/>
    <w:rsid w:val="0054514F"/>
    <w:rsid w:val="00545338"/>
    <w:rsid w:val="00545739"/>
    <w:rsid w:val="00545848"/>
    <w:rsid w:val="00545911"/>
    <w:rsid w:val="00545CF8"/>
    <w:rsid w:val="00545E24"/>
    <w:rsid w:val="005462BF"/>
    <w:rsid w:val="00546496"/>
    <w:rsid w:val="00546AEF"/>
    <w:rsid w:val="00546DF6"/>
    <w:rsid w:val="00546E27"/>
    <w:rsid w:val="00546E3F"/>
    <w:rsid w:val="005473B2"/>
    <w:rsid w:val="00547712"/>
    <w:rsid w:val="0054799F"/>
    <w:rsid w:val="00547AE8"/>
    <w:rsid w:val="00547E21"/>
    <w:rsid w:val="00547E23"/>
    <w:rsid w:val="00547FCE"/>
    <w:rsid w:val="00547FF3"/>
    <w:rsid w:val="005501E7"/>
    <w:rsid w:val="00550228"/>
    <w:rsid w:val="00550474"/>
    <w:rsid w:val="00550997"/>
    <w:rsid w:val="00550A2F"/>
    <w:rsid w:val="00550B59"/>
    <w:rsid w:val="00550CC1"/>
    <w:rsid w:val="00550CCF"/>
    <w:rsid w:val="00550CDB"/>
    <w:rsid w:val="00550E4D"/>
    <w:rsid w:val="00550F69"/>
    <w:rsid w:val="00550F71"/>
    <w:rsid w:val="00551233"/>
    <w:rsid w:val="005512C1"/>
    <w:rsid w:val="00551368"/>
    <w:rsid w:val="00551591"/>
    <w:rsid w:val="0055160E"/>
    <w:rsid w:val="00551662"/>
    <w:rsid w:val="0055180E"/>
    <w:rsid w:val="00551A32"/>
    <w:rsid w:val="00551BD7"/>
    <w:rsid w:val="00551D58"/>
    <w:rsid w:val="00551E9A"/>
    <w:rsid w:val="0055209F"/>
    <w:rsid w:val="005520FF"/>
    <w:rsid w:val="00552238"/>
    <w:rsid w:val="005523C6"/>
    <w:rsid w:val="005525C1"/>
    <w:rsid w:val="005527FE"/>
    <w:rsid w:val="00552DE0"/>
    <w:rsid w:val="00552F75"/>
    <w:rsid w:val="0055307D"/>
    <w:rsid w:val="0055340F"/>
    <w:rsid w:val="0055356E"/>
    <w:rsid w:val="005535C1"/>
    <w:rsid w:val="00553AA3"/>
    <w:rsid w:val="00553E00"/>
    <w:rsid w:val="00553E0D"/>
    <w:rsid w:val="005541E7"/>
    <w:rsid w:val="00554369"/>
    <w:rsid w:val="005543B6"/>
    <w:rsid w:val="005543D0"/>
    <w:rsid w:val="00554584"/>
    <w:rsid w:val="0055470E"/>
    <w:rsid w:val="0055479B"/>
    <w:rsid w:val="005547E3"/>
    <w:rsid w:val="00554B19"/>
    <w:rsid w:val="00554B67"/>
    <w:rsid w:val="00554E83"/>
    <w:rsid w:val="00555201"/>
    <w:rsid w:val="005552D2"/>
    <w:rsid w:val="0055539D"/>
    <w:rsid w:val="00555758"/>
    <w:rsid w:val="00555974"/>
    <w:rsid w:val="0055598C"/>
    <w:rsid w:val="00555AE2"/>
    <w:rsid w:val="00555B34"/>
    <w:rsid w:val="00555D74"/>
    <w:rsid w:val="00556596"/>
    <w:rsid w:val="00556AFA"/>
    <w:rsid w:val="00556B38"/>
    <w:rsid w:val="00556EBC"/>
    <w:rsid w:val="00557A6F"/>
    <w:rsid w:val="00557B4C"/>
    <w:rsid w:val="00557C32"/>
    <w:rsid w:val="005600A4"/>
    <w:rsid w:val="005600EB"/>
    <w:rsid w:val="00560168"/>
    <w:rsid w:val="00560387"/>
    <w:rsid w:val="005606BC"/>
    <w:rsid w:val="005607DC"/>
    <w:rsid w:val="005609BF"/>
    <w:rsid w:val="005609F3"/>
    <w:rsid w:val="00560C8F"/>
    <w:rsid w:val="00560C9C"/>
    <w:rsid w:val="00560FF4"/>
    <w:rsid w:val="0056100B"/>
    <w:rsid w:val="0056106A"/>
    <w:rsid w:val="00561077"/>
    <w:rsid w:val="00561209"/>
    <w:rsid w:val="005612A7"/>
    <w:rsid w:val="005613A0"/>
    <w:rsid w:val="005613EA"/>
    <w:rsid w:val="0056162A"/>
    <w:rsid w:val="005616AE"/>
    <w:rsid w:val="00561708"/>
    <w:rsid w:val="005618A6"/>
    <w:rsid w:val="00561B9B"/>
    <w:rsid w:val="00561BD2"/>
    <w:rsid w:val="00561D31"/>
    <w:rsid w:val="005620EF"/>
    <w:rsid w:val="0056215E"/>
    <w:rsid w:val="005629E5"/>
    <w:rsid w:val="00562FA6"/>
    <w:rsid w:val="00562FDE"/>
    <w:rsid w:val="0056302B"/>
    <w:rsid w:val="00563385"/>
    <w:rsid w:val="00563920"/>
    <w:rsid w:val="00563A07"/>
    <w:rsid w:val="005640FC"/>
    <w:rsid w:val="005641DA"/>
    <w:rsid w:val="00564743"/>
    <w:rsid w:val="0056483E"/>
    <w:rsid w:val="00564BFD"/>
    <w:rsid w:val="00564D67"/>
    <w:rsid w:val="00564E0F"/>
    <w:rsid w:val="00565188"/>
    <w:rsid w:val="005658AA"/>
    <w:rsid w:val="00565A51"/>
    <w:rsid w:val="00565AB5"/>
    <w:rsid w:val="00565AF0"/>
    <w:rsid w:val="00565E21"/>
    <w:rsid w:val="00565E5A"/>
    <w:rsid w:val="00566101"/>
    <w:rsid w:val="00566266"/>
    <w:rsid w:val="005662D0"/>
    <w:rsid w:val="005663E8"/>
    <w:rsid w:val="005664A7"/>
    <w:rsid w:val="0056651C"/>
    <w:rsid w:val="00566622"/>
    <w:rsid w:val="00566829"/>
    <w:rsid w:val="00566C4E"/>
    <w:rsid w:val="00566E2A"/>
    <w:rsid w:val="00566E7B"/>
    <w:rsid w:val="00567085"/>
    <w:rsid w:val="005670C9"/>
    <w:rsid w:val="005671A5"/>
    <w:rsid w:val="0056767F"/>
    <w:rsid w:val="00567732"/>
    <w:rsid w:val="0056799D"/>
    <w:rsid w:val="00567FFD"/>
    <w:rsid w:val="00570066"/>
    <w:rsid w:val="00570293"/>
    <w:rsid w:val="005702B8"/>
    <w:rsid w:val="0057034D"/>
    <w:rsid w:val="005703E4"/>
    <w:rsid w:val="00570500"/>
    <w:rsid w:val="0057064C"/>
    <w:rsid w:val="005707D0"/>
    <w:rsid w:val="005707DB"/>
    <w:rsid w:val="00570979"/>
    <w:rsid w:val="00570B91"/>
    <w:rsid w:val="00571016"/>
    <w:rsid w:val="00571106"/>
    <w:rsid w:val="0057148A"/>
    <w:rsid w:val="0057156C"/>
    <w:rsid w:val="005715B3"/>
    <w:rsid w:val="0057172E"/>
    <w:rsid w:val="0057173E"/>
    <w:rsid w:val="00571819"/>
    <w:rsid w:val="00571958"/>
    <w:rsid w:val="00571AAC"/>
    <w:rsid w:val="00571ADF"/>
    <w:rsid w:val="00571B9D"/>
    <w:rsid w:val="00571CDB"/>
    <w:rsid w:val="00571CEA"/>
    <w:rsid w:val="00571D5A"/>
    <w:rsid w:val="00571D6B"/>
    <w:rsid w:val="00571F91"/>
    <w:rsid w:val="00572180"/>
    <w:rsid w:val="00572324"/>
    <w:rsid w:val="0057242B"/>
    <w:rsid w:val="005724F7"/>
    <w:rsid w:val="00572873"/>
    <w:rsid w:val="005728AB"/>
    <w:rsid w:val="00572BEA"/>
    <w:rsid w:val="00572D15"/>
    <w:rsid w:val="00572D87"/>
    <w:rsid w:val="00572E40"/>
    <w:rsid w:val="00573299"/>
    <w:rsid w:val="00573308"/>
    <w:rsid w:val="005739FE"/>
    <w:rsid w:val="00573BFC"/>
    <w:rsid w:val="00573ECE"/>
    <w:rsid w:val="00573F49"/>
    <w:rsid w:val="0057401E"/>
    <w:rsid w:val="00574022"/>
    <w:rsid w:val="00574240"/>
    <w:rsid w:val="005742A6"/>
    <w:rsid w:val="00574384"/>
    <w:rsid w:val="00574571"/>
    <w:rsid w:val="00574665"/>
    <w:rsid w:val="00574AC6"/>
    <w:rsid w:val="00574DE2"/>
    <w:rsid w:val="00574F5B"/>
    <w:rsid w:val="005750AE"/>
    <w:rsid w:val="005750B4"/>
    <w:rsid w:val="0057516A"/>
    <w:rsid w:val="005755FB"/>
    <w:rsid w:val="00575A0B"/>
    <w:rsid w:val="00575B50"/>
    <w:rsid w:val="00575CDA"/>
    <w:rsid w:val="00575E75"/>
    <w:rsid w:val="00575F48"/>
    <w:rsid w:val="00576278"/>
    <w:rsid w:val="005763FE"/>
    <w:rsid w:val="005765BF"/>
    <w:rsid w:val="005766BA"/>
    <w:rsid w:val="00576E70"/>
    <w:rsid w:val="00576EFE"/>
    <w:rsid w:val="005772F6"/>
    <w:rsid w:val="00577458"/>
    <w:rsid w:val="005775AE"/>
    <w:rsid w:val="005775C7"/>
    <w:rsid w:val="005776F9"/>
    <w:rsid w:val="00577F12"/>
    <w:rsid w:val="00580258"/>
    <w:rsid w:val="005804E7"/>
    <w:rsid w:val="00580576"/>
    <w:rsid w:val="0058073A"/>
    <w:rsid w:val="00580A21"/>
    <w:rsid w:val="00580BCB"/>
    <w:rsid w:val="00580F40"/>
    <w:rsid w:val="00581512"/>
    <w:rsid w:val="0058175D"/>
    <w:rsid w:val="0058189D"/>
    <w:rsid w:val="0058196C"/>
    <w:rsid w:val="00581A0E"/>
    <w:rsid w:val="00581B28"/>
    <w:rsid w:val="00581C8A"/>
    <w:rsid w:val="00581E00"/>
    <w:rsid w:val="00581E40"/>
    <w:rsid w:val="005822AA"/>
    <w:rsid w:val="00582324"/>
    <w:rsid w:val="005823B4"/>
    <w:rsid w:val="0058260B"/>
    <w:rsid w:val="0058267D"/>
    <w:rsid w:val="005828B6"/>
    <w:rsid w:val="00582A9E"/>
    <w:rsid w:val="00582BF2"/>
    <w:rsid w:val="00582C53"/>
    <w:rsid w:val="005833D9"/>
    <w:rsid w:val="00583830"/>
    <w:rsid w:val="005838FC"/>
    <w:rsid w:val="00583900"/>
    <w:rsid w:val="00583B5A"/>
    <w:rsid w:val="00583E78"/>
    <w:rsid w:val="00583FA8"/>
    <w:rsid w:val="00583FD9"/>
    <w:rsid w:val="00584751"/>
    <w:rsid w:val="0058490C"/>
    <w:rsid w:val="00584F93"/>
    <w:rsid w:val="005850B4"/>
    <w:rsid w:val="00585542"/>
    <w:rsid w:val="005855A0"/>
    <w:rsid w:val="005855B7"/>
    <w:rsid w:val="005856DD"/>
    <w:rsid w:val="005859FB"/>
    <w:rsid w:val="00585BF0"/>
    <w:rsid w:val="00585DCE"/>
    <w:rsid w:val="00586108"/>
    <w:rsid w:val="0058649B"/>
    <w:rsid w:val="0058674B"/>
    <w:rsid w:val="005868BD"/>
    <w:rsid w:val="005868C2"/>
    <w:rsid w:val="005868F9"/>
    <w:rsid w:val="00586A44"/>
    <w:rsid w:val="00586B64"/>
    <w:rsid w:val="00586C0A"/>
    <w:rsid w:val="005871BD"/>
    <w:rsid w:val="005871DD"/>
    <w:rsid w:val="005875FF"/>
    <w:rsid w:val="005878FE"/>
    <w:rsid w:val="00587C45"/>
    <w:rsid w:val="005900A1"/>
    <w:rsid w:val="00590221"/>
    <w:rsid w:val="0059023D"/>
    <w:rsid w:val="00590587"/>
    <w:rsid w:val="005906A8"/>
    <w:rsid w:val="00590766"/>
    <w:rsid w:val="005908F8"/>
    <w:rsid w:val="00590943"/>
    <w:rsid w:val="00590B01"/>
    <w:rsid w:val="00590B42"/>
    <w:rsid w:val="00591063"/>
    <w:rsid w:val="00591129"/>
    <w:rsid w:val="005911E1"/>
    <w:rsid w:val="005911EF"/>
    <w:rsid w:val="00591383"/>
    <w:rsid w:val="0059151C"/>
    <w:rsid w:val="0059156A"/>
    <w:rsid w:val="00591AA9"/>
    <w:rsid w:val="00591CB6"/>
    <w:rsid w:val="00591DBD"/>
    <w:rsid w:val="00591DD5"/>
    <w:rsid w:val="00592084"/>
    <w:rsid w:val="005923E7"/>
    <w:rsid w:val="00592783"/>
    <w:rsid w:val="00592A57"/>
    <w:rsid w:val="00592B83"/>
    <w:rsid w:val="00592E44"/>
    <w:rsid w:val="00592ED5"/>
    <w:rsid w:val="00593285"/>
    <w:rsid w:val="005933C3"/>
    <w:rsid w:val="00593430"/>
    <w:rsid w:val="0059349F"/>
    <w:rsid w:val="0059359C"/>
    <w:rsid w:val="00593704"/>
    <w:rsid w:val="00593706"/>
    <w:rsid w:val="0059377E"/>
    <w:rsid w:val="005937BC"/>
    <w:rsid w:val="00593904"/>
    <w:rsid w:val="005940B4"/>
    <w:rsid w:val="00594195"/>
    <w:rsid w:val="00594357"/>
    <w:rsid w:val="00594464"/>
    <w:rsid w:val="005947D1"/>
    <w:rsid w:val="00594C2A"/>
    <w:rsid w:val="0059518D"/>
    <w:rsid w:val="00595277"/>
    <w:rsid w:val="005952AD"/>
    <w:rsid w:val="00595598"/>
    <w:rsid w:val="0059566F"/>
    <w:rsid w:val="005956EA"/>
    <w:rsid w:val="0059589F"/>
    <w:rsid w:val="00595936"/>
    <w:rsid w:val="005959ED"/>
    <w:rsid w:val="00595FE3"/>
    <w:rsid w:val="0059606C"/>
    <w:rsid w:val="00596392"/>
    <w:rsid w:val="005968A3"/>
    <w:rsid w:val="005968E9"/>
    <w:rsid w:val="00596B02"/>
    <w:rsid w:val="00596CB6"/>
    <w:rsid w:val="00596F32"/>
    <w:rsid w:val="00597041"/>
    <w:rsid w:val="0059735F"/>
    <w:rsid w:val="00597463"/>
    <w:rsid w:val="0059758D"/>
    <w:rsid w:val="005976DE"/>
    <w:rsid w:val="0059777B"/>
    <w:rsid w:val="00597889"/>
    <w:rsid w:val="005979B4"/>
    <w:rsid w:val="00597AFD"/>
    <w:rsid w:val="00597BD3"/>
    <w:rsid w:val="00597F29"/>
    <w:rsid w:val="005A0224"/>
    <w:rsid w:val="005A02BE"/>
    <w:rsid w:val="005A031D"/>
    <w:rsid w:val="005A04E1"/>
    <w:rsid w:val="005A0646"/>
    <w:rsid w:val="005A078D"/>
    <w:rsid w:val="005A0BA6"/>
    <w:rsid w:val="005A0E72"/>
    <w:rsid w:val="005A0EFF"/>
    <w:rsid w:val="005A0F15"/>
    <w:rsid w:val="005A1029"/>
    <w:rsid w:val="005A1201"/>
    <w:rsid w:val="005A143C"/>
    <w:rsid w:val="005A153F"/>
    <w:rsid w:val="005A15E8"/>
    <w:rsid w:val="005A19D4"/>
    <w:rsid w:val="005A1A34"/>
    <w:rsid w:val="005A1A84"/>
    <w:rsid w:val="005A1C00"/>
    <w:rsid w:val="005A1C29"/>
    <w:rsid w:val="005A1C98"/>
    <w:rsid w:val="005A20F1"/>
    <w:rsid w:val="005A26D6"/>
    <w:rsid w:val="005A28E5"/>
    <w:rsid w:val="005A2A3B"/>
    <w:rsid w:val="005A2A90"/>
    <w:rsid w:val="005A2AF6"/>
    <w:rsid w:val="005A2EAF"/>
    <w:rsid w:val="005A2EFF"/>
    <w:rsid w:val="005A3121"/>
    <w:rsid w:val="005A324B"/>
    <w:rsid w:val="005A35B2"/>
    <w:rsid w:val="005A3647"/>
    <w:rsid w:val="005A3671"/>
    <w:rsid w:val="005A3836"/>
    <w:rsid w:val="005A391A"/>
    <w:rsid w:val="005A3C43"/>
    <w:rsid w:val="005A3F38"/>
    <w:rsid w:val="005A404A"/>
    <w:rsid w:val="005A40B3"/>
    <w:rsid w:val="005A40DD"/>
    <w:rsid w:val="005A453A"/>
    <w:rsid w:val="005A4859"/>
    <w:rsid w:val="005A49BD"/>
    <w:rsid w:val="005A49D0"/>
    <w:rsid w:val="005A4B87"/>
    <w:rsid w:val="005A4C7F"/>
    <w:rsid w:val="005A4CCA"/>
    <w:rsid w:val="005A4DFB"/>
    <w:rsid w:val="005A4E32"/>
    <w:rsid w:val="005A4E46"/>
    <w:rsid w:val="005A4E5C"/>
    <w:rsid w:val="005A524A"/>
    <w:rsid w:val="005A549B"/>
    <w:rsid w:val="005A5B7F"/>
    <w:rsid w:val="005A5D2D"/>
    <w:rsid w:val="005A5E2B"/>
    <w:rsid w:val="005A5E45"/>
    <w:rsid w:val="005A6274"/>
    <w:rsid w:val="005A6441"/>
    <w:rsid w:val="005A6495"/>
    <w:rsid w:val="005A67D7"/>
    <w:rsid w:val="005A67DA"/>
    <w:rsid w:val="005A68C6"/>
    <w:rsid w:val="005A6C20"/>
    <w:rsid w:val="005A6C8C"/>
    <w:rsid w:val="005A6E44"/>
    <w:rsid w:val="005A6F02"/>
    <w:rsid w:val="005A6F56"/>
    <w:rsid w:val="005A7151"/>
    <w:rsid w:val="005A7233"/>
    <w:rsid w:val="005A73E5"/>
    <w:rsid w:val="005A75BE"/>
    <w:rsid w:val="005A7951"/>
    <w:rsid w:val="005A79D1"/>
    <w:rsid w:val="005A7B7A"/>
    <w:rsid w:val="005B0052"/>
    <w:rsid w:val="005B047A"/>
    <w:rsid w:val="005B051F"/>
    <w:rsid w:val="005B061E"/>
    <w:rsid w:val="005B0944"/>
    <w:rsid w:val="005B0982"/>
    <w:rsid w:val="005B0BCB"/>
    <w:rsid w:val="005B0CDD"/>
    <w:rsid w:val="005B1206"/>
    <w:rsid w:val="005B16DC"/>
    <w:rsid w:val="005B170A"/>
    <w:rsid w:val="005B1887"/>
    <w:rsid w:val="005B1BCC"/>
    <w:rsid w:val="005B1DF7"/>
    <w:rsid w:val="005B1FED"/>
    <w:rsid w:val="005B2117"/>
    <w:rsid w:val="005B2233"/>
    <w:rsid w:val="005B2317"/>
    <w:rsid w:val="005B2411"/>
    <w:rsid w:val="005B245D"/>
    <w:rsid w:val="005B24DA"/>
    <w:rsid w:val="005B2583"/>
    <w:rsid w:val="005B265E"/>
    <w:rsid w:val="005B2A3C"/>
    <w:rsid w:val="005B2B2E"/>
    <w:rsid w:val="005B2C8A"/>
    <w:rsid w:val="005B2CF9"/>
    <w:rsid w:val="005B2FF7"/>
    <w:rsid w:val="005B3042"/>
    <w:rsid w:val="005B3152"/>
    <w:rsid w:val="005B3232"/>
    <w:rsid w:val="005B328F"/>
    <w:rsid w:val="005B331A"/>
    <w:rsid w:val="005B3473"/>
    <w:rsid w:val="005B34FF"/>
    <w:rsid w:val="005B359B"/>
    <w:rsid w:val="005B3776"/>
    <w:rsid w:val="005B3832"/>
    <w:rsid w:val="005B39B1"/>
    <w:rsid w:val="005B3A43"/>
    <w:rsid w:val="005B3D06"/>
    <w:rsid w:val="005B3D75"/>
    <w:rsid w:val="005B3E27"/>
    <w:rsid w:val="005B413B"/>
    <w:rsid w:val="005B4A1E"/>
    <w:rsid w:val="005B4A49"/>
    <w:rsid w:val="005B4C19"/>
    <w:rsid w:val="005B4E1C"/>
    <w:rsid w:val="005B4FB6"/>
    <w:rsid w:val="005B5085"/>
    <w:rsid w:val="005B5212"/>
    <w:rsid w:val="005B53B5"/>
    <w:rsid w:val="005B541F"/>
    <w:rsid w:val="005B54D8"/>
    <w:rsid w:val="005B59D1"/>
    <w:rsid w:val="005B59DA"/>
    <w:rsid w:val="005B5FD4"/>
    <w:rsid w:val="005B5FF0"/>
    <w:rsid w:val="005B60BC"/>
    <w:rsid w:val="005B625E"/>
    <w:rsid w:val="005B62C1"/>
    <w:rsid w:val="005B67F6"/>
    <w:rsid w:val="005B6903"/>
    <w:rsid w:val="005B69D3"/>
    <w:rsid w:val="005B70EB"/>
    <w:rsid w:val="005B7159"/>
    <w:rsid w:val="005B7188"/>
    <w:rsid w:val="005B72BE"/>
    <w:rsid w:val="005B753C"/>
    <w:rsid w:val="005B76E4"/>
    <w:rsid w:val="005B77B6"/>
    <w:rsid w:val="005B7AB7"/>
    <w:rsid w:val="005B7B64"/>
    <w:rsid w:val="005B7B7D"/>
    <w:rsid w:val="005B7C89"/>
    <w:rsid w:val="005B7E3D"/>
    <w:rsid w:val="005B7F9D"/>
    <w:rsid w:val="005C0311"/>
    <w:rsid w:val="005C076F"/>
    <w:rsid w:val="005C0A33"/>
    <w:rsid w:val="005C0EED"/>
    <w:rsid w:val="005C0EF6"/>
    <w:rsid w:val="005C10B8"/>
    <w:rsid w:val="005C10EB"/>
    <w:rsid w:val="005C1157"/>
    <w:rsid w:val="005C14A0"/>
    <w:rsid w:val="005C17AF"/>
    <w:rsid w:val="005C18E2"/>
    <w:rsid w:val="005C198F"/>
    <w:rsid w:val="005C1A7F"/>
    <w:rsid w:val="005C1B4B"/>
    <w:rsid w:val="005C1CE9"/>
    <w:rsid w:val="005C1E9C"/>
    <w:rsid w:val="005C1EF4"/>
    <w:rsid w:val="005C2333"/>
    <w:rsid w:val="005C2541"/>
    <w:rsid w:val="005C2E2B"/>
    <w:rsid w:val="005C2E5C"/>
    <w:rsid w:val="005C2F74"/>
    <w:rsid w:val="005C32ED"/>
    <w:rsid w:val="005C35FE"/>
    <w:rsid w:val="005C3894"/>
    <w:rsid w:val="005C3DF0"/>
    <w:rsid w:val="005C3F63"/>
    <w:rsid w:val="005C3FCA"/>
    <w:rsid w:val="005C4139"/>
    <w:rsid w:val="005C4313"/>
    <w:rsid w:val="005C43C4"/>
    <w:rsid w:val="005C443C"/>
    <w:rsid w:val="005C4475"/>
    <w:rsid w:val="005C44A3"/>
    <w:rsid w:val="005C462E"/>
    <w:rsid w:val="005C46E4"/>
    <w:rsid w:val="005C4BF9"/>
    <w:rsid w:val="005C4D1D"/>
    <w:rsid w:val="005C4FF2"/>
    <w:rsid w:val="005C519C"/>
    <w:rsid w:val="005C5381"/>
    <w:rsid w:val="005C5514"/>
    <w:rsid w:val="005C56AB"/>
    <w:rsid w:val="005C5A7C"/>
    <w:rsid w:val="005C5AC3"/>
    <w:rsid w:val="005C5B97"/>
    <w:rsid w:val="005C5DE1"/>
    <w:rsid w:val="005C65A1"/>
    <w:rsid w:val="005C66E4"/>
    <w:rsid w:val="005C708E"/>
    <w:rsid w:val="005C7157"/>
    <w:rsid w:val="005C71E9"/>
    <w:rsid w:val="005C72A3"/>
    <w:rsid w:val="005C7466"/>
    <w:rsid w:val="005C76D5"/>
    <w:rsid w:val="005C77D2"/>
    <w:rsid w:val="005C7E03"/>
    <w:rsid w:val="005C7E9E"/>
    <w:rsid w:val="005D043D"/>
    <w:rsid w:val="005D0537"/>
    <w:rsid w:val="005D061E"/>
    <w:rsid w:val="005D0720"/>
    <w:rsid w:val="005D08D7"/>
    <w:rsid w:val="005D0AB9"/>
    <w:rsid w:val="005D0BBC"/>
    <w:rsid w:val="005D0D46"/>
    <w:rsid w:val="005D0EF2"/>
    <w:rsid w:val="005D132F"/>
    <w:rsid w:val="005D1889"/>
    <w:rsid w:val="005D1B7A"/>
    <w:rsid w:val="005D1BDF"/>
    <w:rsid w:val="005D1C6D"/>
    <w:rsid w:val="005D1DE3"/>
    <w:rsid w:val="005D1E2B"/>
    <w:rsid w:val="005D1F45"/>
    <w:rsid w:val="005D212D"/>
    <w:rsid w:val="005D2384"/>
    <w:rsid w:val="005D258E"/>
    <w:rsid w:val="005D25E3"/>
    <w:rsid w:val="005D2696"/>
    <w:rsid w:val="005D2706"/>
    <w:rsid w:val="005D2F7A"/>
    <w:rsid w:val="005D31DF"/>
    <w:rsid w:val="005D3754"/>
    <w:rsid w:val="005D38D2"/>
    <w:rsid w:val="005D3A30"/>
    <w:rsid w:val="005D3A4B"/>
    <w:rsid w:val="005D3D9E"/>
    <w:rsid w:val="005D40A8"/>
    <w:rsid w:val="005D44A1"/>
    <w:rsid w:val="005D486F"/>
    <w:rsid w:val="005D4ED0"/>
    <w:rsid w:val="005D4FAA"/>
    <w:rsid w:val="005D5179"/>
    <w:rsid w:val="005D5294"/>
    <w:rsid w:val="005D548D"/>
    <w:rsid w:val="005D56F5"/>
    <w:rsid w:val="005D5908"/>
    <w:rsid w:val="005D5D01"/>
    <w:rsid w:val="005D5E84"/>
    <w:rsid w:val="005D5FE3"/>
    <w:rsid w:val="005D5FEC"/>
    <w:rsid w:val="005D6054"/>
    <w:rsid w:val="005D6172"/>
    <w:rsid w:val="005D6219"/>
    <w:rsid w:val="005D635E"/>
    <w:rsid w:val="005D63E0"/>
    <w:rsid w:val="005D6435"/>
    <w:rsid w:val="005D6448"/>
    <w:rsid w:val="005D64DD"/>
    <w:rsid w:val="005D6F81"/>
    <w:rsid w:val="005D717C"/>
    <w:rsid w:val="005D7253"/>
    <w:rsid w:val="005D74D7"/>
    <w:rsid w:val="005D753F"/>
    <w:rsid w:val="005D766D"/>
    <w:rsid w:val="005D7691"/>
    <w:rsid w:val="005D7700"/>
    <w:rsid w:val="005D7731"/>
    <w:rsid w:val="005D77CC"/>
    <w:rsid w:val="005D7EC9"/>
    <w:rsid w:val="005E00B4"/>
    <w:rsid w:val="005E0353"/>
    <w:rsid w:val="005E04FE"/>
    <w:rsid w:val="005E064A"/>
    <w:rsid w:val="005E088C"/>
    <w:rsid w:val="005E09BA"/>
    <w:rsid w:val="005E0A4F"/>
    <w:rsid w:val="005E0BF0"/>
    <w:rsid w:val="005E10AA"/>
    <w:rsid w:val="005E16D6"/>
    <w:rsid w:val="005E18C6"/>
    <w:rsid w:val="005E1941"/>
    <w:rsid w:val="005E1A36"/>
    <w:rsid w:val="005E1AAF"/>
    <w:rsid w:val="005E1BCD"/>
    <w:rsid w:val="005E1CA7"/>
    <w:rsid w:val="005E23B0"/>
    <w:rsid w:val="005E2503"/>
    <w:rsid w:val="005E2867"/>
    <w:rsid w:val="005E28BB"/>
    <w:rsid w:val="005E2AB8"/>
    <w:rsid w:val="005E2CAC"/>
    <w:rsid w:val="005E309B"/>
    <w:rsid w:val="005E309D"/>
    <w:rsid w:val="005E3116"/>
    <w:rsid w:val="005E326D"/>
    <w:rsid w:val="005E32E9"/>
    <w:rsid w:val="005E3533"/>
    <w:rsid w:val="005E3A92"/>
    <w:rsid w:val="005E4045"/>
    <w:rsid w:val="005E415B"/>
    <w:rsid w:val="005E415D"/>
    <w:rsid w:val="005E42B9"/>
    <w:rsid w:val="005E475D"/>
    <w:rsid w:val="005E49ED"/>
    <w:rsid w:val="005E4AEB"/>
    <w:rsid w:val="005E4E20"/>
    <w:rsid w:val="005E4FA7"/>
    <w:rsid w:val="005E51DD"/>
    <w:rsid w:val="005E588D"/>
    <w:rsid w:val="005E5CD8"/>
    <w:rsid w:val="005E5DBC"/>
    <w:rsid w:val="005E5E07"/>
    <w:rsid w:val="005E5EEE"/>
    <w:rsid w:val="005E5F3F"/>
    <w:rsid w:val="005E604D"/>
    <w:rsid w:val="005E6276"/>
    <w:rsid w:val="005E6398"/>
    <w:rsid w:val="005E655B"/>
    <w:rsid w:val="005E6644"/>
    <w:rsid w:val="005E6B46"/>
    <w:rsid w:val="005E6CEC"/>
    <w:rsid w:val="005E6F2D"/>
    <w:rsid w:val="005E6F76"/>
    <w:rsid w:val="005E7012"/>
    <w:rsid w:val="005E7052"/>
    <w:rsid w:val="005E708B"/>
    <w:rsid w:val="005E74EE"/>
    <w:rsid w:val="005E7822"/>
    <w:rsid w:val="005E786A"/>
    <w:rsid w:val="005E7A28"/>
    <w:rsid w:val="005E7B61"/>
    <w:rsid w:val="005E7C76"/>
    <w:rsid w:val="005E7C7F"/>
    <w:rsid w:val="005E7FED"/>
    <w:rsid w:val="005EB475"/>
    <w:rsid w:val="005F021E"/>
    <w:rsid w:val="005F02D4"/>
    <w:rsid w:val="005F03AF"/>
    <w:rsid w:val="005F03D2"/>
    <w:rsid w:val="005F04C0"/>
    <w:rsid w:val="005F0596"/>
    <w:rsid w:val="005F0B01"/>
    <w:rsid w:val="005F0BBC"/>
    <w:rsid w:val="005F0DA6"/>
    <w:rsid w:val="005F107A"/>
    <w:rsid w:val="005F16F9"/>
    <w:rsid w:val="005F1725"/>
    <w:rsid w:val="005F1905"/>
    <w:rsid w:val="005F1AF5"/>
    <w:rsid w:val="005F1C14"/>
    <w:rsid w:val="005F1D63"/>
    <w:rsid w:val="005F2085"/>
    <w:rsid w:val="005F2274"/>
    <w:rsid w:val="005F2298"/>
    <w:rsid w:val="005F2513"/>
    <w:rsid w:val="005F269A"/>
    <w:rsid w:val="005F29DA"/>
    <w:rsid w:val="005F30A7"/>
    <w:rsid w:val="005F32AD"/>
    <w:rsid w:val="005F374D"/>
    <w:rsid w:val="005F37C0"/>
    <w:rsid w:val="005F37D2"/>
    <w:rsid w:val="005F385A"/>
    <w:rsid w:val="005F3F79"/>
    <w:rsid w:val="005F40EA"/>
    <w:rsid w:val="005F41CD"/>
    <w:rsid w:val="005F44BE"/>
    <w:rsid w:val="005F4618"/>
    <w:rsid w:val="005F483E"/>
    <w:rsid w:val="005F4A9A"/>
    <w:rsid w:val="005F4BAF"/>
    <w:rsid w:val="005F5020"/>
    <w:rsid w:val="005F502F"/>
    <w:rsid w:val="005F52B9"/>
    <w:rsid w:val="005F535B"/>
    <w:rsid w:val="005F5579"/>
    <w:rsid w:val="005F573F"/>
    <w:rsid w:val="005F5CE5"/>
    <w:rsid w:val="005F5D21"/>
    <w:rsid w:val="005F6174"/>
    <w:rsid w:val="005F636F"/>
    <w:rsid w:val="005F66A9"/>
    <w:rsid w:val="005F6792"/>
    <w:rsid w:val="005F6927"/>
    <w:rsid w:val="005F6A71"/>
    <w:rsid w:val="005F6D6D"/>
    <w:rsid w:val="005F701F"/>
    <w:rsid w:val="005F7063"/>
    <w:rsid w:val="005F70F0"/>
    <w:rsid w:val="005F7314"/>
    <w:rsid w:val="005F763D"/>
    <w:rsid w:val="005F7709"/>
    <w:rsid w:val="005F7786"/>
    <w:rsid w:val="005F7BEA"/>
    <w:rsid w:val="005F7C32"/>
    <w:rsid w:val="005F7EC6"/>
    <w:rsid w:val="00600128"/>
    <w:rsid w:val="00600286"/>
    <w:rsid w:val="00600308"/>
    <w:rsid w:val="0060031D"/>
    <w:rsid w:val="00600354"/>
    <w:rsid w:val="006005A6"/>
    <w:rsid w:val="0060075F"/>
    <w:rsid w:val="00600C29"/>
    <w:rsid w:val="00600CFF"/>
    <w:rsid w:val="00601735"/>
    <w:rsid w:val="00601A87"/>
    <w:rsid w:val="00601BED"/>
    <w:rsid w:val="00601F5A"/>
    <w:rsid w:val="006022CE"/>
    <w:rsid w:val="00602612"/>
    <w:rsid w:val="006026C5"/>
    <w:rsid w:val="0060279D"/>
    <w:rsid w:val="00602C62"/>
    <w:rsid w:val="00602E51"/>
    <w:rsid w:val="00602E9D"/>
    <w:rsid w:val="00602EAA"/>
    <w:rsid w:val="00602F1F"/>
    <w:rsid w:val="00602FF6"/>
    <w:rsid w:val="006030CF"/>
    <w:rsid w:val="00603410"/>
    <w:rsid w:val="0060368C"/>
    <w:rsid w:val="006036CF"/>
    <w:rsid w:val="006037A9"/>
    <w:rsid w:val="00603B00"/>
    <w:rsid w:val="00603BBA"/>
    <w:rsid w:val="00603C69"/>
    <w:rsid w:val="00603D8E"/>
    <w:rsid w:val="00603DBF"/>
    <w:rsid w:val="0060446F"/>
    <w:rsid w:val="006044DC"/>
    <w:rsid w:val="00604800"/>
    <w:rsid w:val="00604DA4"/>
    <w:rsid w:val="00604DAD"/>
    <w:rsid w:val="00605819"/>
    <w:rsid w:val="006059DE"/>
    <w:rsid w:val="00605BDC"/>
    <w:rsid w:val="00605BF1"/>
    <w:rsid w:val="00605ED6"/>
    <w:rsid w:val="00605F62"/>
    <w:rsid w:val="006064B2"/>
    <w:rsid w:val="006064B9"/>
    <w:rsid w:val="00606538"/>
    <w:rsid w:val="006065A9"/>
    <w:rsid w:val="006066EC"/>
    <w:rsid w:val="006067DF"/>
    <w:rsid w:val="006069CD"/>
    <w:rsid w:val="00606B34"/>
    <w:rsid w:val="00606BE6"/>
    <w:rsid w:val="00606C0F"/>
    <w:rsid w:val="00606C1E"/>
    <w:rsid w:val="00606CE7"/>
    <w:rsid w:val="00606D8F"/>
    <w:rsid w:val="00606DDB"/>
    <w:rsid w:val="00606FCC"/>
    <w:rsid w:val="0060703D"/>
    <w:rsid w:val="006070E8"/>
    <w:rsid w:val="00607537"/>
    <w:rsid w:val="0060753B"/>
    <w:rsid w:val="006075B1"/>
    <w:rsid w:val="00607651"/>
    <w:rsid w:val="006076A7"/>
    <w:rsid w:val="006076D5"/>
    <w:rsid w:val="006077C2"/>
    <w:rsid w:val="00607A1C"/>
    <w:rsid w:val="00607B4A"/>
    <w:rsid w:val="00607E37"/>
    <w:rsid w:val="00607EF8"/>
    <w:rsid w:val="00607F61"/>
    <w:rsid w:val="006101EB"/>
    <w:rsid w:val="006102E3"/>
    <w:rsid w:val="0061031A"/>
    <w:rsid w:val="00610366"/>
    <w:rsid w:val="006103AF"/>
    <w:rsid w:val="0061041C"/>
    <w:rsid w:val="006106EE"/>
    <w:rsid w:val="00610801"/>
    <w:rsid w:val="00610A14"/>
    <w:rsid w:val="00610C1D"/>
    <w:rsid w:val="00610CEA"/>
    <w:rsid w:val="0061132E"/>
    <w:rsid w:val="0061176C"/>
    <w:rsid w:val="00611D5C"/>
    <w:rsid w:val="00612389"/>
    <w:rsid w:val="00612789"/>
    <w:rsid w:val="006128DC"/>
    <w:rsid w:val="00612988"/>
    <w:rsid w:val="00612995"/>
    <w:rsid w:val="00612AE2"/>
    <w:rsid w:val="00612C69"/>
    <w:rsid w:val="00612CAD"/>
    <w:rsid w:val="0061310B"/>
    <w:rsid w:val="00613187"/>
    <w:rsid w:val="006131D3"/>
    <w:rsid w:val="006137A9"/>
    <w:rsid w:val="006139A2"/>
    <w:rsid w:val="006139AA"/>
    <w:rsid w:val="006139B2"/>
    <w:rsid w:val="006139D1"/>
    <w:rsid w:val="00613D24"/>
    <w:rsid w:val="00613E7C"/>
    <w:rsid w:val="006145CB"/>
    <w:rsid w:val="00614629"/>
    <w:rsid w:val="006146F5"/>
    <w:rsid w:val="00614894"/>
    <w:rsid w:val="0061492D"/>
    <w:rsid w:val="0061494E"/>
    <w:rsid w:val="00614AB0"/>
    <w:rsid w:val="00614BA1"/>
    <w:rsid w:val="00614DD4"/>
    <w:rsid w:val="00614EE8"/>
    <w:rsid w:val="0061501F"/>
    <w:rsid w:val="00615073"/>
    <w:rsid w:val="0061509E"/>
    <w:rsid w:val="0061518B"/>
    <w:rsid w:val="00615261"/>
    <w:rsid w:val="006153F4"/>
    <w:rsid w:val="00615877"/>
    <w:rsid w:val="006158B2"/>
    <w:rsid w:val="00615D04"/>
    <w:rsid w:val="00615F5D"/>
    <w:rsid w:val="00615FDD"/>
    <w:rsid w:val="00616164"/>
    <w:rsid w:val="00616340"/>
    <w:rsid w:val="00616820"/>
    <w:rsid w:val="00616B2A"/>
    <w:rsid w:val="00617674"/>
    <w:rsid w:val="00617782"/>
    <w:rsid w:val="00617784"/>
    <w:rsid w:val="006177E3"/>
    <w:rsid w:val="00617CB3"/>
    <w:rsid w:val="0062014C"/>
    <w:rsid w:val="006201A1"/>
    <w:rsid w:val="00620413"/>
    <w:rsid w:val="006206BF"/>
    <w:rsid w:val="00620724"/>
    <w:rsid w:val="00620753"/>
    <w:rsid w:val="00620768"/>
    <w:rsid w:val="00620A58"/>
    <w:rsid w:val="00620AB1"/>
    <w:rsid w:val="00620AFE"/>
    <w:rsid w:val="00620C5C"/>
    <w:rsid w:val="00620FF9"/>
    <w:rsid w:val="006212DB"/>
    <w:rsid w:val="006213B6"/>
    <w:rsid w:val="0062176C"/>
    <w:rsid w:val="006218F6"/>
    <w:rsid w:val="0062190F"/>
    <w:rsid w:val="00621A44"/>
    <w:rsid w:val="00621D84"/>
    <w:rsid w:val="0062203C"/>
    <w:rsid w:val="00622105"/>
    <w:rsid w:val="00622123"/>
    <w:rsid w:val="006221A2"/>
    <w:rsid w:val="00622444"/>
    <w:rsid w:val="00622516"/>
    <w:rsid w:val="00622613"/>
    <w:rsid w:val="006226CA"/>
    <w:rsid w:val="0062272B"/>
    <w:rsid w:val="006228A0"/>
    <w:rsid w:val="00622FEB"/>
    <w:rsid w:val="006230A7"/>
    <w:rsid w:val="00623302"/>
    <w:rsid w:val="00623371"/>
    <w:rsid w:val="0062358B"/>
    <w:rsid w:val="006238DE"/>
    <w:rsid w:val="0062399F"/>
    <w:rsid w:val="00623AD0"/>
    <w:rsid w:val="00623EFB"/>
    <w:rsid w:val="006241B9"/>
    <w:rsid w:val="006242F4"/>
    <w:rsid w:val="00624368"/>
    <w:rsid w:val="006244D1"/>
    <w:rsid w:val="00624512"/>
    <w:rsid w:val="00624820"/>
    <w:rsid w:val="00624FA6"/>
    <w:rsid w:val="006250A4"/>
    <w:rsid w:val="006257DD"/>
    <w:rsid w:val="00625941"/>
    <w:rsid w:val="00625A1D"/>
    <w:rsid w:val="00625BAE"/>
    <w:rsid w:val="00625C32"/>
    <w:rsid w:val="00625C4E"/>
    <w:rsid w:val="00626562"/>
    <w:rsid w:val="006266A6"/>
    <w:rsid w:val="00626816"/>
    <w:rsid w:val="00626B69"/>
    <w:rsid w:val="00626B8D"/>
    <w:rsid w:val="00626C08"/>
    <w:rsid w:val="0062709B"/>
    <w:rsid w:val="00627195"/>
    <w:rsid w:val="006271E3"/>
    <w:rsid w:val="0062744E"/>
    <w:rsid w:val="0062744F"/>
    <w:rsid w:val="006277D1"/>
    <w:rsid w:val="00627CFF"/>
    <w:rsid w:val="006301B7"/>
    <w:rsid w:val="006302AC"/>
    <w:rsid w:val="00630509"/>
    <w:rsid w:val="00630B1E"/>
    <w:rsid w:val="00630BA7"/>
    <w:rsid w:val="00630CE7"/>
    <w:rsid w:val="00630E12"/>
    <w:rsid w:val="00630E7C"/>
    <w:rsid w:val="00630EB9"/>
    <w:rsid w:val="006310BB"/>
    <w:rsid w:val="006311B7"/>
    <w:rsid w:val="00631385"/>
    <w:rsid w:val="00631765"/>
    <w:rsid w:val="00631894"/>
    <w:rsid w:val="00631A12"/>
    <w:rsid w:val="00631AB4"/>
    <w:rsid w:val="00631EE5"/>
    <w:rsid w:val="0063210A"/>
    <w:rsid w:val="00632422"/>
    <w:rsid w:val="00632565"/>
    <w:rsid w:val="0063291B"/>
    <w:rsid w:val="00632C4E"/>
    <w:rsid w:val="00632CE4"/>
    <w:rsid w:val="00633070"/>
    <w:rsid w:val="00633246"/>
    <w:rsid w:val="006335C1"/>
    <w:rsid w:val="006337CB"/>
    <w:rsid w:val="00633A9B"/>
    <w:rsid w:val="00633C0F"/>
    <w:rsid w:val="0063429B"/>
    <w:rsid w:val="006342B7"/>
    <w:rsid w:val="006342F4"/>
    <w:rsid w:val="006345EC"/>
    <w:rsid w:val="00634615"/>
    <w:rsid w:val="00634671"/>
    <w:rsid w:val="00634F73"/>
    <w:rsid w:val="00635275"/>
    <w:rsid w:val="006354C4"/>
    <w:rsid w:val="006354EA"/>
    <w:rsid w:val="0063561B"/>
    <w:rsid w:val="0063570A"/>
    <w:rsid w:val="006357B5"/>
    <w:rsid w:val="00635C41"/>
    <w:rsid w:val="00635D9F"/>
    <w:rsid w:val="00635F46"/>
    <w:rsid w:val="006364B8"/>
    <w:rsid w:val="0063666D"/>
    <w:rsid w:val="0063672D"/>
    <w:rsid w:val="00636737"/>
    <w:rsid w:val="00636AC2"/>
    <w:rsid w:val="006370FB"/>
    <w:rsid w:val="006375C2"/>
    <w:rsid w:val="00637898"/>
    <w:rsid w:val="006378B0"/>
    <w:rsid w:val="00637CBF"/>
    <w:rsid w:val="00637D40"/>
    <w:rsid w:val="0064042D"/>
    <w:rsid w:val="00640571"/>
    <w:rsid w:val="00640626"/>
    <w:rsid w:val="00640B0C"/>
    <w:rsid w:val="00640BE7"/>
    <w:rsid w:val="00640FD1"/>
    <w:rsid w:val="0064131C"/>
    <w:rsid w:val="006414AB"/>
    <w:rsid w:val="00641560"/>
    <w:rsid w:val="00641589"/>
    <w:rsid w:val="00641746"/>
    <w:rsid w:val="00641778"/>
    <w:rsid w:val="006419FE"/>
    <w:rsid w:val="00641AEC"/>
    <w:rsid w:val="00641FA1"/>
    <w:rsid w:val="006421DF"/>
    <w:rsid w:val="006424CB"/>
    <w:rsid w:val="00642563"/>
    <w:rsid w:val="0064256B"/>
    <w:rsid w:val="00642745"/>
    <w:rsid w:val="00642808"/>
    <w:rsid w:val="00642A73"/>
    <w:rsid w:val="00642AD3"/>
    <w:rsid w:val="00642CFA"/>
    <w:rsid w:val="00643566"/>
    <w:rsid w:val="006436C1"/>
    <w:rsid w:val="00643727"/>
    <w:rsid w:val="00643805"/>
    <w:rsid w:val="0064394D"/>
    <w:rsid w:val="00643996"/>
    <w:rsid w:val="00643D7F"/>
    <w:rsid w:val="0064401E"/>
    <w:rsid w:val="00644029"/>
    <w:rsid w:val="00644043"/>
    <w:rsid w:val="00644054"/>
    <w:rsid w:val="006441B8"/>
    <w:rsid w:val="00644362"/>
    <w:rsid w:val="00644490"/>
    <w:rsid w:val="00644728"/>
    <w:rsid w:val="00644D23"/>
    <w:rsid w:val="00644FBF"/>
    <w:rsid w:val="0064524B"/>
    <w:rsid w:val="006452AE"/>
    <w:rsid w:val="006454E6"/>
    <w:rsid w:val="006454F4"/>
    <w:rsid w:val="006456F5"/>
    <w:rsid w:val="00646258"/>
    <w:rsid w:val="0064649D"/>
    <w:rsid w:val="00646589"/>
    <w:rsid w:val="006469A4"/>
    <w:rsid w:val="006469A8"/>
    <w:rsid w:val="00646AFF"/>
    <w:rsid w:val="00646D10"/>
    <w:rsid w:val="00646F30"/>
    <w:rsid w:val="006470AB"/>
    <w:rsid w:val="0064722B"/>
    <w:rsid w:val="00647375"/>
    <w:rsid w:val="00647388"/>
    <w:rsid w:val="00647449"/>
    <w:rsid w:val="00647570"/>
    <w:rsid w:val="00647608"/>
    <w:rsid w:val="006478FF"/>
    <w:rsid w:val="00647A4C"/>
    <w:rsid w:val="00647C20"/>
    <w:rsid w:val="00647C99"/>
    <w:rsid w:val="00647CA0"/>
    <w:rsid w:val="00647CCD"/>
    <w:rsid w:val="00650272"/>
    <w:rsid w:val="006503DF"/>
    <w:rsid w:val="00650426"/>
    <w:rsid w:val="006505CF"/>
    <w:rsid w:val="0065063A"/>
    <w:rsid w:val="00650642"/>
    <w:rsid w:val="0065085C"/>
    <w:rsid w:val="00650A01"/>
    <w:rsid w:val="00650A8F"/>
    <w:rsid w:val="00650BCC"/>
    <w:rsid w:val="00650D53"/>
    <w:rsid w:val="00650DA0"/>
    <w:rsid w:val="00650FC8"/>
    <w:rsid w:val="00651234"/>
    <w:rsid w:val="00651295"/>
    <w:rsid w:val="006515CD"/>
    <w:rsid w:val="00651624"/>
    <w:rsid w:val="00651877"/>
    <w:rsid w:val="00651AC6"/>
    <w:rsid w:val="00651C74"/>
    <w:rsid w:val="0065212A"/>
    <w:rsid w:val="006521BB"/>
    <w:rsid w:val="0065229D"/>
    <w:rsid w:val="00652338"/>
    <w:rsid w:val="006523DE"/>
    <w:rsid w:val="00652DDF"/>
    <w:rsid w:val="00652E4F"/>
    <w:rsid w:val="00652EBA"/>
    <w:rsid w:val="00652F49"/>
    <w:rsid w:val="006533CB"/>
    <w:rsid w:val="006539F0"/>
    <w:rsid w:val="00653AAB"/>
    <w:rsid w:val="0065400E"/>
    <w:rsid w:val="006541BE"/>
    <w:rsid w:val="006542AE"/>
    <w:rsid w:val="00654376"/>
    <w:rsid w:val="006549DC"/>
    <w:rsid w:val="00654AFF"/>
    <w:rsid w:val="00654E24"/>
    <w:rsid w:val="00655013"/>
    <w:rsid w:val="00655388"/>
    <w:rsid w:val="006553D8"/>
    <w:rsid w:val="00655440"/>
    <w:rsid w:val="0065560D"/>
    <w:rsid w:val="00655B2D"/>
    <w:rsid w:val="00655C14"/>
    <w:rsid w:val="00655D42"/>
    <w:rsid w:val="00655FCF"/>
    <w:rsid w:val="00656073"/>
    <w:rsid w:val="00656199"/>
    <w:rsid w:val="00656464"/>
    <w:rsid w:val="006568EA"/>
    <w:rsid w:val="00656CF0"/>
    <w:rsid w:val="006572E1"/>
    <w:rsid w:val="00657318"/>
    <w:rsid w:val="006575A3"/>
    <w:rsid w:val="00657BE2"/>
    <w:rsid w:val="00657C37"/>
    <w:rsid w:val="00657D75"/>
    <w:rsid w:val="00657F9C"/>
    <w:rsid w:val="0066012F"/>
    <w:rsid w:val="00660405"/>
    <w:rsid w:val="0066041A"/>
    <w:rsid w:val="00660557"/>
    <w:rsid w:val="0066059A"/>
    <w:rsid w:val="006606B6"/>
    <w:rsid w:val="006607A7"/>
    <w:rsid w:val="006607C7"/>
    <w:rsid w:val="00660801"/>
    <w:rsid w:val="00660818"/>
    <w:rsid w:val="00660B9A"/>
    <w:rsid w:val="0066129D"/>
    <w:rsid w:val="0066151D"/>
    <w:rsid w:val="006615C0"/>
    <w:rsid w:val="00661713"/>
    <w:rsid w:val="00661806"/>
    <w:rsid w:val="00661A49"/>
    <w:rsid w:val="00661A8D"/>
    <w:rsid w:val="00661BA4"/>
    <w:rsid w:val="00661BCA"/>
    <w:rsid w:val="00661D1A"/>
    <w:rsid w:val="00661EB5"/>
    <w:rsid w:val="00661FA1"/>
    <w:rsid w:val="00661FBA"/>
    <w:rsid w:val="00662027"/>
    <w:rsid w:val="006621C8"/>
    <w:rsid w:val="00662248"/>
    <w:rsid w:val="0066254D"/>
    <w:rsid w:val="006625B6"/>
    <w:rsid w:val="00662B12"/>
    <w:rsid w:val="00663126"/>
    <w:rsid w:val="006632CA"/>
    <w:rsid w:val="00663383"/>
    <w:rsid w:val="006633BB"/>
    <w:rsid w:val="006637CB"/>
    <w:rsid w:val="0066390E"/>
    <w:rsid w:val="00663967"/>
    <w:rsid w:val="00663AF5"/>
    <w:rsid w:val="00663B0C"/>
    <w:rsid w:val="00663C17"/>
    <w:rsid w:val="006640A2"/>
    <w:rsid w:val="00664394"/>
    <w:rsid w:val="00664B92"/>
    <w:rsid w:val="00664B9B"/>
    <w:rsid w:val="00664C92"/>
    <w:rsid w:val="00664D3A"/>
    <w:rsid w:val="00664EF4"/>
    <w:rsid w:val="006650D1"/>
    <w:rsid w:val="006652E7"/>
    <w:rsid w:val="0066533C"/>
    <w:rsid w:val="006653C8"/>
    <w:rsid w:val="00665598"/>
    <w:rsid w:val="006656CC"/>
    <w:rsid w:val="006656E9"/>
    <w:rsid w:val="00665BF4"/>
    <w:rsid w:val="00665C59"/>
    <w:rsid w:val="00665E8F"/>
    <w:rsid w:val="00665F70"/>
    <w:rsid w:val="0066611A"/>
    <w:rsid w:val="00666151"/>
    <w:rsid w:val="00666184"/>
    <w:rsid w:val="00666336"/>
    <w:rsid w:val="0066643F"/>
    <w:rsid w:val="0066657D"/>
    <w:rsid w:val="00666930"/>
    <w:rsid w:val="006669B5"/>
    <w:rsid w:val="00666B96"/>
    <w:rsid w:val="00666BDD"/>
    <w:rsid w:val="00666C2C"/>
    <w:rsid w:val="00666C89"/>
    <w:rsid w:val="006671B0"/>
    <w:rsid w:val="00667302"/>
    <w:rsid w:val="00667431"/>
    <w:rsid w:val="0066768D"/>
    <w:rsid w:val="00667A22"/>
    <w:rsid w:val="00667D3D"/>
    <w:rsid w:val="00667DD0"/>
    <w:rsid w:val="00667DD1"/>
    <w:rsid w:val="00667DF2"/>
    <w:rsid w:val="0067009D"/>
    <w:rsid w:val="006703B5"/>
    <w:rsid w:val="006704A4"/>
    <w:rsid w:val="00670632"/>
    <w:rsid w:val="00670662"/>
    <w:rsid w:val="006706FF"/>
    <w:rsid w:val="00670791"/>
    <w:rsid w:val="00670950"/>
    <w:rsid w:val="00670B26"/>
    <w:rsid w:val="00671136"/>
    <w:rsid w:val="006712AA"/>
    <w:rsid w:val="006712FF"/>
    <w:rsid w:val="006715AF"/>
    <w:rsid w:val="0067195F"/>
    <w:rsid w:val="00671B71"/>
    <w:rsid w:val="00671F57"/>
    <w:rsid w:val="006720C9"/>
    <w:rsid w:val="00672138"/>
    <w:rsid w:val="006724BC"/>
    <w:rsid w:val="006727B8"/>
    <w:rsid w:val="00672B0C"/>
    <w:rsid w:val="00672F39"/>
    <w:rsid w:val="00673582"/>
    <w:rsid w:val="006735A7"/>
    <w:rsid w:val="006735C2"/>
    <w:rsid w:val="006736E4"/>
    <w:rsid w:val="00673752"/>
    <w:rsid w:val="00673D17"/>
    <w:rsid w:val="0067408E"/>
    <w:rsid w:val="006743A9"/>
    <w:rsid w:val="006743FC"/>
    <w:rsid w:val="00674421"/>
    <w:rsid w:val="006746A6"/>
    <w:rsid w:val="006747F8"/>
    <w:rsid w:val="00674C43"/>
    <w:rsid w:val="00674C53"/>
    <w:rsid w:val="00674FC4"/>
    <w:rsid w:val="00675060"/>
    <w:rsid w:val="00675128"/>
    <w:rsid w:val="00675258"/>
    <w:rsid w:val="006752ED"/>
    <w:rsid w:val="00675381"/>
    <w:rsid w:val="006753B5"/>
    <w:rsid w:val="0067582F"/>
    <w:rsid w:val="006759C2"/>
    <w:rsid w:val="00675F4E"/>
    <w:rsid w:val="00676096"/>
    <w:rsid w:val="0067612C"/>
    <w:rsid w:val="006762EF"/>
    <w:rsid w:val="0067630C"/>
    <w:rsid w:val="0067631B"/>
    <w:rsid w:val="006763C6"/>
    <w:rsid w:val="00676495"/>
    <w:rsid w:val="00676831"/>
    <w:rsid w:val="006768E1"/>
    <w:rsid w:val="006768ED"/>
    <w:rsid w:val="0067695B"/>
    <w:rsid w:val="00676B7D"/>
    <w:rsid w:val="00676BF4"/>
    <w:rsid w:val="00676E12"/>
    <w:rsid w:val="00676FA3"/>
    <w:rsid w:val="00677025"/>
    <w:rsid w:val="0067705A"/>
    <w:rsid w:val="00677306"/>
    <w:rsid w:val="0067738D"/>
    <w:rsid w:val="006779D5"/>
    <w:rsid w:val="00677A9F"/>
    <w:rsid w:val="00677AD4"/>
    <w:rsid w:val="00677AE0"/>
    <w:rsid w:val="00677E8F"/>
    <w:rsid w:val="00677F00"/>
    <w:rsid w:val="00680414"/>
    <w:rsid w:val="00680614"/>
    <w:rsid w:val="0068074D"/>
    <w:rsid w:val="00680A64"/>
    <w:rsid w:val="00680C99"/>
    <w:rsid w:val="00680D02"/>
    <w:rsid w:val="00680E57"/>
    <w:rsid w:val="0068117F"/>
    <w:rsid w:val="006812E3"/>
    <w:rsid w:val="0068156A"/>
    <w:rsid w:val="006818D2"/>
    <w:rsid w:val="00681927"/>
    <w:rsid w:val="00681A36"/>
    <w:rsid w:val="00681A4D"/>
    <w:rsid w:val="00681CA4"/>
    <w:rsid w:val="00681CBE"/>
    <w:rsid w:val="00681DB3"/>
    <w:rsid w:val="00681E58"/>
    <w:rsid w:val="00682027"/>
    <w:rsid w:val="00682138"/>
    <w:rsid w:val="00682331"/>
    <w:rsid w:val="006825D3"/>
    <w:rsid w:val="0068260A"/>
    <w:rsid w:val="006826BF"/>
    <w:rsid w:val="00682876"/>
    <w:rsid w:val="00682D09"/>
    <w:rsid w:val="00682D38"/>
    <w:rsid w:val="006831A9"/>
    <w:rsid w:val="006834DD"/>
    <w:rsid w:val="006835E5"/>
    <w:rsid w:val="006839AA"/>
    <w:rsid w:val="00683C33"/>
    <w:rsid w:val="00683D56"/>
    <w:rsid w:val="00683E97"/>
    <w:rsid w:val="00684101"/>
    <w:rsid w:val="0068424C"/>
    <w:rsid w:val="006846E9"/>
    <w:rsid w:val="00684736"/>
    <w:rsid w:val="0068496E"/>
    <w:rsid w:val="00684D2A"/>
    <w:rsid w:val="00684EAE"/>
    <w:rsid w:val="006851E8"/>
    <w:rsid w:val="00685303"/>
    <w:rsid w:val="0068540F"/>
    <w:rsid w:val="0068542C"/>
    <w:rsid w:val="00685885"/>
    <w:rsid w:val="00685B63"/>
    <w:rsid w:val="00686080"/>
    <w:rsid w:val="00686280"/>
    <w:rsid w:val="0068643E"/>
    <w:rsid w:val="00686AD5"/>
    <w:rsid w:val="00686D41"/>
    <w:rsid w:val="00686E1D"/>
    <w:rsid w:val="00686EBD"/>
    <w:rsid w:val="0068713C"/>
    <w:rsid w:val="006876E6"/>
    <w:rsid w:val="006878AE"/>
    <w:rsid w:val="0069001C"/>
    <w:rsid w:val="00690252"/>
    <w:rsid w:val="006904CF"/>
    <w:rsid w:val="006906F9"/>
    <w:rsid w:val="00690A59"/>
    <w:rsid w:val="00690F86"/>
    <w:rsid w:val="00690FCA"/>
    <w:rsid w:val="0069106B"/>
    <w:rsid w:val="006910BA"/>
    <w:rsid w:val="006911DC"/>
    <w:rsid w:val="006912B3"/>
    <w:rsid w:val="00691316"/>
    <w:rsid w:val="00691381"/>
    <w:rsid w:val="00691977"/>
    <w:rsid w:val="00691B65"/>
    <w:rsid w:val="00691BB5"/>
    <w:rsid w:val="00691C38"/>
    <w:rsid w:val="00691C51"/>
    <w:rsid w:val="00691F1B"/>
    <w:rsid w:val="00692419"/>
    <w:rsid w:val="00692676"/>
    <w:rsid w:val="00692842"/>
    <w:rsid w:val="006928C7"/>
    <w:rsid w:val="00692988"/>
    <w:rsid w:val="00692AEB"/>
    <w:rsid w:val="00692B36"/>
    <w:rsid w:val="00692EF4"/>
    <w:rsid w:val="00692F91"/>
    <w:rsid w:val="006933EB"/>
    <w:rsid w:val="00693A73"/>
    <w:rsid w:val="00693A7E"/>
    <w:rsid w:val="00693AE3"/>
    <w:rsid w:val="00693B51"/>
    <w:rsid w:val="00693E5B"/>
    <w:rsid w:val="006941B7"/>
    <w:rsid w:val="006944EB"/>
    <w:rsid w:val="00694557"/>
    <w:rsid w:val="006945AD"/>
    <w:rsid w:val="00694729"/>
    <w:rsid w:val="0069482B"/>
    <w:rsid w:val="00694CF2"/>
    <w:rsid w:val="00694E1A"/>
    <w:rsid w:val="00694E75"/>
    <w:rsid w:val="0069517F"/>
    <w:rsid w:val="006951C4"/>
    <w:rsid w:val="00695443"/>
    <w:rsid w:val="00695659"/>
    <w:rsid w:val="00695A17"/>
    <w:rsid w:val="00695A1E"/>
    <w:rsid w:val="006960F8"/>
    <w:rsid w:val="00696121"/>
    <w:rsid w:val="0069655F"/>
    <w:rsid w:val="00696B35"/>
    <w:rsid w:val="006973F9"/>
    <w:rsid w:val="00697877"/>
    <w:rsid w:val="006978A9"/>
    <w:rsid w:val="0069795E"/>
    <w:rsid w:val="00697985"/>
    <w:rsid w:val="006979EA"/>
    <w:rsid w:val="00697A9C"/>
    <w:rsid w:val="00697B89"/>
    <w:rsid w:val="00697CA6"/>
    <w:rsid w:val="00697CD1"/>
    <w:rsid w:val="00697EA4"/>
    <w:rsid w:val="006A00DD"/>
    <w:rsid w:val="006A07C5"/>
    <w:rsid w:val="006A0C77"/>
    <w:rsid w:val="006A0E03"/>
    <w:rsid w:val="006A0E92"/>
    <w:rsid w:val="006A16AB"/>
    <w:rsid w:val="006A17AE"/>
    <w:rsid w:val="006A1A92"/>
    <w:rsid w:val="006A1AAF"/>
    <w:rsid w:val="006A1DEF"/>
    <w:rsid w:val="006A1F5F"/>
    <w:rsid w:val="006A2194"/>
    <w:rsid w:val="006A21B1"/>
    <w:rsid w:val="006A236F"/>
    <w:rsid w:val="006A24AD"/>
    <w:rsid w:val="006A25BB"/>
    <w:rsid w:val="006A2787"/>
    <w:rsid w:val="006A27BC"/>
    <w:rsid w:val="006A2ED1"/>
    <w:rsid w:val="006A3097"/>
    <w:rsid w:val="006A30AB"/>
    <w:rsid w:val="006A30E6"/>
    <w:rsid w:val="006A311B"/>
    <w:rsid w:val="006A32FB"/>
    <w:rsid w:val="006A3477"/>
    <w:rsid w:val="006A354F"/>
    <w:rsid w:val="006A361A"/>
    <w:rsid w:val="006A3C47"/>
    <w:rsid w:val="006A3D42"/>
    <w:rsid w:val="006A409C"/>
    <w:rsid w:val="006A4233"/>
    <w:rsid w:val="006A423E"/>
    <w:rsid w:val="006A424B"/>
    <w:rsid w:val="006A435C"/>
    <w:rsid w:val="006A475A"/>
    <w:rsid w:val="006A4861"/>
    <w:rsid w:val="006A48E7"/>
    <w:rsid w:val="006A4986"/>
    <w:rsid w:val="006A4A1A"/>
    <w:rsid w:val="006A4B43"/>
    <w:rsid w:val="006A4E2E"/>
    <w:rsid w:val="006A4E81"/>
    <w:rsid w:val="006A52F8"/>
    <w:rsid w:val="006A5300"/>
    <w:rsid w:val="006A53DC"/>
    <w:rsid w:val="006A576B"/>
    <w:rsid w:val="006A576E"/>
    <w:rsid w:val="006A58B7"/>
    <w:rsid w:val="006A5A4F"/>
    <w:rsid w:val="006A5C66"/>
    <w:rsid w:val="006A5D0B"/>
    <w:rsid w:val="006A5D0F"/>
    <w:rsid w:val="006A5D1C"/>
    <w:rsid w:val="006A5E2B"/>
    <w:rsid w:val="006A63B9"/>
    <w:rsid w:val="006A65AC"/>
    <w:rsid w:val="006A65CE"/>
    <w:rsid w:val="006A6A8D"/>
    <w:rsid w:val="006A6C6F"/>
    <w:rsid w:val="006A6FF8"/>
    <w:rsid w:val="006A71FB"/>
    <w:rsid w:val="006A72C0"/>
    <w:rsid w:val="006A7372"/>
    <w:rsid w:val="006A7414"/>
    <w:rsid w:val="006A762E"/>
    <w:rsid w:val="006A7722"/>
    <w:rsid w:val="006A7C2A"/>
    <w:rsid w:val="006A7D61"/>
    <w:rsid w:val="006A7DC5"/>
    <w:rsid w:val="006A7DDC"/>
    <w:rsid w:val="006A7E88"/>
    <w:rsid w:val="006A7FE9"/>
    <w:rsid w:val="006B0069"/>
    <w:rsid w:val="006B00B4"/>
    <w:rsid w:val="006B0859"/>
    <w:rsid w:val="006B098D"/>
    <w:rsid w:val="006B0FD6"/>
    <w:rsid w:val="006B1059"/>
    <w:rsid w:val="006B10B6"/>
    <w:rsid w:val="006B1377"/>
    <w:rsid w:val="006B163E"/>
    <w:rsid w:val="006B1879"/>
    <w:rsid w:val="006B19C5"/>
    <w:rsid w:val="006B19D8"/>
    <w:rsid w:val="006B20E9"/>
    <w:rsid w:val="006B21E7"/>
    <w:rsid w:val="006B238E"/>
    <w:rsid w:val="006B2417"/>
    <w:rsid w:val="006B2726"/>
    <w:rsid w:val="006B2821"/>
    <w:rsid w:val="006B28A3"/>
    <w:rsid w:val="006B28B9"/>
    <w:rsid w:val="006B2930"/>
    <w:rsid w:val="006B2AFB"/>
    <w:rsid w:val="006B2BD2"/>
    <w:rsid w:val="006B3049"/>
    <w:rsid w:val="006B31AE"/>
    <w:rsid w:val="006B32A7"/>
    <w:rsid w:val="006B3315"/>
    <w:rsid w:val="006B331D"/>
    <w:rsid w:val="006B33EE"/>
    <w:rsid w:val="006B33F6"/>
    <w:rsid w:val="006B3852"/>
    <w:rsid w:val="006B3BDE"/>
    <w:rsid w:val="006B3BE8"/>
    <w:rsid w:val="006B3E76"/>
    <w:rsid w:val="006B4187"/>
    <w:rsid w:val="006B4240"/>
    <w:rsid w:val="006B4416"/>
    <w:rsid w:val="006B4A3A"/>
    <w:rsid w:val="006B4CA8"/>
    <w:rsid w:val="006B4F6D"/>
    <w:rsid w:val="006B500B"/>
    <w:rsid w:val="006B5014"/>
    <w:rsid w:val="006B524C"/>
    <w:rsid w:val="006B5473"/>
    <w:rsid w:val="006B563E"/>
    <w:rsid w:val="006B57B2"/>
    <w:rsid w:val="006B5874"/>
    <w:rsid w:val="006B5A0D"/>
    <w:rsid w:val="006B5D04"/>
    <w:rsid w:val="006B6024"/>
    <w:rsid w:val="006B658A"/>
    <w:rsid w:val="006B6660"/>
    <w:rsid w:val="006B6921"/>
    <w:rsid w:val="006B7643"/>
    <w:rsid w:val="006B76D6"/>
    <w:rsid w:val="006B77F4"/>
    <w:rsid w:val="006B786E"/>
    <w:rsid w:val="006B7B4B"/>
    <w:rsid w:val="006B7C34"/>
    <w:rsid w:val="006B7C88"/>
    <w:rsid w:val="006B7F1B"/>
    <w:rsid w:val="006C0267"/>
    <w:rsid w:val="006C0310"/>
    <w:rsid w:val="006C0A92"/>
    <w:rsid w:val="006C0AE9"/>
    <w:rsid w:val="006C0B45"/>
    <w:rsid w:val="006C0E08"/>
    <w:rsid w:val="006C0EDC"/>
    <w:rsid w:val="006C109B"/>
    <w:rsid w:val="006C133B"/>
    <w:rsid w:val="006C1388"/>
    <w:rsid w:val="006C154D"/>
    <w:rsid w:val="006C180F"/>
    <w:rsid w:val="006C21B1"/>
    <w:rsid w:val="006C2256"/>
    <w:rsid w:val="006C2469"/>
    <w:rsid w:val="006C24BB"/>
    <w:rsid w:val="006C24E7"/>
    <w:rsid w:val="006C275C"/>
    <w:rsid w:val="006C2AB6"/>
    <w:rsid w:val="006C2BDF"/>
    <w:rsid w:val="006C2E7A"/>
    <w:rsid w:val="006C2F28"/>
    <w:rsid w:val="006C2F7A"/>
    <w:rsid w:val="006C32B3"/>
    <w:rsid w:val="006C335B"/>
    <w:rsid w:val="006C33BE"/>
    <w:rsid w:val="006C33D9"/>
    <w:rsid w:val="006C36C7"/>
    <w:rsid w:val="006C38C8"/>
    <w:rsid w:val="006C391C"/>
    <w:rsid w:val="006C3972"/>
    <w:rsid w:val="006C3CF6"/>
    <w:rsid w:val="006C3F27"/>
    <w:rsid w:val="006C4200"/>
    <w:rsid w:val="006C4214"/>
    <w:rsid w:val="006C427B"/>
    <w:rsid w:val="006C44C3"/>
    <w:rsid w:val="006C4525"/>
    <w:rsid w:val="006C46C2"/>
    <w:rsid w:val="006C4D5C"/>
    <w:rsid w:val="006C4ED5"/>
    <w:rsid w:val="006C5302"/>
    <w:rsid w:val="006C53FB"/>
    <w:rsid w:val="006C5878"/>
    <w:rsid w:val="006C5D6D"/>
    <w:rsid w:val="006C5ECB"/>
    <w:rsid w:val="006C6203"/>
    <w:rsid w:val="006C63D3"/>
    <w:rsid w:val="006C6831"/>
    <w:rsid w:val="006C6A82"/>
    <w:rsid w:val="006C6E13"/>
    <w:rsid w:val="006C70A4"/>
    <w:rsid w:val="006C7606"/>
    <w:rsid w:val="006C763C"/>
    <w:rsid w:val="006C765B"/>
    <w:rsid w:val="006C7A8F"/>
    <w:rsid w:val="006C7EF2"/>
    <w:rsid w:val="006C7FD1"/>
    <w:rsid w:val="006D005B"/>
    <w:rsid w:val="006D034A"/>
    <w:rsid w:val="006D042B"/>
    <w:rsid w:val="006D05B0"/>
    <w:rsid w:val="006D07C1"/>
    <w:rsid w:val="006D082D"/>
    <w:rsid w:val="006D0952"/>
    <w:rsid w:val="006D0A89"/>
    <w:rsid w:val="006D0E71"/>
    <w:rsid w:val="006D0EE6"/>
    <w:rsid w:val="006D1082"/>
    <w:rsid w:val="006D1140"/>
    <w:rsid w:val="006D1759"/>
    <w:rsid w:val="006D178D"/>
    <w:rsid w:val="006D18EC"/>
    <w:rsid w:val="006D199A"/>
    <w:rsid w:val="006D1B2D"/>
    <w:rsid w:val="006D1BCF"/>
    <w:rsid w:val="006D1E80"/>
    <w:rsid w:val="006D2558"/>
    <w:rsid w:val="006D27B1"/>
    <w:rsid w:val="006D29D6"/>
    <w:rsid w:val="006D2AA3"/>
    <w:rsid w:val="006D2C46"/>
    <w:rsid w:val="006D2CE2"/>
    <w:rsid w:val="006D2CFC"/>
    <w:rsid w:val="006D2EB9"/>
    <w:rsid w:val="006D302E"/>
    <w:rsid w:val="006D3085"/>
    <w:rsid w:val="006D4522"/>
    <w:rsid w:val="006D47EA"/>
    <w:rsid w:val="006D4C17"/>
    <w:rsid w:val="006D4F17"/>
    <w:rsid w:val="006D54D2"/>
    <w:rsid w:val="006D555F"/>
    <w:rsid w:val="006D5634"/>
    <w:rsid w:val="006D57E9"/>
    <w:rsid w:val="006D5B65"/>
    <w:rsid w:val="006D5C15"/>
    <w:rsid w:val="006D5C37"/>
    <w:rsid w:val="006D5D23"/>
    <w:rsid w:val="006D5E72"/>
    <w:rsid w:val="006D6044"/>
    <w:rsid w:val="006D606D"/>
    <w:rsid w:val="006D62F5"/>
    <w:rsid w:val="006D63C1"/>
    <w:rsid w:val="006D67CA"/>
    <w:rsid w:val="006D693C"/>
    <w:rsid w:val="006D69E6"/>
    <w:rsid w:val="006D6E65"/>
    <w:rsid w:val="006D71F1"/>
    <w:rsid w:val="006D7515"/>
    <w:rsid w:val="006D7580"/>
    <w:rsid w:val="006D7655"/>
    <w:rsid w:val="006D7906"/>
    <w:rsid w:val="006D79F5"/>
    <w:rsid w:val="006D7A11"/>
    <w:rsid w:val="006D7C0D"/>
    <w:rsid w:val="006D7E28"/>
    <w:rsid w:val="006E02AC"/>
    <w:rsid w:val="006E0471"/>
    <w:rsid w:val="006E0C8C"/>
    <w:rsid w:val="006E1010"/>
    <w:rsid w:val="006E10D1"/>
    <w:rsid w:val="006E117A"/>
    <w:rsid w:val="006E11DA"/>
    <w:rsid w:val="006E1350"/>
    <w:rsid w:val="006E1632"/>
    <w:rsid w:val="006E168C"/>
    <w:rsid w:val="006E16F4"/>
    <w:rsid w:val="006E17A9"/>
    <w:rsid w:val="006E17CD"/>
    <w:rsid w:val="006E1AA7"/>
    <w:rsid w:val="006E1B0D"/>
    <w:rsid w:val="006E2048"/>
    <w:rsid w:val="006E212C"/>
    <w:rsid w:val="006E21A4"/>
    <w:rsid w:val="006E23B6"/>
    <w:rsid w:val="006E25AB"/>
    <w:rsid w:val="006E25F3"/>
    <w:rsid w:val="006E2759"/>
    <w:rsid w:val="006E2889"/>
    <w:rsid w:val="006E2C00"/>
    <w:rsid w:val="006E3262"/>
    <w:rsid w:val="006E3351"/>
    <w:rsid w:val="006E3404"/>
    <w:rsid w:val="006E3479"/>
    <w:rsid w:val="006E355A"/>
    <w:rsid w:val="006E37A9"/>
    <w:rsid w:val="006E3834"/>
    <w:rsid w:val="006E3A6D"/>
    <w:rsid w:val="006E3B8E"/>
    <w:rsid w:val="006E3C41"/>
    <w:rsid w:val="006E3C7F"/>
    <w:rsid w:val="006E3E4E"/>
    <w:rsid w:val="006E3F90"/>
    <w:rsid w:val="006E4748"/>
    <w:rsid w:val="006E4926"/>
    <w:rsid w:val="006E49E2"/>
    <w:rsid w:val="006E4A08"/>
    <w:rsid w:val="006E4A4E"/>
    <w:rsid w:val="006E5853"/>
    <w:rsid w:val="006E5C2B"/>
    <w:rsid w:val="006E5C8A"/>
    <w:rsid w:val="006E5E32"/>
    <w:rsid w:val="006E5F92"/>
    <w:rsid w:val="006E6002"/>
    <w:rsid w:val="006E614F"/>
    <w:rsid w:val="006E6236"/>
    <w:rsid w:val="006E6537"/>
    <w:rsid w:val="006E6641"/>
    <w:rsid w:val="006E6676"/>
    <w:rsid w:val="006E67B8"/>
    <w:rsid w:val="006E6EC7"/>
    <w:rsid w:val="006E6FA4"/>
    <w:rsid w:val="006E744D"/>
    <w:rsid w:val="006E7537"/>
    <w:rsid w:val="006E7746"/>
    <w:rsid w:val="006E77A1"/>
    <w:rsid w:val="006E7864"/>
    <w:rsid w:val="006E79C7"/>
    <w:rsid w:val="006E7A59"/>
    <w:rsid w:val="006E7A60"/>
    <w:rsid w:val="006E7AF6"/>
    <w:rsid w:val="006E7C93"/>
    <w:rsid w:val="006E7F70"/>
    <w:rsid w:val="006E7F78"/>
    <w:rsid w:val="006F0127"/>
    <w:rsid w:val="006F0188"/>
    <w:rsid w:val="006F0246"/>
    <w:rsid w:val="006F03E4"/>
    <w:rsid w:val="006F053B"/>
    <w:rsid w:val="006F07CE"/>
    <w:rsid w:val="006F07E6"/>
    <w:rsid w:val="006F084B"/>
    <w:rsid w:val="006F091F"/>
    <w:rsid w:val="006F094D"/>
    <w:rsid w:val="006F0AFC"/>
    <w:rsid w:val="006F0CAB"/>
    <w:rsid w:val="006F0D00"/>
    <w:rsid w:val="006F1151"/>
    <w:rsid w:val="006F132B"/>
    <w:rsid w:val="006F1394"/>
    <w:rsid w:val="006F143F"/>
    <w:rsid w:val="006F165D"/>
    <w:rsid w:val="006F178E"/>
    <w:rsid w:val="006F1BB3"/>
    <w:rsid w:val="006F201A"/>
    <w:rsid w:val="006F2209"/>
    <w:rsid w:val="006F262F"/>
    <w:rsid w:val="006F2744"/>
    <w:rsid w:val="006F2853"/>
    <w:rsid w:val="006F28B5"/>
    <w:rsid w:val="006F2A46"/>
    <w:rsid w:val="006F2DCD"/>
    <w:rsid w:val="006F2ED1"/>
    <w:rsid w:val="006F3105"/>
    <w:rsid w:val="006F34E7"/>
    <w:rsid w:val="006F3572"/>
    <w:rsid w:val="006F35C6"/>
    <w:rsid w:val="006F3735"/>
    <w:rsid w:val="006F3F4E"/>
    <w:rsid w:val="006F3F70"/>
    <w:rsid w:val="006F4066"/>
    <w:rsid w:val="006F4826"/>
    <w:rsid w:val="006F4C67"/>
    <w:rsid w:val="006F4CBD"/>
    <w:rsid w:val="006F4D0E"/>
    <w:rsid w:val="006F4E46"/>
    <w:rsid w:val="006F4FE3"/>
    <w:rsid w:val="006F5135"/>
    <w:rsid w:val="006F5280"/>
    <w:rsid w:val="006F5604"/>
    <w:rsid w:val="006F5785"/>
    <w:rsid w:val="006F5A24"/>
    <w:rsid w:val="006F5C00"/>
    <w:rsid w:val="006F5CB5"/>
    <w:rsid w:val="006F5E2F"/>
    <w:rsid w:val="006F5E89"/>
    <w:rsid w:val="006F5EDF"/>
    <w:rsid w:val="006F5F44"/>
    <w:rsid w:val="006F6211"/>
    <w:rsid w:val="006F641A"/>
    <w:rsid w:val="006F7270"/>
    <w:rsid w:val="006F738D"/>
    <w:rsid w:val="006F74D4"/>
    <w:rsid w:val="006F7548"/>
    <w:rsid w:val="006F779A"/>
    <w:rsid w:val="006F7DAF"/>
    <w:rsid w:val="006F7EB6"/>
    <w:rsid w:val="007001ED"/>
    <w:rsid w:val="007003C4"/>
    <w:rsid w:val="0070040D"/>
    <w:rsid w:val="00700441"/>
    <w:rsid w:val="007005CC"/>
    <w:rsid w:val="007006D3"/>
    <w:rsid w:val="00700738"/>
    <w:rsid w:val="0070074C"/>
    <w:rsid w:val="00700769"/>
    <w:rsid w:val="00700EAC"/>
    <w:rsid w:val="0070102C"/>
    <w:rsid w:val="00701520"/>
    <w:rsid w:val="00701622"/>
    <w:rsid w:val="007017BD"/>
    <w:rsid w:val="00701D2F"/>
    <w:rsid w:val="00702343"/>
    <w:rsid w:val="0070264A"/>
    <w:rsid w:val="007029FF"/>
    <w:rsid w:val="00702BAD"/>
    <w:rsid w:val="00702CFA"/>
    <w:rsid w:val="00702F2A"/>
    <w:rsid w:val="007030A0"/>
    <w:rsid w:val="00703274"/>
    <w:rsid w:val="00703373"/>
    <w:rsid w:val="00703416"/>
    <w:rsid w:val="00703417"/>
    <w:rsid w:val="00703973"/>
    <w:rsid w:val="00703CD3"/>
    <w:rsid w:val="00703DAD"/>
    <w:rsid w:val="00703F33"/>
    <w:rsid w:val="00703FB0"/>
    <w:rsid w:val="007040DE"/>
    <w:rsid w:val="00704135"/>
    <w:rsid w:val="0070433C"/>
    <w:rsid w:val="00704366"/>
    <w:rsid w:val="00704406"/>
    <w:rsid w:val="007044AE"/>
    <w:rsid w:val="00704502"/>
    <w:rsid w:val="007049EC"/>
    <w:rsid w:val="00704A39"/>
    <w:rsid w:val="00704E20"/>
    <w:rsid w:val="00704FAC"/>
    <w:rsid w:val="007055BD"/>
    <w:rsid w:val="00705B0E"/>
    <w:rsid w:val="00705FD7"/>
    <w:rsid w:val="007060B4"/>
    <w:rsid w:val="007061B8"/>
    <w:rsid w:val="0070654D"/>
    <w:rsid w:val="007067DA"/>
    <w:rsid w:val="00706C9D"/>
    <w:rsid w:val="00706EB0"/>
    <w:rsid w:val="00706F1D"/>
    <w:rsid w:val="00706F5F"/>
    <w:rsid w:val="00707093"/>
    <w:rsid w:val="00707459"/>
    <w:rsid w:val="0070772F"/>
    <w:rsid w:val="00707997"/>
    <w:rsid w:val="00707B8B"/>
    <w:rsid w:val="00707BCF"/>
    <w:rsid w:val="00707CCA"/>
    <w:rsid w:val="00707E32"/>
    <w:rsid w:val="0071029B"/>
    <w:rsid w:val="00710346"/>
    <w:rsid w:val="0071038B"/>
    <w:rsid w:val="0071052E"/>
    <w:rsid w:val="00710898"/>
    <w:rsid w:val="00710A02"/>
    <w:rsid w:val="00710B42"/>
    <w:rsid w:val="00710D58"/>
    <w:rsid w:val="00710DFF"/>
    <w:rsid w:val="00710E0C"/>
    <w:rsid w:val="007110C0"/>
    <w:rsid w:val="0071113B"/>
    <w:rsid w:val="00711162"/>
    <w:rsid w:val="00711316"/>
    <w:rsid w:val="007113EE"/>
    <w:rsid w:val="00711762"/>
    <w:rsid w:val="00711975"/>
    <w:rsid w:val="00711B3F"/>
    <w:rsid w:val="00712067"/>
    <w:rsid w:val="00712171"/>
    <w:rsid w:val="0071228E"/>
    <w:rsid w:val="007123A4"/>
    <w:rsid w:val="0071242F"/>
    <w:rsid w:val="00712FBF"/>
    <w:rsid w:val="007131F1"/>
    <w:rsid w:val="00713559"/>
    <w:rsid w:val="00713832"/>
    <w:rsid w:val="007138B0"/>
    <w:rsid w:val="00713A1D"/>
    <w:rsid w:val="00713F0D"/>
    <w:rsid w:val="00714192"/>
    <w:rsid w:val="00714347"/>
    <w:rsid w:val="00714B7C"/>
    <w:rsid w:val="00714CBD"/>
    <w:rsid w:val="00714E81"/>
    <w:rsid w:val="00714EAE"/>
    <w:rsid w:val="00715178"/>
    <w:rsid w:val="007152BD"/>
    <w:rsid w:val="00715737"/>
    <w:rsid w:val="007158FA"/>
    <w:rsid w:val="00715EB0"/>
    <w:rsid w:val="00715ED4"/>
    <w:rsid w:val="00715F3A"/>
    <w:rsid w:val="00715F41"/>
    <w:rsid w:val="00716112"/>
    <w:rsid w:val="00716588"/>
    <w:rsid w:val="007166EC"/>
    <w:rsid w:val="0071671E"/>
    <w:rsid w:val="00716789"/>
    <w:rsid w:val="007167D1"/>
    <w:rsid w:val="00716CEF"/>
    <w:rsid w:val="00717190"/>
    <w:rsid w:val="007171A9"/>
    <w:rsid w:val="007172A4"/>
    <w:rsid w:val="007173E5"/>
    <w:rsid w:val="00717A59"/>
    <w:rsid w:val="00717C9D"/>
    <w:rsid w:val="00717FB3"/>
    <w:rsid w:val="0072018C"/>
    <w:rsid w:val="00720551"/>
    <w:rsid w:val="007206B6"/>
    <w:rsid w:val="007209AB"/>
    <w:rsid w:val="00720D58"/>
    <w:rsid w:val="00720E3A"/>
    <w:rsid w:val="00720F01"/>
    <w:rsid w:val="00720F49"/>
    <w:rsid w:val="00720F99"/>
    <w:rsid w:val="00720FA8"/>
    <w:rsid w:val="00721165"/>
    <w:rsid w:val="007211B6"/>
    <w:rsid w:val="007211E1"/>
    <w:rsid w:val="007211E3"/>
    <w:rsid w:val="00721265"/>
    <w:rsid w:val="00721552"/>
    <w:rsid w:val="0072155F"/>
    <w:rsid w:val="007215C2"/>
    <w:rsid w:val="00721B48"/>
    <w:rsid w:val="00721B66"/>
    <w:rsid w:val="00721D03"/>
    <w:rsid w:val="00721FB5"/>
    <w:rsid w:val="007227B3"/>
    <w:rsid w:val="00722A49"/>
    <w:rsid w:val="00722CFE"/>
    <w:rsid w:val="007231DB"/>
    <w:rsid w:val="007232AB"/>
    <w:rsid w:val="0072336C"/>
    <w:rsid w:val="007236E8"/>
    <w:rsid w:val="0072376F"/>
    <w:rsid w:val="00723CB6"/>
    <w:rsid w:val="00724226"/>
    <w:rsid w:val="007242F7"/>
    <w:rsid w:val="007245CD"/>
    <w:rsid w:val="00724C31"/>
    <w:rsid w:val="00724CDB"/>
    <w:rsid w:val="00724D58"/>
    <w:rsid w:val="00724F8D"/>
    <w:rsid w:val="007250A9"/>
    <w:rsid w:val="0072526E"/>
    <w:rsid w:val="00725399"/>
    <w:rsid w:val="0072546D"/>
    <w:rsid w:val="00725631"/>
    <w:rsid w:val="00725921"/>
    <w:rsid w:val="00725AEC"/>
    <w:rsid w:val="00725AFA"/>
    <w:rsid w:val="00725C36"/>
    <w:rsid w:val="00725F31"/>
    <w:rsid w:val="007261A8"/>
    <w:rsid w:val="007268E4"/>
    <w:rsid w:val="007268EF"/>
    <w:rsid w:val="00726CF8"/>
    <w:rsid w:val="00726E5E"/>
    <w:rsid w:val="00727250"/>
    <w:rsid w:val="007272F4"/>
    <w:rsid w:val="007274E3"/>
    <w:rsid w:val="007276B2"/>
    <w:rsid w:val="0072782B"/>
    <w:rsid w:val="00727AD4"/>
    <w:rsid w:val="00727B0A"/>
    <w:rsid w:val="00727C0B"/>
    <w:rsid w:val="00727C77"/>
    <w:rsid w:val="00727D37"/>
    <w:rsid w:val="00727D44"/>
    <w:rsid w:val="0073008D"/>
    <w:rsid w:val="00730438"/>
    <w:rsid w:val="0073049D"/>
    <w:rsid w:val="00730761"/>
    <w:rsid w:val="007308BF"/>
    <w:rsid w:val="00730AD3"/>
    <w:rsid w:val="00730B93"/>
    <w:rsid w:val="00730C14"/>
    <w:rsid w:val="00730CDE"/>
    <w:rsid w:val="00731204"/>
    <w:rsid w:val="00731442"/>
    <w:rsid w:val="00731494"/>
    <w:rsid w:val="0073167D"/>
    <w:rsid w:val="00731911"/>
    <w:rsid w:val="0073197B"/>
    <w:rsid w:val="00731D5E"/>
    <w:rsid w:val="00731D97"/>
    <w:rsid w:val="007320A3"/>
    <w:rsid w:val="007320C6"/>
    <w:rsid w:val="0073218B"/>
    <w:rsid w:val="007323E0"/>
    <w:rsid w:val="00732555"/>
    <w:rsid w:val="007327F4"/>
    <w:rsid w:val="007328CA"/>
    <w:rsid w:val="00732B1A"/>
    <w:rsid w:val="00732BEA"/>
    <w:rsid w:val="00732CE4"/>
    <w:rsid w:val="0073336F"/>
    <w:rsid w:val="0073383A"/>
    <w:rsid w:val="00733850"/>
    <w:rsid w:val="00733C12"/>
    <w:rsid w:val="00733D9A"/>
    <w:rsid w:val="00734034"/>
    <w:rsid w:val="007343E5"/>
    <w:rsid w:val="00734428"/>
    <w:rsid w:val="007347FC"/>
    <w:rsid w:val="00734878"/>
    <w:rsid w:val="00734986"/>
    <w:rsid w:val="00734BAD"/>
    <w:rsid w:val="00734FA3"/>
    <w:rsid w:val="00735141"/>
    <w:rsid w:val="00735411"/>
    <w:rsid w:val="007355EB"/>
    <w:rsid w:val="0073564D"/>
    <w:rsid w:val="00735733"/>
    <w:rsid w:val="007359AA"/>
    <w:rsid w:val="00735A91"/>
    <w:rsid w:val="00735FAF"/>
    <w:rsid w:val="007364E8"/>
    <w:rsid w:val="007367A7"/>
    <w:rsid w:val="00736865"/>
    <w:rsid w:val="007369D5"/>
    <w:rsid w:val="00736A1D"/>
    <w:rsid w:val="00736A36"/>
    <w:rsid w:val="00736C13"/>
    <w:rsid w:val="00736E1E"/>
    <w:rsid w:val="00736F0E"/>
    <w:rsid w:val="00736F90"/>
    <w:rsid w:val="007371C6"/>
    <w:rsid w:val="0073746E"/>
    <w:rsid w:val="007376DE"/>
    <w:rsid w:val="00737756"/>
    <w:rsid w:val="00737878"/>
    <w:rsid w:val="00737C12"/>
    <w:rsid w:val="00737D80"/>
    <w:rsid w:val="00740132"/>
    <w:rsid w:val="00740229"/>
    <w:rsid w:val="0074052F"/>
    <w:rsid w:val="0074065A"/>
    <w:rsid w:val="007407DC"/>
    <w:rsid w:val="007408A3"/>
    <w:rsid w:val="00740A5C"/>
    <w:rsid w:val="00740B37"/>
    <w:rsid w:val="00740B95"/>
    <w:rsid w:val="00740BF6"/>
    <w:rsid w:val="0074105C"/>
    <w:rsid w:val="007412FB"/>
    <w:rsid w:val="00741301"/>
    <w:rsid w:val="0074147B"/>
    <w:rsid w:val="007414E0"/>
    <w:rsid w:val="007415B9"/>
    <w:rsid w:val="007415E8"/>
    <w:rsid w:val="00741CB1"/>
    <w:rsid w:val="00741D70"/>
    <w:rsid w:val="007420BA"/>
    <w:rsid w:val="00742216"/>
    <w:rsid w:val="00742330"/>
    <w:rsid w:val="0074236C"/>
    <w:rsid w:val="00742412"/>
    <w:rsid w:val="0074251A"/>
    <w:rsid w:val="00742552"/>
    <w:rsid w:val="007428D8"/>
    <w:rsid w:val="007428F6"/>
    <w:rsid w:val="00742A3A"/>
    <w:rsid w:val="00742A43"/>
    <w:rsid w:val="00742F6E"/>
    <w:rsid w:val="007430C7"/>
    <w:rsid w:val="0074329D"/>
    <w:rsid w:val="00743637"/>
    <w:rsid w:val="00743683"/>
    <w:rsid w:val="007436B5"/>
    <w:rsid w:val="007438E3"/>
    <w:rsid w:val="00743A3B"/>
    <w:rsid w:val="00743ACD"/>
    <w:rsid w:val="00743ADC"/>
    <w:rsid w:val="00743E6F"/>
    <w:rsid w:val="007441D0"/>
    <w:rsid w:val="00744423"/>
    <w:rsid w:val="007445DB"/>
    <w:rsid w:val="007449FF"/>
    <w:rsid w:val="00744AE3"/>
    <w:rsid w:val="00744CDA"/>
    <w:rsid w:val="00744F2D"/>
    <w:rsid w:val="00744FEB"/>
    <w:rsid w:val="007450D9"/>
    <w:rsid w:val="0074569B"/>
    <w:rsid w:val="00745864"/>
    <w:rsid w:val="007458C6"/>
    <w:rsid w:val="00745916"/>
    <w:rsid w:val="00745A54"/>
    <w:rsid w:val="00746144"/>
    <w:rsid w:val="00746291"/>
    <w:rsid w:val="007463AB"/>
    <w:rsid w:val="0074669D"/>
    <w:rsid w:val="00746C67"/>
    <w:rsid w:val="00746DDD"/>
    <w:rsid w:val="00746FE8"/>
    <w:rsid w:val="00747399"/>
    <w:rsid w:val="0074739A"/>
    <w:rsid w:val="00747500"/>
    <w:rsid w:val="00747542"/>
    <w:rsid w:val="00747AA6"/>
    <w:rsid w:val="00747CDC"/>
    <w:rsid w:val="00747EB0"/>
    <w:rsid w:val="00747EC0"/>
    <w:rsid w:val="00747FA9"/>
    <w:rsid w:val="00750121"/>
    <w:rsid w:val="00750227"/>
    <w:rsid w:val="0075080B"/>
    <w:rsid w:val="007508FD"/>
    <w:rsid w:val="00750BBC"/>
    <w:rsid w:val="00750FC2"/>
    <w:rsid w:val="0075108F"/>
    <w:rsid w:val="007510C4"/>
    <w:rsid w:val="007510E2"/>
    <w:rsid w:val="007513AA"/>
    <w:rsid w:val="00751653"/>
    <w:rsid w:val="00751954"/>
    <w:rsid w:val="00751ABD"/>
    <w:rsid w:val="00751B7E"/>
    <w:rsid w:val="00751E7C"/>
    <w:rsid w:val="00752248"/>
    <w:rsid w:val="007522F1"/>
    <w:rsid w:val="00752314"/>
    <w:rsid w:val="00752473"/>
    <w:rsid w:val="007525BB"/>
    <w:rsid w:val="00752903"/>
    <w:rsid w:val="00752BED"/>
    <w:rsid w:val="00752C02"/>
    <w:rsid w:val="00752C32"/>
    <w:rsid w:val="00752C81"/>
    <w:rsid w:val="00752E11"/>
    <w:rsid w:val="00753076"/>
    <w:rsid w:val="0075329D"/>
    <w:rsid w:val="007535EA"/>
    <w:rsid w:val="00753691"/>
    <w:rsid w:val="00753BC3"/>
    <w:rsid w:val="00753CEE"/>
    <w:rsid w:val="00753E50"/>
    <w:rsid w:val="00754385"/>
    <w:rsid w:val="0075447F"/>
    <w:rsid w:val="007547DF"/>
    <w:rsid w:val="00754CD1"/>
    <w:rsid w:val="00754E97"/>
    <w:rsid w:val="00754F9A"/>
    <w:rsid w:val="007551AB"/>
    <w:rsid w:val="00755386"/>
    <w:rsid w:val="00755402"/>
    <w:rsid w:val="007555EC"/>
    <w:rsid w:val="007557B0"/>
    <w:rsid w:val="00755C78"/>
    <w:rsid w:val="00755E2F"/>
    <w:rsid w:val="00755FC6"/>
    <w:rsid w:val="00756006"/>
    <w:rsid w:val="00756316"/>
    <w:rsid w:val="0075636A"/>
    <w:rsid w:val="0075643D"/>
    <w:rsid w:val="007564A0"/>
    <w:rsid w:val="0075695C"/>
    <w:rsid w:val="007569B7"/>
    <w:rsid w:val="00756A02"/>
    <w:rsid w:val="00756A3F"/>
    <w:rsid w:val="00756A4F"/>
    <w:rsid w:val="00756AED"/>
    <w:rsid w:val="00757088"/>
    <w:rsid w:val="007570CC"/>
    <w:rsid w:val="007575DC"/>
    <w:rsid w:val="0075789F"/>
    <w:rsid w:val="00757974"/>
    <w:rsid w:val="00757B78"/>
    <w:rsid w:val="00757D44"/>
    <w:rsid w:val="00757EF9"/>
    <w:rsid w:val="007609C5"/>
    <w:rsid w:val="00760AA0"/>
    <w:rsid w:val="00760BFE"/>
    <w:rsid w:val="00760C4F"/>
    <w:rsid w:val="00760EFF"/>
    <w:rsid w:val="007610EF"/>
    <w:rsid w:val="00761180"/>
    <w:rsid w:val="00761493"/>
    <w:rsid w:val="0076175F"/>
    <w:rsid w:val="007618F4"/>
    <w:rsid w:val="00761BC6"/>
    <w:rsid w:val="00761E53"/>
    <w:rsid w:val="007621DE"/>
    <w:rsid w:val="00762459"/>
    <w:rsid w:val="0076260E"/>
    <w:rsid w:val="0076263D"/>
    <w:rsid w:val="00762E1B"/>
    <w:rsid w:val="00762FBD"/>
    <w:rsid w:val="0076332E"/>
    <w:rsid w:val="00763847"/>
    <w:rsid w:val="00763DD8"/>
    <w:rsid w:val="00764183"/>
    <w:rsid w:val="00764219"/>
    <w:rsid w:val="007643DD"/>
    <w:rsid w:val="007646DC"/>
    <w:rsid w:val="00764A3B"/>
    <w:rsid w:val="00764B81"/>
    <w:rsid w:val="00764CBE"/>
    <w:rsid w:val="00764D6F"/>
    <w:rsid w:val="00764DB4"/>
    <w:rsid w:val="0076524E"/>
    <w:rsid w:val="0076546A"/>
    <w:rsid w:val="007659EF"/>
    <w:rsid w:val="00765AA1"/>
    <w:rsid w:val="00765F5D"/>
    <w:rsid w:val="00765FA9"/>
    <w:rsid w:val="007660E7"/>
    <w:rsid w:val="00766478"/>
    <w:rsid w:val="0076648E"/>
    <w:rsid w:val="007665E0"/>
    <w:rsid w:val="0076697E"/>
    <w:rsid w:val="007669B4"/>
    <w:rsid w:val="007669B8"/>
    <w:rsid w:val="00766BBE"/>
    <w:rsid w:val="00767521"/>
    <w:rsid w:val="00767585"/>
    <w:rsid w:val="0076762E"/>
    <w:rsid w:val="00767838"/>
    <w:rsid w:val="00767876"/>
    <w:rsid w:val="00767982"/>
    <w:rsid w:val="00767A99"/>
    <w:rsid w:val="00767B9D"/>
    <w:rsid w:val="00767C38"/>
    <w:rsid w:val="00767D0F"/>
    <w:rsid w:val="00770149"/>
    <w:rsid w:val="00770169"/>
    <w:rsid w:val="007701A7"/>
    <w:rsid w:val="00770224"/>
    <w:rsid w:val="00770263"/>
    <w:rsid w:val="007702FD"/>
    <w:rsid w:val="007705AA"/>
    <w:rsid w:val="0077083A"/>
    <w:rsid w:val="00770849"/>
    <w:rsid w:val="00771008"/>
    <w:rsid w:val="007710C4"/>
    <w:rsid w:val="00771192"/>
    <w:rsid w:val="007712F7"/>
    <w:rsid w:val="00771317"/>
    <w:rsid w:val="00771755"/>
    <w:rsid w:val="00771BF0"/>
    <w:rsid w:val="00771ECC"/>
    <w:rsid w:val="007724C7"/>
    <w:rsid w:val="00772775"/>
    <w:rsid w:val="007728B1"/>
    <w:rsid w:val="00772AE2"/>
    <w:rsid w:val="00772AF4"/>
    <w:rsid w:val="00772B64"/>
    <w:rsid w:val="00772FB4"/>
    <w:rsid w:val="00772FC8"/>
    <w:rsid w:val="00773090"/>
    <w:rsid w:val="0077323D"/>
    <w:rsid w:val="007732C9"/>
    <w:rsid w:val="007736D4"/>
    <w:rsid w:val="007737D6"/>
    <w:rsid w:val="007738F3"/>
    <w:rsid w:val="00773A3B"/>
    <w:rsid w:val="00773D8C"/>
    <w:rsid w:val="00773F99"/>
    <w:rsid w:val="007741C5"/>
    <w:rsid w:val="00774217"/>
    <w:rsid w:val="00774512"/>
    <w:rsid w:val="007746B4"/>
    <w:rsid w:val="00774CB6"/>
    <w:rsid w:val="007757ED"/>
    <w:rsid w:val="007758F9"/>
    <w:rsid w:val="00775ADB"/>
    <w:rsid w:val="00775C79"/>
    <w:rsid w:val="00775D25"/>
    <w:rsid w:val="00775D29"/>
    <w:rsid w:val="00775DE5"/>
    <w:rsid w:val="007763CA"/>
    <w:rsid w:val="007765B3"/>
    <w:rsid w:val="00776664"/>
    <w:rsid w:val="00776A3D"/>
    <w:rsid w:val="00776B53"/>
    <w:rsid w:val="00776C7F"/>
    <w:rsid w:val="00776D33"/>
    <w:rsid w:val="00776DE8"/>
    <w:rsid w:val="00776E13"/>
    <w:rsid w:val="007772C2"/>
    <w:rsid w:val="0077732C"/>
    <w:rsid w:val="0077753F"/>
    <w:rsid w:val="007775D6"/>
    <w:rsid w:val="00777A72"/>
    <w:rsid w:val="00777D65"/>
    <w:rsid w:val="00777DB7"/>
    <w:rsid w:val="00777E61"/>
    <w:rsid w:val="00777E6F"/>
    <w:rsid w:val="00777FD1"/>
    <w:rsid w:val="00780324"/>
    <w:rsid w:val="0078055F"/>
    <w:rsid w:val="0078074C"/>
    <w:rsid w:val="00780828"/>
    <w:rsid w:val="007809A8"/>
    <w:rsid w:val="00780C9E"/>
    <w:rsid w:val="00780D84"/>
    <w:rsid w:val="007812EF"/>
    <w:rsid w:val="0078155A"/>
    <w:rsid w:val="00781669"/>
    <w:rsid w:val="007817AD"/>
    <w:rsid w:val="00781BA7"/>
    <w:rsid w:val="00781C7B"/>
    <w:rsid w:val="00781DD8"/>
    <w:rsid w:val="00782224"/>
    <w:rsid w:val="00782488"/>
    <w:rsid w:val="00782672"/>
    <w:rsid w:val="00782AFC"/>
    <w:rsid w:val="00782FF5"/>
    <w:rsid w:val="00783208"/>
    <w:rsid w:val="007835E5"/>
    <w:rsid w:val="00783676"/>
    <w:rsid w:val="00783886"/>
    <w:rsid w:val="00783F78"/>
    <w:rsid w:val="007843BD"/>
    <w:rsid w:val="00784503"/>
    <w:rsid w:val="0078464B"/>
    <w:rsid w:val="00784A52"/>
    <w:rsid w:val="00784F79"/>
    <w:rsid w:val="00785132"/>
    <w:rsid w:val="0078516E"/>
    <w:rsid w:val="0078554E"/>
    <w:rsid w:val="007856E4"/>
    <w:rsid w:val="00785E49"/>
    <w:rsid w:val="00785F77"/>
    <w:rsid w:val="00786388"/>
    <w:rsid w:val="007864DA"/>
    <w:rsid w:val="007864EC"/>
    <w:rsid w:val="00786668"/>
    <w:rsid w:val="0078676F"/>
    <w:rsid w:val="007868C5"/>
    <w:rsid w:val="007868EF"/>
    <w:rsid w:val="00786A8D"/>
    <w:rsid w:val="00786B17"/>
    <w:rsid w:val="00786E4D"/>
    <w:rsid w:val="00787338"/>
    <w:rsid w:val="0078750F"/>
    <w:rsid w:val="007876DE"/>
    <w:rsid w:val="00787ACA"/>
    <w:rsid w:val="00787B1A"/>
    <w:rsid w:val="00787C90"/>
    <w:rsid w:val="00787EB7"/>
    <w:rsid w:val="007903E8"/>
    <w:rsid w:val="00790795"/>
    <w:rsid w:val="007908AD"/>
    <w:rsid w:val="00790A1F"/>
    <w:rsid w:val="00790DDB"/>
    <w:rsid w:val="00790EF9"/>
    <w:rsid w:val="00790F23"/>
    <w:rsid w:val="0079106C"/>
    <w:rsid w:val="007915A7"/>
    <w:rsid w:val="007915E4"/>
    <w:rsid w:val="007918FA"/>
    <w:rsid w:val="00791A17"/>
    <w:rsid w:val="00791AE8"/>
    <w:rsid w:val="00791B22"/>
    <w:rsid w:val="00791B8E"/>
    <w:rsid w:val="00791C1E"/>
    <w:rsid w:val="00791C56"/>
    <w:rsid w:val="00791D39"/>
    <w:rsid w:val="0079200B"/>
    <w:rsid w:val="00792094"/>
    <w:rsid w:val="00792100"/>
    <w:rsid w:val="00792248"/>
    <w:rsid w:val="00792353"/>
    <w:rsid w:val="007923F0"/>
    <w:rsid w:val="0079248C"/>
    <w:rsid w:val="0079263B"/>
    <w:rsid w:val="00792764"/>
    <w:rsid w:val="007927CF"/>
    <w:rsid w:val="00792A80"/>
    <w:rsid w:val="00792AFF"/>
    <w:rsid w:val="00792BF0"/>
    <w:rsid w:val="00792BF3"/>
    <w:rsid w:val="00792CC1"/>
    <w:rsid w:val="00792D20"/>
    <w:rsid w:val="00792EC3"/>
    <w:rsid w:val="00793223"/>
    <w:rsid w:val="0079336A"/>
    <w:rsid w:val="007933E0"/>
    <w:rsid w:val="0079350B"/>
    <w:rsid w:val="007936FB"/>
    <w:rsid w:val="00793799"/>
    <w:rsid w:val="00793974"/>
    <w:rsid w:val="00793A84"/>
    <w:rsid w:val="00793B7A"/>
    <w:rsid w:val="00793BEC"/>
    <w:rsid w:val="00793C15"/>
    <w:rsid w:val="00793D36"/>
    <w:rsid w:val="00793D53"/>
    <w:rsid w:val="00793DA2"/>
    <w:rsid w:val="00793E16"/>
    <w:rsid w:val="00794205"/>
    <w:rsid w:val="00794483"/>
    <w:rsid w:val="0079451E"/>
    <w:rsid w:val="007949DD"/>
    <w:rsid w:val="007949E0"/>
    <w:rsid w:val="007949E5"/>
    <w:rsid w:val="00794B03"/>
    <w:rsid w:val="00794B43"/>
    <w:rsid w:val="00794CC8"/>
    <w:rsid w:val="00794CD5"/>
    <w:rsid w:val="00794CDC"/>
    <w:rsid w:val="00794F34"/>
    <w:rsid w:val="007951FB"/>
    <w:rsid w:val="00795211"/>
    <w:rsid w:val="00795992"/>
    <w:rsid w:val="00795A5C"/>
    <w:rsid w:val="00795C81"/>
    <w:rsid w:val="00795E06"/>
    <w:rsid w:val="00795EC4"/>
    <w:rsid w:val="00795F0F"/>
    <w:rsid w:val="007961E6"/>
    <w:rsid w:val="0079647D"/>
    <w:rsid w:val="007964F2"/>
    <w:rsid w:val="007965A2"/>
    <w:rsid w:val="00796624"/>
    <w:rsid w:val="00796687"/>
    <w:rsid w:val="00796743"/>
    <w:rsid w:val="00796B9C"/>
    <w:rsid w:val="00796BCC"/>
    <w:rsid w:val="00797295"/>
    <w:rsid w:val="0079752F"/>
    <w:rsid w:val="0079759E"/>
    <w:rsid w:val="007979EA"/>
    <w:rsid w:val="007A01EB"/>
    <w:rsid w:val="007A0291"/>
    <w:rsid w:val="007A02BA"/>
    <w:rsid w:val="007A049E"/>
    <w:rsid w:val="007A04D9"/>
    <w:rsid w:val="007A06E6"/>
    <w:rsid w:val="007A133C"/>
    <w:rsid w:val="007A138B"/>
    <w:rsid w:val="007A140C"/>
    <w:rsid w:val="007A146E"/>
    <w:rsid w:val="007A1A2C"/>
    <w:rsid w:val="007A1B1C"/>
    <w:rsid w:val="007A1C06"/>
    <w:rsid w:val="007A1C12"/>
    <w:rsid w:val="007A1E05"/>
    <w:rsid w:val="007A1FD3"/>
    <w:rsid w:val="007A1FE7"/>
    <w:rsid w:val="007A209D"/>
    <w:rsid w:val="007A24BA"/>
    <w:rsid w:val="007A2703"/>
    <w:rsid w:val="007A271F"/>
    <w:rsid w:val="007A274A"/>
    <w:rsid w:val="007A2907"/>
    <w:rsid w:val="007A2AC9"/>
    <w:rsid w:val="007A2CA9"/>
    <w:rsid w:val="007A2D26"/>
    <w:rsid w:val="007A2EA3"/>
    <w:rsid w:val="007A3047"/>
    <w:rsid w:val="007A30FC"/>
    <w:rsid w:val="007A3151"/>
    <w:rsid w:val="007A328A"/>
    <w:rsid w:val="007A3434"/>
    <w:rsid w:val="007A34FE"/>
    <w:rsid w:val="007A3505"/>
    <w:rsid w:val="007A3593"/>
    <w:rsid w:val="007A380D"/>
    <w:rsid w:val="007A3859"/>
    <w:rsid w:val="007A3A08"/>
    <w:rsid w:val="007A3B6A"/>
    <w:rsid w:val="007A3FA6"/>
    <w:rsid w:val="007A40A9"/>
    <w:rsid w:val="007A4418"/>
    <w:rsid w:val="007A5226"/>
    <w:rsid w:val="007A5298"/>
    <w:rsid w:val="007A5553"/>
    <w:rsid w:val="007A5797"/>
    <w:rsid w:val="007A5962"/>
    <w:rsid w:val="007A5DA5"/>
    <w:rsid w:val="007A5FA8"/>
    <w:rsid w:val="007A611E"/>
    <w:rsid w:val="007A6324"/>
    <w:rsid w:val="007A63C8"/>
    <w:rsid w:val="007A63F9"/>
    <w:rsid w:val="007A6507"/>
    <w:rsid w:val="007A66B2"/>
    <w:rsid w:val="007A67B7"/>
    <w:rsid w:val="007A6A28"/>
    <w:rsid w:val="007A6A73"/>
    <w:rsid w:val="007A6AD4"/>
    <w:rsid w:val="007A6BA0"/>
    <w:rsid w:val="007A71C6"/>
    <w:rsid w:val="007A78CF"/>
    <w:rsid w:val="007A79A5"/>
    <w:rsid w:val="007A7D4F"/>
    <w:rsid w:val="007A7E99"/>
    <w:rsid w:val="007B0004"/>
    <w:rsid w:val="007B00E2"/>
    <w:rsid w:val="007B016D"/>
    <w:rsid w:val="007B03AF"/>
    <w:rsid w:val="007B03DC"/>
    <w:rsid w:val="007B04D9"/>
    <w:rsid w:val="007B0523"/>
    <w:rsid w:val="007B0699"/>
    <w:rsid w:val="007B0C4F"/>
    <w:rsid w:val="007B0ED3"/>
    <w:rsid w:val="007B10E0"/>
    <w:rsid w:val="007B13AE"/>
    <w:rsid w:val="007B1A08"/>
    <w:rsid w:val="007B1C5A"/>
    <w:rsid w:val="007B1D92"/>
    <w:rsid w:val="007B1DE4"/>
    <w:rsid w:val="007B230F"/>
    <w:rsid w:val="007B2395"/>
    <w:rsid w:val="007B2432"/>
    <w:rsid w:val="007B2475"/>
    <w:rsid w:val="007B249F"/>
    <w:rsid w:val="007B266B"/>
    <w:rsid w:val="007B26CB"/>
    <w:rsid w:val="007B29F0"/>
    <w:rsid w:val="007B2A34"/>
    <w:rsid w:val="007B2B13"/>
    <w:rsid w:val="007B2C6D"/>
    <w:rsid w:val="007B2DF0"/>
    <w:rsid w:val="007B2E6D"/>
    <w:rsid w:val="007B2ECC"/>
    <w:rsid w:val="007B2FAB"/>
    <w:rsid w:val="007B30BD"/>
    <w:rsid w:val="007B393F"/>
    <w:rsid w:val="007B3AED"/>
    <w:rsid w:val="007B3B86"/>
    <w:rsid w:val="007B3D18"/>
    <w:rsid w:val="007B401A"/>
    <w:rsid w:val="007B405A"/>
    <w:rsid w:val="007B4210"/>
    <w:rsid w:val="007B4325"/>
    <w:rsid w:val="007B4476"/>
    <w:rsid w:val="007B454F"/>
    <w:rsid w:val="007B48F8"/>
    <w:rsid w:val="007B49BA"/>
    <w:rsid w:val="007B4B57"/>
    <w:rsid w:val="007B4C66"/>
    <w:rsid w:val="007B4D32"/>
    <w:rsid w:val="007B4D47"/>
    <w:rsid w:val="007B4E74"/>
    <w:rsid w:val="007B5036"/>
    <w:rsid w:val="007B50E3"/>
    <w:rsid w:val="007B516A"/>
    <w:rsid w:val="007B5224"/>
    <w:rsid w:val="007B5370"/>
    <w:rsid w:val="007B55F8"/>
    <w:rsid w:val="007B57BC"/>
    <w:rsid w:val="007B58D9"/>
    <w:rsid w:val="007B59DA"/>
    <w:rsid w:val="007B5B03"/>
    <w:rsid w:val="007B5B55"/>
    <w:rsid w:val="007B5CAE"/>
    <w:rsid w:val="007B5EB0"/>
    <w:rsid w:val="007B6022"/>
    <w:rsid w:val="007B62E3"/>
    <w:rsid w:val="007B63EC"/>
    <w:rsid w:val="007B6A40"/>
    <w:rsid w:val="007B6A72"/>
    <w:rsid w:val="007B6BB5"/>
    <w:rsid w:val="007B6DFC"/>
    <w:rsid w:val="007B7009"/>
    <w:rsid w:val="007B7287"/>
    <w:rsid w:val="007B74B0"/>
    <w:rsid w:val="007B774E"/>
    <w:rsid w:val="007B788B"/>
    <w:rsid w:val="007B7C2C"/>
    <w:rsid w:val="007B7EC8"/>
    <w:rsid w:val="007B7FF2"/>
    <w:rsid w:val="007C09DD"/>
    <w:rsid w:val="007C0FB5"/>
    <w:rsid w:val="007C18DD"/>
    <w:rsid w:val="007C196A"/>
    <w:rsid w:val="007C1C6E"/>
    <w:rsid w:val="007C1C83"/>
    <w:rsid w:val="007C1DF4"/>
    <w:rsid w:val="007C1EDC"/>
    <w:rsid w:val="007C23DD"/>
    <w:rsid w:val="007C23FE"/>
    <w:rsid w:val="007C2498"/>
    <w:rsid w:val="007C24C3"/>
    <w:rsid w:val="007C2636"/>
    <w:rsid w:val="007C2813"/>
    <w:rsid w:val="007C2ED6"/>
    <w:rsid w:val="007C3100"/>
    <w:rsid w:val="007C32DF"/>
    <w:rsid w:val="007C3378"/>
    <w:rsid w:val="007C34F8"/>
    <w:rsid w:val="007C384C"/>
    <w:rsid w:val="007C38F6"/>
    <w:rsid w:val="007C39CB"/>
    <w:rsid w:val="007C3C6F"/>
    <w:rsid w:val="007C3E61"/>
    <w:rsid w:val="007C3E7D"/>
    <w:rsid w:val="007C4164"/>
    <w:rsid w:val="007C4183"/>
    <w:rsid w:val="007C41F8"/>
    <w:rsid w:val="007C423A"/>
    <w:rsid w:val="007C48D3"/>
    <w:rsid w:val="007C4999"/>
    <w:rsid w:val="007C4B17"/>
    <w:rsid w:val="007C4C32"/>
    <w:rsid w:val="007C5099"/>
    <w:rsid w:val="007C5322"/>
    <w:rsid w:val="007C5394"/>
    <w:rsid w:val="007C57DD"/>
    <w:rsid w:val="007C5904"/>
    <w:rsid w:val="007C5B4C"/>
    <w:rsid w:val="007C5CDC"/>
    <w:rsid w:val="007C5E51"/>
    <w:rsid w:val="007C60FE"/>
    <w:rsid w:val="007C6169"/>
    <w:rsid w:val="007C61D1"/>
    <w:rsid w:val="007C631F"/>
    <w:rsid w:val="007C644B"/>
    <w:rsid w:val="007C6590"/>
    <w:rsid w:val="007C67BD"/>
    <w:rsid w:val="007C6910"/>
    <w:rsid w:val="007C6A0C"/>
    <w:rsid w:val="007C6A21"/>
    <w:rsid w:val="007C6BB9"/>
    <w:rsid w:val="007C6DBC"/>
    <w:rsid w:val="007C6EC3"/>
    <w:rsid w:val="007C6F55"/>
    <w:rsid w:val="007C708B"/>
    <w:rsid w:val="007C71E0"/>
    <w:rsid w:val="007C7258"/>
    <w:rsid w:val="007C7349"/>
    <w:rsid w:val="007C745F"/>
    <w:rsid w:val="007C74A6"/>
    <w:rsid w:val="007C7A3E"/>
    <w:rsid w:val="007C7D09"/>
    <w:rsid w:val="007C7E54"/>
    <w:rsid w:val="007C7EA8"/>
    <w:rsid w:val="007D015D"/>
    <w:rsid w:val="007D09A5"/>
    <w:rsid w:val="007D09E3"/>
    <w:rsid w:val="007D0C8A"/>
    <w:rsid w:val="007D0D0D"/>
    <w:rsid w:val="007D0DF0"/>
    <w:rsid w:val="007D1034"/>
    <w:rsid w:val="007D110A"/>
    <w:rsid w:val="007D1633"/>
    <w:rsid w:val="007D16DA"/>
    <w:rsid w:val="007D1B60"/>
    <w:rsid w:val="007D1BDC"/>
    <w:rsid w:val="007D1F24"/>
    <w:rsid w:val="007D2016"/>
    <w:rsid w:val="007D2306"/>
    <w:rsid w:val="007D299E"/>
    <w:rsid w:val="007D2B4F"/>
    <w:rsid w:val="007D2E6D"/>
    <w:rsid w:val="007D3163"/>
    <w:rsid w:val="007D31B1"/>
    <w:rsid w:val="007D31B4"/>
    <w:rsid w:val="007D32EB"/>
    <w:rsid w:val="007D32F8"/>
    <w:rsid w:val="007D352B"/>
    <w:rsid w:val="007D387E"/>
    <w:rsid w:val="007D3909"/>
    <w:rsid w:val="007D3BB8"/>
    <w:rsid w:val="007D3C95"/>
    <w:rsid w:val="007D40DA"/>
    <w:rsid w:val="007D4312"/>
    <w:rsid w:val="007D44BA"/>
    <w:rsid w:val="007D4E21"/>
    <w:rsid w:val="007D4F27"/>
    <w:rsid w:val="007D4F66"/>
    <w:rsid w:val="007D4FFD"/>
    <w:rsid w:val="007D50EF"/>
    <w:rsid w:val="007D520C"/>
    <w:rsid w:val="007D5273"/>
    <w:rsid w:val="007D52C1"/>
    <w:rsid w:val="007D5501"/>
    <w:rsid w:val="007D5567"/>
    <w:rsid w:val="007D57AD"/>
    <w:rsid w:val="007D5A17"/>
    <w:rsid w:val="007D5B17"/>
    <w:rsid w:val="007D5D3D"/>
    <w:rsid w:val="007D6580"/>
    <w:rsid w:val="007D6AB7"/>
    <w:rsid w:val="007D6AC6"/>
    <w:rsid w:val="007D6E95"/>
    <w:rsid w:val="007D751D"/>
    <w:rsid w:val="007D75C5"/>
    <w:rsid w:val="007D7AF7"/>
    <w:rsid w:val="007D7C7D"/>
    <w:rsid w:val="007D7C94"/>
    <w:rsid w:val="007D7F23"/>
    <w:rsid w:val="007E0096"/>
    <w:rsid w:val="007E030F"/>
    <w:rsid w:val="007E073D"/>
    <w:rsid w:val="007E0A9F"/>
    <w:rsid w:val="007E0BE2"/>
    <w:rsid w:val="007E0C57"/>
    <w:rsid w:val="007E0C8D"/>
    <w:rsid w:val="007E0F74"/>
    <w:rsid w:val="007E10CD"/>
    <w:rsid w:val="007E1176"/>
    <w:rsid w:val="007E1212"/>
    <w:rsid w:val="007E149F"/>
    <w:rsid w:val="007E167E"/>
    <w:rsid w:val="007E16FC"/>
    <w:rsid w:val="007E1E85"/>
    <w:rsid w:val="007E1F4E"/>
    <w:rsid w:val="007E2302"/>
    <w:rsid w:val="007E260F"/>
    <w:rsid w:val="007E26C8"/>
    <w:rsid w:val="007E26D6"/>
    <w:rsid w:val="007E296C"/>
    <w:rsid w:val="007E2F5D"/>
    <w:rsid w:val="007E3069"/>
    <w:rsid w:val="007E356F"/>
    <w:rsid w:val="007E35CB"/>
    <w:rsid w:val="007E3625"/>
    <w:rsid w:val="007E3888"/>
    <w:rsid w:val="007E3916"/>
    <w:rsid w:val="007E3C0F"/>
    <w:rsid w:val="007E4456"/>
    <w:rsid w:val="007E463F"/>
    <w:rsid w:val="007E46C3"/>
    <w:rsid w:val="007E478C"/>
    <w:rsid w:val="007E479E"/>
    <w:rsid w:val="007E488E"/>
    <w:rsid w:val="007E4AD8"/>
    <w:rsid w:val="007E4B05"/>
    <w:rsid w:val="007E4B28"/>
    <w:rsid w:val="007E4DD6"/>
    <w:rsid w:val="007E4E08"/>
    <w:rsid w:val="007E5082"/>
    <w:rsid w:val="007E50FC"/>
    <w:rsid w:val="007E5202"/>
    <w:rsid w:val="007E53BC"/>
    <w:rsid w:val="007E54DC"/>
    <w:rsid w:val="007E551B"/>
    <w:rsid w:val="007E59E4"/>
    <w:rsid w:val="007E5D55"/>
    <w:rsid w:val="007E5FD6"/>
    <w:rsid w:val="007E624E"/>
    <w:rsid w:val="007E6422"/>
    <w:rsid w:val="007E67FC"/>
    <w:rsid w:val="007E6822"/>
    <w:rsid w:val="007E6AA1"/>
    <w:rsid w:val="007E6E1D"/>
    <w:rsid w:val="007E6E66"/>
    <w:rsid w:val="007E73E9"/>
    <w:rsid w:val="007E7415"/>
    <w:rsid w:val="007E7A31"/>
    <w:rsid w:val="007E7ECD"/>
    <w:rsid w:val="007E7F00"/>
    <w:rsid w:val="007F005D"/>
    <w:rsid w:val="007F012F"/>
    <w:rsid w:val="007F02A6"/>
    <w:rsid w:val="007F05A7"/>
    <w:rsid w:val="007F06BA"/>
    <w:rsid w:val="007F0D0F"/>
    <w:rsid w:val="007F0D4D"/>
    <w:rsid w:val="007F0E60"/>
    <w:rsid w:val="007F10A7"/>
    <w:rsid w:val="007F10EC"/>
    <w:rsid w:val="007F1159"/>
    <w:rsid w:val="007F124B"/>
    <w:rsid w:val="007F1304"/>
    <w:rsid w:val="007F13E1"/>
    <w:rsid w:val="007F15D0"/>
    <w:rsid w:val="007F16A8"/>
    <w:rsid w:val="007F17D1"/>
    <w:rsid w:val="007F1980"/>
    <w:rsid w:val="007F1A6A"/>
    <w:rsid w:val="007F1B07"/>
    <w:rsid w:val="007F1B8E"/>
    <w:rsid w:val="007F20CD"/>
    <w:rsid w:val="007F222D"/>
    <w:rsid w:val="007F22E7"/>
    <w:rsid w:val="007F2834"/>
    <w:rsid w:val="007F33CE"/>
    <w:rsid w:val="007F3497"/>
    <w:rsid w:val="007F3633"/>
    <w:rsid w:val="007F372B"/>
    <w:rsid w:val="007F397A"/>
    <w:rsid w:val="007F3D85"/>
    <w:rsid w:val="007F422A"/>
    <w:rsid w:val="007F44B3"/>
    <w:rsid w:val="007F44FF"/>
    <w:rsid w:val="007F45BE"/>
    <w:rsid w:val="007F4885"/>
    <w:rsid w:val="007F48EB"/>
    <w:rsid w:val="007F4A6D"/>
    <w:rsid w:val="007F4D39"/>
    <w:rsid w:val="007F4DAE"/>
    <w:rsid w:val="007F4F0E"/>
    <w:rsid w:val="007F5360"/>
    <w:rsid w:val="007F53CF"/>
    <w:rsid w:val="007F542C"/>
    <w:rsid w:val="007F5461"/>
    <w:rsid w:val="007F5979"/>
    <w:rsid w:val="007F5D6B"/>
    <w:rsid w:val="007F5D7A"/>
    <w:rsid w:val="007F6149"/>
    <w:rsid w:val="007F618C"/>
    <w:rsid w:val="007F62CE"/>
    <w:rsid w:val="007F64BA"/>
    <w:rsid w:val="007F64E8"/>
    <w:rsid w:val="007F6541"/>
    <w:rsid w:val="007F6733"/>
    <w:rsid w:val="007F6764"/>
    <w:rsid w:val="007F688D"/>
    <w:rsid w:val="007F6944"/>
    <w:rsid w:val="007F6E65"/>
    <w:rsid w:val="007F6EF4"/>
    <w:rsid w:val="007F6F9B"/>
    <w:rsid w:val="007F7407"/>
    <w:rsid w:val="007F7901"/>
    <w:rsid w:val="007F79A1"/>
    <w:rsid w:val="007F7B17"/>
    <w:rsid w:val="007F7B6A"/>
    <w:rsid w:val="007F7E67"/>
    <w:rsid w:val="0080000D"/>
    <w:rsid w:val="0080052D"/>
    <w:rsid w:val="00800ADD"/>
    <w:rsid w:val="0080126E"/>
    <w:rsid w:val="0080153E"/>
    <w:rsid w:val="008017A1"/>
    <w:rsid w:val="00801BB3"/>
    <w:rsid w:val="00801D94"/>
    <w:rsid w:val="00801EFE"/>
    <w:rsid w:val="0080230F"/>
    <w:rsid w:val="00802325"/>
    <w:rsid w:val="00802330"/>
    <w:rsid w:val="00802997"/>
    <w:rsid w:val="00802CCE"/>
    <w:rsid w:val="00802D8E"/>
    <w:rsid w:val="00802DDF"/>
    <w:rsid w:val="008036EB"/>
    <w:rsid w:val="00803732"/>
    <w:rsid w:val="008037AA"/>
    <w:rsid w:val="008039F3"/>
    <w:rsid w:val="00803BFD"/>
    <w:rsid w:val="00803CE2"/>
    <w:rsid w:val="00803CF3"/>
    <w:rsid w:val="00803EE3"/>
    <w:rsid w:val="00804215"/>
    <w:rsid w:val="00804302"/>
    <w:rsid w:val="008044ED"/>
    <w:rsid w:val="00804B4B"/>
    <w:rsid w:val="00804CB6"/>
    <w:rsid w:val="00804CC8"/>
    <w:rsid w:val="00805BD6"/>
    <w:rsid w:val="00805D1B"/>
    <w:rsid w:val="00805DC7"/>
    <w:rsid w:val="00805DFC"/>
    <w:rsid w:val="00805E5E"/>
    <w:rsid w:val="008063FC"/>
    <w:rsid w:val="00806852"/>
    <w:rsid w:val="00806A4B"/>
    <w:rsid w:val="00806D49"/>
    <w:rsid w:val="00806D4C"/>
    <w:rsid w:val="00806F44"/>
    <w:rsid w:val="0080704B"/>
    <w:rsid w:val="008071A1"/>
    <w:rsid w:val="00807209"/>
    <w:rsid w:val="0080749C"/>
    <w:rsid w:val="008074C8"/>
    <w:rsid w:val="00807954"/>
    <w:rsid w:val="00807BEE"/>
    <w:rsid w:val="00807C94"/>
    <w:rsid w:val="00810062"/>
    <w:rsid w:val="008105D5"/>
    <w:rsid w:val="008107E7"/>
    <w:rsid w:val="00810A5B"/>
    <w:rsid w:val="00810EAD"/>
    <w:rsid w:val="0081111D"/>
    <w:rsid w:val="008111A8"/>
    <w:rsid w:val="0081124B"/>
    <w:rsid w:val="00811278"/>
    <w:rsid w:val="00811DDE"/>
    <w:rsid w:val="00811E07"/>
    <w:rsid w:val="00812100"/>
    <w:rsid w:val="00812450"/>
    <w:rsid w:val="00812465"/>
    <w:rsid w:val="00812790"/>
    <w:rsid w:val="008129AB"/>
    <w:rsid w:val="00812CBC"/>
    <w:rsid w:val="00812D7B"/>
    <w:rsid w:val="00812DB8"/>
    <w:rsid w:val="00812E7D"/>
    <w:rsid w:val="00812EA9"/>
    <w:rsid w:val="00812F66"/>
    <w:rsid w:val="00813092"/>
    <w:rsid w:val="008131D3"/>
    <w:rsid w:val="008131F6"/>
    <w:rsid w:val="00813466"/>
    <w:rsid w:val="00813629"/>
    <w:rsid w:val="00813B54"/>
    <w:rsid w:val="00813BB4"/>
    <w:rsid w:val="00813BF0"/>
    <w:rsid w:val="00814386"/>
    <w:rsid w:val="00814640"/>
    <w:rsid w:val="00814773"/>
    <w:rsid w:val="00814CC0"/>
    <w:rsid w:val="00814D80"/>
    <w:rsid w:val="00815125"/>
    <w:rsid w:val="008151A1"/>
    <w:rsid w:val="008151B6"/>
    <w:rsid w:val="00815255"/>
    <w:rsid w:val="008155D8"/>
    <w:rsid w:val="0081568C"/>
    <w:rsid w:val="0081575C"/>
    <w:rsid w:val="008159F7"/>
    <w:rsid w:val="008159FD"/>
    <w:rsid w:val="00815BB3"/>
    <w:rsid w:val="00815CFC"/>
    <w:rsid w:val="00815DBC"/>
    <w:rsid w:val="00816147"/>
    <w:rsid w:val="00816175"/>
    <w:rsid w:val="0081634D"/>
    <w:rsid w:val="008163E8"/>
    <w:rsid w:val="00816410"/>
    <w:rsid w:val="0081684A"/>
    <w:rsid w:val="00816966"/>
    <w:rsid w:val="00816ADE"/>
    <w:rsid w:val="00816B09"/>
    <w:rsid w:val="00816B2A"/>
    <w:rsid w:val="00816F1C"/>
    <w:rsid w:val="00817155"/>
    <w:rsid w:val="008171DD"/>
    <w:rsid w:val="008175AA"/>
    <w:rsid w:val="0081776E"/>
    <w:rsid w:val="008178B5"/>
    <w:rsid w:val="0081796D"/>
    <w:rsid w:val="00817C76"/>
    <w:rsid w:val="00817DA8"/>
    <w:rsid w:val="00817E4D"/>
    <w:rsid w:val="00817EB3"/>
    <w:rsid w:val="00820455"/>
    <w:rsid w:val="008205DD"/>
    <w:rsid w:val="008209CB"/>
    <w:rsid w:val="00820A7C"/>
    <w:rsid w:val="00820E5F"/>
    <w:rsid w:val="00820FCD"/>
    <w:rsid w:val="00821867"/>
    <w:rsid w:val="00821A24"/>
    <w:rsid w:val="00821B7C"/>
    <w:rsid w:val="00821CEF"/>
    <w:rsid w:val="00821FB0"/>
    <w:rsid w:val="008223E7"/>
    <w:rsid w:val="008226A1"/>
    <w:rsid w:val="008227BC"/>
    <w:rsid w:val="0082282A"/>
    <w:rsid w:val="008229A3"/>
    <w:rsid w:val="00822A14"/>
    <w:rsid w:val="00822B7E"/>
    <w:rsid w:val="00822CB6"/>
    <w:rsid w:val="00823144"/>
    <w:rsid w:val="008231CD"/>
    <w:rsid w:val="00823437"/>
    <w:rsid w:val="008236CB"/>
    <w:rsid w:val="0082383C"/>
    <w:rsid w:val="00823882"/>
    <w:rsid w:val="00823D05"/>
    <w:rsid w:val="00823DFD"/>
    <w:rsid w:val="00823E6E"/>
    <w:rsid w:val="00823F73"/>
    <w:rsid w:val="00824273"/>
    <w:rsid w:val="0082437C"/>
    <w:rsid w:val="008244BD"/>
    <w:rsid w:val="00824891"/>
    <w:rsid w:val="00824BD1"/>
    <w:rsid w:val="00824ED7"/>
    <w:rsid w:val="00824F30"/>
    <w:rsid w:val="0082531F"/>
    <w:rsid w:val="00825528"/>
    <w:rsid w:val="0082552B"/>
    <w:rsid w:val="00825580"/>
    <w:rsid w:val="00825A0F"/>
    <w:rsid w:val="00825AF1"/>
    <w:rsid w:val="00825E78"/>
    <w:rsid w:val="00825F07"/>
    <w:rsid w:val="00826006"/>
    <w:rsid w:val="00826078"/>
    <w:rsid w:val="0082629E"/>
    <w:rsid w:val="00826653"/>
    <w:rsid w:val="0082672D"/>
    <w:rsid w:val="00826979"/>
    <w:rsid w:val="00826B15"/>
    <w:rsid w:val="00826B8B"/>
    <w:rsid w:val="00826C8B"/>
    <w:rsid w:val="00826D20"/>
    <w:rsid w:val="008271E7"/>
    <w:rsid w:val="008271FC"/>
    <w:rsid w:val="00827384"/>
    <w:rsid w:val="008273EC"/>
    <w:rsid w:val="008275D4"/>
    <w:rsid w:val="008277EE"/>
    <w:rsid w:val="00827B56"/>
    <w:rsid w:val="00827DD2"/>
    <w:rsid w:val="00830151"/>
    <w:rsid w:val="00830193"/>
    <w:rsid w:val="00830B45"/>
    <w:rsid w:val="00830BFD"/>
    <w:rsid w:val="00830D58"/>
    <w:rsid w:val="008311D8"/>
    <w:rsid w:val="008312C9"/>
    <w:rsid w:val="008313BA"/>
    <w:rsid w:val="008313F5"/>
    <w:rsid w:val="00831549"/>
    <w:rsid w:val="00831A36"/>
    <w:rsid w:val="00831C15"/>
    <w:rsid w:val="00831C32"/>
    <w:rsid w:val="00831E4F"/>
    <w:rsid w:val="00832359"/>
    <w:rsid w:val="008324D5"/>
    <w:rsid w:val="008327AF"/>
    <w:rsid w:val="0083293B"/>
    <w:rsid w:val="00832DB2"/>
    <w:rsid w:val="00832E9B"/>
    <w:rsid w:val="00832EC1"/>
    <w:rsid w:val="00833332"/>
    <w:rsid w:val="00833678"/>
    <w:rsid w:val="00833682"/>
    <w:rsid w:val="008337F7"/>
    <w:rsid w:val="008338C0"/>
    <w:rsid w:val="008338D4"/>
    <w:rsid w:val="00833C1E"/>
    <w:rsid w:val="00833E6F"/>
    <w:rsid w:val="00833EC8"/>
    <w:rsid w:val="0083408C"/>
    <w:rsid w:val="00834C4E"/>
    <w:rsid w:val="00835229"/>
    <w:rsid w:val="008355D0"/>
    <w:rsid w:val="008355FD"/>
    <w:rsid w:val="0083564C"/>
    <w:rsid w:val="00835958"/>
    <w:rsid w:val="0083596A"/>
    <w:rsid w:val="00835C8B"/>
    <w:rsid w:val="00836055"/>
    <w:rsid w:val="0083651B"/>
    <w:rsid w:val="008365C3"/>
    <w:rsid w:val="008369A5"/>
    <w:rsid w:val="00836C18"/>
    <w:rsid w:val="008371FD"/>
    <w:rsid w:val="00837228"/>
    <w:rsid w:val="00837320"/>
    <w:rsid w:val="00837341"/>
    <w:rsid w:val="0083744A"/>
    <w:rsid w:val="0083766E"/>
    <w:rsid w:val="00837FC6"/>
    <w:rsid w:val="00840012"/>
    <w:rsid w:val="00840294"/>
    <w:rsid w:val="00840453"/>
    <w:rsid w:val="00840460"/>
    <w:rsid w:val="0084049E"/>
    <w:rsid w:val="008405B0"/>
    <w:rsid w:val="008408C1"/>
    <w:rsid w:val="00840B15"/>
    <w:rsid w:val="00840B79"/>
    <w:rsid w:val="00840EEA"/>
    <w:rsid w:val="008410CA"/>
    <w:rsid w:val="008413D6"/>
    <w:rsid w:val="00841486"/>
    <w:rsid w:val="008414F3"/>
    <w:rsid w:val="00841518"/>
    <w:rsid w:val="00841642"/>
    <w:rsid w:val="00841AED"/>
    <w:rsid w:val="00841B36"/>
    <w:rsid w:val="00841D4C"/>
    <w:rsid w:val="00841DC3"/>
    <w:rsid w:val="00842068"/>
    <w:rsid w:val="008420F2"/>
    <w:rsid w:val="0084240B"/>
    <w:rsid w:val="0084254B"/>
    <w:rsid w:val="008427B8"/>
    <w:rsid w:val="008427D7"/>
    <w:rsid w:val="00842A9E"/>
    <w:rsid w:val="00842AF9"/>
    <w:rsid w:val="00842FA2"/>
    <w:rsid w:val="00843015"/>
    <w:rsid w:val="008437F1"/>
    <w:rsid w:val="00843A62"/>
    <w:rsid w:val="00843BB1"/>
    <w:rsid w:val="00843BF6"/>
    <w:rsid w:val="00843C39"/>
    <w:rsid w:val="00843D27"/>
    <w:rsid w:val="00843DE8"/>
    <w:rsid w:val="00843DE9"/>
    <w:rsid w:val="008442A5"/>
    <w:rsid w:val="00844425"/>
    <w:rsid w:val="00844655"/>
    <w:rsid w:val="00844C0F"/>
    <w:rsid w:val="00844E9D"/>
    <w:rsid w:val="0084538E"/>
    <w:rsid w:val="00845996"/>
    <w:rsid w:val="00845AB8"/>
    <w:rsid w:val="00845D29"/>
    <w:rsid w:val="00845EB6"/>
    <w:rsid w:val="00846054"/>
    <w:rsid w:val="0084613D"/>
    <w:rsid w:val="0084614D"/>
    <w:rsid w:val="008461D0"/>
    <w:rsid w:val="008467C7"/>
    <w:rsid w:val="0084686D"/>
    <w:rsid w:val="0084697B"/>
    <w:rsid w:val="00846B02"/>
    <w:rsid w:val="00846CFF"/>
    <w:rsid w:val="00846ED4"/>
    <w:rsid w:val="00846F45"/>
    <w:rsid w:val="008474EA"/>
    <w:rsid w:val="008475BD"/>
    <w:rsid w:val="0084763A"/>
    <w:rsid w:val="008476BD"/>
    <w:rsid w:val="008477AF"/>
    <w:rsid w:val="00847B9A"/>
    <w:rsid w:val="008503AA"/>
    <w:rsid w:val="00850469"/>
    <w:rsid w:val="008505A7"/>
    <w:rsid w:val="0085068E"/>
    <w:rsid w:val="00850F39"/>
    <w:rsid w:val="008511B4"/>
    <w:rsid w:val="008515D9"/>
    <w:rsid w:val="0085160C"/>
    <w:rsid w:val="00851900"/>
    <w:rsid w:val="008519B6"/>
    <w:rsid w:val="00851A84"/>
    <w:rsid w:val="00851AC4"/>
    <w:rsid w:val="00851C49"/>
    <w:rsid w:val="00851F91"/>
    <w:rsid w:val="0085203C"/>
    <w:rsid w:val="00852066"/>
    <w:rsid w:val="008520FF"/>
    <w:rsid w:val="0085224C"/>
    <w:rsid w:val="0085234E"/>
    <w:rsid w:val="00852712"/>
    <w:rsid w:val="008529A1"/>
    <w:rsid w:val="00852ECC"/>
    <w:rsid w:val="00853165"/>
    <w:rsid w:val="00853391"/>
    <w:rsid w:val="008533E6"/>
    <w:rsid w:val="00853547"/>
    <w:rsid w:val="00853652"/>
    <w:rsid w:val="00853880"/>
    <w:rsid w:val="00853B4E"/>
    <w:rsid w:val="00853FF2"/>
    <w:rsid w:val="00854559"/>
    <w:rsid w:val="008546AB"/>
    <w:rsid w:val="00854B07"/>
    <w:rsid w:val="00854B35"/>
    <w:rsid w:val="00854B6A"/>
    <w:rsid w:val="00854D43"/>
    <w:rsid w:val="00854D60"/>
    <w:rsid w:val="00854DFF"/>
    <w:rsid w:val="00854E3D"/>
    <w:rsid w:val="00855086"/>
    <w:rsid w:val="00855609"/>
    <w:rsid w:val="00855868"/>
    <w:rsid w:val="00855B35"/>
    <w:rsid w:val="00855B79"/>
    <w:rsid w:val="0085601A"/>
    <w:rsid w:val="0085621D"/>
    <w:rsid w:val="00856241"/>
    <w:rsid w:val="008563F0"/>
    <w:rsid w:val="008563F3"/>
    <w:rsid w:val="008564D0"/>
    <w:rsid w:val="0085655B"/>
    <w:rsid w:val="00856608"/>
    <w:rsid w:val="00856795"/>
    <w:rsid w:val="008568E7"/>
    <w:rsid w:val="00856C2B"/>
    <w:rsid w:val="00856E94"/>
    <w:rsid w:val="00857028"/>
    <w:rsid w:val="00857345"/>
    <w:rsid w:val="00857576"/>
    <w:rsid w:val="008575F6"/>
    <w:rsid w:val="008576D4"/>
    <w:rsid w:val="00857871"/>
    <w:rsid w:val="0085787A"/>
    <w:rsid w:val="00857DD4"/>
    <w:rsid w:val="00857E08"/>
    <w:rsid w:val="00857E65"/>
    <w:rsid w:val="008601C5"/>
    <w:rsid w:val="00860481"/>
    <w:rsid w:val="00860488"/>
    <w:rsid w:val="00860600"/>
    <w:rsid w:val="00860AB5"/>
    <w:rsid w:val="00860B85"/>
    <w:rsid w:val="00861206"/>
    <w:rsid w:val="00861578"/>
    <w:rsid w:val="00861997"/>
    <w:rsid w:val="00861C74"/>
    <w:rsid w:val="00861E0D"/>
    <w:rsid w:val="00861F6F"/>
    <w:rsid w:val="00861FF7"/>
    <w:rsid w:val="0086214A"/>
    <w:rsid w:val="00862270"/>
    <w:rsid w:val="008623DA"/>
    <w:rsid w:val="00862657"/>
    <w:rsid w:val="00862956"/>
    <w:rsid w:val="00862BFB"/>
    <w:rsid w:val="008631BE"/>
    <w:rsid w:val="00863346"/>
    <w:rsid w:val="008637F7"/>
    <w:rsid w:val="00863A35"/>
    <w:rsid w:val="00863BE1"/>
    <w:rsid w:val="00863DE2"/>
    <w:rsid w:val="00863E9E"/>
    <w:rsid w:val="00863F9A"/>
    <w:rsid w:val="00863FA0"/>
    <w:rsid w:val="00863FBF"/>
    <w:rsid w:val="00864126"/>
    <w:rsid w:val="0086421B"/>
    <w:rsid w:val="008642B5"/>
    <w:rsid w:val="008642F0"/>
    <w:rsid w:val="008644BC"/>
    <w:rsid w:val="008646CD"/>
    <w:rsid w:val="008650F1"/>
    <w:rsid w:val="008654FC"/>
    <w:rsid w:val="00865615"/>
    <w:rsid w:val="00865667"/>
    <w:rsid w:val="00865691"/>
    <w:rsid w:val="00865A25"/>
    <w:rsid w:val="00865DBC"/>
    <w:rsid w:val="00865DD9"/>
    <w:rsid w:val="00865F66"/>
    <w:rsid w:val="008660F3"/>
    <w:rsid w:val="00866131"/>
    <w:rsid w:val="0086642C"/>
    <w:rsid w:val="0086655C"/>
    <w:rsid w:val="008665A5"/>
    <w:rsid w:val="008667C9"/>
    <w:rsid w:val="0086688A"/>
    <w:rsid w:val="00866B4E"/>
    <w:rsid w:val="00866B58"/>
    <w:rsid w:val="00866E5F"/>
    <w:rsid w:val="00867336"/>
    <w:rsid w:val="008673D8"/>
    <w:rsid w:val="008674AE"/>
    <w:rsid w:val="00867518"/>
    <w:rsid w:val="008675DC"/>
    <w:rsid w:val="008678E9"/>
    <w:rsid w:val="00867B65"/>
    <w:rsid w:val="00867B73"/>
    <w:rsid w:val="00867F4C"/>
    <w:rsid w:val="008702D7"/>
    <w:rsid w:val="008702EC"/>
    <w:rsid w:val="008704E4"/>
    <w:rsid w:val="00870A26"/>
    <w:rsid w:val="00870B82"/>
    <w:rsid w:val="00870D10"/>
    <w:rsid w:val="00870FA7"/>
    <w:rsid w:val="0087153D"/>
    <w:rsid w:val="0087179A"/>
    <w:rsid w:val="00871B5B"/>
    <w:rsid w:val="00871E3D"/>
    <w:rsid w:val="0087204F"/>
    <w:rsid w:val="0087212D"/>
    <w:rsid w:val="0087231E"/>
    <w:rsid w:val="008726F7"/>
    <w:rsid w:val="00872B28"/>
    <w:rsid w:val="00872D19"/>
    <w:rsid w:val="00872EFA"/>
    <w:rsid w:val="00872F69"/>
    <w:rsid w:val="0087340A"/>
    <w:rsid w:val="00873722"/>
    <w:rsid w:val="00873ED9"/>
    <w:rsid w:val="00874085"/>
    <w:rsid w:val="00874442"/>
    <w:rsid w:val="00874459"/>
    <w:rsid w:val="008744A9"/>
    <w:rsid w:val="00874B88"/>
    <w:rsid w:val="00874C40"/>
    <w:rsid w:val="00874D54"/>
    <w:rsid w:val="00874DD6"/>
    <w:rsid w:val="008750A6"/>
    <w:rsid w:val="008753C5"/>
    <w:rsid w:val="008755B7"/>
    <w:rsid w:val="00875746"/>
    <w:rsid w:val="008757FF"/>
    <w:rsid w:val="0087584A"/>
    <w:rsid w:val="0087592E"/>
    <w:rsid w:val="008759D7"/>
    <w:rsid w:val="00875DEA"/>
    <w:rsid w:val="00875ED6"/>
    <w:rsid w:val="00875F30"/>
    <w:rsid w:val="00875FC2"/>
    <w:rsid w:val="0087603A"/>
    <w:rsid w:val="00876062"/>
    <w:rsid w:val="00876275"/>
    <w:rsid w:val="00876548"/>
    <w:rsid w:val="00876759"/>
    <w:rsid w:val="008769E3"/>
    <w:rsid w:val="00876CDF"/>
    <w:rsid w:val="00876F04"/>
    <w:rsid w:val="0087720F"/>
    <w:rsid w:val="00877FB3"/>
    <w:rsid w:val="0088029D"/>
    <w:rsid w:val="0088047A"/>
    <w:rsid w:val="00880650"/>
    <w:rsid w:val="008806CB"/>
    <w:rsid w:val="008808DA"/>
    <w:rsid w:val="008808F8"/>
    <w:rsid w:val="00880C48"/>
    <w:rsid w:val="00880D7B"/>
    <w:rsid w:val="00880DBF"/>
    <w:rsid w:val="00880DE8"/>
    <w:rsid w:val="00880F76"/>
    <w:rsid w:val="0088159D"/>
    <w:rsid w:val="0088163A"/>
    <w:rsid w:val="008816BE"/>
    <w:rsid w:val="008817F3"/>
    <w:rsid w:val="00881889"/>
    <w:rsid w:val="00881BA5"/>
    <w:rsid w:val="00881F66"/>
    <w:rsid w:val="008822A7"/>
    <w:rsid w:val="00882330"/>
    <w:rsid w:val="00882591"/>
    <w:rsid w:val="00882845"/>
    <w:rsid w:val="00882B28"/>
    <w:rsid w:val="00882D09"/>
    <w:rsid w:val="00882DC0"/>
    <w:rsid w:val="00882DDF"/>
    <w:rsid w:val="00883029"/>
    <w:rsid w:val="00883AA8"/>
    <w:rsid w:val="00883B29"/>
    <w:rsid w:val="00883B35"/>
    <w:rsid w:val="00883B65"/>
    <w:rsid w:val="00883B82"/>
    <w:rsid w:val="00884119"/>
    <w:rsid w:val="00884689"/>
    <w:rsid w:val="00884AE7"/>
    <w:rsid w:val="00884F28"/>
    <w:rsid w:val="00884F73"/>
    <w:rsid w:val="00884FE6"/>
    <w:rsid w:val="008852C8"/>
    <w:rsid w:val="00885A53"/>
    <w:rsid w:val="00885BCB"/>
    <w:rsid w:val="00885EB4"/>
    <w:rsid w:val="00886087"/>
    <w:rsid w:val="00886110"/>
    <w:rsid w:val="0088685B"/>
    <w:rsid w:val="008868E0"/>
    <w:rsid w:val="00886931"/>
    <w:rsid w:val="00886A1C"/>
    <w:rsid w:val="00886BCD"/>
    <w:rsid w:val="00886E6C"/>
    <w:rsid w:val="0088712A"/>
    <w:rsid w:val="0088714B"/>
    <w:rsid w:val="0088735C"/>
    <w:rsid w:val="008873BF"/>
    <w:rsid w:val="00887567"/>
    <w:rsid w:val="00887AD9"/>
    <w:rsid w:val="00887CEA"/>
    <w:rsid w:val="00887D29"/>
    <w:rsid w:val="00887F97"/>
    <w:rsid w:val="0089031A"/>
    <w:rsid w:val="00890AC2"/>
    <w:rsid w:val="00890BD7"/>
    <w:rsid w:val="008910B7"/>
    <w:rsid w:val="008910E0"/>
    <w:rsid w:val="008911B1"/>
    <w:rsid w:val="008912E0"/>
    <w:rsid w:val="008912F8"/>
    <w:rsid w:val="008913EE"/>
    <w:rsid w:val="008915B4"/>
    <w:rsid w:val="008916D9"/>
    <w:rsid w:val="008917E9"/>
    <w:rsid w:val="00891992"/>
    <w:rsid w:val="00891A6E"/>
    <w:rsid w:val="00891C74"/>
    <w:rsid w:val="00891D76"/>
    <w:rsid w:val="00891F39"/>
    <w:rsid w:val="00892052"/>
    <w:rsid w:val="00892070"/>
    <w:rsid w:val="008920B8"/>
    <w:rsid w:val="00892113"/>
    <w:rsid w:val="008923D3"/>
    <w:rsid w:val="008923F3"/>
    <w:rsid w:val="008925D6"/>
    <w:rsid w:val="00892643"/>
    <w:rsid w:val="00892ADC"/>
    <w:rsid w:val="00892D46"/>
    <w:rsid w:val="00892D81"/>
    <w:rsid w:val="00892F2A"/>
    <w:rsid w:val="0089307E"/>
    <w:rsid w:val="008932B7"/>
    <w:rsid w:val="008932C9"/>
    <w:rsid w:val="00893430"/>
    <w:rsid w:val="0089358E"/>
    <w:rsid w:val="0089363F"/>
    <w:rsid w:val="008937AA"/>
    <w:rsid w:val="00893903"/>
    <w:rsid w:val="00893B97"/>
    <w:rsid w:val="00893CA6"/>
    <w:rsid w:val="00893CE5"/>
    <w:rsid w:val="00893E03"/>
    <w:rsid w:val="00893FD6"/>
    <w:rsid w:val="0089406C"/>
    <w:rsid w:val="008941B7"/>
    <w:rsid w:val="0089458C"/>
    <w:rsid w:val="00894637"/>
    <w:rsid w:val="00894AC8"/>
    <w:rsid w:val="00894C0B"/>
    <w:rsid w:val="008950F0"/>
    <w:rsid w:val="008951FB"/>
    <w:rsid w:val="00895978"/>
    <w:rsid w:val="00895A18"/>
    <w:rsid w:val="00895BD1"/>
    <w:rsid w:val="00895D88"/>
    <w:rsid w:val="008961E7"/>
    <w:rsid w:val="00896250"/>
    <w:rsid w:val="008962ED"/>
    <w:rsid w:val="008963E4"/>
    <w:rsid w:val="0089641C"/>
    <w:rsid w:val="00896562"/>
    <w:rsid w:val="00896616"/>
    <w:rsid w:val="00896813"/>
    <w:rsid w:val="008968E0"/>
    <w:rsid w:val="008968EB"/>
    <w:rsid w:val="00896DDC"/>
    <w:rsid w:val="00896DE0"/>
    <w:rsid w:val="00896DE1"/>
    <w:rsid w:val="00897059"/>
    <w:rsid w:val="00897308"/>
    <w:rsid w:val="00897364"/>
    <w:rsid w:val="0089754A"/>
    <w:rsid w:val="00897556"/>
    <w:rsid w:val="00897562"/>
    <w:rsid w:val="00897689"/>
    <w:rsid w:val="00897B72"/>
    <w:rsid w:val="00897CA3"/>
    <w:rsid w:val="00897CC1"/>
    <w:rsid w:val="00897DC4"/>
    <w:rsid w:val="00897ED7"/>
    <w:rsid w:val="00897F5A"/>
    <w:rsid w:val="00897FA4"/>
    <w:rsid w:val="00897FEE"/>
    <w:rsid w:val="008A03E8"/>
    <w:rsid w:val="008A062E"/>
    <w:rsid w:val="008A0CEC"/>
    <w:rsid w:val="008A0FF0"/>
    <w:rsid w:val="008A10AD"/>
    <w:rsid w:val="008A116E"/>
    <w:rsid w:val="008A18A1"/>
    <w:rsid w:val="008A18CF"/>
    <w:rsid w:val="008A1921"/>
    <w:rsid w:val="008A1B1B"/>
    <w:rsid w:val="008A1F57"/>
    <w:rsid w:val="008A207A"/>
    <w:rsid w:val="008A216E"/>
    <w:rsid w:val="008A230A"/>
    <w:rsid w:val="008A24F9"/>
    <w:rsid w:val="008A280B"/>
    <w:rsid w:val="008A2979"/>
    <w:rsid w:val="008A2BEA"/>
    <w:rsid w:val="008A30D0"/>
    <w:rsid w:val="008A30F2"/>
    <w:rsid w:val="008A3A56"/>
    <w:rsid w:val="008A3AC0"/>
    <w:rsid w:val="008A4006"/>
    <w:rsid w:val="008A405E"/>
    <w:rsid w:val="008A41A2"/>
    <w:rsid w:val="008A434A"/>
    <w:rsid w:val="008A4467"/>
    <w:rsid w:val="008A4989"/>
    <w:rsid w:val="008A4DD1"/>
    <w:rsid w:val="008A4DD7"/>
    <w:rsid w:val="008A4E13"/>
    <w:rsid w:val="008A51A2"/>
    <w:rsid w:val="008A51C6"/>
    <w:rsid w:val="008A51D2"/>
    <w:rsid w:val="008A52FA"/>
    <w:rsid w:val="008A5384"/>
    <w:rsid w:val="008A57D9"/>
    <w:rsid w:val="008A5A4C"/>
    <w:rsid w:val="008A5C1B"/>
    <w:rsid w:val="008A5F1A"/>
    <w:rsid w:val="008A6098"/>
    <w:rsid w:val="008A635C"/>
    <w:rsid w:val="008A64F0"/>
    <w:rsid w:val="008A660E"/>
    <w:rsid w:val="008A6635"/>
    <w:rsid w:val="008A682E"/>
    <w:rsid w:val="008A691F"/>
    <w:rsid w:val="008A6AA3"/>
    <w:rsid w:val="008A6FFB"/>
    <w:rsid w:val="008A707E"/>
    <w:rsid w:val="008A7145"/>
    <w:rsid w:val="008A71AD"/>
    <w:rsid w:val="008A7210"/>
    <w:rsid w:val="008A72EA"/>
    <w:rsid w:val="008A730B"/>
    <w:rsid w:val="008A7A16"/>
    <w:rsid w:val="008A7F55"/>
    <w:rsid w:val="008A7F6B"/>
    <w:rsid w:val="008A7FA2"/>
    <w:rsid w:val="008B022C"/>
    <w:rsid w:val="008B0537"/>
    <w:rsid w:val="008B0597"/>
    <w:rsid w:val="008B070B"/>
    <w:rsid w:val="008B071F"/>
    <w:rsid w:val="008B07BD"/>
    <w:rsid w:val="008B0896"/>
    <w:rsid w:val="008B0E79"/>
    <w:rsid w:val="008B1162"/>
    <w:rsid w:val="008B1998"/>
    <w:rsid w:val="008B19E0"/>
    <w:rsid w:val="008B1EFE"/>
    <w:rsid w:val="008B21B2"/>
    <w:rsid w:val="008B21EA"/>
    <w:rsid w:val="008B2443"/>
    <w:rsid w:val="008B2947"/>
    <w:rsid w:val="008B2EB2"/>
    <w:rsid w:val="008B2FD1"/>
    <w:rsid w:val="008B3072"/>
    <w:rsid w:val="008B3301"/>
    <w:rsid w:val="008B340E"/>
    <w:rsid w:val="008B34D1"/>
    <w:rsid w:val="008B3605"/>
    <w:rsid w:val="008B37EF"/>
    <w:rsid w:val="008B3978"/>
    <w:rsid w:val="008B3BD4"/>
    <w:rsid w:val="008B3D3D"/>
    <w:rsid w:val="008B3E76"/>
    <w:rsid w:val="008B4129"/>
    <w:rsid w:val="008B42FF"/>
    <w:rsid w:val="008B4C1B"/>
    <w:rsid w:val="008B5934"/>
    <w:rsid w:val="008B5A07"/>
    <w:rsid w:val="008B5C21"/>
    <w:rsid w:val="008B5E3E"/>
    <w:rsid w:val="008B5F37"/>
    <w:rsid w:val="008B66B4"/>
    <w:rsid w:val="008B67E1"/>
    <w:rsid w:val="008B6B01"/>
    <w:rsid w:val="008B6CE1"/>
    <w:rsid w:val="008B6CFC"/>
    <w:rsid w:val="008B6F14"/>
    <w:rsid w:val="008B7121"/>
    <w:rsid w:val="008B724C"/>
    <w:rsid w:val="008B7A0F"/>
    <w:rsid w:val="008B7AF1"/>
    <w:rsid w:val="008B7DB5"/>
    <w:rsid w:val="008B7DDA"/>
    <w:rsid w:val="008B7F5F"/>
    <w:rsid w:val="008C02F6"/>
    <w:rsid w:val="008C0386"/>
    <w:rsid w:val="008C0445"/>
    <w:rsid w:val="008C0450"/>
    <w:rsid w:val="008C08C0"/>
    <w:rsid w:val="008C118E"/>
    <w:rsid w:val="008C13E9"/>
    <w:rsid w:val="008C1621"/>
    <w:rsid w:val="008C18A2"/>
    <w:rsid w:val="008C1A72"/>
    <w:rsid w:val="008C1E6A"/>
    <w:rsid w:val="008C1F9E"/>
    <w:rsid w:val="008C20BE"/>
    <w:rsid w:val="008C2375"/>
    <w:rsid w:val="008C23D7"/>
    <w:rsid w:val="008C242B"/>
    <w:rsid w:val="008C24A5"/>
    <w:rsid w:val="008C24C1"/>
    <w:rsid w:val="008C27CB"/>
    <w:rsid w:val="008C27D7"/>
    <w:rsid w:val="008C29EF"/>
    <w:rsid w:val="008C2AA4"/>
    <w:rsid w:val="008C33B4"/>
    <w:rsid w:val="008C35E9"/>
    <w:rsid w:val="008C3856"/>
    <w:rsid w:val="008C3876"/>
    <w:rsid w:val="008C3A4D"/>
    <w:rsid w:val="008C3EB9"/>
    <w:rsid w:val="008C4338"/>
    <w:rsid w:val="008C450F"/>
    <w:rsid w:val="008C4843"/>
    <w:rsid w:val="008C4C02"/>
    <w:rsid w:val="008C518E"/>
    <w:rsid w:val="008C523F"/>
    <w:rsid w:val="008C5417"/>
    <w:rsid w:val="008C5636"/>
    <w:rsid w:val="008C5679"/>
    <w:rsid w:val="008C5953"/>
    <w:rsid w:val="008C5A33"/>
    <w:rsid w:val="008C5CD7"/>
    <w:rsid w:val="008C6029"/>
    <w:rsid w:val="008C6090"/>
    <w:rsid w:val="008C60BA"/>
    <w:rsid w:val="008C61FE"/>
    <w:rsid w:val="008C623C"/>
    <w:rsid w:val="008C63D0"/>
    <w:rsid w:val="008C656B"/>
    <w:rsid w:val="008C6793"/>
    <w:rsid w:val="008C6855"/>
    <w:rsid w:val="008C6BDA"/>
    <w:rsid w:val="008C6EA1"/>
    <w:rsid w:val="008C6ED2"/>
    <w:rsid w:val="008C6EF9"/>
    <w:rsid w:val="008C704A"/>
    <w:rsid w:val="008C7236"/>
    <w:rsid w:val="008C7298"/>
    <w:rsid w:val="008C79B9"/>
    <w:rsid w:val="008C7B02"/>
    <w:rsid w:val="008C7B1C"/>
    <w:rsid w:val="008C7B36"/>
    <w:rsid w:val="008C7BDD"/>
    <w:rsid w:val="008D05AB"/>
    <w:rsid w:val="008D05C4"/>
    <w:rsid w:val="008D0667"/>
    <w:rsid w:val="008D07B1"/>
    <w:rsid w:val="008D081D"/>
    <w:rsid w:val="008D0832"/>
    <w:rsid w:val="008D0C3B"/>
    <w:rsid w:val="008D11FD"/>
    <w:rsid w:val="008D18B8"/>
    <w:rsid w:val="008D1D91"/>
    <w:rsid w:val="008D1E05"/>
    <w:rsid w:val="008D1EDB"/>
    <w:rsid w:val="008D2115"/>
    <w:rsid w:val="008D2183"/>
    <w:rsid w:val="008D2215"/>
    <w:rsid w:val="008D24B7"/>
    <w:rsid w:val="008D24BA"/>
    <w:rsid w:val="008D24C3"/>
    <w:rsid w:val="008D291A"/>
    <w:rsid w:val="008D2C8A"/>
    <w:rsid w:val="008D2E2B"/>
    <w:rsid w:val="008D2F91"/>
    <w:rsid w:val="008D3142"/>
    <w:rsid w:val="008D326C"/>
    <w:rsid w:val="008D32F7"/>
    <w:rsid w:val="008D33E0"/>
    <w:rsid w:val="008D343F"/>
    <w:rsid w:val="008D34C5"/>
    <w:rsid w:val="008D3A48"/>
    <w:rsid w:val="008D3D38"/>
    <w:rsid w:val="008D3E45"/>
    <w:rsid w:val="008D419A"/>
    <w:rsid w:val="008D4455"/>
    <w:rsid w:val="008D45AC"/>
    <w:rsid w:val="008D47A5"/>
    <w:rsid w:val="008D4937"/>
    <w:rsid w:val="008D4950"/>
    <w:rsid w:val="008D49F9"/>
    <w:rsid w:val="008D4B51"/>
    <w:rsid w:val="008D4B9E"/>
    <w:rsid w:val="008D4C5A"/>
    <w:rsid w:val="008D4FA3"/>
    <w:rsid w:val="008D5021"/>
    <w:rsid w:val="008D5027"/>
    <w:rsid w:val="008D5180"/>
    <w:rsid w:val="008D55F6"/>
    <w:rsid w:val="008D5621"/>
    <w:rsid w:val="008D5794"/>
    <w:rsid w:val="008D59F2"/>
    <w:rsid w:val="008D5E56"/>
    <w:rsid w:val="008D5EC5"/>
    <w:rsid w:val="008D60B3"/>
    <w:rsid w:val="008D60D6"/>
    <w:rsid w:val="008D6418"/>
    <w:rsid w:val="008D66B9"/>
    <w:rsid w:val="008D672C"/>
    <w:rsid w:val="008D6850"/>
    <w:rsid w:val="008D6C3C"/>
    <w:rsid w:val="008D6CBC"/>
    <w:rsid w:val="008D6DD9"/>
    <w:rsid w:val="008D6EE9"/>
    <w:rsid w:val="008D6F94"/>
    <w:rsid w:val="008D7066"/>
    <w:rsid w:val="008D70E6"/>
    <w:rsid w:val="008D7371"/>
    <w:rsid w:val="008D778A"/>
    <w:rsid w:val="008D7872"/>
    <w:rsid w:val="008D798E"/>
    <w:rsid w:val="008D79AA"/>
    <w:rsid w:val="008D7B08"/>
    <w:rsid w:val="008D7E4B"/>
    <w:rsid w:val="008E0554"/>
    <w:rsid w:val="008E05E4"/>
    <w:rsid w:val="008E07E3"/>
    <w:rsid w:val="008E0BD6"/>
    <w:rsid w:val="008E0D9C"/>
    <w:rsid w:val="008E0E12"/>
    <w:rsid w:val="008E0E9F"/>
    <w:rsid w:val="008E0ED8"/>
    <w:rsid w:val="008E1168"/>
    <w:rsid w:val="008E15D3"/>
    <w:rsid w:val="008E191C"/>
    <w:rsid w:val="008E1952"/>
    <w:rsid w:val="008E1A29"/>
    <w:rsid w:val="008E1C4B"/>
    <w:rsid w:val="008E1C66"/>
    <w:rsid w:val="008E1CE4"/>
    <w:rsid w:val="008E1D94"/>
    <w:rsid w:val="008E25E6"/>
    <w:rsid w:val="008E2705"/>
    <w:rsid w:val="008E29E3"/>
    <w:rsid w:val="008E2C5B"/>
    <w:rsid w:val="008E2D99"/>
    <w:rsid w:val="008E2FC7"/>
    <w:rsid w:val="008E33D6"/>
    <w:rsid w:val="008E349F"/>
    <w:rsid w:val="008E36EC"/>
    <w:rsid w:val="008E3848"/>
    <w:rsid w:val="008E3A6A"/>
    <w:rsid w:val="008E3A93"/>
    <w:rsid w:val="008E3AAE"/>
    <w:rsid w:val="008E3BEF"/>
    <w:rsid w:val="008E3E3F"/>
    <w:rsid w:val="008E43BD"/>
    <w:rsid w:val="008E4467"/>
    <w:rsid w:val="008E488D"/>
    <w:rsid w:val="008E4E12"/>
    <w:rsid w:val="008E4E24"/>
    <w:rsid w:val="008E51EF"/>
    <w:rsid w:val="008E5209"/>
    <w:rsid w:val="008E59FB"/>
    <w:rsid w:val="008E5A3F"/>
    <w:rsid w:val="008E5C90"/>
    <w:rsid w:val="008E5CE3"/>
    <w:rsid w:val="008E5D7F"/>
    <w:rsid w:val="008E67BB"/>
    <w:rsid w:val="008E6A3B"/>
    <w:rsid w:val="008E6B63"/>
    <w:rsid w:val="008E6CBA"/>
    <w:rsid w:val="008E6D4D"/>
    <w:rsid w:val="008E6D8F"/>
    <w:rsid w:val="008E6EAB"/>
    <w:rsid w:val="008E710E"/>
    <w:rsid w:val="008E749C"/>
    <w:rsid w:val="008E7BFB"/>
    <w:rsid w:val="008E7D0C"/>
    <w:rsid w:val="008E7DE2"/>
    <w:rsid w:val="008E7F3F"/>
    <w:rsid w:val="008F0169"/>
    <w:rsid w:val="008F03F4"/>
    <w:rsid w:val="008F060C"/>
    <w:rsid w:val="008F0847"/>
    <w:rsid w:val="008F0FF9"/>
    <w:rsid w:val="008F10C0"/>
    <w:rsid w:val="008F1194"/>
    <w:rsid w:val="008F13B1"/>
    <w:rsid w:val="008F1519"/>
    <w:rsid w:val="008F1581"/>
    <w:rsid w:val="008F1870"/>
    <w:rsid w:val="008F1C2E"/>
    <w:rsid w:val="008F1CFC"/>
    <w:rsid w:val="008F1FA3"/>
    <w:rsid w:val="008F2465"/>
    <w:rsid w:val="008F25E2"/>
    <w:rsid w:val="008F25E4"/>
    <w:rsid w:val="008F273A"/>
    <w:rsid w:val="008F29E6"/>
    <w:rsid w:val="008F2F96"/>
    <w:rsid w:val="008F31C4"/>
    <w:rsid w:val="008F3531"/>
    <w:rsid w:val="008F36BF"/>
    <w:rsid w:val="008F3B0E"/>
    <w:rsid w:val="008F3C48"/>
    <w:rsid w:val="008F3CB2"/>
    <w:rsid w:val="008F4727"/>
    <w:rsid w:val="008F4767"/>
    <w:rsid w:val="008F4850"/>
    <w:rsid w:val="008F49A3"/>
    <w:rsid w:val="008F503E"/>
    <w:rsid w:val="008F54D7"/>
    <w:rsid w:val="008F5739"/>
    <w:rsid w:val="008F5799"/>
    <w:rsid w:val="008F5FA6"/>
    <w:rsid w:val="008F6476"/>
    <w:rsid w:val="008F64BD"/>
    <w:rsid w:val="008F64C4"/>
    <w:rsid w:val="008F664F"/>
    <w:rsid w:val="008F674A"/>
    <w:rsid w:val="008F67A3"/>
    <w:rsid w:val="008F683D"/>
    <w:rsid w:val="008F6A0B"/>
    <w:rsid w:val="008F6EB5"/>
    <w:rsid w:val="008F6EDF"/>
    <w:rsid w:val="008F6F1A"/>
    <w:rsid w:val="008F7055"/>
    <w:rsid w:val="008F7278"/>
    <w:rsid w:val="008F7288"/>
    <w:rsid w:val="008F7379"/>
    <w:rsid w:val="008F76BD"/>
    <w:rsid w:val="008F795B"/>
    <w:rsid w:val="008F79F0"/>
    <w:rsid w:val="008F7A9C"/>
    <w:rsid w:val="008F7B1E"/>
    <w:rsid w:val="008F7C0C"/>
    <w:rsid w:val="008F7FB2"/>
    <w:rsid w:val="009000AD"/>
    <w:rsid w:val="00900503"/>
    <w:rsid w:val="00900587"/>
    <w:rsid w:val="009005F9"/>
    <w:rsid w:val="009005FA"/>
    <w:rsid w:val="009009F8"/>
    <w:rsid w:val="009009FA"/>
    <w:rsid w:val="00900CDC"/>
    <w:rsid w:val="00900DA6"/>
    <w:rsid w:val="00900E06"/>
    <w:rsid w:val="00900FC3"/>
    <w:rsid w:val="00901147"/>
    <w:rsid w:val="0090148F"/>
    <w:rsid w:val="00901723"/>
    <w:rsid w:val="00901951"/>
    <w:rsid w:val="00901C4B"/>
    <w:rsid w:val="00901DF3"/>
    <w:rsid w:val="00901E8A"/>
    <w:rsid w:val="00901F21"/>
    <w:rsid w:val="0090224E"/>
    <w:rsid w:val="00902286"/>
    <w:rsid w:val="009023AD"/>
    <w:rsid w:val="00902557"/>
    <w:rsid w:val="009025C4"/>
    <w:rsid w:val="00902A90"/>
    <w:rsid w:val="00902AA1"/>
    <w:rsid w:val="00902AD6"/>
    <w:rsid w:val="00902BA2"/>
    <w:rsid w:val="00902C35"/>
    <w:rsid w:val="00902CF6"/>
    <w:rsid w:val="00903066"/>
    <w:rsid w:val="00903202"/>
    <w:rsid w:val="00903437"/>
    <w:rsid w:val="00903677"/>
    <w:rsid w:val="0090384B"/>
    <w:rsid w:val="009038B8"/>
    <w:rsid w:val="00903C0F"/>
    <w:rsid w:val="00903D04"/>
    <w:rsid w:val="00903D38"/>
    <w:rsid w:val="009042C2"/>
    <w:rsid w:val="0090459E"/>
    <w:rsid w:val="0090479E"/>
    <w:rsid w:val="00904AF9"/>
    <w:rsid w:val="00904BCB"/>
    <w:rsid w:val="00904BFA"/>
    <w:rsid w:val="00904C4D"/>
    <w:rsid w:val="00904E8A"/>
    <w:rsid w:val="00904F17"/>
    <w:rsid w:val="0090534D"/>
    <w:rsid w:val="009053C1"/>
    <w:rsid w:val="00905446"/>
    <w:rsid w:val="00905593"/>
    <w:rsid w:val="00905878"/>
    <w:rsid w:val="00905BFF"/>
    <w:rsid w:val="00905F02"/>
    <w:rsid w:val="00905F9E"/>
    <w:rsid w:val="00906063"/>
    <w:rsid w:val="009062B3"/>
    <w:rsid w:val="00906628"/>
    <w:rsid w:val="0090697D"/>
    <w:rsid w:val="00906CDB"/>
    <w:rsid w:val="00906DFD"/>
    <w:rsid w:val="00907543"/>
    <w:rsid w:val="0090784C"/>
    <w:rsid w:val="00907920"/>
    <w:rsid w:val="00907C29"/>
    <w:rsid w:val="00910871"/>
    <w:rsid w:val="0091094B"/>
    <w:rsid w:val="00910AA3"/>
    <w:rsid w:val="00910C64"/>
    <w:rsid w:val="00910C7C"/>
    <w:rsid w:val="00910EF9"/>
    <w:rsid w:val="009118DE"/>
    <w:rsid w:val="00911A4D"/>
    <w:rsid w:val="00911ABD"/>
    <w:rsid w:val="00911B16"/>
    <w:rsid w:val="00911B96"/>
    <w:rsid w:val="00911DDE"/>
    <w:rsid w:val="00911F46"/>
    <w:rsid w:val="009122CC"/>
    <w:rsid w:val="0091265F"/>
    <w:rsid w:val="0091299A"/>
    <w:rsid w:val="009129F6"/>
    <w:rsid w:val="00912DAA"/>
    <w:rsid w:val="00912F9B"/>
    <w:rsid w:val="0091307D"/>
    <w:rsid w:val="009133C6"/>
    <w:rsid w:val="0091365D"/>
    <w:rsid w:val="00913811"/>
    <w:rsid w:val="00913871"/>
    <w:rsid w:val="0091388E"/>
    <w:rsid w:val="00913D5C"/>
    <w:rsid w:val="00913FA6"/>
    <w:rsid w:val="00914089"/>
    <w:rsid w:val="0091462F"/>
    <w:rsid w:val="00914722"/>
    <w:rsid w:val="00914764"/>
    <w:rsid w:val="009147B7"/>
    <w:rsid w:val="00914830"/>
    <w:rsid w:val="00914CE0"/>
    <w:rsid w:val="00914CEC"/>
    <w:rsid w:val="00914D5C"/>
    <w:rsid w:val="00914E9C"/>
    <w:rsid w:val="00914FBD"/>
    <w:rsid w:val="00915094"/>
    <w:rsid w:val="0091520D"/>
    <w:rsid w:val="0091539C"/>
    <w:rsid w:val="009153A4"/>
    <w:rsid w:val="009159F6"/>
    <w:rsid w:val="00915BBD"/>
    <w:rsid w:val="00915BF9"/>
    <w:rsid w:val="00915D57"/>
    <w:rsid w:val="00915F45"/>
    <w:rsid w:val="009164CF"/>
    <w:rsid w:val="0091693D"/>
    <w:rsid w:val="00916945"/>
    <w:rsid w:val="00916FAC"/>
    <w:rsid w:val="00916FF6"/>
    <w:rsid w:val="00917510"/>
    <w:rsid w:val="009175D3"/>
    <w:rsid w:val="009176E8"/>
    <w:rsid w:val="00917710"/>
    <w:rsid w:val="00917822"/>
    <w:rsid w:val="009179E2"/>
    <w:rsid w:val="00917CDE"/>
    <w:rsid w:val="00917DB5"/>
    <w:rsid w:val="00920320"/>
    <w:rsid w:val="0092058A"/>
    <w:rsid w:val="00920A41"/>
    <w:rsid w:val="00920E24"/>
    <w:rsid w:val="00921060"/>
    <w:rsid w:val="0092113B"/>
    <w:rsid w:val="00921242"/>
    <w:rsid w:val="0092124A"/>
    <w:rsid w:val="009218D5"/>
    <w:rsid w:val="00921B72"/>
    <w:rsid w:val="00922306"/>
    <w:rsid w:val="009224E8"/>
    <w:rsid w:val="00922941"/>
    <w:rsid w:val="0092298C"/>
    <w:rsid w:val="00922A05"/>
    <w:rsid w:val="00922B4E"/>
    <w:rsid w:val="00922D36"/>
    <w:rsid w:val="00922FA2"/>
    <w:rsid w:val="00923035"/>
    <w:rsid w:val="00923292"/>
    <w:rsid w:val="00923579"/>
    <w:rsid w:val="00923618"/>
    <w:rsid w:val="009238C0"/>
    <w:rsid w:val="00923D55"/>
    <w:rsid w:val="00923D74"/>
    <w:rsid w:val="00924339"/>
    <w:rsid w:val="009244DF"/>
    <w:rsid w:val="00924633"/>
    <w:rsid w:val="00924D99"/>
    <w:rsid w:val="00924EC8"/>
    <w:rsid w:val="00924F14"/>
    <w:rsid w:val="00925138"/>
    <w:rsid w:val="0092533B"/>
    <w:rsid w:val="00925987"/>
    <w:rsid w:val="009259FE"/>
    <w:rsid w:val="00925A92"/>
    <w:rsid w:val="00925BAA"/>
    <w:rsid w:val="00925EE3"/>
    <w:rsid w:val="0092619D"/>
    <w:rsid w:val="00926264"/>
    <w:rsid w:val="00926700"/>
    <w:rsid w:val="00926CBF"/>
    <w:rsid w:val="00926D15"/>
    <w:rsid w:val="00926F4F"/>
    <w:rsid w:val="00927118"/>
    <w:rsid w:val="009273BD"/>
    <w:rsid w:val="009273C0"/>
    <w:rsid w:val="00927738"/>
    <w:rsid w:val="0092778F"/>
    <w:rsid w:val="0092796F"/>
    <w:rsid w:val="009279B1"/>
    <w:rsid w:val="00927CC4"/>
    <w:rsid w:val="00927E83"/>
    <w:rsid w:val="00930192"/>
    <w:rsid w:val="0093024C"/>
    <w:rsid w:val="0093027F"/>
    <w:rsid w:val="00930406"/>
    <w:rsid w:val="0093054D"/>
    <w:rsid w:val="00930869"/>
    <w:rsid w:val="009309D9"/>
    <w:rsid w:val="00930A29"/>
    <w:rsid w:val="00930A53"/>
    <w:rsid w:val="00930B23"/>
    <w:rsid w:val="00930BFD"/>
    <w:rsid w:val="00931093"/>
    <w:rsid w:val="009311C6"/>
    <w:rsid w:val="009313A9"/>
    <w:rsid w:val="009313C8"/>
    <w:rsid w:val="009313D2"/>
    <w:rsid w:val="009315C7"/>
    <w:rsid w:val="009317A1"/>
    <w:rsid w:val="009317F7"/>
    <w:rsid w:val="0093181D"/>
    <w:rsid w:val="00931A2A"/>
    <w:rsid w:val="00931B63"/>
    <w:rsid w:val="00931C95"/>
    <w:rsid w:val="00931D95"/>
    <w:rsid w:val="0093207C"/>
    <w:rsid w:val="009327FA"/>
    <w:rsid w:val="009328FC"/>
    <w:rsid w:val="00932DD8"/>
    <w:rsid w:val="00932F05"/>
    <w:rsid w:val="009331CD"/>
    <w:rsid w:val="00933276"/>
    <w:rsid w:val="009336D0"/>
    <w:rsid w:val="00933788"/>
    <w:rsid w:val="0093387B"/>
    <w:rsid w:val="0093397E"/>
    <w:rsid w:val="00933A52"/>
    <w:rsid w:val="00933BE6"/>
    <w:rsid w:val="00933D7D"/>
    <w:rsid w:val="00933F9A"/>
    <w:rsid w:val="00934623"/>
    <w:rsid w:val="009347F0"/>
    <w:rsid w:val="009349E6"/>
    <w:rsid w:val="00934A43"/>
    <w:rsid w:val="00934CA5"/>
    <w:rsid w:val="00934D4F"/>
    <w:rsid w:val="00934DAF"/>
    <w:rsid w:val="00934FA8"/>
    <w:rsid w:val="00934FAB"/>
    <w:rsid w:val="00934FB4"/>
    <w:rsid w:val="009351A2"/>
    <w:rsid w:val="00935487"/>
    <w:rsid w:val="009357ED"/>
    <w:rsid w:val="00935AB1"/>
    <w:rsid w:val="00935C17"/>
    <w:rsid w:val="00935D51"/>
    <w:rsid w:val="00935E4D"/>
    <w:rsid w:val="009360C5"/>
    <w:rsid w:val="00936533"/>
    <w:rsid w:val="0093661C"/>
    <w:rsid w:val="0093666F"/>
    <w:rsid w:val="00936848"/>
    <w:rsid w:val="00936969"/>
    <w:rsid w:val="00936CFC"/>
    <w:rsid w:val="0093743B"/>
    <w:rsid w:val="0093785D"/>
    <w:rsid w:val="00937B22"/>
    <w:rsid w:val="00937B88"/>
    <w:rsid w:val="00937C43"/>
    <w:rsid w:val="00937D0D"/>
    <w:rsid w:val="00940035"/>
    <w:rsid w:val="00940198"/>
    <w:rsid w:val="009401A6"/>
    <w:rsid w:val="00940768"/>
    <w:rsid w:val="00940B2F"/>
    <w:rsid w:val="00940E09"/>
    <w:rsid w:val="00940EB5"/>
    <w:rsid w:val="009414E9"/>
    <w:rsid w:val="00941696"/>
    <w:rsid w:val="0094179E"/>
    <w:rsid w:val="009419E6"/>
    <w:rsid w:val="00941A25"/>
    <w:rsid w:val="00941D55"/>
    <w:rsid w:val="00941D72"/>
    <w:rsid w:val="00941DF7"/>
    <w:rsid w:val="00941F23"/>
    <w:rsid w:val="0094221C"/>
    <w:rsid w:val="009429F1"/>
    <w:rsid w:val="00942A99"/>
    <w:rsid w:val="00942DF9"/>
    <w:rsid w:val="00943225"/>
    <w:rsid w:val="00943339"/>
    <w:rsid w:val="009433A2"/>
    <w:rsid w:val="009433E6"/>
    <w:rsid w:val="00943553"/>
    <w:rsid w:val="00943618"/>
    <w:rsid w:val="00943BA2"/>
    <w:rsid w:val="00943BE4"/>
    <w:rsid w:val="00943F6A"/>
    <w:rsid w:val="00944443"/>
    <w:rsid w:val="00944461"/>
    <w:rsid w:val="00944701"/>
    <w:rsid w:val="009447EF"/>
    <w:rsid w:val="00944B9E"/>
    <w:rsid w:val="00944D4D"/>
    <w:rsid w:val="009455AB"/>
    <w:rsid w:val="0094566E"/>
    <w:rsid w:val="00945C80"/>
    <w:rsid w:val="00945E85"/>
    <w:rsid w:val="00945F6D"/>
    <w:rsid w:val="00946070"/>
    <w:rsid w:val="009461B3"/>
    <w:rsid w:val="009461E6"/>
    <w:rsid w:val="009469B7"/>
    <w:rsid w:val="00946CBA"/>
    <w:rsid w:val="0094701A"/>
    <w:rsid w:val="009470BA"/>
    <w:rsid w:val="009470C8"/>
    <w:rsid w:val="00947305"/>
    <w:rsid w:val="0094742D"/>
    <w:rsid w:val="0094749E"/>
    <w:rsid w:val="0094758D"/>
    <w:rsid w:val="009479F1"/>
    <w:rsid w:val="009500B8"/>
    <w:rsid w:val="0095014A"/>
    <w:rsid w:val="00950410"/>
    <w:rsid w:val="00950556"/>
    <w:rsid w:val="009507DE"/>
    <w:rsid w:val="00950842"/>
    <w:rsid w:val="00950A59"/>
    <w:rsid w:val="00950AF3"/>
    <w:rsid w:val="00950B57"/>
    <w:rsid w:val="00950ED1"/>
    <w:rsid w:val="00950EFF"/>
    <w:rsid w:val="00950F98"/>
    <w:rsid w:val="00951279"/>
    <w:rsid w:val="009512BE"/>
    <w:rsid w:val="009512FF"/>
    <w:rsid w:val="00951512"/>
    <w:rsid w:val="0095153C"/>
    <w:rsid w:val="0095175B"/>
    <w:rsid w:val="009518DD"/>
    <w:rsid w:val="00951C3C"/>
    <w:rsid w:val="00951CEF"/>
    <w:rsid w:val="00951D11"/>
    <w:rsid w:val="00951DB0"/>
    <w:rsid w:val="0095207B"/>
    <w:rsid w:val="0095224F"/>
    <w:rsid w:val="00952658"/>
    <w:rsid w:val="009526CB"/>
    <w:rsid w:val="00952808"/>
    <w:rsid w:val="00952ECD"/>
    <w:rsid w:val="00952F70"/>
    <w:rsid w:val="00952FBD"/>
    <w:rsid w:val="00953026"/>
    <w:rsid w:val="009530B0"/>
    <w:rsid w:val="0095335C"/>
    <w:rsid w:val="00953949"/>
    <w:rsid w:val="009539A5"/>
    <w:rsid w:val="00953A7C"/>
    <w:rsid w:val="00953D7F"/>
    <w:rsid w:val="00953EC2"/>
    <w:rsid w:val="00953F22"/>
    <w:rsid w:val="00954245"/>
    <w:rsid w:val="00954358"/>
    <w:rsid w:val="00954451"/>
    <w:rsid w:val="0095485A"/>
    <w:rsid w:val="00954AA1"/>
    <w:rsid w:val="00954B67"/>
    <w:rsid w:val="00954DA7"/>
    <w:rsid w:val="00954E4E"/>
    <w:rsid w:val="00954FBA"/>
    <w:rsid w:val="00955207"/>
    <w:rsid w:val="0095529D"/>
    <w:rsid w:val="00955586"/>
    <w:rsid w:val="009555B8"/>
    <w:rsid w:val="0095578B"/>
    <w:rsid w:val="009558F5"/>
    <w:rsid w:val="00955957"/>
    <w:rsid w:val="009559F4"/>
    <w:rsid w:val="00955D43"/>
    <w:rsid w:val="00955E74"/>
    <w:rsid w:val="00955FAF"/>
    <w:rsid w:val="00956002"/>
    <w:rsid w:val="0095675D"/>
    <w:rsid w:val="009568B4"/>
    <w:rsid w:val="00956A62"/>
    <w:rsid w:val="00956AA4"/>
    <w:rsid w:val="00956E74"/>
    <w:rsid w:val="00957152"/>
    <w:rsid w:val="009571A6"/>
    <w:rsid w:val="009571AC"/>
    <w:rsid w:val="009571CC"/>
    <w:rsid w:val="009573B1"/>
    <w:rsid w:val="009574BD"/>
    <w:rsid w:val="009575B4"/>
    <w:rsid w:val="0095760C"/>
    <w:rsid w:val="009576AA"/>
    <w:rsid w:val="009576D3"/>
    <w:rsid w:val="00957C79"/>
    <w:rsid w:val="0096008C"/>
    <w:rsid w:val="00960097"/>
    <w:rsid w:val="009600E6"/>
    <w:rsid w:val="0096017D"/>
    <w:rsid w:val="0096024D"/>
    <w:rsid w:val="009605A0"/>
    <w:rsid w:val="009605EC"/>
    <w:rsid w:val="00960643"/>
    <w:rsid w:val="0096064B"/>
    <w:rsid w:val="00960791"/>
    <w:rsid w:val="009608DA"/>
    <w:rsid w:val="00960B2F"/>
    <w:rsid w:val="00960C3A"/>
    <w:rsid w:val="00960D28"/>
    <w:rsid w:val="00960DC1"/>
    <w:rsid w:val="00960DE4"/>
    <w:rsid w:val="009611FC"/>
    <w:rsid w:val="00961733"/>
    <w:rsid w:val="00961EB8"/>
    <w:rsid w:val="009622FB"/>
    <w:rsid w:val="00962348"/>
    <w:rsid w:val="00962907"/>
    <w:rsid w:val="00962BF7"/>
    <w:rsid w:val="00962C63"/>
    <w:rsid w:val="00962CDB"/>
    <w:rsid w:val="00962D60"/>
    <w:rsid w:val="00962EF3"/>
    <w:rsid w:val="00962FA4"/>
    <w:rsid w:val="009630DD"/>
    <w:rsid w:val="009632EA"/>
    <w:rsid w:val="00963430"/>
    <w:rsid w:val="00963568"/>
    <w:rsid w:val="0096366E"/>
    <w:rsid w:val="009636CF"/>
    <w:rsid w:val="00963913"/>
    <w:rsid w:val="00963C1C"/>
    <w:rsid w:val="00963DC8"/>
    <w:rsid w:val="00963EEA"/>
    <w:rsid w:val="00964100"/>
    <w:rsid w:val="00964112"/>
    <w:rsid w:val="009644F2"/>
    <w:rsid w:val="00964683"/>
    <w:rsid w:val="00964940"/>
    <w:rsid w:val="00964960"/>
    <w:rsid w:val="00964DB1"/>
    <w:rsid w:val="00964F2D"/>
    <w:rsid w:val="0096526E"/>
    <w:rsid w:val="009652A4"/>
    <w:rsid w:val="009655F7"/>
    <w:rsid w:val="0096561B"/>
    <w:rsid w:val="0096585D"/>
    <w:rsid w:val="00965BAE"/>
    <w:rsid w:val="00965D2E"/>
    <w:rsid w:val="00965D3D"/>
    <w:rsid w:val="00965FEC"/>
    <w:rsid w:val="00966094"/>
    <w:rsid w:val="00966438"/>
    <w:rsid w:val="0096666D"/>
    <w:rsid w:val="00966693"/>
    <w:rsid w:val="00966844"/>
    <w:rsid w:val="00966BF0"/>
    <w:rsid w:val="00966CD6"/>
    <w:rsid w:val="0096704D"/>
    <w:rsid w:val="00967182"/>
    <w:rsid w:val="00967238"/>
    <w:rsid w:val="00967241"/>
    <w:rsid w:val="009674D8"/>
    <w:rsid w:val="00967569"/>
    <w:rsid w:val="0096771E"/>
    <w:rsid w:val="0096774D"/>
    <w:rsid w:val="009677D0"/>
    <w:rsid w:val="0096790E"/>
    <w:rsid w:val="00967E82"/>
    <w:rsid w:val="00967F4B"/>
    <w:rsid w:val="00970336"/>
    <w:rsid w:val="009704B0"/>
    <w:rsid w:val="0097053D"/>
    <w:rsid w:val="00970781"/>
    <w:rsid w:val="0097117E"/>
    <w:rsid w:val="0097189C"/>
    <w:rsid w:val="009718B1"/>
    <w:rsid w:val="009718E6"/>
    <w:rsid w:val="00971A73"/>
    <w:rsid w:val="00971CD5"/>
    <w:rsid w:val="00972019"/>
    <w:rsid w:val="00972036"/>
    <w:rsid w:val="009721EB"/>
    <w:rsid w:val="00972432"/>
    <w:rsid w:val="009728C2"/>
    <w:rsid w:val="00972A64"/>
    <w:rsid w:val="00972A94"/>
    <w:rsid w:val="00972B7E"/>
    <w:rsid w:val="00972CBC"/>
    <w:rsid w:val="00972E1C"/>
    <w:rsid w:val="00972EB7"/>
    <w:rsid w:val="00973068"/>
    <w:rsid w:val="00973075"/>
    <w:rsid w:val="00973154"/>
    <w:rsid w:val="009734DF"/>
    <w:rsid w:val="009734F0"/>
    <w:rsid w:val="009737F3"/>
    <w:rsid w:val="00973D7B"/>
    <w:rsid w:val="0097415D"/>
    <w:rsid w:val="009742FE"/>
    <w:rsid w:val="009744E9"/>
    <w:rsid w:val="009746BF"/>
    <w:rsid w:val="009749D5"/>
    <w:rsid w:val="00974E58"/>
    <w:rsid w:val="0097504F"/>
    <w:rsid w:val="0097514E"/>
    <w:rsid w:val="0097575B"/>
    <w:rsid w:val="00975932"/>
    <w:rsid w:val="00975B2C"/>
    <w:rsid w:val="00975D30"/>
    <w:rsid w:val="00975DAC"/>
    <w:rsid w:val="0097641F"/>
    <w:rsid w:val="009765BA"/>
    <w:rsid w:val="00976C71"/>
    <w:rsid w:val="00976D6C"/>
    <w:rsid w:val="00976E11"/>
    <w:rsid w:val="00977481"/>
    <w:rsid w:val="00977512"/>
    <w:rsid w:val="00977599"/>
    <w:rsid w:val="00977BC2"/>
    <w:rsid w:val="00977E96"/>
    <w:rsid w:val="00980129"/>
    <w:rsid w:val="009802A5"/>
    <w:rsid w:val="009802AC"/>
    <w:rsid w:val="0098055F"/>
    <w:rsid w:val="009805C9"/>
    <w:rsid w:val="009805F3"/>
    <w:rsid w:val="00980709"/>
    <w:rsid w:val="009807A4"/>
    <w:rsid w:val="00980A22"/>
    <w:rsid w:val="00980CFB"/>
    <w:rsid w:val="0098107D"/>
    <w:rsid w:val="0098126F"/>
    <w:rsid w:val="009812F0"/>
    <w:rsid w:val="00981390"/>
    <w:rsid w:val="009813CA"/>
    <w:rsid w:val="00981486"/>
    <w:rsid w:val="009817B6"/>
    <w:rsid w:val="00981A9D"/>
    <w:rsid w:val="00981B05"/>
    <w:rsid w:val="00981D41"/>
    <w:rsid w:val="00982B06"/>
    <w:rsid w:val="00982CC5"/>
    <w:rsid w:val="00982CF3"/>
    <w:rsid w:val="00982DAA"/>
    <w:rsid w:val="00982DE2"/>
    <w:rsid w:val="00982F4B"/>
    <w:rsid w:val="009830AD"/>
    <w:rsid w:val="00983952"/>
    <w:rsid w:val="009839A9"/>
    <w:rsid w:val="00983E00"/>
    <w:rsid w:val="00983F19"/>
    <w:rsid w:val="00984051"/>
    <w:rsid w:val="009840AA"/>
    <w:rsid w:val="009844E6"/>
    <w:rsid w:val="009845E6"/>
    <w:rsid w:val="009846ED"/>
    <w:rsid w:val="0098487C"/>
    <w:rsid w:val="00984BF7"/>
    <w:rsid w:val="00985528"/>
    <w:rsid w:val="00985777"/>
    <w:rsid w:val="009857FB"/>
    <w:rsid w:val="00985A2D"/>
    <w:rsid w:val="00985CC9"/>
    <w:rsid w:val="00986AB3"/>
    <w:rsid w:val="00986EA6"/>
    <w:rsid w:val="00987064"/>
    <w:rsid w:val="00987223"/>
    <w:rsid w:val="0098760D"/>
    <w:rsid w:val="0098761E"/>
    <w:rsid w:val="00987853"/>
    <w:rsid w:val="00987AD4"/>
    <w:rsid w:val="00987C40"/>
    <w:rsid w:val="00987F15"/>
    <w:rsid w:val="00990181"/>
    <w:rsid w:val="0099056B"/>
    <w:rsid w:val="009905AF"/>
    <w:rsid w:val="0099083B"/>
    <w:rsid w:val="0099086D"/>
    <w:rsid w:val="0099093D"/>
    <w:rsid w:val="009909C7"/>
    <w:rsid w:val="00990C3B"/>
    <w:rsid w:val="00990CFF"/>
    <w:rsid w:val="00990F90"/>
    <w:rsid w:val="00991137"/>
    <w:rsid w:val="00991270"/>
    <w:rsid w:val="009913A0"/>
    <w:rsid w:val="009914D1"/>
    <w:rsid w:val="0099151E"/>
    <w:rsid w:val="00991537"/>
    <w:rsid w:val="00991574"/>
    <w:rsid w:val="0099174C"/>
    <w:rsid w:val="00991B32"/>
    <w:rsid w:val="00991B87"/>
    <w:rsid w:val="009920AC"/>
    <w:rsid w:val="009920D4"/>
    <w:rsid w:val="00992255"/>
    <w:rsid w:val="00992792"/>
    <w:rsid w:val="00992A99"/>
    <w:rsid w:val="00992B55"/>
    <w:rsid w:val="00992C85"/>
    <w:rsid w:val="00992DA8"/>
    <w:rsid w:val="00992FB0"/>
    <w:rsid w:val="009932D5"/>
    <w:rsid w:val="0099347A"/>
    <w:rsid w:val="00993A17"/>
    <w:rsid w:val="00993A1C"/>
    <w:rsid w:val="00993B0E"/>
    <w:rsid w:val="00993FD7"/>
    <w:rsid w:val="0099400E"/>
    <w:rsid w:val="009941FC"/>
    <w:rsid w:val="009942E8"/>
    <w:rsid w:val="0099432F"/>
    <w:rsid w:val="009945CA"/>
    <w:rsid w:val="0099474C"/>
    <w:rsid w:val="00994779"/>
    <w:rsid w:val="00994969"/>
    <w:rsid w:val="00994D57"/>
    <w:rsid w:val="00994EB4"/>
    <w:rsid w:val="0099506A"/>
    <w:rsid w:val="009952EB"/>
    <w:rsid w:val="0099538C"/>
    <w:rsid w:val="00995690"/>
    <w:rsid w:val="0099576E"/>
    <w:rsid w:val="00995998"/>
    <w:rsid w:val="009959B3"/>
    <w:rsid w:val="009959BB"/>
    <w:rsid w:val="009959E7"/>
    <w:rsid w:val="00995ADB"/>
    <w:rsid w:val="00995B61"/>
    <w:rsid w:val="00995BA4"/>
    <w:rsid w:val="00995D43"/>
    <w:rsid w:val="00996151"/>
    <w:rsid w:val="00996163"/>
    <w:rsid w:val="00996180"/>
    <w:rsid w:val="009964E7"/>
    <w:rsid w:val="009966CE"/>
    <w:rsid w:val="00996732"/>
    <w:rsid w:val="00996A49"/>
    <w:rsid w:val="00996B46"/>
    <w:rsid w:val="00997025"/>
    <w:rsid w:val="0099705C"/>
    <w:rsid w:val="00997222"/>
    <w:rsid w:val="00997344"/>
    <w:rsid w:val="00997363"/>
    <w:rsid w:val="0099758B"/>
    <w:rsid w:val="00997652"/>
    <w:rsid w:val="00997854"/>
    <w:rsid w:val="0099786F"/>
    <w:rsid w:val="00997B9D"/>
    <w:rsid w:val="00997F9C"/>
    <w:rsid w:val="009A0209"/>
    <w:rsid w:val="009A0780"/>
    <w:rsid w:val="009A0FDF"/>
    <w:rsid w:val="009A10B5"/>
    <w:rsid w:val="009A1551"/>
    <w:rsid w:val="009A174A"/>
    <w:rsid w:val="009A17A0"/>
    <w:rsid w:val="009A180F"/>
    <w:rsid w:val="009A1A80"/>
    <w:rsid w:val="009A1D6A"/>
    <w:rsid w:val="009A1E04"/>
    <w:rsid w:val="009A1E55"/>
    <w:rsid w:val="009A20E2"/>
    <w:rsid w:val="009A20E5"/>
    <w:rsid w:val="009A24FC"/>
    <w:rsid w:val="009A2635"/>
    <w:rsid w:val="009A273A"/>
    <w:rsid w:val="009A2746"/>
    <w:rsid w:val="009A27EE"/>
    <w:rsid w:val="009A2836"/>
    <w:rsid w:val="009A293D"/>
    <w:rsid w:val="009A2BB7"/>
    <w:rsid w:val="009A2D35"/>
    <w:rsid w:val="009A2E7B"/>
    <w:rsid w:val="009A320D"/>
    <w:rsid w:val="009A3417"/>
    <w:rsid w:val="009A3620"/>
    <w:rsid w:val="009A3711"/>
    <w:rsid w:val="009A397D"/>
    <w:rsid w:val="009A3D11"/>
    <w:rsid w:val="009A3D39"/>
    <w:rsid w:val="009A3DFC"/>
    <w:rsid w:val="009A3E70"/>
    <w:rsid w:val="009A3FDC"/>
    <w:rsid w:val="009A42F6"/>
    <w:rsid w:val="009A4446"/>
    <w:rsid w:val="009A49E5"/>
    <w:rsid w:val="009A4B47"/>
    <w:rsid w:val="009A4C22"/>
    <w:rsid w:val="009A533B"/>
    <w:rsid w:val="009A591E"/>
    <w:rsid w:val="009A5B42"/>
    <w:rsid w:val="009A5B5D"/>
    <w:rsid w:val="009A5DB6"/>
    <w:rsid w:val="009A621A"/>
    <w:rsid w:val="009A623A"/>
    <w:rsid w:val="009A63C7"/>
    <w:rsid w:val="009A6508"/>
    <w:rsid w:val="009A65CD"/>
    <w:rsid w:val="009A69BD"/>
    <w:rsid w:val="009A6B92"/>
    <w:rsid w:val="009A6ED9"/>
    <w:rsid w:val="009A6F5F"/>
    <w:rsid w:val="009A70C2"/>
    <w:rsid w:val="009A72AA"/>
    <w:rsid w:val="009A7356"/>
    <w:rsid w:val="009A7525"/>
    <w:rsid w:val="009A7969"/>
    <w:rsid w:val="009A7BBA"/>
    <w:rsid w:val="009A7D96"/>
    <w:rsid w:val="009A7E48"/>
    <w:rsid w:val="009B02F7"/>
    <w:rsid w:val="009B0A45"/>
    <w:rsid w:val="009B0D80"/>
    <w:rsid w:val="009B1247"/>
    <w:rsid w:val="009B1283"/>
    <w:rsid w:val="009B1389"/>
    <w:rsid w:val="009B13C2"/>
    <w:rsid w:val="009B13FD"/>
    <w:rsid w:val="009B196B"/>
    <w:rsid w:val="009B1A30"/>
    <w:rsid w:val="009B1E2D"/>
    <w:rsid w:val="009B20B7"/>
    <w:rsid w:val="009B22D1"/>
    <w:rsid w:val="009B2605"/>
    <w:rsid w:val="009B2834"/>
    <w:rsid w:val="009B2AE7"/>
    <w:rsid w:val="009B2AFF"/>
    <w:rsid w:val="009B32F5"/>
    <w:rsid w:val="009B3319"/>
    <w:rsid w:val="009B3394"/>
    <w:rsid w:val="009B3478"/>
    <w:rsid w:val="009B359C"/>
    <w:rsid w:val="009B35FC"/>
    <w:rsid w:val="009B37BB"/>
    <w:rsid w:val="009B3854"/>
    <w:rsid w:val="009B387D"/>
    <w:rsid w:val="009B3883"/>
    <w:rsid w:val="009B392B"/>
    <w:rsid w:val="009B3A98"/>
    <w:rsid w:val="009B3B02"/>
    <w:rsid w:val="009B3C82"/>
    <w:rsid w:val="009B3EFC"/>
    <w:rsid w:val="009B3F99"/>
    <w:rsid w:val="009B42FD"/>
    <w:rsid w:val="009B4755"/>
    <w:rsid w:val="009B498F"/>
    <w:rsid w:val="009B4B17"/>
    <w:rsid w:val="009B4B45"/>
    <w:rsid w:val="009B4E82"/>
    <w:rsid w:val="009B532B"/>
    <w:rsid w:val="009B5393"/>
    <w:rsid w:val="009B5430"/>
    <w:rsid w:val="009B561B"/>
    <w:rsid w:val="009B588B"/>
    <w:rsid w:val="009B5A03"/>
    <w:rsid w:val="009B5CE9"/>
    <w:rsid w:val="009B5F0E"/>
    <w:rsid w:val="009B5F41"/>
    <w:rsid w:val="009B5FD8"/>
    <w:rsid w:val="009B6000"/>
    <w:rsid w:val="009B64C8"/>
    <w:rsid w:val="009B6812"/>
    <w:rsid w:val="009B6B20"/>
    <w:rsid w:val="009B6B6D"/>
    <w:rsid w:val="009B6D39"/>
    <w:rsid w:val="009B6DEA"/>
    <w:rsid w:val="009B6E37"/>
    <w:rsid w:val="009B6EFC"/>
    <w:rsid w:val="009B71A5"/>
    <w:rsid w:val="009B7560"/>
    <w:rsid w:val="009B77B3"/>
    <w:rsid w:val="009B77E9"/>
    <w:rsid w:val="009B7D26"/>
    <w:rsid w:val="009B7DB0"/>
    <w:rsid w:val="009B7E22"/>
    <w:rsid w:val="009B7F3F"/>
    <w:rsid w:val="009C0044"/>
    <w:rsid w:val="009C01B3"/>
    <w:rsid w:val="009C036B"/>
    <w:rsid w:val="009C0B69"/>
    <w:rsid w:val="009C0F00"/>
    <w:rsid w:val="009C1309"/>
    <w:rsid w:val="009C143D"/>
    <w:rsid w:val="009C146B"/>
    <w:rsid w:val="009C17C8"/>
    <w:rsid w:val="009C17E0"/>
    <w:rsid w:val="009C1AB7"/>
    <w:rsid w:val="009C2558"/>
    <w:rsid w:val="009C2726"/>
    <w:rsid w:val="009C2C03"/>
    <w:rsid w:val="009C2CF7"/>
    <w:rsid w:val="009C32A5"/>
    <w:rsid w:val="009C35C5"/>
    <w:rsid w:val="009C35EA"/>
    <w:rsid w:val="009C3674"/>
    <w:rsid w:val="009C3A56"/>
    <w:rsid w:val="009C3D50"/>
    <w:rsid w:val="009C3E19"/>
    <w:rsid w:val="009C4254"/>
    <w:rsid w:val="009C442E"/>
    <w:rsid w:val="009C44EF"/>
    <w:rsid w:val="009C4512"/>
    <w:rsid w:val="009C4547"/>
    <w:rsid w:val="009C4684"/>
    <w:rsid w:val="009C4723"/>
    <w:rsid w:val="009C4AF9"/>
    <w:rsid w:val="009C4BF2"/>
    <w:rsid w:val="009C5050"/>
    <w:rsid w:val="009C532F"/>
    <w:rsid w:val="009C57AD"/>
    <w:rsid w:val="009C58B6"/>
    <w:rsid w:val="009C5960"/>
    <w:rsid w:val="009C5CA3"/>
    <w:rsid w:val="009C5CBF"/>
    <w:rsid w:val="009C5DC9"/>
    <w:rsid w:val="009C5E61"/>
    <w:rsid w:val="009C5EFA"/>
    <w:rsid w:val="009C5F52"/>
    <w:rsid w:val="009C61B8"/>
    <w:rsid w:val="009C6544"/>
    <w:rsid w:val="009C668F"/>
    <w:rsid w:val="009C67DE"/>
    <w:rsid w:val="009C685D"/>
    <w:rsid w:val="009C68E7"/>
    <w:rsid w:val="009C6BA6"/>
    <w:rsid w:val="009C6BDE"/>
    <w:rsid w:val="009C733D"/>
    <w:rsid w:val="009C780F"/>
    <w:rsid w:val="009C7A5A"/>
    <w:rsid w:val="009C7C31"/>
    <w:rsid w:val="009C7D59"/>
    <w:rsid w:val="009C7E11"/>
    <w:rsid w:val="009C7F89"/>
    <w:rsid w:val="009C7FE8"/>
    <w:rsid w:val="009D02BC"/>
    <w:rsid w:val="009D0342"/>
    <w:rsid w:val="009D0740"/>
    <w:rsid w:val="009D087D"/>
    <w:rsid w:val="009D0993"/>
    <w:rsid w:val="009D13AA"/>
    <w:rsid w:val="009D160B"/>
    <w:rsid w:val="009D1615"/>
    <w:rsid w:val="009D17DA"/>
    <w:rsid w:val="009D18CC"/>
    <w:rsid w:val="009D18ED"/>
    <w:rsid w:val="009D19B2"/>
    <w:rsid w:val="009D19CF"/>
    <w:rsid w:val="009D1A35"/>
    <w:rsid w:val="009D1BE1"/>
    <w:rsid w:val="009D1D58"/>
    <w:rsid w:val="009D1EEF"/>
    <w:rsid w:val="009D20AB"/>
    <w:rsid w:val="009D2563"/>
    <w:rsid w:val="009D2757"/>
    <w:rsid w:val="009D2A4C"/>
    <w:rsid w:val="009D2ACD"/>
    <w:rsid w:val="009D2CDC"/>
    <w:rsid w:val="009D2D2E"/>
    <w:rsid w:val="009D2D65"/>
    <w:rsid w:val="009D2F15"/>
    <w:rsid w:val="009D3044"/>
    <w:rsid w:val="009D328B"/>
    <w:rsid w:val="009D3468"/>
    <w:rsid w:val="009D3844"/>
    <w:rsid w:val="009D3962"/>
    <w:rsid w:val="009D3CE3"/>
    <w:rsid w:val="009D3E45"/>
    <w:rsid w:val="009D3EE1"/>
    <w:rsid w:val="009D3F32"/>
    <w:rsid w:val="009D3FED"/>
    <w:rsid w:val="009D401F"/>
    <w:rsid w:val="009D41CC"/>
    <w:rsid w:val="009D43DA"/>
    <w:rsid w:val="009D4E50"/>
    <w:rsid w:val="009D52AA"/>
    <w:rsid w:val="009D52F0"/>
    <w:rsid w:val="009D56E4"/>
    <w:rsid w:val="009D58C1"/>
    <w:rsid w:val="009D5AA7"/>
    <w:rsid w:val="009D5F7D"/>
    <w:rsid w:val="009D6092"/>
    <w:rsid w:val="009D60F4"/>
    <w:rsid w:val="009D65D3"/>
    <w:rsid w:val="009D6833"/>
    <w:rsid w:val="009D6B6B"/>
    <w:rsid w:val="009D6D71"/>
    <w:rsid w:val="009D6E62"/>
    <w:rsid w:val="009D7146"/>
    <w:rsid w:val="009D73A3"/>
    <w:rsid w:val="009D7451"/>
    <w:rsid w:val="009D74CA"/>
    <w:rsid w:val="009D7539"/>
    <w:rsid w:val="009D75B9"/>
    <w:rsid w:val="009D75CF"/>
    <w:rsid w:val="009D75E7"/>
    <w:rsid w:val="009D7633"/>
    <w:rsid w:val="009D7703"/>
    <w:rsid w:val="009D775F"/>
    <w:rsid w:val="009D7778"/>
    <w:rsid w:val="009D7A46"/>
    <w:rsid w:val="009D7E49"/>
    <w:rsid w:val="009D7E8A"/>
    <w:rsid w:val="009E002A"/>
    <w:rsid w:val="009E02CC"/>
    <w:rsid w:val="009E0757"/>
    <w:rsid w:val="009E07BE"/>
    <w:rsid w:val="009E0CB6"/>
    <w:rsid w:val="009E0D14"/>
    <w:rsid w:val="009E0D60"/>
    <w:rsid w:val="009E0DB3"/>
    <w:rsid w:val="009E0EFC"/>
    <w:rsid w:val="009E1A19"/>
    <w:rsid w:val="009E1B45"/>
    <w:rsid w:val="009E21A2"/>
    <w:rsid w:val="009E223C"/>
    <w:rsid w:val="009E228E"/>
    <w:rsid w:val="009E23F6"/>
    <w:rsid w:val="009E251D"/>
    <w:rsid w:val="009E276C"/>
    <w:rsid w:val="009E288A"/>
    <w:rsid w:val="009E290D"/>
    <w:rsid w:val="009E2988"/>
    <w:rsid w:val="009E2A68"/>
    <w:rsid w:val="009E2C36"/>
    <w:rsid w:val="009E2DF8"/>
    <w:rsid w:val="009E2F4A"/>
    <w:rsid w:val="009E2FB3"/>
    <w:rsid w:val="009E354F"/>
    <w:rsid w:val="009E369C"/>
    <w:rsid w:val="009E374F"/>
    <w:rsid w:val="009E3790"/>
    <w:rsid w:val="009E3A5D"/>
    <w:rsid w:val="009E3E67"/>
    <w:rsid w:val="009E48D6"/>
    <w:rsid w:val="009E4AE7"/>
    <w:rsid w:val="009E4D20"/>
    <w:rsid w:val="009E4D42"/>
    <w:rsid w:val="009E4DFA"/>
    <w:rsid w:val="009E4E5E"/>
    <w:rsid w:val="009E4EDF"/>
    <w:rsid w:val="009E4F69"/>
    <w:rsid w:val="009E50CB"/>
    <w:rsid w:val="009E51CE"/>
    <w:rsid w:val="009E54F8"/>
    <w:rsid w:val="009E5A07"/>
    <w:rsid w:val="009E5C77"/>
    <w:rsid w:val="009E5D82"/>
    <w:rsid w:val="009E62EB"/>
    <w:rsid w:val="009E6352"/>
    <w:rsid w:val="009E6C79"/>
    <w:rsid w:val="009E6F46"/>
    <w:rsid w:val="009E734D"/>
    <w:rsid w:val="009E76DD"/>
    <w:rsid w:val="009E7940"/>
    <w:rsid w:val="009E7D96"/>
    <w:rsid w:val="009F010A"/>
    <w:rsid w:val="009F017E"/>
    <w:rsid w:val="009F04AF"/>
    <w:rsid w:val="009F063A"/>
    <w:rsid w:val="009F0667"/>
    <w:rsid w:val="009F07F7"/>
    <w:rsid w:val="009F089A"/>
    <w:rsid w:val="009F08BA"/>
    <w:rsid w:val="009F0DE9"/>
    <w:rsid w:val="009F0EAA"/>
    <w:rsid w:val="009F1080"/>
    <w:rsid w:val="009F10E2"/>
    <w:rsid w:val="009F185F"/>
    <w:rsid w:val="009F18FA"/>
    <w:rsid w:val="009F1B44"/>
    <w:rsid w:val="009F1F6D"/>
    <w:rsid w:val="009F2170"/>
    <w:rsid w:val="009F22A7"/>
    <w:rsid w:val="009F246E"/>
    <w:rsid w:val="009F2824"/>
    <w:rsid w:val="009F28EA"/>
    <w:rsid w:val="009F2ADE"/>
    <w:rsid w:val="009F2E10"/>
    <w:rsid w:val="009F2FFF"/>
    <w:rsid w:val="009F3144"/>
    <w:rsid w:val="009F3154"/>
    <w:rsid w:val="009F355A"/>
    <w:rsid w:val="009F37C8"/>
    <w:rsid w:val="009F3860"/>
    <w:rsid w:val="009F38A2"/>
    <w:rsid w:val="009F38D6"/>
    <w:rsid w:val="009F398F"/>
    <w:rsid w:val="009F3C1C"/>
    <w:rsid w:val="009F3D4C"/>
    <w:rsid w:val="009F3D60"/>
    <w:rsid w:val="009F3F52"/>
    <w:rsid w:val="009F3FAF"/>
    <w:rsid w:val="009F42AB"/>
    <w:rsid w:val="009F43BE"/>
    <w:rsid w:val="009F44BC"/>
    <w:rsid w:val="009F469C"/>
    <w:rsid w:val="009F4712"/>
    <w:rsid w:val="009F4799"/>
    <w:rsid w:val="009F492A"/>
    <w:rsid w:val="009F4C87"/>
    <w:rsid w:val="009F4DEE"/>
    <w:rsid w:val="009F53A6"/>
    <w:rsid w:val="009F56EF"/>
    <w:rsid w:val="009F5A9B"/>
    <w:rsid w:val="009F5AAA"/>
    <w:rsid w:val="009F5B4A"/>
    <w:rsid w:val="009F5D04"/>
    <w:rsid w:val="009F5DEB"/>
    <w:rsid w:val="009F5FA5"/>
    <w:rsid w:val="009F607F"/>
    <w:rsid w:val="009F6344"/>
    <w:rsid w:val="009F637A"/>
    <w:rsid w:val="009F69A6"/>
    <w:rsid w:val="009F6F51"/>
    <w:rsid w:val="009F7297"/>
    <w:rsid w:val="009F74CE"/>
    <w:rsid w:val="009F78CB"/>
    <w:rsid w:val="009F78F6"/>
    <w:rsid w:val="009F7939"/>
    <w:rsid w:val="009F79DC"/>
    <w:rsid w:val="009F7E48"/>
    <w:rsid w:val="00A0013D"/>
    <w:rsid w:val="00A00432"/>
    <w:rsid w:val="00A00752"/>
    <w:rsid w:val="00A00939"/>
    <w:rsid w:val="00A00A06"/>
    <w:rsid w:val="00A00B82"/>
    <w:rsid w:val="00A00CD6"/>
    <w:rsid w:val="00A00E48"/>
    <w:rsid w:val="00A01659"/>
    <w:rsid w:val="00A0171C"/>
    <w:rsid w:val="00A017E6"/>
    <w:rsid w:val="00A01B8D"/>
    <w:rsid w:val="00A01B8E"/>
    <w:rsid w:val="00A01BB9"/>
    <w:rsid w:val="00A01D44"/>
    <w:rsid w:val="00A021BD"/>
    <w:rsid w:val="00A02203"/>
    <w:rsid w:val="00A0276E"/>
    <w:rsid w:val="00A0287C"/>
    <w:rsid w:val="00A02F52"/>
    <w:rsid w:val="00A0309C"/>
    <w:rsid w:val="00A030EA"/>
    <w:rsid w:val="00A031AC"/>
    <w:rsid w:val="00A03476"/>
    <w:rsid w:val="00A034D2"/>
    <w:rsid w:val="00A037D2"/>
    <w:rsid w:val="00A03BED"/>
    <w:rsid w:val="00A03E37"/>
    <w:rsid w:val="00A03EE5"/>
    <w:rsid w:val="00A0406F"/>
    <w:rsid w:val="00A04257"/>
    <w:rsid w:val="00A0477E"/>
    <w:rsid w:val="00A048F0"/>
    <w:rsid w:val="00A0495C"/>
    <w:rsid w:val="00A04D4C"/>
    <w:rsid w:val="00A04F8C"/>
    <w:rsid w:val="00A05154"/>
    <w:rsid w:val="00A053DB"/>
    <w:rsid w:val="00A05543"/>
    <w:rsid w:val="00A056BB"/>
    <w:rsid w:val="00A05821"/>
    <w:rsid w:val="00A058E0"/>
    <w:rsid w:val="00A0599B"/>
    <w:rsid w:val="00A064ED"/>
    <w:rsid w:val="00A066D8"/>
    <w:rsid w:val="00A068A0"/>
    <w:rsid w:val="00A06A5E"/>
    <w:rsid w:val="00A06CE1"/>
    <w:rsid w:val="00A06D18"/>
    <w:rsid w:val="00A06DCA"/>
    <w:rsid w:val="00A06F45"/>
    <w:rsid w:val="00A071FE"/>
    <w:rsid w:val="00A074AA"/>
    <w:rsid w:val="00A0757A"/>
    <w:rsid w:val="00A07721"/>
    <w:rsid w:val="00A07B60"/>
    <w:rsid w:val="00A07CA6"/>
    <w:rsid w:val="00A07E25"/>
    <w:rsid w:val="00A100C0"/>
    <w:rsid w:val="00A1020D"/>
    <w:rsid w:val="00A1059C"/>
    <w:rsid w:val="00A10626"/>
    <w:rsid w:val="00A10702"/>
    <w:rsid w:val="00A10827"/>
    <w:rsid w:val="00A108F3"/>
    <w:rsid w:val="00A109F2"/>
    <w:rsid w:val="00A10F72"/>
    <w:rsid w:val="00A10FB2"/>
    <w:rsid w:val="00A1128B"/>
    <w:rsid w:val="00A115E6"/>
    <w:rsid w:val="00A116C2"/>
    <w:rsid w:val="00A116CD"/>
    <w:rsid w:val="00A11924"/>
    <w:rsid w:val="00A11A40"/>
    <w:rsid w:val="00A11BA0"/>
    <w:rsid w:val="00A11ED2"/>
    <w:rsid w:val="00A11F05"/>
    <w:rsid w:val="00A1225E"/>
    <w:rsid w:val="00A12564"/>
    <w:rsid w:val="00A127D5"/>
    <w:rsid w:val="00A12A41"/>
    <w:rsid w:val="00A12BF0"/>
    <w:rsid w:val="00A12DC9"/>
    <w:rsid w:val="00A12DF2"/>
    <w:rsid w:val="00A13458"/>
    <w:rsid w:val="00A13745"/>
    <w:rsid w:val="00A13945"/>
    <w:rsid w:val="00A139F8"/>
    <w:rsid w:val="00A13AE2"/>
    <w:rsid w:val="00A13DB7"/>
    <w:rsid w:val="00A13FDA"/>
    <w:rsid w:val="00A14107"/>
    <w:rsid w:val="00A144DA"/>
    <w:rsid w:val="00A14751"/>
    <w:rsid w:val="00A147C1"/>
    <w:rsid w:val="00A149C4"/>
    <w:rsid w:val="00A14A5D"/>
    <w:rsid w:val="00A14A60"/>
    <w:rsid w:val="00A14BBE"/>
    <w:rsid w:val="00A14CE8"/>
    <w:rsid w:val="00A14D41"/>
    <w:rsid w:val="00A14DDF"/>
    <w:rsid w:val="00A14F2D"/>
    <w:rsid w:val="00A14FC0"/>
    <w:rsid w:val="00A15132"/>
    <w:rsid w:val="00A1528E"/>
    <w:rsid w:val="00A15702"/>
    <w:rsid w:val="00A1573D"/>
    <w:rsid w:val="00A15863"/>
    <w:rsid w:val="00A1596F"/>
    <w:rsid w:val="00A15E06"/>
    <w:rsid w:val="00A160C2"/>
    <w:rsid w:val="00A164A3"/>
    <w:rsid w:val="00A16609"/>
    <w:rsid w:val="00A166F6"/>
    <w:rsid w:val="00A16B3B"/>
    <w:rsid w:val="00A16D9C"/>
    <w:rsid w:val="00A16DF6"/>
    <w:rsid w:val="00A171A4"/>
    <w:rsid w:val="00A17599"/>
    <w:rsid w:val="00A179F1"/>
    <w:rsid w:val="00A17C2A"/>
    <w:rsid w:val="00A17CAF"/>
    <w:rsid w:val="00A17DDF"/>
    <w:rsid w:val="00A20298"/>
    <w:rsid w:val="00A203F0"/>
    <w:rsid w:val="00A20915"/>
    <w:rsid w:val="00A20C91"/>
    <w:rsid w:val="00A20CB3"/>
    <w:rsid w:val="00A20CBD"/>
    <w:rsid w:val="00A20DBC"/>
    <w:rsid w:val="00A20DF6"/>
    <w:rsid w:val="00A20F65"/>
    <w:rsid w:val="00A20F80"/>
    <w:rsid w:val="00A2170F"/>
    <w:rsid w:val="00A21A4F"/>
    <w:rsid w:val="00A21B2D"/>
    <w:rsid w:val="00A21EC9"/>
    <w:rsid w:val="00A22013"/>
    <w:rsid w:val="00A2277F"/>
    <w:rsid w:val="00A22D4E"/>
    <w:rsid w:val="00A22E98"/>
    <w:rsid w:val="00A23083"/>
    <w:rsid w:val="00A23253"/>
    <w:rsid w:val="00A23375"/>
    <w:rsid w:val="00A23723"/>
    <w:rsid w:val="00A2375D"/>
    <w:rsid w:val="00A237AB"/>
    <w:rsid w:val="00A237C5"/>
    <w:rsid w:val="00A23970"/>
    <w:rsid w:val="00A23A15"/>
    <w:rsid w:val="00A23BA4"/>
    <w:rsid w:val="00A23BFF"/>
    <w:rsid w:val="00A23FE4"/>
    <w:rsid w:val="00A241FC"/>
    <w:rsid w:val="00A24498"/>
    <w:rsid w:val="00A2454E"/>
    <w:rsid w:val="00A24F6E"/>
    <w:rsid w:val="00A25105"/>
    <w:rsid w:val="00A251F7"/>
    <w:rsid w:val="00A2541D"/>
    <w:rsid w:val="00A2551D"/>
    <w:rsid w:val="00A2576E"/>
    <w:rsid w:val="00A25826"/>
    <w:rsid w:val="00A25AE1"/>
    <w:rsid w:val="00A25F21"/>
    <w:rsid w:val="00A2603D"/>
    <w:rsid w:val="00A260CA"/>
    <w:rsid w:val="00A262E5"/>
    <w:rsid w:val="00A2631E"/>
    <w:rsid w:val="00A26399"/>
    <w:rsid w:val="00A265AE"/>
    <w:rsid w:val="00A265F4"/>
    <w:rsid w:val="00A267DA"/>
    <w:rsid w:val="00A268A9"/>
    <w:rsid w:val="00A26BB6"/>
    <w:rsid w:val="00A26DEE"/>
    <w:rsid w:val="00A26F24"/>
    <w:rsid w:val="00A26F67"/>
    <w:rsid w:val="00A26FCF"/>
    <w:rsid w:val="00A270FF"/>
    <w:rsid w:val="00A27109"/>
    <w:rsid w:val="00A2734B"/>
    <w:rsid w:val="00A27361"/>
    <w:rsid w:val="00A2751A"/>
    <w:rsid w:val="00A2785A"/>
    <w:rsid w:val="00A2796F"/>
    <w:rsid w:val="00A27EEB"/>
    <w:rsid w:val="00A27F28"/>
    <w:rsid w:val="00A27FD9"/>
    <w:rsid w:val="00A303EE"/>
    <w:rsid w:val="00A3040D"/>
    <w:rsid w:val="00A304EF"/>
    <w:rsid w:val="00A304FF"/>
    <w:rsid w:val="00A3050F"/>
    <w:rsid w:val="00A3061C"/>
    <w:rsid w:val="00A3062C"/>
    <w:rsid w:val="00A30659"/>
    <w:rsid w:val="00A30714"/>
    <w:rsid w:val="00A30803"/>
    <w:rsid w:val="00A3098D"/>
    <w:rsid w:val="00A30C25"/>
    <w:rsid w:val="00A30DA9"/>
    <w:rsid w:val="00A30DFB"/>
    <w:rsid w:val="00A313F4"/>
    <w:rsid w:val="00A3196D"/>
    <w:rsid w:val="00A31B69"/>
    <w:rsid w:val="00A31DFE"/>
    <w:rsid w:val="00A31EE0"/>
    <w:rsid w:val="00A323E9"/>
    <w:rsid w:val="00A324DF"/>
    <w:rsid w:val="00A3254F"/>
    <w:rsid w:val="00A3276A"/>
    <w:rsid w:val="00A32780"/>
    <w:rsid w:val="00A32916"/>
    <w:rsid w:val="00A32AE0"/>
    <w:rsid w:val="00A32EDC"/>
    <w:rsid w:val="00A3316C"/>
    <w:rsid w:val="00A3346D"/>
    <w:rsid w:val="00A337D1"/>
    <w:rsid w:val="00A33878"/>
    <w:rsid w:val="00A339C2"/>
    <w:rsid w:val="00A33C58"/>
    <w:rsid w:val="00A33EE8"/>
    <w:rsid w:val="00A34239"/>
    <w:rsid w:val="00A345B6"/>
    <w:rsid w:val="00A34787"/>
    <w:rsid w:val="00A347BD"/>
    <w:rsid w:val="00A34848"/>
    <w:rsid w:val="00A34997"/>
    <w:rsid w:val="00A34DCC"/>
    <w:rsid w:val="00A34FE2"/>
    <w:rsid w:val="00A34FE8"/>
    <w:rsid w:val="00A35817"/>
    <w:rsid w:val="00A35847"/>
    <w:rsid w:val="00A35918"/>
    <w:rsid w:val="00A35C38"/>
    <w:rsid w:val="00A35C99"/>
    <w:rsid w:val="00A35CD6"/>
    <w:rsid w:val="00A35D64"/>
    <w:rsid w:val="00A35E09"/>
    <w:rsid w:val="00A35F20"/>
    <w:rsid w:val="00A35FFD"/>
    <w:rsid w:val="00A36070"/>
    <w:rsid w:val="00A369BB"/>
    <w:rsid w:val="00A36B15"/>
    <w:rsid w:val="00A36C54"/>
    <w:rsid w:val="00A36CD4"/>
    <w:rsid w:val="00A36D35"/>
    <w:rsid w:val="00A36EB2"/>
    <w:rsid w:val="00A371F9"/>
    <w:rsid w:val="00A3728C"/>
    <w:rsid w:val="00A37466"/>
    <w:rsid w:val="00A37547"/>
    <w:rsid w:val="00A3778B"/>
    <w:rsid w:val="00A377A2"/>
    <w:rsid w:val="00A37AB0"/>
    <w:rsid w:val="00A37D6C"/>
    <w:rsid w:val="00A37F61"/>
    <w:rsid w:val="00A40310"/>
    <w:rsid w:val="00A404D8"/>
    <w:rsid w:val="00A406DF"/>
    <w:rsid w:val="00A4085B"/>
    <w:rsid w:val="00A40A06"/>
    <w:rsid w:val="00A40BB8"/>
    <w:rsid w:val="00A40CC4"/>
    <w:rsid w:val="00A40D64"/>
    <w:rsid w:val="00A410CD"/>
    <w:rsid w:val="00A4110B"/>
    <w:rsid w:val="00A4112B"/>
    <w:rsid w:val="00A41155"/>
    <w:rsid w:val="00A4139D"/>
    <w:rsid w:val="00A41431"/>
    <w:rsid w:val="00A41568"/>
    <w:rsid w:val="00A415E9"/>
    <w:rsid w:val="00A4170D"/>
    <w:rsid w:val="00A41D4B"/>
    <w:rsid w:val="00A41F47"/>
    <w:rsid w:val="00A41F7D"/>
    <w:rsid w:val="00A420E6"/>
    <w:rsid w:val="00A4240E"/>
    <w:rsid w:val="00A424E1"/>
    <w:rsid w:val="00A4259C"/>
    <w:rsid w:val="00A42703"/>
    <w:rsid w:val="00A42807"/>
    <w:rsid w:val="00A428B9"/>
    <w:rsid w:val="00A42BC2"/>
    <w:rsid w:val="00A42BD2"/>
    <w:rsid w:val="00A42C9B"/>
    <w:rsid w:val="00A42E4A"/>
    <w:rsid w:val="00A42F24"/>
    <w:rsid w:val="00A4301D"/>
    <w:rsid w:val="00A43356"/>
    <w:rsid w:val="00A434BA"/>
    <w:rsid w:val="00A4355A"/>
    <w:rsid w:val="00A437AE"/>
    <w:rsid w:val="00A437E9"/>
    <w:rsid w:val="00A438A3"/>
    <w:rsid w:val="00A43A4E"/>
    <w:rsid w:val="00A43BEC"/>
    <w:rsid w:val="00A43D4F"/>
    <w:rsid w:val="00A44018"/>
    <w:rsid w:val="00A4427A"/>
    <w:rsid w:val="00A443C3"/>
    <w:rsid w:val="00A4461B"/>
    <w:rsid w:val="00A4467C"/>
    <w:rsid w:val="00A44752"/>
    <w:rsid w:val="00A44998"/>
    <w:rsid w:val="00A44B33"/>
    <w:rsid w:val="00A44DDD"/>
    <w:rsid w:val="00A450F2"/>
    <w:rsid w:val="00A452D6"/>
    <w:rsid w:val="00A453C2"/>
    <w:rsid w:val="00A453E7"/>
    <w:rsid w:val="00A455BA"/>
    <w:rsid w:val="00A4579E"/>
    <w:rsid w:val="00A45861"/>
    <w:rsid w:val="00A458B8"/>
    <w:rsid w:val="00A4593F"/>
    <w:rsid w:val="00A45A78"/>
    <w:rsid w:val="00A45AAB"/>
    <w:rsid w:val="00A45B86"/>
    <w:rsid w:val="00A45CD6"/>
    <w:rsid w:val="00A45FF0"/>
    <w:rsid w:val="00A45FFD"/>
    <w:rsid w:val="00A4600C"/>
    <w:rsid w:val="00A460D7"/>
    <w:rsid w:val="00A46228"/>
    <w:rsid w:val="00A46487"/>
    <w:rsid w:val="00A46995"/>
    <w:rsid w:val="00A46A18"/>
    <w:rsid w:val="00A46C07"/>
    <w:rsid w:val="00A46EB9"/>
    <w:rsid w:val="00A46F6A"/>
    <w:rsid w:val="00A471D2"/>
    <w:rsid w:val="00A4756E"/>
    <w:rsid w:val="00A475AB"/>
    <w:rsid w:val="00A475CE"/>
    <w:rsid w:val="00A475E9"/>
    <w:rsid w:val="00A4788E"/>
    <w:rsid w:val="00A47DA7"/>
    <w:rsid w:val="00A47E3A"/>
    <w:rsid w:val="00A47EF1"/>
    <w:rsid w:val="00A502B4"/>
    <w:rsid w:val="00A5032E"/>
    <w:rsid w:val="00A507CF"/>
    <w:rsid w:val="00A50828"/>
    <w:rsid w:val="00A50866"/>
    <w:rsid w:val="00A5099D"/>
    <w:rsid w:val="00A50A58"/>
    <w:rsid w:val="00A50B46"/>
    <w:rsid w:val="00A51117"/>
    <w:rsid w:val="00A515D0"/>
    <w:rsid w:val="00A518EF"/>
    <w:rsid w:val="00A51997"/>
    <w:rsid w:val="00A51C24"/>
    <w:rsid w:val="00A51CB2"/>
    <w:rsid w:val="00A51D90"/>
    <w:rsid w:val="00A51E86"/>
    <w:rsid w:val="00A52102"/>
    <w:rsid w:val="00A525B3"/>
    <w:rsid w:val="00A528A4"/>
    <w:rsid w:val="00A52B2B"/>
    <w:rsid w:val="00A52B53"/>
    <w:rsid w:val="00A52C01"/>
    <w:rsid w:val="00A52E4E"/>
    <w:rsid w:val="00A52EC5"/>
    <w:rsid w:val="00A52F3E"/>
    <w:rsid w:val="00A5301E"/>
    <w:rsid w:val="00A53393"/>
    <w:rsid w:val="00A535AD"/>
    <w:rsid w:val="00A53ADE"/>
    <w:rsid w:val="00A53CDA"/>
    <w:rsid w:val="00A53DE0"/>
    <w:rsid w:val="00A53E6F"/>
    <w:rsid w:val="00A53F1C"/>
    <w:rsid w:val="00A544ED"/>
    <w:rsid w:val="00A5480A"/>
    <w:rsid w:val="00A548DF"/>
    <w:rsid w:val="00A54936"/>
    <w:rsid w:val="00A54A3B"/>
    <w:rsid w:val="00A54B58"/>
    <w:rsid w:val="00A54B92"/>
    <w:rsid w:val="00A54BDD"/>
    <w:rsid w:val="00A550ED"/>
    <w:rsid w:val="00A55391"/>
    <w:rsid w:val="00A555F1"/>
    <w:rsid w:val="00A558EF"/>
    <w:rsid w:val="00A55DB1"/>
    <w:rsid w:val="00A55EB0"/>
    <w:rsid w:val="00A5606C"/>
    <w:rsid w:val="00A56153"/>
    <w:rsid w:val="00A56327"/>
    <w:rsid w:val="00A56392"/>
    <w:rsid w:val="00A56462"/>
    <w:rsid w:val="00A56A7C"/>
    <w:rsid w:val="00A56FF8"/>
    <w:rsid w:val="00A5725D"/>
    <w:rsid w:val="00A57320"/>
    <w:rsid w:val="00A5732F"/>
    <w:rsid w:val="00A5756B"/>
    <w:rsid w:val="00A57990"/>
    <w:rsid w:val="00A57C72"/>
    <w:rsid w:val="00A60772"/>
    <w:rsid w:val="00A607CF"/>
    <w:rsid w:val="00A60855"/>
    <w:rsid w:val="00A60896"/>
    <w:rsid w:val="00A60924"/>
    <w:rsid w:val="00A60B28"/>
    <w:rsid w:val="00A60BB1"/>
    <w:rsid w:val="00A60C24"/>
    <w:rsid w:val="00A60D98"/>
    <w:rsid w:val="00A610BD"/>
    <w:rsid w:val="00A611CA"/>
    <w:rsid w:val="00A611FD"/>
    <w:rsid w:val="00A612E3"/>
    <w:rsid w:val="00A614F2"/>
    <w:rsid w:val="00A6187F"/>
    <w:rsid w:val="00A618FD"/>
    <w:rsid w:val="00A61B5B"/>
    <w:rsid w:val="00A6223E"/>
    <w:rsid w:val="00A6226D"/>
    <w:rsid w:val="00A62529"/>
    <w:rsid w:val="00A626C7"/>
    <w:rsid w:val="00A626EE"/>
    <w:rsid w:val="00A627BC"/>
    <w:rsid w:val="00A62A47"/>
    <w:rsid w:val="00A62B81"/>
    <w:rsid w:val="00A63318"/>
    <w:rsid w:val="00A633B4"/>
    <w:rsid w:val="00A6373C"/>
    <w:rsid w:val="00A63875"/>
    <w:rsid w:val="00A63885"/>
    <w:rsid w:val="00A63A98"/>
    <w:rsid w:val="00A63B97"/>
    <w:rsid w:val="00A63BB4"/>
    <w:rsid w:val="00A64980"/>
    <w:rsid w:val="00A64F15"/>
    <w:rsid w:val="00A64F69"/>
    <w:rsid w:val="00A6502C"/>
    <w:rsid w:val="00A65528"/>
    <w:rsid w:val="00A65568"/>
    <w:rsid w:val="00A655A0"/>
    <w:rsid w:val="00A655CE"/>
    <w:rsid w:val="00A6563E"/>
    <w:rsid w:val="00A65678"/>
    <w:rsid w:val="00A65B36"/>
    <w:rsid w:val="00A65D9A"/>
    <w:rsid w:val="00A65DED"/>
    <w:rsid w:val="00A65EC8"/>
    <w:rsid w:val="00A6615C"/>
    <w:rsid w:val="00A667C8"/>
    <w:rsid w:val="00A6692B"/>
    <w:rsid w:val="00A66947"/>
    <w:rsid w:val="00A66CF8"/>
    <w:rsid w:val="00A66E0B"/>
    <w:rsid w:val="00A66E67"/>
    <w:rsid w:val="00A66EFC"/>
    <w:rsid w:val="00A671FE"/>
    <w:rsid w:val="00A6723F"/>
    <w:rsid w:val="00A6747F"/>
    <w:rsid w:val="00A676E8"/>
    <w:rsid w:val="00A6770C"/>
    <w:rsid w:val="00A67A11"/>
    <w:rsid w:val="00A67B95"/>
    <w:rsid w:val="00A67D49"/>
    <w:rsid w:val="00A67FDF"/>
    <w:rsid w:val="00A7019E"/>
    <w:rsid w:val="00A7043D"/>
    <w:rsid w:val="00A70690"/>
    <w:rsid w:val="00A70986"/>
    <w:rsid w:val="00A70AF3"/>
    <w:rsid w:val="00A70DD1"/>
    <w:rsid w:val="00A70E64"/>
    <w:rsid w:val="00A70EC8"/>
    <w:rsid w:val="00A70F51"/>
    <w:rsid w:val="00A71003"/>
    <w:rsid w:val="00A714C2"/>
    <w:rsid w:val="00A716CA"/>
    <w:rsid w:val="00A717AE"/>
    <w:rsid w:val="00A717E9"/>
    <w:rsid w:val="00A71DDD"/>
    <w:rsid w:val="00A7203F"/>
    <w:rsid w:val="00A72201"/>
    <w:rsid w:val="00A72354"/>
    <w:rsid w:val="00A72375"/>
    <w:rsid w:val="00A727D5"/>
    <w:rsid w:val="00A7283B"/>
    <w:rsid w:val="00A72B6D"/>
    <w:rsid w:val="00A72C3E"/>
    <w:rsid w:val="00A72D36"/>
    <w:rsid w:val="00A72FE2"/>
    <w:rsid w:val="00A732B9"/>
    <w:rsid w:val="00A7397B"/>
    <w:rsid w:val="00A73D26"/>
    <w:rsid w:val="00A73DF3"/>
    <w:rsid w:val="00A73F50"/>
    <w:rsid w:val="00A73F96"/>
    <w:rsid w:val="00A73FB5"/>
    <w:rsid w:val="00A74415"/>
    <w:rsid w:val="00A7450B"/>
    <w:rsid w:val="00A7452F"/>
    <w:rsid w:val="00A749C1"/>
    <w:rsid w:val="00A74B59"/>
    <w:rsid w:val="00A74D6F"/>
    <w:rsid w:val="00A74DAC"/>
    <w:rsid w:val="00A74F0D"/>
    <w:rsid w:val="00A74F74"/>
    <w:rsid w:val="00A74F78"/>
    <w:rsid w:val="00A7505D"/>
    <w:rsid w:val="00A75428"/>
    <w:rsid w:val="00A75888"/>
    <w:rsid w:val="00A759F7"/>
    <w:rsid w:val="00A75ACA"/>
    <w:rsid w:val="00A75D77"/>
    <w:rsid w:val="00A76320"/>
    <w:rsid w:val="00A763C4"/>
    <w:rsid w:val="00A764BE"/>
    <w:rsid w:val="00A76726"/>
    <w:rsid w:val="00A7695C"/>
    <w:rsid w:val="00A76DD0"/>
    <w:rsid w:val="00A76FDF"/>
    <w:rsid w:val="00A77047"/>
    <w:rsid w:val="00A7760F"/>
    <w:rsid w:val="00A77620"/>
    <w:rsid w:val="00A77D3C"/>
    <w:rsid w:val="00A77F94"/>
    <w:rsid w:val="00A800E6"/>
    <w:rsid w:val="00A80115"/>
    <w:rsid w:val="00A802FB"/>
    <w:rsid w:val="00A80924"/>
    <w:rsid w:val="00A80A18"/>
    <w:rsid w:val="00A80B11"/>
    <w:rsid w:val="00A81299"/>
    <w:rsid w:val="00A81385"/>
    <w:rsid w:val="00A81540"/>
    <w:rsid w:val="00A81545"/>
    <w:rsid w:val="00A81689"/>
    <w:rsid w:val="00A81786"/>
    <w:rsid w:val="00A817E2"/>
    <w:rsid w:val="00A818BE"/>
    <w:rsid w:val="00A81B85"/>
    <w:rsid w:val="00A81F39"/>
    <w:rsid w:val="00A82007"/>
    <w:rsid w:val="00A82113"/>
    <w:rsid w:val="00A82227"/>
    <w:rsid w:val="00A82420"/>
    <w:rsid w:val="00A826D0"/>
    <w:rsid w:val="00A8299C"/>
    <w:rsid w:val="00A82D04"/>
    <w:rsid w:val="00A82D9E"/>
    <w:rsid w:val="00A82E5F"/>
    <w:rsid w:val="00A82FEA"/>
    <w:rsid w:val="00A83093"/>
    <w:rsid w:val="00A83606"/>
    <w:rsid w:val="00A83932"/>
    <w:rsid w:val="00A839E9"/>
    <w:rsid w:val="00A83C40"/>
    <w:rsid w:val="00A83E0F"/>
    <w:rsid w:val="00A83F81"/>
    <w:rsid w:val="00A8416A"/>
    <w:rsid w:val="00A845E8"/>
    <w:rsid w:val="00A847E1"/>
    <w:rsid w:val="00A84A47"/>
    <w:rsid w:val="00A8537B"/>
    <w:rsid w:val="00A85889"/>
    <w:rsid w:val="00A8597A"/>
    <w:rsid w:val="00A85B24"/>
    <w:rsid w:val="00A85C20"/>
    <w:rsid w:val="00A85F41"/>
    <w:rsid w:val="00A86058"/>
    <w:rsid w:val="00A867C7"/>
    <w:rsid w:val="00A86985"/>
    <w:rsid w:val="00A86B3A"/>
    <w:rsid w:val="00A86CCF"/>
    <w:rsid w:val="00A87186"/>
    <w:rsid w:val="00A87B98"/>
    <w:rsid w:val="00A87DC7"/>
    <w:rsid w:val="00A87E46"/>
    <w:rsid w:val="00A87F19"/>
    <w:rsid w:val="00A90012"/>
    <w:rsid w:val="00A90056"/>
    <w:rsid w:val="00A90262"/>
    <w:rsid w:val="00A90391"/>
    <w:rsid w:val="00A903A8"/>
    <w:rsid w:val="00A90430"/>
    <w:rsid w:val="00A90508"/>
    <w:rsid w:val="00A90591"/>
    <w:rsid w:val="00A908D1"/>
    <w:rsid w:val="00A90A73"/>
    <w:rsid w:val="00A90BD5"/>
    <w:rsid w:val="00A90CD8"/>
    <w:rsid w:val="00A90D7D"/>
    <w:rsid w:val="00A90F41"/>
    <w:rsid w:val="00A90F4E"/>
    <w:rsid w:val="00A91350"/>
    <w:rsid w:val="00A9152D"/>
    <w:rsid w:val="00A9198A"/>
    <w:rsid w:val="00A91A47"/>
    <w:rsid w:val="00A91C07"/>
    <w:rsid w:val="00A91E48"/>
    <w:rsid w:val="00A9212C"/>
    <w:rsid w:val="00A9241B"/>
    <w:rsid w:val="00A927B3"/>
    <w:rsid w:val="00A92A4D"/>
    <w:rsid w:val="00A92ACE"/>
    <w:rsid w:val="00A92DA5"/>
    <w:rsid w:val="00A92DB5"/>
    <w:rsid w:val="00A92E76"/>
    <w:rsid w:val="00A92F73"/>
    <w:rsid w:val="00A93402"/>
    <w:rsid w:val="00A93542"/>
    <w:rsid w:val="00A9367A"/>
    <w:rsid w:val="00A936F2"/>
    <w:rsid w:val="00A938E1"/>
    <w:rsid w:val="00A93B64"/>
    <w:rsid w:val="00A94037"/>
    <w:rsid w:val="00A94134"/>
    <w:rsid w:val="00A941A1"/>
    <w:rsid w:val="00A943B2"/>
    <w:rsid w:val="00A9466F"/>
    <w:rsid w:val="00A94CEC"/>
    <w:rsid w:val="00A94D50"/>
    <w:rsid w:val="00A94E3A"/>
    <w:rsid w:val="00A95030"/>
    <w:rsid w:val="00A956DD"/>
    <w:rsid w:val="00A9580E"/>
    <w:rsid w:val="00A9591B"/>
    <w:rsid w:val="00A959DF"/>
    <w:rsid w:val="00A95A06"/>
    <w:rsid w:val="00A95AA1"/>
    <w:rsid w:val="00A95CAD"/>
    <w:rsid w:val="00A9602E"/>
    <w:rsid w:val="00A9613A"/>
    <w:rsid w:val="00A9647D"/>
    <w:rsid w:val="00A965B1"/>
    <w:rsid w:val="00A965CC"/>
    <w:rsid w:val="00A9662B"/>
    <w:rsid w:val="00A966FE"/>
    <w:rsid w:val="00A96A1C"/>
    <w:rsid w:val="00A96AAC"/>
    <w:rsid w:val="00A96CCB"/>
    <w:rsid w:val="00A96D7A"/>
    <w:rsid w:val="00A96E03"/>
    <w:rsid w:val="00A96E4F"/>
    <w:rsid w:val="00A9715B"/>
    <w:rsid w:val="00A97403"/>
    <w:rsid w:val="00A97407"/>
    <w:rsid w:val="00A97447"/>
    <w:rsid w:val="00A97A0D"/>
    <w:rsid w:val="00A97AC1"/>
    <w:rsid w:val="00A97B4B"/>
    <w:rsid w:val="00A97B5F"/>
    <w:rsid w:val="00A97E01"/>
    <w:rsid w:val="00A97E6C"/>
    <w:rsid w:val="00A97FCC"/>
    <w:rsid w:val="00AA0067"/>
    <w:rsid w:val="00AA0085"/>
    <w:rsid w:val="00AA0222"/>
    <w:rsid w:val="00AA0A3A"/>
    <w:rsid w:val="00AA0DA4"/>
    <w:rsid w:val="00AA0F78"/>
    <w:rsid w:val="00AA1051"/>
    <w:rsid w:val="00AA1171"/>
    <w:rsid w:val="00AA1753"/>
    <w:rsid w:val="00AA1BED"/>
    <w:rsid w:val="00AA1DB5"/>
    <w:rsid w:val="00AA2042"/>
    <w:rsid w:val="00AA214A"/>
    <w:rsid w:val="00AA233A"/>
    <w:rsid w:val="00AA24DC"/>
    <w:rsid w:val="00AA2691"/>
    <w:rsid w:val="00AA2861"/>
    <w:rsid w:val="00AA2BC5"/>
    <w:rsid w:val="00AA327D"/>
    <w:rsid w:val="00AA3935"/>
    <w:rsid w:val="00AA39D1"/>
    <w:rsid w:val="00AA3B06"/>
    <w:rsid w:val="00AA3E14"/>
    <w:rsid w:val="00AA3E72"/>
    <w:rsid w:val="00AA3EB3"/>
    <w:rsid w:val="00AA402A"/>
    <w:rsid w:val="00AA4382"/>
    <w:rsid w:val="00AA45BD"/>
    <w:rsid w:val="00AA45D5"/>
    <w:rsid w:val="00AA4691"/>
    <w:rsid w:val="00AA4696"/>
    <w:rsid w:val="00AA4915"/>
    <w:rsid w:val="00AA497C"/>
    <w:rsid w:val="00AA4B46"/>
    <w:rsid w:val="00AA4B50"/>
    <w:rsid w:val="00AA4B5C"/>
    <w:rsid w:val="00AA4BB9"/>
    <w:rsid w:val="00AA4CBC"/>
    <w:rsid w:val="00AA55FD"/>
    <w:rsid w:val="00AA57AE"/>
    <w:rsid w:val="00AA5A3B"/>
    <w:rsid w:val="00AA5F93"/>
    <w:rsid w:val="00AA62DD"/>
    <w:rsid w:val="00AA650C"/>
    <w:rsid w:val="00AA6B13"/>
    <w:rsid w:val="00AA6B76"/>
    <w:rsid w:val="00AA6F36"/>
    <w:rsid w:val="00AA7675"/>
    <w:rsid w:val="00AA76AF"/>
    <w:rsid w:val="00AA77FA"/>
    <w:rsid w:val="00AA7803"/>
    <w:rsid w:val="00AA7A02"/>
    <w:rsid w:val="00AA7B6A"/>
    <w:rsid w:val="00AA7CE9"/>
    <w:rsid w:val="00AA7E7A"/>
    <w:rsid w:val="00AB0112"/>
    <w:rsid w:val="00AB0203"/>
    <w:rsid w:val="00AB0588"/>
    <w:rsid w:val="00AB05F8"/>
    <w:rsid w:val="00AB0633"/>
    <w:rsid w:val="00AB06A5"/>
    <w:rsid w:val="00AB06B1"/>
    <w:rsid w:val="00AB0771"/>
    <w:rsid w:val="00AB07A4"/>
    <w:rsid w:val="00AB0858"/>
    <w:rsid w:val="00AB0A71"/>
    <w:rsid w:val="00AB0C3F"/>
    <w:rsid w:val="00AB0D56"/>
    <w:rsid w:val="00AB0DFE"/>
    <w:rsid w:val="00AB114D"/>
    <w:rsid w:val="00AB11B1"/>
    <w:rsid w:val="00AB176C"/>
    <w:rsid w:val="00AB181B"/>
    <w:rsid w:val="00AB1885"/>
    <w:rsid w:val="00AB1A70"/>
    <w:rsid w:val="00AB1B6C"/>
    <w:rsid w:val="00AB1D14"/>
    <w:rsid w:val="00AB20A3"/>
    <w:rsid w:val="00AB278E"/>
    <w:rsid w:val="00AB296E"/>
    <w:rsid w:val="00AB29E5"/>
    <w:rsid w:val="00AB2A74"/>
    <w:rsid w:val="00AB2D30"/>
    <w:rsid w:val="00AB2E01"/>
    <w:rsid w:val="00AB2E64"/>
    <w:rsid w:val="00AB2FBB"/>
    <w:rsid w:val="00AB329B"/>
    <w:rsid w:val="00AB35F5"/>
    <w:rsid w:val="00AB3604"/>
    <w:rsid w:val="00AB3D96"/>
    <w:rsid w:val="00AB3FB8"/>
    <w:rsid w:val="00AB4098"/>
    <w:rsid w:val="00AB4573"/>
    <w:rsid w:val="00AB46EE"/>
    <w:rsid w:val="00AB4C60"/>
    <w:rsid w:val="00AB4D00"/>
    <w:rsid w:val="00AB4D75"/>
    <w:rsid w:val="00AB51E1"/>
    <w:rsid w:val="00AB539D"/>
    <w:rsid w:val="00AB54DC"/>
    <w:rsid w:val="00AB5579"/>
    <w:rsid w:val="00AB5946"/>
    <w:rsid w:val="00AB5B84"/>
    <w:rsid w:val="00AB5DA8"/>
    <w:rsid w:val="00AB5E5E"/>
    <w:rsid w:val="00AB6132"/>
    <w:rsid w:val="00AB6470"/>
    <w:rsid w:val="00AB64F0"/>
    <w:rsid w:val="00AB69F9"/>
    <w:rsid w:val="00AB6AB5"/>
    <w:rsid w:val="00AB6DFA"/>
    <w:rsid w:val="00AB6FB3"/>
    <w:rsid w:val="00AB70E6"/>
    <w:rsid w:val="00AB734B"/>
    <w:rsid w:val="00AB742D"/>
    <w:rsid w:val="00AB745E"/>
    <w:rsid w:val="00AB7479"/>
    <w:rsid w:val="00AB783D"/>
    <w:rsid w:val="00AB7947"/>
    <w:rsid w:val="00AB7A56"/>
    <w:rsid w:val="00AB7BB8"/>
    <w:rsid w:val="00AC0003"/>
    <w:rsid w:val="00AC01C6"/>
    <w:rsid w:val="00AC0425"/>
    <w:rsid w:val="00AC064F"/>
    <w:rsid w:val="00AC0A3F"/>
    <w:rsid w:val="00AC0E7B"/>
    <w:rsid w:val="00AC0F06"/>
    <w:rsid w:val="00AC10D9"/>
    <w:rsid w:val="00AC128F"/>
    <w:rsid w:val="00AC14B7"/>
    <w:rsid w:val="00AC1A49"/>
    <w:rsid w:val="00AC2004"/>
    <w:rsid w:val="00AC221C"/>
    <w:rsid w:val="00AC2263"/>
    <w:rsid w:val="00AC235F"/>
    <w:rsid w:val="00AC2486"/>
    <w:rsid w:val="00AC257D"/>
    <w:rsid w:val="00AC2664"/>
    <w:rsid w:val="00AC2672"/>
    <w:rsid w:val="00AC27F8"/>
    <w:rsid w:val="00AC29B9"/>
    <w:rsid w:val="00AC29DC"/>
    <w:rsid w:val="00AC2AF3"/>
    <w:rsid w:val="00AC2D31"/>
    <w:rsid w:val="00AC2DD8"/>
    <w:rsid w:val="00AC311B"/>
    <w:rsid w:val="00AC3873"/>
    <w:rsid w:val="00AC3A85"/>
    <w:rsid w:val="00AC3B69"/>
    <w:rsid w:val="00AC3C2E"/>
    <w:rsid w:val="00AC3D61"/>
    <w:rsid w:val="00AC3E58"/>
    <w:rsid w:val="00AC4007"/>
    <w:rsid w:val="00AC4089"/>
    <w:rsid w:val="00AC453D"/>
    <w:rsid w:val="00AC46AE"/>
    <w:rsid w:val="00AC46CD"/>
    <w:rsid w:val="00AC4EC4"/>
    <w:rsid w:val="00AC4EF4"/>
    <w:rsid w:val="00AC511E"/>
    <w:rsid w:val="00AC5146"/>
    <w:rsid w:val="00AC5A7C"/>
    <w:rsid w:val="00AC5D8B"/>
    <w:rsid w:val="00AC63B5"/>
    <w:rsid w:val="00AC6483"/>
    <w:rsid w:val="00AC64C1"/>
    <w:rsid w:val="00AC6601"/>
    <w:rsid w:val="00AC6720"/>
    <w:rsid w:val="00AC6775"/>
    <w:rsid w:val="00AC687C"/>
    <w:rsid w:val="00AC689B"/>
    <w:rsid w:val="00AC69A7"/>
    <w:rsid w:val="00AC6B79"/>
    <w:rsid w:val="00AC7182"/>
    <w:rsid w:val="00AC72B9"/>
    <w:rsid w:val="00AC7BD6"/>
    <w:rsid w:val="00AC7ECD"/>
    <w:rsid w:val="00AD00F6"/>
    <w:rsid w:val="00AD0278"/>
    <w:rsid w:val="00AD04C2"/>
    <w:rsid w:val="00AD0766"/>
    <w:rsid w:val="00AD083F"/>
    <w:rsid w:val="00AD0AB3"/>
    <w:rsid w:val="00AD0B7C"/>
    <w:rsid w:val="00AD0F87"/>
    <w:rsid w:val="00AD0F93"/>
    <w:rsid w:val="00AD0FBC"/>
    <w:rsid w:val="00AD0FD1"/>
    <w:rsid w:val="00AD111F"/>
    <w:rsid w:val="00AD147D"/>
    <w:rsid w:val="00AD14CD"/>
    <w:rsid w:val="00AD16C7"/>
    <w:rsid w:val="00AD1A3F"/>
    <w:rsid w:val="00AD1B72"/>
    <w:rsid w:val="00AD1BF3"/>
    <w:rsid w:val="00AD1E8B"/>
    <w:rsid w:val="00AD2069"/>
    <w:rsid w:val="00AD2170"/>
    <w:rsid w:val="00AD275A"/>
    <w:rsid w:val="00AD291B"/>
    <w:rsid w:val="00AD2D97"/>
    <w:rsid w:val="00AD2EEE"/>
    <w:rsid w:val="00AD3013"/>
    <w:rsid w:val="00AD3399"/>
    <w:rsid w:val="00AD34B9"/>
    <w:rsid w:val="00AD3593"/>
    <w:rsid w:val="00AD36E0"/>
    <w:rsid w:val="00AD37B1"/>
    <w:rsid w:val="00AD38F3"/>
    <w:rsid w:val="00AD3B8A"/>
    <w:rsid w:val="00AD3C18"/>
    <w:rsid w:val="00AD3D6D"/>
    <w:rsid w:val="00AD4123"/>
    <w:rsid w:val="00AD458F"/>
    <w:rsid w:val="00AD4653"/>
    <w:rsid w:val="00AD46A3"/>
    <w:rsid w:val="00AD4733"/>
    <w:rsid w:val="00AD49C9"/>
    <w:rsid w:val="00AD4ABD"/>
    <w:rsid w:val="00AD4C1F"/>
    <w:rsid w:val="00AD4D36"/>
    <w:rsid w:val="00AD5021"/>
    <w:rsid w:val="00AD50AF"/>
    <w:rsid w:val="00AD5170"/>
    <w:rsid w:val="00AD532B"/>
    <w:rsid w:val="00AD55E4"/>
    <w:rsid w:val="00AD56A7"/>
    <w:rsid w:val="00AD58AE"/>
    <w:rsid w:val="00AD596A"/>
    <w:rsid w:val="00AD59E0"/>
    <w:rsid w:val="00AD5A24"/>
    <w:rsid w:val="00AD5A39"/>
    <w:rsid w:val="00AD5A41"/>
    <w:rsid w:val="00AD5A96"/>
    <w:rsid w:val="00AD5B30"/>
    <w:rsid w:val="00AD5C98"/>
    <w:rsid w:val="00AD5CF0"/>
    <w:rsid w:val="00AD5E1E"/>
    <w:rsid w:val="00AD5EF6"/>
    <w:rsid w:val="00AD5F8C"/>
    <w:rsid w:val="00AD62D3"/>
    <w:rsid w:val="00AD669C"/>
    <w:rsid w:val="00AD6F7C"/>
    <w:rsid w:val="00AD71C8"/>
    <w:rsid w:val="00AD72F9"/>
    <w:rsid w:val="00AD735F"/>
    <w:rsid w:val="00AD7559"/>
    <w:rsid w:val="00AD7646"/>
    <w:rsid w:val="00AD791C"/>
    <w:rsid w:val="00AD7968"/>
    <w:rsid w:val="00AD7B39"/>
    <w:rsid w:val="00AD7C5B"/>
    <w:rsid w:val="00AD7C6E"/>
    <w:rsid w:val="00AD7D01"/>
    <w:rsid w:val="00AD7EB1"/>
    <w:rsid w:val="00AD7F00"/>
    <w:rsid w:val="00AD7F43"/>
    <w:rsid w:val="00AD7F64"/>
    <w:rsid w:val="00AE002D"/>
    <w:rsid w:val="00AE023D"/>
    <w:rsid w:val="00AE0505"/>
    <w:rsid w:val="00AE0545"/>
    <w:rsid w:val="00AE0559"/>
    <w:rsid w:val="00AE0A20"/>
    <w:rsid w:val="00AE0D97"/>
    <w:rsid w:val="00AE0FA6"/>
    <w:rsid w:val="00AE1213"/>
    <w:rsid w:val="00AE16CA"/>
    <w:rsid w:val="00AE1913"/>
    <w:rsid w:val="00AE19F4"/>
    <w:rsid w:val="00AE1A52"/>
    <w:rsid w:val="00AE1F01"/>
    <w:rsid w:val="00AE1F88"/>
    <w:rsid w:val="00AE21C7"/>
    <w:rsid w:val="00AE227C"/>
    <w:rsid w:val="00AE22BA"/>
    <w:rsid w:val="00AE24CE"/>
    <w:rsid w:val="00AE2618"/>
    <w:rsid w:val="00AE2812"/>
    <w:rsid w:val="00AE285B"/>
    <w:rsid w:val="00AE2BCF"/>
    <w:rsid w:val="00AE2CA4"/>
    <w:rsid w:val="00AE33C0"/>
    <w:rsid w:val="00AE3B14"/>
    <w:rsid w:val="00AE3B5F"/>
    <w:rsid w:val="00AE3CFD"/>
    <w:rsid w:val="00AE3D5B"/>
    <w:rsid w:val="00AE4520"/>
    <w:rsid w:val="00AE47EE"/>
    <w:rsid w:val="00AE48CD"/>
    <w:rsid w:val="00AE4989"/>
    <w:rsid w:val="00AE4D66"/>
    <w:rsid w:val="00AE4DFE"/>
    <w:rsid w:val="00AE52AE"/>
    <w:rsid w:val="00AE55D2"/>
    <w:rsid w:val="00AE55DA"/>
    <w:rsid w:val="00AE562C"/>
    <w:rsid w:val="00AE576C"/>
    <w:rsid w:val="00AE58A9"/>
    <w:rsid w:val="00AE5BCC"/>
    <w:rsid w:val="00AE5BD2"/>
    <w:rsid w:val="00AE5E5C"/>
    <w:rsid w:val="00AE605F"/>
    <w:rsid w:val="00AE60B4"/>
    <w:rsid w:val="00AE6661"/>
    <w:rsid w:val="00AE66E0"/>
    <w:rsid w:val="00AE6972"/>
    <w:rsid w:val="00AE6B28"/>
    <w:rsid w:val="00AE6FCC"/>
    <w:rsid w:val="00AE6FF4"/>
    <w:rsid w:val="00AE7106"/>
    <w:rsid w:val="00AE7238"/>
    <w:rsid w:val="00AE7488"/>
    <w:rsid w:val="00AE75B1"/>
    <w:rsid w:val="00AE7C05"/>
    <w:rsid w:val="00AE7C32"/>
    <w:rsid w:val="00AF00D5"/>
    <w:rsid w:val="00AF01EE"/>
    <w:rsid w:val="00AF0420"/>
    <w:rsid w:val="00AF04CD"/>
    <w:rsid w:val="00AF0672"/>
    <w:rsid w:val="00AF06CB"/>
    <w:rsid w:val="00AF0D73"/>
    <w:rsid w:val="00AF10BF"/>
    <w:rsid w:val="00AF1130"/>
    <w:rsid w:val="00AF11C7"/>
    <w:rsid w:val="00AF1254"/>
    <w:rsid w:val="00AF125E"/>
    <w:rsid w:val="00AF14B7"/>
    <w:rsid w:val="00AF15F2"/>
    <w:rsid w:val="00AF163A"/>
    <w:rsid w:val="00AF16A8"/>
    <w:rsid w:val="00AF18D3"/>
    <w:rsid w:val="00AF19AD"/>
    <w:rsid w:val="00AF1B84"/>
    <w:rsid w:val="00AF1BB3"/>
    <w:rsid w:val="00AF1C88"/>
    <w:rsid w:val="00AF1E80"/>
    <w:rsid w:val="00AF1ECC"/>
    <w:rsid w:val="00AF2010"/>
    <w:rsid w:val="00AF29DC"/>
    <w:rsid w:val="00AF2A53"/>
    <w:rsid w:val="00AF2C07"/>
    <w:rsid w:val="00AF34B3"/>
    <w:rsid w:val="00AF3510"/>
    <w:rsid w:val="00AF36A6"/>
    <w:rsid w:val="00AF37BE"/>
    <w:rsid w:val="00AF37C8"/>
    <w:rsid w:val="00AF3853"/>
    <w:rsid w:val="00AF3BBC"/>
    <w:rsid w:val="00AF3E4D"/>
    <w:rsid w:val="00AF40F9"/>
    <w:rsid w:val="00AF43AC"/>
    <w:rsid w:val="00AF43CE"/>
    <w:rsid w:val="00AF4B5A"/>
    <w:rsid w:val="00AF4C9A"/>
    <w:rsid w:val="00AF4D16"/>
    <w:rsid w:val="00AF4E47"/>
    <w:rsid w:val="00AF4F47"/>
    <w:rsid w:val="00AF514E"/>
    <w:rsid w:val="00AF5306"/>
    <w:rsid w:val="00AF5399"/>
    <w:rsid w:val="00AF5B4A"/>
    <w:rsid w:val="00AF5C4F"/>
    <w:rsid w:val="00AF5F7D"/>
    <w:rsid w:val="00AF60AE"/>
    <w:rsid w:val="00AF6215"/>
    <w:rsid w:val="00AF637B"/>
    <w:rsid w:val="00AF6654"/>
    <w:rsid w:val="00AF6B38"/>
    <w:rsid w:val="00AF6F9C"/>
    <w:rsid w:val="00AF72E1"/>
    <w:rsid w:val="00AF73B9"/>
    <w:rsid w:val="00AF7701"/>
    <w:rsid w:val="00AF7B0A"/>
    <w:rsid w:val="00AF7CDF"/>
    <w:rsid w:val="00AF7F02"/>
    <w:rsid w:val="00AF7FFA"/>
    <w:rsid w:val="00B000B9"/>
    <w:rsid w:val="00B001FD"/>
    <w:rsid w:val="00B0021A"/>
    <w:rsid w:val="00B00544"/>
    <w:rsid w:val="00B00554"/>
    <w:rsid w:val="00B0091B"/>
    <w:rsid w:val="00B00B63"/>
    <w:rsid w:val="00B00B64"/>
    <w:rsid w:val="00B00CAB"/>
    <w:rsid w:val="00B01080"/>
    <w:rsid w:val="00B01157"/>
    <w:rsid w:val="00B013F5"/>
    <w:rsid w:val="00B015EA"/>
    <w:rsid w:val="00B0196B"/>
    <w:rsid w:val="00B01B42"/>
    <w:rsid w:val="00B01C70"/>
    <w:rsid w:val="00B01E29"/>
    <w:rsid w:val="00B02246"/>
    <w:rsid w:val="00B0265D"/>
    <w:rsid w:val="00B0269A"/>
    <w:rsid w:val="00B02830"/>
    <w:rsid w:val="00B0294D"/>
    <w:rsid w:val="00B02AD2"/>
    <w:rsid w:val="00B02C1A"/>
    <w:rsid w:val="00B03428"/>
    <w:rsid w:val="00B0346A"/>
    <w:rsid w:val="00B035CC"/>
    <w:rsid w:val="00B03704"/>
    <w:rsid w:val="00B037F6"/>
    <w:rsid w:val="00B03859"/>
    <w:rsid w:val="00B03952"/>
    <w:rsid w:val="00B03A2F"/>
    <w:rsid w:val="00B03A73"/>
    <w:rsid w:val="00B03C1F"/>
    <w:rsid w:val="00B03E18"/>
    <w:rsid w:val="00B04149"/>
    <w:rsid w:val="00B044AA"/>
    <w:rsid w:val="00B044FB"/>
    <w:rsid w:val="00B04842"/>
    <w:rsid w:val="00B04C1F"/>
    <w:rsid w:val="00B04F32"/>
    <w:rsid w:val="00B04F5F"/>
    <w:rsid w:val="00B050F6"/>
    <w:rsid w:val="00B05680"/>
    <w:rsid w:val="00B056E1"/>
    <w:rsid w:val="00B057E4"/>
    <w:rsid w:val="00B058F5"/>
    <w:rsid w:val="00B05A5B"/>
    <w:rsid w:val="00B05D51"/>
    <w:rsid w:val="00B06054"/>
    <w:rsid w:val="00B06283"/>
    <w:rsid w:val="00B06517"/>
    <w:rsid w:val="00B065E3"/>
    <w:rsid w:val="00B06606"/>
    <w:rsid w:val="00B06707"/>
    <w:rsid w:val="00B06731"/>
    <w:rsid w:val="00B068D9"/>
    <w:rsid w:val="00B0694D"/>
    <w:rsid w:val="00B06AC7"/>
    <w:rsid w:val="00B06BD3"/>
    <w:rsid w:val="00B06E83"/>
    <w:rsid w:val="00B06F44"/>
    <w:rsid w:val="00B07515"/>
    <w:rsid w:val="00B075F0"/>
    <w:rsid w:val="00B07652"/>
    <w:rsid w:val="00B07668"/>
    <w:rsid w:val="00B076F7"/>
    <w:rsid w:val="00B07926"/>
    <w:rsid w:val="00B07BD3"/>
    <w:rsid w:val="00B07BF0"/>
    <w:rsid w:val="00B103CA"/>
    <w:rsid w:val="00B10AB5"/>
    <w:rsid w:val="00B10AFF"/>
    <w:rsid w:val="00B10CF9"/>
    <w:rsid w:val="00B10ECA"/>
    <w:rsid w:val="00B10F8F"/>
    <w:rsid w:val="00B1129B"/>
    <w:rsid w:val="00B115C4"/>
    <w:rsid w:val="00B11949"/>
    <w:rsid w:val="00B11AD4"/>
    <w:rsid w:val="00B11C50"/>
    <w:rsid w:val="00B11CE2"/>
    <w:rsid w:val="00B11E7C"/>
    <w:rsid w:val="00B11EC6"/>
    <w:rsid w:val="00B11FE8"/>
    <w:rsid w:val="00B12206"/>
    <w:rsid w:val="00B12216"/>
    <w:rsid w:val="00B122B1"/>
    <w:rsid w:val="00B12379"/>
    <w:rsid w:val="00B1271D"/>
    <w:rsid w:val="00B12786"/>
    <w:rsid w:val="00B128DC"/>
    <w:rsid w:val="00B12B47"/>
    <w:rsid w:val="00B12DC0"/>
    <w:rsid w:val="00B13207"/>
    <w:rsid w:val="00B136ED"/>
    <w:rsid w:val="00B13885"/>
    <w:rsid w:val="00B138D2"/>
    <w:rsid w:val="00B13A7C"/>
    <w:rsid w:val="00B13CFE"/>
    <w:rsid w:val="00B14087"/>
    <w:rsid w:val="00B142B2"/>
    <w:rsid w:val="00B1430F"/>
    <w:rsid w:val="00B143DB"/>
    <w:rsid w:val="00B1463D"/>
    <w:rsid w:val="00B14846"/>
    <w:rsid w:val="00B14893"/>
    <w:rsid w:val="00B14AD5"/>
    <w:rsid w:val="00B14AE8"/>
    <w:rsid w:val="00B14C8B"/>
    <w:rsid w:val="00B151B8"/>
    <w:rsid w:val="00B152BB"/>
    <w:rsid w:val="00B152E5"/>
    <w:rsid w:val="00B153C1"/>
    <w:rsid w:val="00B1543C"/>
    <w:rsid w:val="00B15CC4"/>
    <w:rsid w:val="00B15E2E"/>
    <w:rsid w:val="00B15E62"/>
    <w:rsid w:val="00B16192"/>
    <w:rsid w:val="00B1633F"/>
    <w:rsid w:val="00B165BD"/>
    <w:rsid w:val="00B1665D"/>
    <w:rsid w:val="00B16741"/>
    <w:rsid w:val="00B1679F"/>
    <w:rsid w:val="00B1688A"/>
    <w:rsid w:val="00B16B1C"/>
    <w:rsid w:val="00B16B21"/>
    <w:rsid w:val="00B16B5F"/>
    <w:rsid w:val="00B16CC6"/>
    <w:rsid w:val="00B16CD0"/>
    <w:rsid w:val="00B170C0"/>
    <w:rsid w:val="00B1727D"/>
    <w:rsid w:val="00B17296"/>
    <w:rsid w:val="00B173A2"/>
    <w:rsid w:val="00B1766D"/>
    <w:rsid w:val="00B176EB"/>
    <w:rsid w:val="00B178C4"/>
    <w:rsid w:val="00B1794E"/>
    <w:rsid w:val="00B1795A"/>
    <w:rsid w:val="00B17A20"/>
    <w:rsid w:val="00B17B82"/>
    <w:rsid w:val="00B17BF4"/>
    <w:rsid w:val="00B17DC8"/>
    <w:rsid w:val="00B20162"/>
    <w:rsid w:val="00B203F7"/>
    <w:rsid w:val="00B20418"/>
    <w:rsid w:val="00B205C8"/>
    <w:rsid w:val="00B207B8"/>
    <w:rsid w:val="00B209E4"/>
    <w:rsid w:val="00B20A00"/>
    <w:rsid w:val="00B20BD4"/>
    <w:rsid w:val="00B20E60"/>
    <w:rsid w:val="00B2106A"/>
    <w:rsid w:val="00B214AF"/>
    <w:rsid w:val="00B21A8D"/>
    <w:rsid w:val="00B21B3B"/>
    <w:rsid w:val="00B21B74"/>
    <w:rsid w:val="00B2208E"/>
    <w:rsid w:val="00B221FB"/>
    <w:rsid w:val="00B2226A"/>
    <w:rsid w:val="00B222AD"/>
    <w:rsid w:val="00B2291E"/>
    <w:rsid w:val="00B22CE7"/>
    <w:rsid w:val="00B22D6C"/>
    <w:rsid w:val="00B230EE"/>
    <w:rsid w:val="00B23120"/>
    <w:rsid w:val="00B234CE"/>
    <w:rsid w:val="00B23563"/>
    <w:rsid w:val="00B23C18"/>
    <w:rsid w:val="00B23CE0"/>
    <w:rsid w:val="00B2400E"/>
    <w:rsid w:val="00B244DA"/>
    <w:rsid w:val="00B24798"/>
    <w:rsid w:val="00B24853"/>
    <w:rsid w:val="00B24FC1"/>
    <w:rsid w:val="00B25317"/>
    <w:rsid w:val="00B255DB"/>
    <w:rsid w:val="00B25A84"/>
    <w:rsid w:val="00B25D77"/>
    <w:rsid w:val="00B26342"/>
    <w:rsid w:val="00B26385"/>
    <w:rsid w:val="00B2638C"/>
    <w:rsid w:val="00B263D8"/>
    <w:rsid w:val="00B26648"/>
    <w:rsid w:val="00B26656"/>
    <w:rsid w:val="00B26878"/>
    <w:rsid w:val="00B268F6"/>
    <w:rsid w:val="00B26FE2"/>
    <w:rsid w:val="00B2701C"/>
    <w:rsid w:val="00B27373"/>
    <w:rsid w:val="00B273F5"/>
    <w:rsid w:val="00B27420"/>
    <w:rsid w:val="00B27DBE"/>
    <w:rsid w:val="00B302C8"/>
    <w:rsid w:val="00B30326"/>
    <w:rsid w:val="00B30358"/>
    <w:rsid w:val="00B30606"/>
    <w:rsid w:val="00B3088A"/>
    <w:rsid w:val="00B308B2"/>
    <w:rsid w:val="00B30A70"/>
    <w:rsid w:val="00B30C2E"/>
    <w:rsid w:val="00B30CC9"/>
    <w:rsid w:val="00B30CCA"/>
    <w:rsid w:val="00B30DA7"/>
    <w:rsid w:val="00B30EB2"/>
    <w:rsid w:val="00B3112D"/>
    <w:rsid w:val="00B311DF"/>
    <w:rsid w:val="00B313F2"/>
    <w:rsid w:val="00B314DB"/>
    <w:rsid w:val="00B31613"/>
    <w:rsid w:val="00B31FF9"/>
    <w:rsid w:val="00B32030"/>
    <w:rsid w:val="00B32490"/>
    <w:rsid w:val="00B32519"/>
    <w:rsid w:val="00B325F4"/>
    <w:rsid w:val="00B32A58"/>
    <w:rsid w:val="00B32EDA"/>
    <w:rsid w:val="00B33267"/>
    <w:rsid w:val="00B332EB"/>
    <w:rsid w:val="00B33385"/>
    <w:rsid w:val="00B33407"/>
    <w:rsid w:val="00B3362E"/>
    <w:rsid w:val="00B33D2B"/>
    <w:rsid w:val="00B33E8E"/>
    <w:rsid w:val="00B341B5"/>
    <w:rsid w:val="00B3424F"/>
    <w:rsid w:val="00B34418"/>
    <w:rsid w:val="00B3452A"/>
    <w:rsid w:val="00B34583"/>
    <w:rsid w:val="00B34698"/>
    <w:rsid w:val="00B3472F"/>
    <w:rsid w:val="00B34831"/>
    <w:rsid w:val="00B348B2"/>
    <w:rsid w:val="00B34CC9"/>
    <w:rsid w:val="00B34D03"/>
    <w:rsid w:val="00B34D18"/>
    <w:rsid w:val="00B34F64"/>
    <w:rsid w:val="00B34F92"/>
    <w:rsid w:val="00B351A2"/>
    <w:rsid w:val="00B3522B"/>
    <w:rsid w:val="00B352A1"/>
    <w:rsid w:val="00B35796"/>
    <w:rsid w:val="00B359EB"/>
    <w:rsid w:val="00B359F6"/>
    <w:rsid w:val="00B35BE2"/>
    <w:rsid w:val="00B35CBF"/>
    <w:rsid w:val="00B360B8"/>
    <w:rsid w:val="00B360E4"/>
    <w:rsid w:val="00B3619C"/>
    <w:rsid w:val="00B36379"/>
    <w:rsid w:val="00B3663C"/>
    <w:rsid w:val="00B36684"/>
    <w:rsid w:val="00B366C8"/>
    <w:rsid w:val="00B36A7E"/>
    <w:rsid w:val="00B36E5D"/>
    <w:rsid w:val="00B36E8E"/>
    <w:rsid w:val="00B37218"/>
    <w:rsid w:val="00B37383"/>
    <w:rsid w:val="00B3752E"/>
    <w:rsid w:val="00B377C0"/>
    <w:rsid w:val="00B379D5"/>
    <w:rsid w:val="00B37BF1"/>
    <w:rsid w:val="00B37C96"/>
    <w:rsid w:val="00B37CAF"/>
    <w:rsid w:val="00B37E31"/>
    <w:rsid w:val="00B40919"/>
    <w:rsid w:val="00B40A2E"/>
    <w:rsid w:val="00B40A8C"/>
    <w:rsid w:val="00B40D33"/>
    <w:rsid w:val="00B411AE"/>
    <w:rsid w:val="00B41265"/>
    <w:rsid w:val="00B4130C"/>
    <w:rsid w:val="00B41341"/>
    <w:rsid w:val="00B41939"/>
    <w:rsid w:val="00B41C6F"/>
    <w:rsid w:val="00B41D0A"/>
    <w:rsid w:val="00B41FC4"/>
    <w:rsid w:val="00B42093"/>
    <w:rsid w:val="00B42239"/>
    <w:rsid w:val="00B424AC"/>
    <w:rsid w:val="00B4257A"/>
    <w:rsid w:val="00B42779"/>
    <w:rsid w:val="00B428A8"/>
    <w:rsid w:val="00B42A6C"/>
    <w:rsid w:val="00B42C74"/>
    <w:rsid w:val="00B42DCA"/>
    <w:rsid w:val="00B431EE"/>
    <w:rsid w:val="00B4324E"/>
    <w:rsid w:val="00B4329D"/>
    <w:rsid w:val="00B43315"/>
    <w:rsid w:val="00B43871"/>
    <w:rsid w:val="00B439E0"/>
    <w:rsid w:val="00B446A6"/>
    <w:rsid w:val="00B4497C"/>
    <w:rsid w:val="00B449E9"/>
    <w:rsid w:val="00B44C28"/>
    <w:rsid w:val="00B44CCC"/>
    <w:rsid w:val="00B44F80"/>
    <w:rsid w:val="00B44F90"/>
    <w:rsid w:val="00B45022"/>
    <w:rsid w:val="00B45173"/>
    <w:rsid w:val="00B451DD"/>
    <w:rsid w:val="00B455D6"/>
    <w:rsid w:val="00B45747"/>
    <w:rsid w:val="00B457CC"/>
    <w:rsid w:val="00B45896"/>
    <w:rsid w:val="00B45DFB"/>
    <w:rsid w:val="00B45E08"/>
    <w:rsid w:val="00B46246"/>
    <w:rsid w:val="00B462F8"/>
    <w:rsid w:val="00B4638D"/>
    <w:rsid w:val="00B4674E"/>
    <w:rsid w:val="00B4688A"/>
    <w:rsid w:val="00B46ABB"/>
    <w:rsid w:val="00B46BB8"/>
    <w:rsid w:val="00B46BD5"/>
    <w:rsid w:val="00B46BF1"/>
    <w:rsid w:val="00B46E65"/>
    <w:rsid w:val="00B472A7"/>
    <w:rsid w:val="00B472AA"/>
    <w:rsid w:val="00B4743A"/>
    <w:rsid w:val="00B474B3"/>
    <w:rsid w:val="00B47A35"/>
    <w:rsid w:val="00B47C05"/>
    <w:rsid w:val="00B47F48"/>
    <w:rsid w:val="00B47FE5"/>
    <w:rsid w:val="00B500A9"/>
    <w:rsid w:val="00B504DB"/>
    <w:rsid w:val="00B50615"/>
    <w:rsid w:val="00B50B3F"/>
    <w:rsid w:val="00B50B77"/>
    <w:rsid w:val="00B511DE"/>
    <w:rsid w:val="00B5174E"/>
    <w:rsid w:val="00B51A8F"/>
    <w:rsid w:val="00B51E26"/>
    <w:rsid w:val="00B51E8B"/>
    <w:rsid w:val="00B521B3"/>
    <w:rsid w:val="00B52257"/>
    <w:rsid w:val="00B5226F"/>
    <w:rsid w:val="00B522B8"/>
    <w:rsid w:val="00B5231B"/>
    <w:rsid w:val="00B5243E"/>
    <w:rsid w:val="00B52450"/>
    <w:rsid w:val="00B52822"/>
    <w:rsid w:val="00B528A1"/>
    <w:rsid w:val="00B528B4"/>
    <w:rsid w:val="00B53003"/>
    <w:rsid w:val="00B53061"/>
    <w:rsid w:val="00B532D6"/>
    <w:rsid w:val="00B53325"/>
    <w:rsid w:val="00B5338E"/>
    <w:rsid w:val="00B5375C"/>
    <w:rsid w:val="00B537E5"/>
    <w:rsid w:val="00B53BE5"/>
    <w:rsid w:val="00B53F34"/>
    <w:rsid w:val="00B53F5D"/>
    <w:rsid w:val="00B53FAD"/>
    <w:rsid w:val="00B54098"/>
    <w:rsid w:val="00B545E5"/>
    <w:rsid w:val="00B549E0"/>
    <w:rsid w:val="00B54B70"/>
    <w:rsid w:val="00B54E8E"/>
    <w:rsid w:val="00B55056"/>
    <w:rsid w:val="00B551D5"/>
    <w:rsid w:val="00B5532A"/>
    <w:rsid w:val="00B5537E"/>
    <w:rsid w:val="00B55494"/>
    <w:rsid w:val="00B554B7"/>
    <w:rsid w:val="00B5561F"/>
    <w:rsid w:val="00B55629"/>
    <w:rsid w:val="00B55686"/>
    <w:rsid w:val="00B5573B"/>
    <w:rsid w:val="00B55758"/>
    <w:rsid w:val="00B558C2"/>
    <w:rsid w:val="00B55AAD"/>
    <w:rsid w:val="00B55F0E"/>
    <w:rsid w:val="00B56043"/>
    <w:rsid w:val="00B56235"/>
    <w:rsid w:val="00B56471"/>
    <w:rsid w:val="00B5650A"/>
    <w:rsid w:val="00B565CD"/>
    <w:rsid w:val="00B565EE"/>
    <w:rsid w:val="00B569A1"/>
    <w:rsid w:val="00B56B67"/>
    <w:rsid w:val="00B56ED0"/>
    <w:rsid w:val="00B56F07"/>
    <w:rsid w:val="00B56F9A"/>
    <w:rsid w:val="00B5713B"/>
    <w:rsid w:val="00B571BB"/>
    <w:rsid w:val="00B57401"/>
    <w:rsid w:val="00B5784A"/>
    <w:rsid w:val="00B57B27"/>
    <w:rsid w:val="00B57BCB"/>
    <w:rsid w:val="00B57ECC"/>
    <w:rsid w:val="00B57F06"/>
    <w:rsid w:val="00B57FE3"/>
    <w:rsid w:val="00B60197"/>
    <w:rsid w:val="00B60372"/>
    <w:rsid w:val="00B60374"/>
    <w:rsid w:val="00B606BB"/>
    <w:rsid w:val="00B60768"/>
    <w:rsid w:val="00B60934"/>
    <w:rsid w:val="00B60BE6"/>
    <w:rsid w:val="00B6136A"/>
    <w:rsid w:val="00B613BF"/>
    <w:rsid w:val="00B61540"/>
    <w:rsid w:val="00B6182A"/>
    <w:rsid w:val="00B61A8F"/>
    <w:rsid w:val="00B61B8B"/>
    <w:rsid w:val="00B61C9E"/>
    <w:rsid w:val="00B61CA2"/>
    <w:rsid w:val="00B62009"/>
    <w:rsid w:val="00B62BE8"/>
    <w:rsid w:val="00B62C75"/>
    <w:rsid w:val="00B62E7C"/>
    <w:rsid w:val="00B63590"/>
    <w:rsid w:val="00B63611"/>
    <w:rsid w:val="00B63BB8"/>
    <w:rsid w:val="00B63D06"/>
    <w:rsid w:val="00B64002"/>
    <w:rsid w:val="00B6422B"/>
    <w:rsid w:val="00B643F7"/>
    <w:rsid w:val="00B64537"/>
    <w:rsid w:val="00B64686"/>
    <w:rsid w:val="00B646C0"/>
    <w:rsid w:val="00B649DA"/>
    <w:rsid w:val="00B64B25"/>
    <w:rsid w:val="00B64BDD"/>
    <w:rsid w:val="00B64DC1"/>
    <w:rsid w:val="00B64E30"/>
    <w:rsid w:val="00B65029"/>
    <w:rsid w:val="00B65114"/>
    <w:rsid w:val="00B65238"/>
    <w:rsid w:val="00B6529B"/>
    <w:rsid w:val="00B654BF"/>
    <w:rsid w:val="00B65510"/>
    <w:rsid w:val="00B6552A"/>
    <w:rsid w:val="00B65DE7"/>
    <w:rsid w:val="00B66260"/>
    <w:rsid w:val="00B6636A"/>
    <w:rsid w:val="00B6641F"/>
    <w:rsid w:val="00B66934"/>
    <w:rsid w:val="00B66A6F"/>
    <w:rsid w:val="00B66DBA"/>
    <w:rsid w:val="00B6709B"/>
    <w:rsid w:val="00B67194"/>
    <w:rsid w:val="00B677DA"/>
    <w:rsid w:val="00B67C7C"/>
    <w:rsid w:val="00B67D56"/>
    <w:rsid w:val="00B67F29"/>
    <w:rsid w:val="00B67F44"/>
    <w:rsid w:val="00B70036"/>
    <w:rsid w:val="00B70469"/>
    <w:rsid w:val="00B708B8"/>
    <w:rsid w:val="00B70B48"/>
    <w:rsid w:val="00B70E72"/>
    <w:rsid w:val="00B711A8"/>
    <w:rsid w:val="00B71261"/>
    <w:rsid w:val="00B713C1"/>
    <w:rsid w:val="00B71A20"/>
    <w:rsid w:val="00B71BD6"/>
    <w:rsid w:val="00B71EC3"/>
    <w:rsid w:val="00B71F29"/>
    <w:rsid w:val="00B71F2A"/>
    <w:rsid w:val="00B72093"/>
    <w:rsid w:val="00B7217E"/>
    <w:rsid w:val="00B72568"/>
    <w:rsid w:val="00B72595"/>
    <w:rsid w:val="00B728D1"/>
    <w:rsid w:val="00B72AEE"/>
    <w:rsid w:val="00B73280"/>
    <w:rsid w:val="00B73508"/>
    <w:rsid w:val="00B7388B"/>
    <w:rsid w:val="00B73972"/>
    <w:rsid w:val="00B73CBF"/>
    <w:rsid w:val="00B74258"/>
    <w:rsid w:val="00B742FA"/>
    <w:rsid w:val="00B74318"/>
    <w:rsid w:val="00B7492B"/>
    <w:rsid w:val="00B74BA3"/>
    <w:rsid w:val="00B74C60"/>
    <w:rsid w:val="00B74E4A"/>
    <w:rsid w:val="00B75327"/>
    <w:rsid w:val="00B75392"/>
    <w:rsid w:val="00B7560D"/>
    <w:rsid w:val="00B759F2"/>
    <w:rsid w:val="00B75AF0"/>
    <w:rsid w:val="00B75C83"/>
    <w:rsid w:val="00B75FD2"/>
    <w:rsid w:val="00B76249"/>
    <w:rsid w:val="00B7629D"/>
    <w:rsid w:val="00B763EC"/>
    <w:rsid w:val="00B76421"/>
    <w:rsid w:val="00B76476"/>
    <w:rsid w:val="00B765AF"/>
    <w:rsid w:val="00B7680A"/>
    <w:rsid w:val="00B76AA8"/>
    <w:rsid w:val="00B76D5C"/>
    <w:rsid w:val="00B76EB9"/>
    <w:rsid w:val="00B77725"/>
    <w:rsid w:val="00B77A43"/>
    <w:rsid w:val="00B77C14"/>
    <w:rsid w:val="00B77F16"/>
    <w:rsid w:val="00B80037"/>
    <w:rsid w:val="00B80087"/>
    <w:rsid w:val="00B800C5"/>
    <w:rsid w:val="00B803DD"/>
    <w:rsid w:val="00B804B9"/>
    <w:rsid w:val="00B80728"/>
    <w:rsid w:val="00B807DB"/>
    <w:rsid w:val="00B80DFF"/>
    <w:rsid w:val="00B80F15"/>
    <w:rsid w:val="00B80F80"/>
    <w:rsid w:val="00B81307"/>
    <w:rsid w:val="00B81529"/>
    <w:rsid w:val="00B815D2"/>
    <w:rsid w:val="00B816CE"/>
    <w:rsid w:val="00B81841"/>
    <w:rsid w:val="00B81A46"/>
    <w:rsid w:val="00B81BDD"/>
    <w:rsid w:val="00B81C3B"/>
    <w:rsid w:val="00B81CAB"/>
    <w:rsid w:val="00B81EC0"/>
    <w:rsid w:val="00B8242C"/>
    <w:rsid w:val="00B82520"/>
    <w:rsid w:val="00B82580"/>
    <w:rsid w:val="00B827FF"/>
    <w:rsid w:val="00B8280C"/>
    <w:rsid w:val="00B82D24"/>
    <w:rsid w:val="00B831B5"/>
    <w:rsid w:val="00B8339C"/>
    <w:rsid w:val="00B835AC"/>
    <w:rsid w:val="00B83675"/>
    <w:rsid w:val="00B8385B"/>
    <w:rsid w:val="00B838D7"/>
    <w:rsid w:val="00B83AE9"/>
    <w:rsid w:val="00B83D6F"/>
    <w:rsid w:val="00B83F1F"/>
    <w:rsid w:val="00B842A1"/>
    <w:rsid w:val="00B84304"/>
    <w:rsid w:val="00B8445D"/>
    <w:rsid w:val="00B844DA"/>
    <w:rsid w:val="00B8459D"/>
    <w:rsid w:val="00B8464D"/>
    <w:rsid w:val="00B846E1"/>
    <w:rsid w:val="00B847D7"/>
    <w:rsid w:val="00B8489A"/>
    <w:rsid w:val="00B85505"/>
    <w:rsid w:val="00B8572C"/>
    <w:rsid w:val="00B85901"/>
    <w:rsid w:val="00B85C41"/>
    <w:rsid w:val="00B85E32"/>
    <w:rsid w:val="00B85EDB"/>
    <w:rsid w:val="00B85F72"/>
    <w:rsid w:val="00B860C0"/>
    <w:rsid w:val="00B86384"/>
    <w:rsid w:val="00B865BA"/>
    <w:rsid w:val="00B86619"/>
    <w:rsid w:val="00B86821"/>
    <w:rsid w:val="00B8684D"/>
    <w:rsid w:val="00B869BC"/>
    <w:rsid w:val="00B86E34"/>
    <w:rsid w:val="00B86E9B"/>
    <w:rsid w:val="00B87012"/>
    <w:rsid w:val="00B87015"/>
    <w:rsid w:val="00B8717D"/>
    <w:rsid w:val="00B87221"/>
    <w:rsid w:val="00B872FB"/>
    <w:rsid w:val="00B87497"/>
    <w:rsid w:val="00B874E5"/>
    <w:rsid w:val="00B87750"/>
    <w:rsid w:val="00B87839"/>
    <w:rsid w:val="00B878A6"/>
    <w:rsid w:val="00B878AA"/>
    <w:rsid w:val="00B87AFF"/>
    <w:rsid w:val="00B87C75"/>
    <w:rsid w:val="00B87DD0"/>
    <w:rsid w:val="00B87F65"/>
    <w:rsid w:val="00B9000E"/>
    <w:rsid w:val="00B9010E"/>
    <w:rsid w:val="00B902D2"/>
    <w:rsid w:val="00B904B9"/>
    <w:rsid w:val="00B9061C"/>
    <w:rsid w:val="00B906FB"/>
    <w:rsid w:val="00B9075E"/>
    <w:rsid w:val="00B90A67"/>
    <w:rsid w:val="00B90EB2"/>
    <w:rsid w:val="00B910A1"/>
    <w:rsid w:val="00B911E9"/>
    <w:rsid w:val="00B9130F"/>
    <w:rsid w:val="00B91529"/>
    <w:rsid w:val="00B9158B"/>
    <w:rsid w:val="00B9168E"/>
    <w:rsid w:val="00B916AB"/>
    <w:rsid w:val="00B91723"/>
    <w:rsid w:val="00B91892"/>
    <w:rsid w:val="00B91CB8"/>
    <w:rsid w:val="00B92052"/>
    <w:rsid w:val="00B9205E"/>
    <w:rsid w:val="00B9223B"/>
    <w:rsid w:val="00B924AC"/>
    <w:rsid w:val="00B92585"/>
    <w:rsid w:val="00B92AAB"/>
    <w:rsid w:val="00B92B76"/>
    <w:rsid w:val="00B92BAC"/>
    <w:rsid w:val="00B92C9A"/>
    <w:rsid w:val="00B92E9F"/>
    <w:rsid w:val="00B92EDB"/>
    <w:rsid w:val="00B92F02"/>
    <w:rsid w:val="00B92FAE"/>
    <w:rsid w:val="00B93207"/>
    <w:rsid w:val="00B93351"/>
    <w:rsid w:val="00B93663"/>
    <w:rsid w:val="00B936D8"/>
    <w:rsid w:val="00B93721"/>
    <w:rsid w:val="00B93AE3"/>
    <w:rsid w:val="00B93CBA"/>
    <w:rsid w:val="00B93D63"/>
    <w:rsid w:val="00B93F0B"/>
    <w:rsid w:val="00B93FAF"/>
    <w:rsid w:val="00B94056"/>
    <w:rsid w:val="00B940C5"/>
    <w:rsid w:val="00B944F3"/>
    <w:rsid w:val="00B94728"/>
    <w:rsid w:val="00B94742"/>
    <w:rsid w:val="00B947AF"/>
    <w:rsid w:val="00B948DE"/>
    <w:rsid w:val="00B94B6D"/>
    <w:rsid w:val="00B94C67"/>
    <w:rsid w:val="00B95095"/>
    <w:rsid w:val="00B95389"/>
    <w:rsid w:val="00B957D4"/>
    <w:rsid w:val="00B95B53"/>
    <w:rsid w:val="00B95BED"/>
    <w:rsid w:val="00B95CC3"/>
    <w:rsid w:val="00B95DB3"/>
    <w:rsid w:val="00B961AF"/>
    <w:rsid w:val="00B961B2"/>
    <w:rsid w:val="00B9662B"/>
    <w:rsid w:val="00B96AC7"/>
    <w:rsid w:val="00B96BC2"/>
    <w:rsid w:val="00B96C84"/>
    <w:rsid w:val="00B96DA1"/>
    <w:rsid w:val="00B96DBD"/>
    <w:rsid w:val="00B9712D"/>
    <w:rsid w:val="00B97130"/>
    <w:rsid w:val="00B97287"/>
    <w:rsid w:val="00B972E3"/>
    <w:rsid w:val="00B9744A"/>
    <w:rsid w:val="00B97727"/>
    <w:rsid w:val="00B97910"/>
    <w:rsid w:val="00B97CB6"/>
    <w:rsid w:val="00B97F9D"/>
    <w:rsid w:val="00BA0017"/>
    <w:rsid w:val="00BA00B5"/>
    <w:rsid w:val="00BA00DC"/>
    <w:rsid w:val="00BA0117"/>
    <w:rsid w:val="00BA0A7E"/>
    <w:rsid w:val="00BA0AA1"/>
    <w:rsid w:val="00BA0AA9"/>
    <w:rsid w:val="00BA0D89"/>
    <w:rsid w:val="00BA0DE2"/>
    <w:rsid w:val="00BA0E57"/>
    <w:rsid w:val="00BA10AB"/>
    <w:rsid w:val="00BA10BF"/>
    <w:rsid w:val="00BA124E"/>
    <w:rsid w:val="00BA1289"/>
    <w:rsid w:val="00BA12BC"/>
    <w:rsid w:val="00BA158B"/>
    <w:rsid w:val="00BA17D6"/>
    <w:rsid w:val="00BA185D"/>
    <w:rsid w:val="00BA19BE"/>
    <w:rsid w:val="00BA1BD0"/>
    <w:rsid w:val="00BA1E22"/>
    <w:rsid w:val="00BA1EC4"/>
    <w:rsid w:val="00BA208C"/>
    <w:rsid w:val="00BA2133"/>
    <w:rsid w:val="00BA23DB"/>
    <w:rsid w:val="00BA2579"/>
    <w:rsid w:val="00BA2727"/>
    <w:rsid w:val="00BA2776"/>
    <w:rsid w:val="00BA2B72"/>
    <w:rsid w:val="00BA3353"/>
    <w:rsid w:val="00BA33AC"/>
    <w:rsid w:val="00BA33C7"/>
    <w:rsid w:val="00BA34BF"/>
    <w:rsid w:val="00BA39F3"/>
    <w:rsid w:val="00BA3B97"/>
    <w:rsid w:val="00BA3D4A"/>
    <w:rsid w:val="00BA422B"/>
    <w:rsid w:val="00BA48BC"/>
    <w:rsid w:val="00BA4D15"/>
    <w:rsid w:val="00BA5055"/>
    <w:rsid w:val="00BA5108"/>
    <w:rsid w:val="00BA548C"/>
    <w:rsid w:val="00BA548E"/>
    <w:rsid w:val="00BA54A9"/>
    <w:rsid w:val="00BA5B5E"/>
    <w:rsid w:val="00BA5C18"/>
    <w:rsid w:val="00BA626F"/>
    <w:rsid w:val="00BA6485"/>
    <w:rsid w:val="00BA679A"/>
    <w:rsid w:val="00BA694B"/>
    <w:rsid w:val="00BA6AD9"/>
    <w:rsid w:val="00BA6B8F"/>
    <w:rsid w:val="00BA6C5F"/>
    <w:rsid w:val="00BA6C89"/>
    <w:rsid w:val="00BA6E9E"/>
    <w:rsid w:val="00BA7139"/>
    <w:rsid w:val="00BA71D3"/>
    <w:rsid w:val="00BA752E"/>
    <w:rsid w:val="00BA75B4"/>
    <w:rsid w:val="00BA76AB"/>
    <w:rsid w:val="00BA7B54"/>
    <w:rsid w:val="00BA7E07"/>
    <w:rsid w:val="00BA7E4D"/>
    <w:rsid w:val="00BA7E8D"/>
    <w:rsid w:val="00BB01EE"/>
    <w:rsid w:val="00BB0957"/>
    <w:rsid w:val="00BB0ECC"/>
    <w:rsid w:val="00BB0F33"/>
    <w:rsid w:val="00BB1112"/>
    <w:rsid w:val="00BB1546"/>
    <w:rsid w:val="00BB1577"/>
    <w:rsid w:val="00BB1613"/>
    <w:rsid w:val="00BB17B6"/>
    <w:rsid w:val="00BB194E"/>
    <w:rsid w:val="00BB1CB3"/>
    <w:rsid w:val="00BB1FD2"/>
    <w:rsid w:val="00BB22C5"/>
    <w:rsid w:val="00BB22CE"/>
    <w:rsid w:val="00BB2AB2"/>
    <w:rsid w:val="00BB2ADB"/>
    <w:rsid w:val="00BB2AFC"/>
    <w:rsid w:val="00BB2E33"/>
    <w:rsid w:val="00BB31CA"/>
    <w:rsid w:val="00BB3614"/>
    <w:rsid w:val="00BB38F4"/>
    <w:rsid w:val="00BB3939"/>
    <w:rsid w:val="00BB3B40"/>
    <w:rsid w:val="00BB3D87"/>
    <w:rsid w:val="00BB3E01"/>
    <w:rsid w:val="00BB3E13"/>
    <w:rsid w:val="00BB3E4C"/>
    <w:rsid w:val="00BB3ED8"/>
    <w:rsid w:val="00BB4182"/>
    <w:rsid w:val="00BB41DF"/>
    <w:rsid w:val="00BB43D7"/>
    <w:rsid w:val="00BB4764"/>
    <w:rsid w:val="00BB48EA"/>
    <w:rsid w:val="00BB4B31"/>
    <w:rsid w:val="00BB4E47"/>
    <w:rsid w:val="00BB4EDF"/>
    <w:rsid w:val="00BB4FF6"/>
    <w:rsid w:val="00BB5047"/>
    <w:rsid w:val="00BB5146"/>
    <w:rsid w:val="00BB5431"/>
    <w:rsid w:val="00BB5CFF"/>
    <w:rsid w:val="00BB5E68"/>
    <w:rsid w:val="00BB63EC"/>
    <w:rsid w:val="00BB658C"/>
    <w:rsid w:val="00BB6697"/>
    <w:rsid w:val="00BB6D72"/>
    <w:rsid w:val="00BB6F49"/>
    <w:rsid w:val="00BB6F7A"/>
    <w:rsid w:val="00BB7086"/>
    <w:rsid w:val="00BB712C"/>
    <w:rsid w:val="00BB71E8"/>
    <w:rsid w:val="00BB7400"/>
    <w:rsid w:val="00BB74FF"/>
    <w:rsid w:val="00BB7641"/>
    <w:rsid w:val="00BB76F7"/>
    <w:rsid w:val="00BB77E5"/>
    <w:rsid w:val="00BB7802"/>
    <w:rsid w:val="00BB7F17"/>
    <w:rsid w:val="00BC01F8"/>
    <w:rsid w:val="00BC0226"/>
    <w:rsid w:val="00BC02C7"/>
    <w:rsid w:val="00BC0626"/>
    <w:rsid w:val="00BC0B05"/>
    <w:rsid w:val="00BC0C0F"/>
    <w:rsid w:val="00BC0E09"/>
    <w:rsid w:val="00BC0F98"/>
    <w:rsid w:val="00BC10C6"/>
    <w:rsid w:val="00BC15D2"/>
    <w:rsid w:val="00BC1970"/>
    <w:rsid w:val="00BC2074"/>
    <w:rsid w:val="00BC20EE"/>
    <w:rsid w:val="00BC216B"/>
    <w:rsid w:val="00BC237E"/>
    <w:rsid w:val="00BC23E4"/>
    <w:rsid w:val="00BC247C"/>
    <w:rsid w:val="00BC248A"/>
    <w:rsid w:val="00BC2517"/>
    <w:rsid w:val="00BC25A5"/>
    <w:rsid w:val="00BC2646"/>
    <w:rsid w:val="00BC26E1"/>
    <w:rsid w:val="00BC285D"/>
    <w:rsid w:val="00BC2920"/>
    <w:rsid w:val="00BC2A74"/>
    <w:rsid w:val="00BC2B68"/>
    <w:rsid w:val="00BC31AC"/>
    <w:rsid w:val="00BC32B9"/>
    <w:rsid w:val="00BC32C6"/>
    <w:rsid w:val="00BC3447"/>
    <w:rsid w:val="00BC376D"/>
    <w:rsid w:val="00BC38DE"/>
    <w:rsid w:val="00BC3A2D"/>
    <w:rsid w:val="00BC3A42"/>
    <w:rsid w:val="00BC3A9C"/>
    <w:rsid w:val="00BC3C13"/>
    <w:rsid w:val="00BC3D6F"/>
    <w:rsid w:val="00BC3EC3"/>
    <w:rsid w:val="00BC40C7"/>
    <w:rsid w:val="00BC40E2"/>
    <w:rsid w:val="00BC449A"/>
    <w:rsid w:val="00BC46FA"/>
    <w:rsid w:val="00BC498A"/>
    <w:rsid w:val="00BC4B4E"/>
    <w:rsid w:val="00BC4BC7"/>
    <w:rsid w:val="00BC4DCF"/>
    <w:rsid w:val="00BC4F97"/>
    <w:rsid w:val="00BC5068"/>
    <w:rsid w:val="00BC51AB"/>
    <w:rsid w:val="00BC53DE"/>
    <w:rsid w:val="00BC55E6"/>
    <w:rsid w:val="00BC5938"/>
    <w:rsid w:val="00BC622B"/>
    <w:rsid w:val="00BC622C"/>
    <w:rsid w:val="00BC67A9"/>
    <w:rsid w:val="00BC6990"/>
    <w:rsid w:val="00BC6AA0"/>
    <w:rsid w:val="00BC6F63"/>
    <w:rsid w:val="00BC6FBA"/>
    <w:rsid w:val="00BC704A"/>
    <w:rsid w:val="00BC7437"/>
    <w:rsid w:val="00BC775A"/>
    <w:rsid w:val="00BC77B4"/>
    <w:rsid w:val="00BC7C49"/>
    <w:rsid w:val="00BC7FDB"/>
    <w:rsid w:val="00BD0552"/>
    <w:rsid w:val="00BD0813"/>
    <w:rsid w:val="00BD0835"/>
    <w:rsid w:val="00BD0912"/>
    <w:rsid w:val="00BD092D"/>
    <w:rsid w:val="00BD0D39"/>
    <w:rsid w:val="00BD0D4D"/>
    <w:rsid w:val="00BD121E"/>
    <w:rsid w:val="00BD1301"/>
    <w:rsid w:val="00BD151B"/>
    <w:rsid w:val="00BD15AE"/>
    <w:rsid w:val="00BD1761"/>
    <w:rsid w:val="00BD1BCA"/>
    <w:rsid w:val="00BD1BFF"/>
    <w:rsid w:val="00BD1ED0"/>
    <w:rsid w:val="00BD1F8E"/>
    <w:rsid w:val="00BD23F6"/>
    <w:rsid w:val="00BD241F"/>
    <w:rsid w:val="00BD2C89"/>
    <w:rsid w:val="00BD317E"/>
    <w:rsid w:val="00BD31E0"/>
    <w:rsid w:val="00BD327A"/>
    <w:rsid w:val="00BD3285"/>
    <w:rsid w:val="00BD3296"/>
    <w:rsid w:val="00BD340C"/>
    <w:rsid w:val="00BD3588"/>
    <w:rsid w:val="00BD371C"/>
    <w:rsid w:val="00BD3AB9"/>
    <w:rsid w:val="00BD3C6C"/>
    <w:rsid w:val="00BD3D37"/>
    <w:rsid w:val="00BD3E31"/>
    <w:rsid w:val="00BD403D"/>
    <w:rsid w:val="00BD4321"/>
    <w:rsid w:val="00BD44C8"/>
    <w:rsid w:val="00BD45B4"/>
    <w:rsid w:val="00BD45E4"/>
    <w:rsid w:val="00BD48DD"/>
    <w:rsid w:val="00BD4A13"/>
    <w:rsid w:val="00BD4C43"/>
    <w:rsid w:val="00BD535F"/>
    <w:rsid w:val="00BD538F"/>
    <w:rsid w:val="00BD5490"/>
    <w:rsid w:val="00BD558E"/>
    <w:rsid w:val="00BD56D2"/>
    <w:rsid w:val="00BD570D"/>
    <w:rsid w:val="00BD573A"/>
    <w:rsid w:val="00BD57AA"/>
    <w:rsid w:val="00BD5911"/>
    <w:rsid w:val="00BD5AF8"/>
    <w:rsid w:val="00BD5C05"/>
    <w:rsid w:val="00BD5CEB"/>
    <w:rsid w:val="00BD62CC"/>
    <w:rsid w:val="00BD62F7"/>
    <w:rsid w:val="00BD6372"/>
    <w:rsid w:val="00BD67D0"/>
    <w:rsid w:val="00BD7002"/>
    <w:rsid w:val="00BD7029"/>
    <w:rsid w:val="00BD7411"/>
    <w:rsid w:val="00BD75E6"/>
    <w:rsid w:val="00BD763C"/>
    <w:rsid w:val="00BD76BA"/>
    <w:rsid w:val="00BD7909"/>
    <w:rsid w:val="00BD794C"/>
    <w:rsid w:val="00BD795E"/>
    <w:rsid w:val="00BD79C8"/>
    <w:rsid w:val="00BD7AB3"/>
    <w:rsid w:val="00BD7CC6"/>
    <w:rsid w:val="00BD7DDC"/>
    <w:rsid w:val="00BD7EE0"/>
    <w:rsid w:val="00BD7FCB"/>
    <w:rsid w:val="00BE0008"/>
    <w:rsid w:val="00BE0099"/>
    <w:rsid w:val="00BE0328"/>
    <w:rsid w:val="00BE0492"/>
    <w:rsid w:val="00BE0729"/>
    <w:rsid w:val="00BE0A91"/>
    <w:rsid w:val="00BE0BAA"/>
    <w:rsid w:val="00BE0D31"/>
    <w:rsid w:val="00BE1256"/>
    <w:rsid w:val="00BE12AF"/>
    <w:rsid w:val="00BE1612"/>
    <w:rsid w:val="00BE1757"/>
    <w:rsid w:val="00BE1A2C"/>
    <w:rsid w:val="00BE1E53"/>
    <w:rsid w:val="00BE1F42"/>
    <w:rsid w:val="00BE237F"/>
    <w:rsid w:val="00BE2459"/>
    <w:rsid w:val="00BE27C6"/>
    <w:rsid w:val="00BE28C5"/>
    <w:rsid w:val="00BE2B84"/>
    <w:rsid w:val="00BE2BAC"/>
    <w:rsid w:val="00BE2D83"/>
    <w:rsid w:val="00BE2F30"/>
    <w:rsid w:val="00BE30E7"/>
    <w:rsid w:val="00BE313C"/>
    <w:rsid w:val="00BE36B8"/>
    <w:rsid w:val="00BE38CB"/>
    <w:rsid w:val="00BE3972"/>
    <w:rsid w:val="00BE39A4"/>
    <w:rsid w:val="00BE3B95"/>
    <w:rsid w:val="00BE3C7B"/>
    <w:rsid w:val="00BE3CBD"/>
    <w:rsid w:val="00BE3DFF"/>
    <w:rsid w:val="00BE3E51"/>
    <w:rsid w:val="00BE3FA6"/>
    <w:rsid w:val="00BE400E"/>
    <w:rsid w:val="00BE40C2"/>
    <w:rsid w:val="00BE42C7"/>
    <w:rsid w:val="00BE42F2"/>
    <w:rsid w:val="00BE446D"/>
    <w:rsid w:val="00BE4545"/>
    <w:rsid w:val="00BE45AB"/>
    <w:rsid w:val="00BE4961"/>
    <w:rsid w:val="00BE4C25"/>
    <w:rsid w:val="00BE4D57"/>
    <w:rsid w:val="00BE5023"/>
    <w:rsid w:val="00BE50B0"/>
    <w:rsid w:val="00BE513A"/>
    <w:rsid w:val="00BE5298"/>
    <w:rsid w:val="00BE5374"/>
    <w:rsid w:val="00BE56A0"/>
    <w:rsid w:val="00BE5AC4"/>
    <w:rsid w:val="00BE5B91"/>
    <w:rsid w:val="00BE5DB8"/>
    <w:rsid w:val="00BE615B"/>
    <w:rsid w:val="00BE63E8"/>
    <w:rsid w:val="00BE64BA"/>
    <w:rsid w:val="00BE6698"/>
    <w:rsid w:val="00BE66A0"/>
    <w:rsid w:val="00BE693C"/>
    <w:rsid w:val="00BE6EE8"/>
    <w:rsid w:val="00BE7142"/>
    <w:rsid w:val="00BE73CE"/>
    <w:rsid w:val="00BE7C12"/>
    <w:rsid w:val="00BE7C4E"/>
    <w:rsid w:val="00BE7D9E"/>
    <w:rsid w:val="00BF00ED"/>
    <w:rsid w:val="00BF02BC"/>
    <w:rsid w:val="00BF03F9"/>
    <w:rsid w:val="00BF049D"/>
    <w:rsid w:val="00BF08B1"/>
    <w:rsid w:val="00BF0A7C"/>
    <w:rsid w:val="00BF0C96"/>
    <w:rsid w:val="00BF0D91"/>
    <w:rsid w:val="00BF0E33"/>
    <w:rsid w:val="00BF10BA"/>
    <w:rsid w:val="00BF10FC"/>
    <w:rsid w:val="00BF114F"/>
    <w:rsid w:val="00BF11C7"/>
    <w:rsid w:val="00BF13B0"/>
    <w:rsid w:val="00BF1A9E"/>
    <w:rsid w:val="00BF1D3F"/>
    <w:rsid w:val="00BF1F07"/>
    <w:rsid w:val="00BF2152"/>
    <w:rsid w:val="00BF217D"/>
    <w:rsid w:val="00BF22A2"/>
    <w:rsid w:val="00BF230D"/>
    <w:rsid w:val="00BF2399"/>
    <w:rsid w:val="00BF2620"/>
    <w:rsid w:val="00BF2BAE"/>
    <w:rsid w:val="00BF2E42"/>
    <w:rsid w:val="00BF31D6"/>
    <w:rsid w:val="00BF3413"/>
    <w:rsid w:val="00BF341E"/>
    <w:rsid w:val="00BF388A"/>
    <w:rsid w:val="00BF3976"/>
    <w:rsid w:val="00BF3A72"/>
    <w:rsid w:val="00BF3B14"/>
    <w:rsid w:val="00BF3BB0"/>
    <w:rsid w:val="00BF3D3B"/>
    <w:rsid w:val="00BF3EBD"/>
    <w:rsid w:val="00BF40B2"/>
    <w:rsid w:val="00BF4185"/>
    <w:rsid w:val="00BF4471"/>
    <w:rsid w:val="00BF45D7"/>
    <w:rsid w:val="00BF469D"/>
    <w:rsid w:val="00BF47B5"/>
    <w:rsid w:val="00BF481D"/>
    <w:rsid w:val="00BF4B6E"/>
    <w:rsid w:val="00BF4BE7"/>
    <w:rsid w:val="00BF4D38"/>
    <w:rsid w:val="00BF4DDB"/>
    <w:rsid w:val="00BF53D5"/>
    <w:rsid w:val="00BF57B3"/>
    <w:rsid w:val="00BF5814"/>
    <w:rsid w:val="00BF5914"/>
    <w:rsid w:val="00BF5C14"/>
    <w:rsid w:val="00BF5FB3"/>
    <w:rsid w:val="00BF6065"/>
    <w:rsid w:val="00BF6178"/>
    <w:rsid w:val="00BF61E0"/>
    <w:rsid w:val="00BF621B"/>
    <w:rsid w:val="00BF639D"/>
    <w:rsid w:val="00BF6512"/>
    <w:rsid w:val="00BF6710"/>
    <w:rsid w:val="00BF6716"/>
    <w:rsid w:val="00BF699F"/>
    <w:rsid w:val="00BF6AF2"/>
    <w:rsid w:val="00BF6CCE"/>
    <w:rsid w:val="00BF6EF8"/>
    <w:rsid w:val="00BF6F2C"/>
    <w:rsid w:val="00BF6FDD"/>
    <w:rsid w:val="00BF70AF"/>
    <w:rsid w:val="00BF70F3"/>
    <w:rsid w:val="00BF77D0"/>
    <w:rsid w:val="00BF7CE1"/>
    <w:rsid w:val="00C000AB"/>
    <w:rsid w:val="00C0061C"/>
    <w:rsid w:val="00C00770"/>
    <w:rsid w:val="00C00B3B"/>
    <w:rsid w:val="00C00BE1"/>
    <w:rsid w:val="00C00CFD"/>
    <w:rsid w:val="00C01118"/>
    <w:rsid w:val="00C0185C"/>
    <w:rsid w:val="00C0189E"/>
    <w:rsid w:val="00C01AE9"/>
    <w:rsid w:val="00C01C5F"/>
    <w:rsid w:val="00C01C70"/>
    <w:rsid w:val="00C01CE3"/>
    <w:rsid w:val="00C01D77"/>
    <w:rsid w:val="00C024C0"/>
    <w:rsid w:val="00C026B6"/>
    <w:rsid w:val="00C02992"/>
    <w:rsid w:val="00C029F3"/>
    <w:rsid w:val="00C02A17"/>
    <w:rsid w:val="00C02C10"/>
    <w:rsid w:val="00C02FE2"/>
    <w:rsid w:val="00C030EE"/>
    <w:rsid w:val="00C0314B"/>
    <w:rsid w:val="00C035AE"/>
    <w:rsid w:val="00C035E3"/>
    <w:rsid w:val="00C0381C"/>
    <w:rsid w:val="00C03D56"/>
    <w:rsid w:val="00C0403E"/>
    <w:rsid w:val="00C04090"/>
    <w:rsid w:val="00C04142"/>
    <w:rsid w:val="00C0427F"/>
    <w:rsid w:val="00C04603"/>
    <w:rsid w:val="00C04760"/>
    <w:rsid w:val="00C04A02"/>
    <w:rsid w:val="00C04BB9"/>
    <w:rsid w:val="00C04C81"/>
    <w:rsid w:val="00C04CE1"/>
    <w:rsid w:val="00C04CFC"/>
    <w:rsid w:val="00C05113"/>
    <w:rsid w:val="00C051E5"/>
    <w:rsid w:val="00C054A3"/>
    <w:rsid w:val="00C054C7"/>
    <w:rsid w:val="00C059F3"/>
    <w:rsid w:val="00C05AA5"/>
    <w:rsid w:val="00C05E07"/>
    <w:rsid w:val="00C05EEF"/>
    <w:rsid w:val="00C05F4C"/>
    <w:rsid w:val="00C0608F"/>
    <w:rsid w:val="00C06596"/>
    <w:rsid w:val="00C066BE"/>
    <w:rsid w:val="00C06706"/>
    <w:rsid w:val="00C06875"/>
    <w:rsid w:val="00C069F2"/>
    <w:rsid w:val="00C06AD2"/>
    <w:rsid w:val="00C06D34"/>
    <w:rsid w:val="00C06D54"/>
    <w:rsid w:val="00C076BC"/>
    <w:rsid w:val="00C07701"/>
    <w:rsid w:val="00C07AEF"/>
    <w:rsid w:val="00C07DC8"/>
    <w:rsid w:val="00C1029C"/>
    <w:rsid w:val="00C102B5"/>
    <w:rsid w:val="00C10426"/>
    <w:rsid w:val="00C1067D"/>
    <w:rsid w:val="00C10971"/>
    <w:rsid w:val="00C10ABC"/>
    <w:rsid w:val="00C10F33"/>
    <w:rsid w:val="00C110A8"/>
    <w:rsid w:val="00C110F7"/>
    <w:rsid w:val="00C1117F"/>
    <w:rsid w:val="00C111D3"/>
    <w:rsid w:val="00C11208"/>
    <w:rsid w:val="00C11376"/>
    <w:rsid w:val="00C113FA"/>
    <w:rsid w:val="00C114C7"/>
    <w:rsid w:val="00C11670"/>
    <w:rsid w:val="00C11976"/>
    <w:rsid w:val="00C11B34"/>
    <w:rsid w:val="00C11C08"/>
    <w:rsid w:val="00C11E53"/>
    <w:rsid w:val="00C11E97"/>
    <w:rsid w:val="00C12066"/>
    <w:rsid w:val="00C12456"/>
    <w:rsid w:val="00C125E9"/>
    <w:rsid w:val="00C12AE7"/>
    <w:rsid w:val="00C12C3D"/>
    <w:rsid w:val="00C12EDA"/>
    <w:rsid w:val="00C12F01"/>
    <w:rsid w:val="00C13697"/>
    <w:rsid w:val="00C137BF"/>
    <w:rsid w:val="00C13B8A"/>
    <w:rsid w:val="00C13C77"/>
    <w:rsid w:val="00C13CC2"/>
    <w:rsid w:val="00C13EAB"/>
    <w:rsid w:val="00C141CD"/>
    <w:rsid w:val="00C14296"/>
    <w:rsid w:val="00C14307"/>
    <w:rsid w:val="00C1436F"/>
    <w:rsid w:val="00C144B2"/>
    <w:rsid w:val="00C14753"/>
    <w:rsid w:val="00C148C1"/>
    <w:rsid w:val="00C14AE1"/>
    <w:rsid w:val="00C14EA6"/>
    <w:rsid w:val="00C1549A"/>
    <w:rsid w:val="00C15588"/>
    <w:rsid w:val="00C15629"/>
    <w:rsid w:val="00C15F47"/>
    <w:rsid w:val="00C16795"/>
    <w:rsid w:val="00C167F0"/>
    <w:rsid w:val="00C1683C"/>
    <w:rsid w:val="00C1689E"/>
    <w:rsid w:val="00C16AC7"/>
    <w:rsid w:val="00C16C5E"/>
    <w:rsid w:val="00C16E79"/>
    <w:rsid w:val="00C17004"/>
    <w:rsid w:val="00C1705C"/>
    <w:rsid w:val="00C17318"/>
    <w:rsid w:val="00C17433"/>
    <w:rsid w:val="00C174D5"/>
    <w:rsid w:val="00C1777B"/>
    <w:rsid w:val="00C17C04"/>
    <w:rsid w:val="00C17E31"/>
    <w:rsid w:val="00C203FD"/>
    <w:rsid w:val="00C20CB0"/>
    <w:rsid w:val="00C21196"/>
    <w:rsid w:val="00C212B9"/>
    <w:rsid w:val="00C212C0"/>
    <w:rsid w:val="00C2132E"/>
    <w:rsid w:val="00C2132F"/>
    <w:rsid w:val="00C21504"/>
    <w:rsid w:val="00C21515"/>
    <w:rsid w:val="00C2161D"/>
    <w:rsid w:val="00C21719"/>
    <w:rsid w:val="00C217F3"/>
    <w:rsid w:val="00C21B5E"/>
    <w:rsid w:val="00C21BA9"/>
    <w:rsid w:val="00C222FC"/>
    <w:rsid w:val="00C2267B"/>
    <w:rsid w:val="00C22841"/>
    <w:rsid w:val="00C2284B"/>
    <w:rsid w:val="00C228B6"/>
    <w:rsid w:val="00C22C36"/>
    <w:rsid w:val="00C23138"/>
    <w:rsid w:val="00C231CE"/>
    <w:rsid w:val="00C235CA"/>
    <w:rsid w:val="00C23649"/>
    <w:rsid w:val="00C23A53"/>
    <w:rsid w:val="00C23E1A"/>
    <w:rsid w:val="00C2407C"/>
    <w:rsid w:val="00C240D8"/>
    <w:rsid w:val="00C2415E"/>
    <w:rsid w:val="00C242C1"/>
    <w:rsid w:val="00C2447E"/>
    <w:rsid w:val="00C24543"/>
    <w:rsid w:val="00C24A9D"/>
    <w:rsid w:val="00C24DB9"/>
    <w:rsid w:val="00C2514F"/>
    <w:rsid w:val="00C25237"/>
    <w:rsid w:val="00C25396"/>
    <w:rsid w:val="00C254F0"/>
    <w:rsid w:val="00C25540"/>
    <w:rsid w:val="00C25C48"/>
    <w:rsid w:val="00C25CB9"/>
    <w:rsid w:val="00C26120"/>
    <w:rsid w:val="00C26126"/>
    <w:rsid w:val="00C261FB"/>
    <w:rsid w:val="00C262DB"/>
    <w:rsid w:val="00C26400"/>
    <w:rsid w:val="00C264DD"/>
    <w:rsid w:val="00C269DC"/>
    <w:rsid w:val="00C26BF5"/>
    <w:rsid w:val="00C26EC4"/>
    <w:rsid w:val="00C271FE"/>
    <w:rsid w:val="00C272DA"/>
    <w:rsid w:val="00C27481"/>
    <w:rsid w:val="00C27641"/>
    <w:rsid w:val="00C2774E"/>
    <w:rsid w:val="00C27994"/>
    <w:rsid w:val="00C27AFE"/>
    <w:rsid w:val="00C27B59"/>
    <w:rsid w:val="00C27BE4"/>
    <w:rsid w:val="00C27E3E"/>
    <w:rsid w:val="00C27EEC"/>
    <w:rsid w:val="00C3026C"/>
    <w:rsid w:val="00C30A41"/>
    <w:rsid w:val="00C30B77"/>
    <w:rsid w:val="00C30CF8"/>
    <w:rsid w:val="00C30DB8"/>
    <w:rsid w:val="00C31266"/>
    <w:rsid w:val="00C312B5"/>
    <w:rsid w:val="00C31654"/>
    <w:rsid w:val="00C3184A"/>
    <w:rsid w:val="00C31FAD"/>
    <w:rsid w:val="00C32312"/>
    <w:rsid w:val="00C324B1"/>
    <w:rsid w:val="00C3269D"/>
    <w:rsid w:val="00C32931"/>
    <w:rsid w:val="00C32E7A"/>
    <w:rsid w:val="00C32E97"/>
    <w:rsid w:val="00C330DC"/>
    <w:rsid w:val="00C334F5"/>
    <w:rsid w:val="00C3351B"/>
    <w:rsid w:val="00C3375F"/>
    <w:rsid w:val="00C33B4C"/>
    <w:rsid w:val="00C34280"/>
    <w:rsid w:val="00C342B3"/>
    <w:rsid w:val="00C343A9"/>
    <w:rsid w:val="00C3460B"/>
    <w:rsid w:val="00C3472F"/>
    <w:rsid w:val="00C34756"/>
    <w:rsid w:val="00C34972"/>
    <w:rsid w:val="00C34A94"/>
    <w:rsid w:val="00C34F98"/>
    <w:rsid w:val="00C35220"/>
    <w:rsid w:val="00C354FD"/>
    <w:rsid w:val="00C35622"/>
    <w:rsid w:val="00C35ABE"/>
    <w:rsid w:val="00C36001"/>
    <w:rsid w:val="00C3616D"/>
    <w:rsid w:val="00C36213"/>
    <w:rsid w:val="00C36304"/>
    <w:rsid w:val="00C3682A"/>
    <w:rsid w:val="00C36A4C"/>
    <w:rsid w:val="00C3722B"/>
    <w:rsid w:val="00C3729A"/>
    <w:rsid w:val="00C3745F"/>
    <w:rsid w:val="00C374B9"/>
    <w:rsid w:val="00C375DA"/>
    <w:rsid w:val="00C37630"/>
    <w:rsid w:val="00C37B86"/>
    <w:rsid w:val="00C37D11"/>
    <w:rsid w:val="00C37E5C"/>
    <w:rsid w:val="00C37E69"/>
    <w:rsid w:val="00C37EBF"/>
    <w:rsid w:val="00C400C9"/>
    <w:rsid w:val="00C4035D"/>
    <w:rsid w:val="00C407AA"/>
    <w:rsid w:val="00C408B7"/>
    <w:rsid w:val="00C40966"/>
    <w:rsid w:val="00C40AB9"/>
    <w:rsid w:val="00C41017"/>
    <w:rsid w:val="00C4113B"/>
    <w:rsid w:val="00C41227"/>
    <w:rsid w:val="00C41402"/>
    <w:rsid w:val="00C41447"/>
    <w:rsid w:val="00C414CB"/>
    <w:rsid w:val="00C41679"/>
    <w:rsid w:val="00C416D1"/>
    <w:rsid w:val="00C41739"/>
    <w:rsid w:val="00C41831"/>
    <w:rsid w:val="00C41AB5"/>
    <w:rsid w:val="00C41AFC"/>
    <w:rsid w:val="00C422BC"/>
    <w:rsid w:val="00C426F8"/>
    <w:rsid w:val="00C42762"/>
    <w:rsid w:val="00C427ED"/>
    <w:rsid w:val="00C42887"/>
    <w:rsid w:val="00C429DE"/>
    <w:rsid w:val="00C42A66"/>
    <w:rsid w:val="00C42AA5"/>
    <w:rsid w:val="00C42B47"/>
    <w:rsid w:val="00C42BA0"/>
    <w:rsid w:val="00C42DD8"/>
    <w:rsid w:val="00C42E6E"/>
    <w:rsid w:val="00C4388A"/>
    <w:rsid w:val="00C44104"/>
    <w:rsid w:val="00C44294"/>
    <w:rsid w:val="00C44573"/>
    <w:rsid w:val="00C447A3"/>
    <w:rsid w:val="00C448E5"/>
    <w:rsid w:val="00C44B1D"/>
    <w:rsid w:val="00C44BBE"/>
    <w:rsid w:val="00C44DD8"/>
    <w:rsid w:val="00C44EAE"/>
    <w:rsid w:val="00C4540F"/>
    <w:rsid w:val="00C4563E"/>
    <w:rsid w:val="00C45703"/>
    <w:rsid w:val="00C4575E"/>
    <w:rsid w:val="00C45762"/>
    <w:rsid w:val="00C45C19"/>
    <w:rsid w:val="00C460A8"/>
    <w:rsid w:val="00C469A4"/>
    <w:rsid w:val="00C46F3C"/>
    <w:rsid w:val="00C470B5"/>
    <w:rsid w:val="00C472D9"/>
    <w:rsid w:val="00C4739B"/>
    <w:rsid w:val="00C47AF3"/>
    <w:rsid w:val="00C47FDC"/>
    <w:rsid w:val="00C50324"/>
    <w:rsid w:val="00C50505"/>
    <w:rsid w:val="00C50718"/>
    <w:rsid w:val="00C507C3"/>
    <w:rsid w:val="00C50886"/>
    <w:rsid w:val="00C50912"/>
    <w:rsid w:val="00C50AF6"/>
    <w:rsid w:val="00C50B70"/>
    <w:rsid w:val="00C50C33"/>
    <w:rsid w:val="00C50D3E"/>
    <w:rsid w:val="00C50E57"/>
    <w:rsid w:val="00C51245"/>
    <w:rsid w:val="00C5152F"/>
    <w:rsid w:val="00C5187E"/>
    <w:rsid w:val="00C51B1D"/>
    <w:rsid w:val="00C51B44"/>
    <w:rsid w:val="00C51BD7"/>
    <w:rsid w:val="00C51E72"/>
    <w:rsid w:val="00C51EEA"/>
    <w:rsid w:val="00C52118"/>
    <w:rsid w:val="00C52188"/>
    <w:rsid w:val="00C52773"/>
    <w:rsid w:val="00C528FC"/>
    <w:rsid w:val="00C52ACE"/>
    <w:rsid w:val="00C52C2B"/>
    <w:rsid w:val="00C52D25"/>
    <w:rsid w:val="00C52EBE"/>
    <w:rsid w:val="00C52FFF"/>
    <w:rsid w:val="00C5338A"/>
    <w:rsid w:val="00C533CD"/>
    <w:rsid w:val="00C5348A"/>
    <w:rsid w:val="00C534A4"/>
    <w:rsid w:val="00C5358D"/>
    <w:rsid w:val="00C5363C"/>
    <w:rsid w:val="00C539F7"/>
    <w:rsid w:val="00C53CA0"/>
    <w:rsid w:val="00C53D81"/>
    <w:rsid w:val="00C53D98"/>
    <w:rsid w:val="00C53E65"/>
    <w:rsid w:val="00C540F6"/>
    <w:rsid w:val="00C5416F"/>
    <w:rsid w:val="00C54366"/>
    <w:rsid w:val="00C544AE"/>
    <w:rsid w:val="00C5482C"/>
    <w:rsid w:val="00C5489A"/>
    <w:rsid w:val="00C548CA"/>
    <w:rsid w:val="00C54C1B"/>
    <w:rsid w:val="00C54D42"/>
    <w:rsid w:val="00C550B4"/>
    <w:rsid w:val="00C55338"/>
    <w:rsid w:val="00C5544F"/>
    <w:rsid w:val="00C556D2"/>
    <w:rsid w:val="00C558A2"/>
    <w:rsid w:val="00C55927"/>
    <w:rsid w:val="00C5599A"/>
    <w:rsid w:val="00C5611C"/>
    <w:rsid w:val="00C563A6"/>
    <w:rsid w:val="00C56609"/>
    <w:rsid w:val="00C56697"/>
    <w:rsid w:val="00C566D4"/>
    <w:rsid w:val="00C56AB8"/>
    <w:rsid w:val="00C56C25"/>
    <w:rsid w:val="00C56D03"/>
    <w:rsid w:val="00C56D8F"/>
    <w:rsid w:val="00C56E96"/>
    <w:rsid w:val="00C56F6F"/>
    <w:rsid w:val="00C56FB8"/>
    <w:rsid w:val="00C5727C"/>
    <w:rsid w:val="00C5738B"/>
    <w:rsid w:val="00C576D2"/>
    <w:rsid w:val="00C5771A"/>
    <w:rsid w:val="00C5792C"/>
    <w:rsid w:val="00C57AEA"/>
    <w:rsid w:val="00C57CE9"/>
    <w:rsid w:val="00C57E70"/>
    <w:rsid w:val="00C601A2"/>
    <w:rsid w:val="00C605AB"/>
    <w:rsid w:val="00C6060A"/>
    <w:rsid w:val="00C607F8"/>
    <w:rsid w:val="00C6081F"/>
    <w:rsid w:val="00C60C53"/>
    <w:rsid w:val="00C610FC"/>
    <w:rsid w:val="00C61192"/>
    <w:rsid w:val="00C61234"/>
    <w:rsid w:val="00C61603"/>
    <w:rsid w:val="00C61871"/>
    <w:rsid w:val="00C61BF4"/>
    <w:rsid w:val="00C61D64"/>
    <w:rsid w:val="00C6200F"/>
    <w:rsid w:val="00C62973"/>
    <w:rsid w:val="00C6299C"/>
    <w:rsid w:val="00C62BBB"/>
    <w:rsid w:val="00C62F21"/>
    <w:rsid w:val="00C62FBA"/>
    <w:rsid w:val="00C6302E"/>
    <w:rsid w:val="00C6338C"/>
    <w:rsid w:val="00C6351B"/>
    <w:rsid w:val="00C637FF"/>
    <w:rsid w:val="00C63831"/>
    <w:rsid w:val="00C63B3B"/>
    <w:rsid w:val="00C63E88"/>
    <w:rsid w:val="00C6408F"/>
    <w:rsid w:val="00C6417B"/>
    <w:rsid w:val="00C645D9"/>
    <w:rsid w:val="00C64823"/>
    <w:rsid w:val="00C64899"/>
    <w:rsid w:val="00C64AD3"/>
    <w:rsid w:val="00C64FEF"/>
    <w:rsid w:val="00C650F2"/>
    <w:rsid w:val="00C65354"/>
    <w:rsid w:val="00C65405"/>
    <w:rsid w:val="00C6575C"/>
    <w:rsid w:val="00C659DC"/>
    <w:rsid w:val="00C659E7"/>
    <w:rsid w:val="00C65BCF"/>
    <w:rsid w:val="00C65CF6"/>
    <w:rsid w:val="00C65CF8"/>
    <w:rsid w:val="00C65D39"/>
    <w:rsid w:val="00C6609A"/>
    <w:rsid w:val="00C6615B"/>
    <w:rsid w:val="00C66185"/>
    <w:rsid w:val="00C66676"/>
    <w:rsid w:val="00C66A5D"/>
    <w:rsid w:val="00C66A8B"/>
    <w:rsid w:val="00C66C37"/>
    <w:rsid w:val="00C66CCF"/>
    <w:rsid w:val="00C66D1D"/>
    <w:rsid w:val="00C67158"/>
    <w:rsid w:val="00C6755A"/>
    <w:rsid w:val="00C67671"/>
    <w:rsid w:val="00C678F6"/>
    <w:rsid w:val="00C67B65"/>
    <w:rsid w:val="00C67CD7"/>
    <w:rsid w:val="00C67EA9"/>
    <w:rsid w:val="00C70092"/>
    <w:rsid w:val="00C7010E"/>
    <w:rsid w:val="00C701FB"/>
    <w:rsid w:val="00C7087D"/>
    <w:rsid w:val="00C70B95"/>
    <w:rsid w:val="00C70BD3"/>
    <w:rsid w:val="00C71166"/>
    <w:rsid w:val="00C71243"/>
    <w:rsid w:val="00C7164E"/>
    <w:rsid w:val="00C71E54"/>
    <w:rsid w:val="00C720B4"/>
    <w:rsid w:val="00C7231E"/>
    <w:rsid w:val="00C72747"/>
    <w:rsid w:val="00C727DF"/>
    <w:rsid w:val="00C72836"/>
    <w:rsid w:val="00C72867"/>
    <w:rsid w:val="00C7292D"/>
    <w:rsid w:val="00C72B57"/>
    <w:rsid w:val="00C72CC1"/>
    <w:rsid w:val="00C72F9C"/>
    <w:rsid w:val="00C731E8"/>
    <w:rsid w:val="00C733FE"/>
    <w:rsid w:val="00C73759"/>
    <w:rsid w:val="00C73C8A"/>
    <w:rsid w:val="00C73C8B"/>
    <w:rsid w:val="00C73E9D"/>
    <w:rsid w:val="00C73FD9"/>
    <w:rsid w:val="00C74356"/>
    <w:rsid w:val="00C74641"/>
    <w:rsid w:val="00C74751"/>
    <w:rsid w:val="00C74AA0"/>
    <w:rsid w:val="00C74AEC"/>
    <w:rsid w:val="00C74C7D"/>
    <w:rsid w:val="00C74D2A"/>
    <w:rsid w:val="00C74E16"/>
    <w:rsid w:val="00C754E3"/>
    <w:rsid w:val="00C75504"/>
    <w:rsid w:val="00C757A9"/>
    <w:rsid w:val="00C75939"/>
    <w:rsid w:val="00C75ACF"/>
    <w:rsid w:val="00C75F6F"/>
    <w:rsid w:val="00C765A7"/>
    <w:rsid w:val="00C76624"/>
    <w:rsid w:val="00C7677F"/>
    <w:rsid w:val="00C769F4"/>
    <w:rsid w:val="00C76A06"/>
    <w:rsid w:val="00C76E0D"/>
    <w:rsid w:val="00C76E84"/>
    <w:rsid w:val="00C76EB8"/>
    <w:rsid w:val="00C76F20"/>
    <w:rsid w:val="00C770B0"/>
    <w:rsid w:val="00C77165"/>
    <w:rsid w:val="00C77819"/>
    <w:rsid w:val="00C77A88"/>
    <w:rsid w:val="00C77BCD"/>
    <w:rsid w:val="00C77E02"/>
    <w:rsid w:val="00C77E11"/>
    <w:rsid w:val="00C77E32"/>
    <w:rsid w:val="00C77E8B"/>
    <w:rsid w:val="00C80017"/>
    <w:rsid w:val="00C80108"/>
    <w:rsid w:val="00C8037D"/>
    <w:rsid w:val="00C8085F"/>
    <w:rsid w:val="00C80960"/>
    <w:rsid w:val="00C809A7"/>
    <w:rsid w:val="00C80D82"/>
    <w:rsid w:val="00C810E7"/>
    <w:rsid w:val="00C81267"/>
    <w:rsid w:val="00C81465"/>
    <w:rsid w:val="00C815E2"/>
    <w:rsid w:val="00C81738"/>
    <w:rsid w:val="00C817DC"/>
    <w:rsid w:val="00C81AB1"/>
    <w:rsid w:val="00C81E2C"/>
    <w:rsid w:val="00C81F52"/>
    <w:rsid w:val="00C81FEF"/>
    <w:rsid w:val="00C827EC"/>
    <w:rsid w:val="00C828B8"/>
    <w:rsid w:val="00C82A21"/>
    <w:rsid w:val="00C82CF6"/>
    <w:rsid w:val="00C82D3F"/>
    <w:rsid w:val="00C82F6C"/>
    <w:rsid w:val="00C82F95"/>
    <w:rsid w:val="00C82FCB"/>
    <w:rsid w:val="00C830BC"/>
    <w:rsid w:val="00C8317F"/>
    <w:rsid w:val="00C8318C"/>
    <w:rsid w:val="00C83215"/>
    <w:rsid w:val="00C83247"/>
    <w:rsid w:val="00C832E2"/>
    <w:rsid w:val="00C8337B"/>
    <w:rsid w:val="00C836E6"/>
    <w:rsid w:val="00C83AF2"/>
    <w:rsid w:val="00C83B2F"/>
    <w:rsid w:val="00C83B8C"/>
    <w:rsid w:val="00C83DF8"/>
    <w:rsid w:val="00C83ED3"/>
    <w:rsid w:val="00C84009"/>
    <w:rsid w:val="00C84147"/>
    <w:rsid w:val="00C841D9"/>
    <w:rsid w:val="00C842CC"/>
    <w:rsid w:val="00C845C2"/>
    <w:rsid w:val="00C84937"/>
    <w:rsid w:val="00C84C71"/>
    <w:rsid w:val="00C84DC1"/>
    <w:rsid w:val="00C84E5E"/>
    <w:rsid w:val="00C84FA2"/>
    <w:rsid w:val="00C8538D"/>
    <w:rsid w:val="00C85439"/>
    <w:rsid w:val="00C854F5"/>
    <w:rsid w:val="00C8563E"/>
    <w:rsid w:val="00C85863"/>
    <w:rsid w:val="00C858CD"/>
    <w:rsid w:val="00C858FA"/>
    <w:rsid w:val="00C85D93"/>
    <w:rsid w:val="00C86570"/>
    <w:rsid w:val="00C86851"/>
    <w:rsid w:val="00C8695D"/>
    <w:rsid w:val="00C8697E"/>
    <w:rsid w:val="00C8699C"/>
    <w:rsid w:val="00C86A37"/>
    <w:rsid w:val="00C86D33"/>
    <w:rsid w:val="00C87564"/>
    <w:rsid w:val="00C87741"/>
    <w:rsid w:val="00C87840"/>
    <w:rsid w:val="00C87902"/>
    <w:rsid w:val="00C8797E"/>
    <w:rsid w:val="00C879B3"/>
    <w:rsid w:val="00C87C13"/>
    <w:rsid w:val="00C87DD1"/>
    <w:rsid w:val="00C87DFA"/>
    <w:rsid w:val="00C9032B"/>
    <w:rsid w:val="00C90716"/>
    <w:rsid w:val="00C9079F"/>
    <w:rsid w:val="00C90B66"/>
    <w:rsid w:val="00C90DC6"/>
    <w:rsid w:val="00C9103E"/>
    <w:rsid w:val="00C910D7"/>
    <w:rsid w:val="00C91194"/>
    <w:rsid w:val="00C9124C"/>
    <w:rsid w:val="00C9126C"/>
    <w:rsid w:val="00C919AF"/>
    <w:rsid w:val="00C91A25"/>
    <w:rsid w:val="00C91D3C"/>
    <w:rsid w:val="00C91DDE"/>
    <w:rsid w:val="00C91F42"/>
    <w:rsid w:val="00C91F91"/>
    <w:rsid w:val="00C920DE"/>
    <w:rsid w:val="00C92147"/>
    <w:rsid w:val="00C92317"/>
    <w:rsid w:val="00C924AE"/>
    <w:rsid w:val="00C92CDE"/>
    <w:rsid w:val="00C92CF1"/>
    <w:rsid w:val="00C9308C"/>
    <w:rsid w:val="00C934D5"/>
    <w:rsid w:val="00C93522"/>
    <w:rsid w:val="00C9355B"/>
    <w:rsid w:val="00C939EE"/>
    <w:rsid w:val="00C93E6B"/>
    <w:rsid w:val="00C93E7A"/>
    <w:rsid w:val="00C93FC1"/>
    <w:rsid w:val="00C94211"/>
    <w:rsid w:val="00C945DD"/>
    <w:rsid w:val="00C94A2B"/>
    <w:rsid w:val="00C94CCC"/>
    <w:rsid w:val="00C951B6"/>
    <w:rsid w:val="00C952A4"/>
    <w:rsid w:val="00C95389"/>
    <w:rsid w:val="00C956F2"/>
    <w:rsid w:val="00C96420"/>
    <w:rsid w:val="00C9652A"/>
    <w:rsid w:val="00C9674B"/>
    <w:rsid w:val="00C96ADA"/>
    <w:rsid w:val="00C96B35"/>
    <w:rsid w:val="00C96C75"/>
    <w:rsid w:val="00C96D21"/>
    <w:rsid w:val="00C97288"/>
    <w:rsid w:val="00C97327"/>
    <w:rsid w:val="00C97724"/>
    <w:rsid w:val="00C9775E"/>
    <w:rsid w:val="00C978BF"/>
    <w:rsid w:val="00C97A2A"/>
    <w:rsid w:val="00CA01C0"/>
    <w:rsid w:val="00CA02E1"/>
    <w:rsid w:val="00CA04CC"/>
    <w:rsid w:val="00CA0563"/>
    <w:rsid w:val="00CA0B8B"/>
    <w:rsid w:val="00CA0CB1"/>
    <w:rsid w:val="00CA0DC9"/>
    <w:rsid w:val="00CA0E0B"/>
    <w:rsid w:val="00CA1026"/>
    <w:rsid w:val="00CA1091"/>
    <w:rsid w:val="00CA1165"/>
    <w:rsid w:val="00CA12CC"/>
    <w:rsid w:val="00CA14BD"/>
    <w:rsid w:val="00CA14CF"/>
    <w:rsid w:val="00CA15B6"/>
    <w:rsid w:val="00CA15DD"/>
    <w:rsid w:val="00CA15EC"/>
    <w:rsid w:val="00CA1797"/>
    <w:rsid w:val="00CA194E"/>
    <w:rsid w:val="00CA195C"/>
    <w:rsid w:val="00CA2160"/>
    <w:rsid w:val="00CA2168"/>
    <w:rsid w:val="00CA24B7"/>
    <w:rsid w:val="00CA260E"/>
    <w:rsid w:val="00CA26FF"/>
    <w:rsid w:val="00CA271E"/>
    <w:rsid w:val="00CA2911"/>
    <w:rsid w:val="00CA292C"/>
    <w:rsid w:val="00CA2B40"/>
    <w:rsid w:val="00CA2CD4"/>
    <w:rsid w:val="00CA2D04"/>
    <w:rsid w:val="00CA2D74"/>
    <w:rsid w:val="00CA2EBD"/>
    <w:rsid w:val="00CA2FD6"/>
    <w:rsid w:val="00CA31E9"/>
    <w:rsid w:val="00CA3274"/>
    <w:rsid w:val="00CA3803"/>
    <w:rsid w:val="00CA391F"/>
    <w:rsid w:val="00CA3C62"/>
    <w:rsid w:val="00CA3E45"/>
    <w:rsid w:val="00CA3FF7"/>
    <w:rsid w:val="00CA40E8"/>
    <w:rsid w:val="00CA4329"/>
    <w:rsid w:val="00CA439F"/>
    <w:rsid w:val="00CA43A1"/>
    <w:rsid w:val="00CA43AB"/>
    <w:rsid w:val="00CA4535"/>
    <w:rsid w:val="00CA48E9"/>
    <w:rsid w:val="00CA49BB"/>
    <w:rsid w:val="00CA4A31"/>
    <w:rsid w:val="00CA4A50"/>
    <w:rsid w:val="00CA4E3B"/>
    <w:rsid w:val="00CA4E97"/>
    <w:rsid w:val="00CA4EFC"/>
    <w:rsid w:val="00CA5249"/>
    <w:rsid w:val="00CA5301"/>
    <w:rsid w:val="00CA53C6"/>
    <w:rsid w:val="00CA5721"/>
    <w:rsid w:val="00CA5915"/>
    <w:rsid w:val="00CA5EB6"/>
    <w:rsid w:val="00CA60B6"/>
    <w:rsid w:val="00CA618E"/>
    <w:rsid w:val="00CA624E"/>
    <w:rsid w:val="00CA64B3"/>
    <w:rsid w:val="00CA64DB"/>
    <w:rsid w:val="00CA67B3"/>
    <w:rsid w:val="00CA6867"/>
    <w:rsid w:val="00CA6D50"/>
    <w:rsid w:val="00CA74CD"/>
    <w:rsid w:val="00CA768A"/>
    <w:rsid w:val="00CA779E"/>
    <w:rsid w:val="00CA7D05"/>
    <w:rsid w:val="00CA7FBC"/>
    <w:rsid w:val="00CB01FB"/>
    <w:rsid w:val="00CB02AD"/>
    <w:rsid w:val="00CB03B5"/>
    <w:rsid w:val="00CB049F"/>
    <w:rsid w:val="00CB04D9"/>
    <w:rsid w:val="00CB0624"/>
    <w:rsid w:val="00CB0674"/>
    <w:rsid w:val="00CB0797"/>
    <w:rsid w:val="00CB0B3F"/>
    <w:rsid w:val="00CB0E76"/>
    <w:rsid w:val="00CB0E9C"/>
    <w:rsid w:val="00CB0F25"/>
    <w:rsid w:val="00CB0FA0"/>
    <w:rsid w:val="00CB105F"/>
    <w:rsid w:val="00CB1104"/>
    <w:rsid w:val="00CB1797"/>
    <w:rsid w:val="00CB18C8"/>
    <w:rsid w:val="00CB1907"/>
    <w:rsid w:val="00CB1E10"/>
    <w:rsid w:val="00CB1F4E"/>
    <w:rsid w:val="00CB20D6"/>
    <w:rsid w:val="00CB20F4"/>
    <w:rsid w:val="00CB224C"/>
    <w:rsid w:val="00CB22B5"/>
    <w:rsid w:val="00CB29AF"/>
    <w:rsid w:val="00CB2AB9"/>
    <w:rsid w:val="00CB2AD8"/>
    <w:rsid w:val="00CB2D07"/>
    <w:rsid w:val="00CB2D2C"/>
    <w:rsid w:val="00CB2DEC"/>
    <w:rsid w:val="00CB2E13"/>
    <w:rsid w:val="00CB3184"/>
    <w:rsid w:val="00CB3575"/>
    <w:rsid w:val="00CB3955"/>
    <w:rsid w:val="00CB3F4D"/>
    <w:rsid w:val="00CB402C"/>
    <w:rsid w:val="00CB41C2"/>
    <w:rsid w:val="00CB4308"/>
    <w:rsid w:val="00CB44C1"/>
    <w:rsid w:val="00CB4A70"/>
    <w:rsid w:val="00CB4C9A"/>
    <w:rsid w:val="00CB4CA1"/>
    <w:rsid w:val="00CB4D84"/>
    <w:rsid w:val="00CB4F02"/>
    <w:rsid w:val="00CB524B"/>
    <w:rsid w:val="00CB554C"/>
    <w:rsid w:val="00CB57B2"/>
    <w:rsid w:val="00CB5898"/>
    <w:rsid w:val="00CB59D1"/>
    <w:rsid w:val="00CB5CFA"/>
    <w:rsid w:val="00CB5D39"/>
    <w:rsid w:val="00CB5F07"/>
    <w:rsid w:val="00CB65B9"/>
    <w:rsid w:val="00CB6712"/>
    <w:rsid w:val="00CB6768"/>
    <w:rsid w:val="00CB69BA"/>
    <w:rsid w:val="00CB6A04"/>
    <w:rsid w:val="00CB6AAC"/>
    <w:rsid w:val="00CB6B89"/>
    <w:rsid w:val="00CB6D13"/>
    <w:rsid w:val="00CB7022"/>
    <w:rsid w:val="00CB71D5"/>
    <w:rsid w:val="00CB7306"/>
    <w:rsid w:val="00CB7505"/>
    <w:rsid w:val="00CB7B99"/>
    <w:rsid w:val="00CB7DAC"/>
    <w:rsid w:val="00CB7EBF"/>
    <w:rsid w:val="00CB7F9C"/>
    <w:rsid w:val="00CB7FB2"/>
    <w:rsid w:val="00CC06BE"/>
    <w:rsid w:val="00CC0A1D"/>
    <w:rsid w:val="00CC0E8C"/>
    <w:rsid w:val="00CC0EDD"/>
    <w:rsid w:val="00CC0F54"/>
    <w:rsid w:val="00CC0F5F"/>
    <w:rsid w:val="00CC0FD3"/>
    <w:rsid w:val="00CC11B1"/>
    <w:rsid w:val="00CC12B6"/>
    <w:rsid w:val="00CC14CB"/>
    <w:rsid w:val="00CC159D"/>
    <w:rsid w:val="00CC16E1"/>
    <w:rsid w:val="00CC1719"/>
    <w:rsid w:val="00CC1D0A"/>
    <w:rsid w:val="00CC1DD3"/>
    <w:rsid w:val="00CC2122"/>
    <w:rsid w:val="00CC24A6"/>
    <w:rsid w:val="00CC28D1"/>
    <w:rsid w:val="00CC293A"/>
    <w:rsid w:val="00CC29DE"/>
    <w:rsid w:val="00CC2A2C"/>
    <w:rsid w:val="00CC2B61"/>
    <w:rsid w:val="00CC2EDC"/>
    <w:rsid w:val="00CC376D"/>
    <w:rsid w:val="00CC398A"/>
    <w:rsid w:val="00CC3AF3"/>
    <w:rsid w:val="00CC3B95"/>
    <w:rsid w:val="00CC3BBB"/>
    <w:rsid w:val="00CC3D0D"/>
    <w:rsid w:val="00CC3F6C"/>
    <w:rsid w:val="00CC40D9"/>
    <w:rsid w:val="00CC41B1"/>
    <w:rsid w:val="00CC482A"/>
    <w:rsid w:val="00CC491D"/>
    <w:rsid w:val="00CC4A7E"/>
    <w:rsid w:val="00CC4ACF"/>
    <w:rsid w:val="00CC4DAF"/>
    <w:rsid w:val="00CC4E73"/>
    <w:rsid w:val="00CC4EE9"/>
    <w:rsid w:val="00CC5098"/>
    <w:rsid w:val="00CC5128"/>
    <w:rsid w:val="00CC5130"/>
    <w:rsid w:val="00CC51AD"/>
    <w:rsid w:val="00CC5223"/>
    <w:rsid w:val="00CC533F"/>
    <w:rsid w:val="00CC55A0"/>
    <w:rsid w:val="00CC5A6C"/>
    <w:rsid w:val="00CC5B5B"/>
    <w:rsid w:val="00CC5DF3"/>
    <w:rsid w:val="00CC5FBA"/>
    <w:rsid w:val="00CC626C"/>
    <w:rsid w:val="00CC64AE"/>
    <w:rsid w:val="00CC683D"/>
    <w:rsid w:val="00CC6A8B"/>
    <w:rsid w:val="00CC6AA8"/>
    <w:rsid w:val="00CC6D7C"/>
    <w:rsid w:val="00CC6E07"/>
    <w:rsid w:val="00CC6FA2"/>
    <w:rsid w:val="00CC73CA"/>
    <w:rsid w:val="00CC743C"/>
    <w:rsid w:val="00CC7441"/>
    <w:rsid w:val="00CC74D9"/>
    <w:rsid w:val="00CC77C8"/>
    <w:rsid w:val="00CC7B9F"/>
    <w:rsid w:val="00CC7C07"/>
    <w:rsid w:val="00CC7CEB"/>
    <w:rsid w:val="00CC7D04"/>
    <w:rsid w:val="00CC7EFC"/>
    <w:rsid w:val="00CC7F73"/>
    <w:rsid w:val="00CD0260"/>
    <w:rsid w:val="00CD0947"/>
    <w:rsid w:val="00CD0988"/>
    <w:rsid w:val="00CD0AC5"/>
    <w:rsid w:val="00CD0C08"/>
    <w:rsid w:val="00CD0C78"/>
    <w:rsid w:val="00CD14A8"/>
    <w:rsid w:val="00CD14F6"/>
    <w:rsid w:val="00CD1613"/>
    <w:rsid w:val="00CD1A18"/>
    <w:rsid w:val="00CD1C0C"/>
    <w:rsid w:val="00CD1E0C"/>
    <w:rsid w:val="00CD23DC"/>
    <w:rsid w:val="00CD2635"/>
    <w:rsid w:val="00CD2680"/>
    <w:rsid w:val="00CD27C9"/>
    <w:rsid w:val="00CD29F8"/>
    <w:rsid w:val="00CD2AD5"/>
    <w:rsid w:val="00CD2E0F"/>
    <w:rsid w:val="00CD2EDE"/>
    <w:rsid w:val="00CD3078"/>
    <w:rsid w:val="00CD31A6"/>
    <w:rsid w:val="00CD32DA"/>
    <w:rsid w:val="00CD3385"/>
    <w:rsid w:val="00CD33C4"/>
    <w:rsid w:val="00CD36BA"/>
    <w:rsid w:val="00CD39DB"/>
    <w:rsid w:val="00CD3AE0"/>
    <w:rsid w:val="00CD3C90"/>
    <w:rsid w:val="00CD3E02"/>
    <w:rsid w:val="00CD3F61"/>
    <w:rsid w:val="00CD3F77"/>
    <w:rsid w:val="00CD4424"/>
    <w:rsid w:val="00CD4434"/>
    <w:rsid w:val="00CD4495"/>
    <w:rsid w:val="00CD44B8"/>
    <w:rsid w:val="00CD44E6"/>
    <w:rsid w:val="00CD4547"/>
    <w:rsid w:val="00CD474D"/>
    <w:rsid w:val="00CD4D9B"/>
    <w:rsid w:val="00CD5053"/>
    <w:rsid w:val="00CD50D7"/>
    <w:rsid w:val="00CD510B"/>
    <w:rsid w:val="00CD525A"/>
    <w:rsid w:val="00CD5261"/>
    <w:rsid w:val="00CD53B4"/>
    <w:rsid w:val="00CD5730"/>
    <w:rsid w:val="00CD5979"/>
    <w:rsid w:val="00CD5999"/>
    <w:rsid w:val="00CD5B9E"/>
    <w:rsid w:val="00CD5FB0"/>
    <w:rsid w:val="00CD612B"/>
    <w:rsid w:val="00CD6408"/>
    <w:rsid w:val="00CD6526"/>
    <w:rsid w:val="00CD6592"/>
    <w:rsid w:val="00CD66BE"/>
    <w:rsid w:val="00CD6B58"/>
    <w:rsid w:val="00CD6DD2"/>
    <w:rsid w:val="00CD7005"/>
    <w:rsid w:val="00CD7499"/>
    <w:rsid w:val="00CD75A6"/>
    <w:rsid w:val="00CD75AF"/>
    <w:rsid w:val="00CD78A5"/>
    <w:rsid w:val="00CD78CE"/>
    <w:rsid w:val="00CD78F0"/>
    <w:rsid w:val="00CD7B6A"/>
    <w:rsid w:val="00CD7BE0"/>
    <w:rsid w:val="00CD7DE1"/>
    <w:rsid w:val="00CD7DE5"/>
    <w:rsid w:val="00CD7E0C"/>
    <w:rsid w:val="00CD7F2C"/>
    <w:rsid w:val="00CE02A6"/>
    <w:rsid w:val="00CE038C"/>
    <w:rsid w:val="00CE057C"/>
    <w:rsid w:val="00CE0854"/>
    <w:rsid w:val="00CE09B6"/>
    <w:rsid w:val="00CE0B6C"/>
    <w:rsid w:val="00CE0EE4"/>
    <w:rsid w:val="00CE13B6"/>
    <w:rsid w:val="00CE17A5"/>
    <w:rsid w:val="00CE1901"/>
    <w:rsid w:val="00CE1A6D"/>
    <w:rsid w:val="00CE1AD0"/>
    <w:rsid w:val="00CE1B9F"/>
    <w:rsid w:val="00CE1DDB"/>
    <w:rsid w:val="00CE1ED3"/>
    <w:rsid w:val="00CE1F96"/>
    <w:rsid w:val="00CE2069"/>
    <w:rsid w:val="00CE208A"/>
    <w:rsid w:val="00CE2654"/>
    <w:rsid w:val="00CE2CE3"/>
    <w:rsid w:val="00CE2D24"/>
    <w:rsid w:val="00CE2D32"/>
    <w:rsid w:val="00CE34A1"/>
    <w:rsid w:val="00CE34C8"/>
    <w:rsid w:val="00CE3586"/>
    <w:rsid w:val="00CE3766"/>
    <w:rsid w:val="00CE384E"/>
    <w:rsid w:val="00CE3A44"/>
    <w:rsid w:val="00CE3D5E"/>
    <w:rsid w:val="00CE3DBE"/>
    <w:rsid w:val="00CE40D3"/>
    <w:rsid w:val="00CE4176"/>
    <w:rsid w:val="00CE4291"/>
    <w:rsid w:val="00CE443D"/>
    <w:rsid w:val="00CE44C5"/>
    <w:rsid w:val="00CE459B"/>
    <w:rsid w:val="00CE45D6"/>
    <w:rsid w:val="00CE463F"/>
    <w:rsid w:val="00CE46DF"/>
    <w:rsid w:val="00CE47AC"/>
    <w:rsid w:val="00CE4A67"/>
    <w:rsid w:val="00CE4A74"/>
    <w:rsid w:val="00CE4C27"/>
    <w:rsid w:val="00CE4DA5"/>
    <w:rsid w:val="00CE4DCD"/>
    <w:rsid w:val="00CE4FBB"/>
    <w:rsid w:val="00CE5205"/>
    <w:rsid w:val="00CE522B"/>
    <w:rsid w:val="00CE56C1"/>
    <w:rsid w:val="00CE5727"/>
    <w:rsid w:val="00CE5912"/>
    <w:rsid w:val="00CE5B44"/>
    <w:rsid w:val="00CE5E30"/>
    <w:rsid w:val="00CE66F1"/>
    <w:rsid w:val="00CE6BD0"/>
    <w:rsid w:val="00CE6CEF"/>
    <w:rsid w:val="00CE6D6D"/>
    <w:rsid w:val="00CE6E46"/>
    <w:rsid w:val="00CE6F16"/>
    <w:rsid w:val="00CE7087"/>
    <w:rsid w:val="00CE71CC"/>
    <w:rsid w:val="00CE759C"/>
    <w:rsid w:val="00CE7A2D"/>
    <w:rsid w:val="00CE7C50"/>
    <w:rsid w:val="00CE7D0E"/>
    <w:rsid w:val="00CE7D61"/>
    <w:rsid w:val="00CE7EC6"/>
    <w:rsid w:val="00CE7FDC"/>
    <w:rsid w:val="00CF0035"/>
    <w:rsid w:val="00CF022A"/>
    <w:rsid w:val="00CF02B8"/>
    <w:rsid w:val="00CF02C5"/>
    <w:rsid w:val="00CF0478"/>
    <w:rsid w:val="00CF05EA"/>
    <w:rsid w:val="00CF0B63"/>
    <w:rsid w:val="00CF0D01"/>
    <w:rsid w:val="00CF1120"/>
    <w:rsid w:val="00CF12F8"/>
    <w:rsid w:val="00CF13D5"/>
    <w:rsid w:val="00CF1B57"/>
    <w:rsid w:val="00CF1C3C"/>
    <w:rsid w:val="00CF1EA6"/>
    <w:rsid w:val="00CF1F0A"/>
    <w:rsid w:val="00CF1F73"/>
    <w:rsid w:val="00CF23F4"/>
    <w:rsid w:val="00CF2419"/>
    <w:rsid w:val="00CF2625"/>
    <w:rsid w:val="00CF2697"/>
    <w:rsid w:val="00CF2857"/>
    <w:rsid w:val="00CF2A15"/>
    <w:rsid w:val="00CF3234"/>
    <w:rsid w:val="00CF36F6"/>
    <w:rsid w:val="00CF38B3"/>
    <w:rsid w:val="00CF3BC6"/>
    <w:rsid w:val="00CF3F1C"/>
    <w:rsid w:val="00CF42E1"/>
    <w:rsid w:val="00CF4506"/>
    <w:rsid w:val="00CF4639"/>
    <w:rsid w:val="00CF4773"/>
    <w:rsid w:val="00CF4F57"/>
    <w:rsid w:val="00CF561E"/>
    <w:rsid w:val="00CF597C"/>
    <w:rsid w:val="00CF5A52"/>
    <w:rsid w:val="00CF5A8A"/>
    <w:rsid w:val="00CF5C20"/>
    <w:rsid w:val="00CF5CF9"/>
    <w:rsid w:val="00CF5F91"/>
    <w:rsid w:val="00CF5FEC"/>
    <w:rsid w:val="00CF6520"/>
    <w:rsid w:val="00CF65CD"/>
    <w:rsid w:val="00CF65E5"/>
    <w:rsid w:val="00CF66FF"/>
    <w:rsid w:val="00CF6E99"/>
    <w:rsid w:val="00CF705C"/>
    <w:rsid w:val="00CF710A"/>
    <w:rsid w:val="00CF73D2"/>
    <w:rsid w:val="00CF7472"/>
    <w:rsid w:val="00CF7499"/>
    <w:rsid w:val="00CF74C2"/>
    <w:rsid w:val="00CF766F"/>
    <w:rsid w:val="00CF7B71"/>
    <w:rsid w:val="00CF7CA8"/>
    <w:rsid w:val="00CF7F2F"/>
    <w:rsid w:val="00D00017"/>
    <w:rsid w:val="00D0013E"/>
    <w:rsid w:val="00D001B1"/>
    <w:rsid w:val="00D00237"/>
    <w:rsid w:val="00D0037D"/>
    <w:rsid w:val="00D004AF"/>
    <w:rsid w:val="00D007CC"/>
    <w:rsid w:val="00D00878"/>
    <w:rsid w:val="00D008A1"/>
    <w:rsid w:val="00D009E4"/>
    <w:rsid w:val="00D00B93"/>
    <w:rsid w:val="00D00CB0"/>
    <w:rsid w:val="00D00EAC"/>
    <w:rsid w:val="00D00F65"/>
    <w:rsid w:val="00D00FBE"/>
    <w:rsid w:val="00D010A0"/>
    <w:rsid w:val="00D0123D"/>
    <w:rsid w:val="00D01390"/>
    <w:rsid w:val="00D01984"/>
    <w:rsid w:val="00D01D85"/>
    <w:rsid w:val="00D01D96"/>
    <w:rsid w:val="00D01F69"/>
    <w:rsid w:val="00D024F3"/>
    <w:rsid w:val="00D026D8"/>
    <w:rsid w:val="00D02994"/>
    <w:rsid w:val="00D0334A"/>
    <w:rsid w:val="00D03387"/>
    <w:rsid w:val="00D0366F"/>
    <w:rsid w:val="00D039B5"/>
    <w:rsid w:val="00D03B11"/>
    <w:rsid w:val="00D03E3C"/>
    <w:rsid w:val="00D04014"/>
    <w:rsid w:val="00D042C8"/>
    <w:rsid w:val="00D0435F"/>
    <w:rsid w:val="00D043F2"/>
    <w:rsid w:val="00D044DD"/>
    <w:rsid w:val="00D045E7"/>
    <w:rsid w:val="00D046D9"/>
    <w:rsid w:val="00D047EA"/>
    <w:rsid w:val="00D0484D"/>
    <w:rsid w:val="00D04CCE"/>
    <w:rsid w:val="00D04D41"/>
    <w:rsid w:val="00D04E0A"/>
    <w:rsid w:val="00D051CB"/>
    <w:rsid w:val="00D051DE"/>
    <w:rsid w:val="00D053EF"/>
    <w:rsid w:val="00D05462"/>
    <w:rsid w:val="00D055B9"/>
    <w:rsid w:val="00D0568D"/>
    <w:rsid w:val="00D05BE7"/>
    <w:rsid w:val="00D05C30"/>
    <w:rsid w:val="00D05EAF"/>
    <w:rsid w:val="00D05FBE"/>
    <w:rsid w:val="00D061E6"/>
    <w:rsid w:val="00D064AA"/>
    <w:rsid w:val="00D0697C"/>
    <w:rsid w:val="00D06BE8"/>
    <w:rsid w:val="00D07014"/>
    <w:rsid w:val="00D0744E"/>
    <w:rsid w:val="00D07947"/>
    <w:rsid w:val="00D0799C"/>
    <w:rsid w:val="00D07AF3"/>
    <w:rsid w:val="00D10192"/>
    <w:rsid w:val="00D10386"/>
    <w:rsid w:val="00D1039B"/>
    <w:rsid w:val="00D1043C"/>
    <w:rsid w:val="00D1044D"/>
    <w:rsid w:val="00D10476"/>
    <w:rsid w:val="00D10521"/>
    <w:rsid w:val="00D1057B"/>
    <w:rsid w:val="00D105D7"/>
    <w:rsid w:val="00D109E9"/>
    <w:rsid w:val="00D10C1A"/>
    <w:rsid w:val="00D10CD3"/>
    <w:rsid w:val="00D10E76"/>
    <w:rsid w:val="00D10F47"/>
    <w:rsid w:val="00D1141A"/>
    <w:rsid w:val="00D11503"/>
    <w:rsid w:val="00D1150B"/>
    <w:rsid w:val="00D11824"/>
    <w:rsid w:val="00D11A45"/>
    <w:rsid w:val="00D11AEF"/>
    <w:rsid w:val="00D11C27"/>
    <w:rsid w:val="00D11CAF"/>
    <w:rsid w:val="00D11CB4"/>
    <w:rsid w:val="00D11D53"/>
    <w:rsid w:val="00D11E46"/>
    <w:rsid w:val="00D11EFB"/>
    <w:rsid w:val="00D12243"/>
    <w:rsid w:val="00D125EE"/>
    <w:rsid w:val="00D12C94"/>
    <w:rsid w:val="00D12E50"/>
    <w:rsid w:val="00D12F98"/>
    <w:rsid w:val="00D13B84"/>
    <w:rsid w:val="00D13EE7"/>
    <w:rsid w:val="00D13FC9"/>
    <w:rsid w:val="00D1453A"/>
    <w:rsid w:val="00D14652"/>
    <w:rsid w:val="00D14662"/>
    <w:rsid w:val="00D14796"/>
    <w:rsid w:val="00D1480E"/>
    <w:rsid w:val="00D148C1"/>
    <w:rsid w:val="00D14928"/>
    <w:rsid w:val="00D14B3A"/>
    <w:rsid w:val="00D14E1F"/>
    <w:rsid w:val="00D15257"/>
    <w:rsid w:val="00D1531A"/>
    <w:rsid w:val="00D155BE"/>
    <w:rsid w:val="00D1575C"/>
    <w:rsid w:val="00D15AB3"/>
    <w:rsid w:val="00D15AE3"/>
    <w:rsid w:val="00D1613E"/>
    <w:rsid w:val="00D167EF"/>
    <w:rsid w:val="00D168CD"/>
    <w:rsid w:val="00D1690A"/>
    <w:rsid w:val="00D169BB"/>
    <w:rsid w:val="00D169BE"/>
    <w:rsid w:val="00D16A84"/>
    <w:rsid w:val="00D16D7D"/>
    <w:rsid w:val="00D16E35"/>
    <w:rsid w:val="00D16E50"/>
    <w:rsid w:val="00D17165"/>
    <w:rsid w:val="00D172C5"/>
    <w:rsid w:val="00D1748E"/>
    <w:rsid w:val="00D174BB"/>
    <w:rsid w:val="00D1773E"/>
    <w:rsid w:val="00D1781F"/>
    <w:rsid w:val="00D1783E"/>
    <w:rsid w:val="00D17874"/>
    <w:rsid w:val="00D178CA"/>
    <w:rsid w:val="00D17A5D"/>
    <w:rsid w:val="00D17ACB"/>
    <w:rsid w:val="00D17C6D"/>
    <w:rsid w:val="00D20077"/>
    <w:rsid w:val="00D2020C"/>
    <w:rsid w:val="00D202E4"/>
    <w:rsid w:val="00D202F6"/>
    <w:rsid w:val="00D2044B"/>
    <w:rsid w:val="00D20743"/>
    <w:rsid w:val="00D20752"/>
    <w:rsid w:val="00D20836"/>
    <w:rsid w:val="00D208EE"/>
    <w:rsid w:val="00D208FC"/>
    <w:rsid w:val="00D20AE3"/>
    <w:rsid w:val="00D20C83"/>
    <w:rsid w:val="00D20E29"/>
    <w:rsid w:val="00D20EFB"/>
    <w:rsid w:val="00D2111B"/>
    <w:rsid w:val="00D21380"/>
    <w:rsid w:val="00D217ED"/>
    <w:rsid w:val="00D21B4B"/>
    <w:rsid w:val="00D21B81"/>
    <w:rsid w:val="00D21E07"/>
    <w:rsid w:val="00D21FE0"/>
    <w:rsid w:val="00D22213"/>
    <w:rsid w:val="00D22316"/>
    <w:rsid w:val="00D223A3"/>
    <w:rsid w:val="00D225D3"/>
    <w:rsid w:val="00D22722"/>
    <w:rsid w:val="00D22776"/>
    <w:rsid w:val="00D22A64"/>
    <w:rsid w:val="00D22E5B"/>
    <w:rsid w:val="00D22F76"/>
    <w:rsid w:val="00D231C5"/>
    <w:rsid w:val="00D23445"/>
    <w:rsid w:val="00D234A1"/>
    <w:rsid w:val="00D23BB5"/>
    <w:rsid w:val="00D23E5A"/>
    <w:rsid w:val="00D23F64"/>
    <w:rsid w:val="00D24280"/>
    <w:rsid w:val="00D243FC"/>
    <w:rsid w:val="00D2451B"/>
    <w:rsid w:val="00D24594"/>
    <w:rsid w:val="00D246C9"/>
    <w:rsid w:val="00D24A08"/>
    <w:rsid w:val="00D24D04"/>
    <w:rsid w:val="00D2508E"/>
    <w:rsid w:val="00D25269"/>
    <w:rsid w:val="00D2538A"/>
    <w:rsid w:val="00D25506"/>
    <w:rsid w:val="00D255B8"/>
    <w:rsid w:val="00D257F0"/>
    <w:rsid w:val="00D259C9"/>
    <w:rsid w:val="00D25C9A"/>
    <w:rsid w:val="00D263B7"/>
    <w:rsid w:val="00D26515"/>
    <w:rsid w:val="00D26A64"/>
    <w:rsid w:val="00D26B8A"/>
    <w:rsid w:val="00D26DA4"/>
    <w:rsid w:val="00D26EB7"/>
    <w:rsid w:val="00D27080"/>
    <w:rsid w:val="00D276DC"/>
    <w:rsid w:val="00D27769"/>
    <w:rsid w:val="00D27CA3"/>
    <w:rsid w:val="00D27D34"/>
    <w:rsid w:val="00D27D7B"/>
    <w:rsid w:val="00D27D7E"/>
    <w:rsid w:val="00D27E7B"/>
    <w:rsid w:val="00D30020"/>
    <w:rsid w:val="00D30048"/>
    <w:rsid w:val="00D3037D"/>
    <w:rsid w:val="00D3044A"/>
    <w:rsid w:val="00D30561"/>
    <w:rsid w:val="00D308D9"/>
    <w:rsid w:val="00D30A92"/>
    <w:rsid w:val="00D30B2D"/>
    <w:rsid w:val="00D30D53"/>
    <w:rsid w:val="00D30DD9"/>
    <w:rsid w:val="00D30EF3"/>
    <w:rsid w:val="00D3132E"/>
    <w:rsid w:val="00D3141E"/>
    <w:rsid w:val="00D31657"/>
    <w:rsid w:val="00D31733"/>
    <w:rsid w:val="00D31A63"/>
    <w:rsid w:val="00D31B1E"/>
    <w:rsid w:val="00D31BDC"/>
    <w:rsid w:val="00D31C75"/>
    <w:rsid w:val="00D31DE2"/>
    <w:rsid w:val="00D31F80"/>
    <w:rsid w:val="00D3226A"/>
    <w:rsid w:val="00D322E3"/>
    <w:rsid w:val="00D322FA"/>
    <w:rsid w:val="00D32408"/>
    <w:rsid w:val="00D326D9"/>
    <w:rsid w:val="00D32B74"/>
    <w:rsid w:val="00D32C2D"/>
    <w:rsid w:val="00D32F1F"/>
    <w:rsid w:val="00D33066"/>
    <w:rsid w:val="00D3389F"/>
    <w:rsid w:val="00D33995"/>
    <w:rsid w:val="00D339CF"/>
    <w:rsid w:val="00D33CD5"/>
    <w:rsid w:val="00D34177"/>
    <w:rsid w:val="00D34251"/>
    <w:rsid w:val="00D34254"/>
    <w:rsid w:val="00D3427D"/>
    <w:rsid w:val="00D34293"/>
    <w:rsid w:val="00D342EA"/>
    <w:rsid w:val="00D342EB"/>
    <w:rsid w:val="00D3440B"/>
    <w:rsid w:val="00D34704"/>
    <w:rsid w:val="00D349D1"/>
    <w:rsid w:val="00D34BCF"/>
    <w:rsid w:val="00D34DC0"/>
    <w:rsid w:val="00D34F82"/>
    <w:rsid w:val="00D35110"/>
    <w:rsid w:val="00D3521E"/>
    <w:rsid w:val="00D35334"/>
    <w:rsid w:val="00D354DA"/>
    <w:rsid w:val="00D354DB"/>
    <w:rsid w:val="00D35590"/>
    <w:rsid w:val="00D3561D"/>
    <w:rsid w:val="00D356B6"/>
    <w:rsid w:val="00D35C36"/>
    <w:rsid w:val="00D3616D"/>
    <w:rsid w:val="00D36307"/>
    <w:rsid w:val="00D36435"/>
    <w:rsid w:val="00D365AE"/>
    <w:rsid w:val="00D366ED"/>
    <w:rsid w:val="00D368BD"/>
    <w:rsid w:val="00D36918"/>
    <w:rsid w:val="00D36CE0"/>
    <w:rsid w:val="00D36E4E"/>
    <w:rsid w:val="00D37102"/>
    <w:rsid w:val="00D3737B"/>
    <w:rsid w:val="00D37B40"/>
    <w:rsid w:val="00D37BB6"/>
    <w:rsid w:val="00D37F76"/>
    <w:rsid w:val="00D40081"/>
    <w:rsid w:val="00D400FE"/>
    <w:rsid w:val="00D40103"/>
    <w:rsid w:val="00D40340"/>
    <w:rsid w:val="00D4040C"/>
    <w:rsid w:val="00D40652"/>
    <w:rsid w:val="00D4075E"/>
    <w:rsid w:val="00D407F9"/>
    <w:rsid w:val="00D40B83"/>
    <w:rsid w:val="00D40EEE"/>
    <w:rsid w:val="00D4101E"/>
    <w:rsid w:val="00D41063"/>
    <w:rsid w:val="00D411F0"/>
    <w:rsid w:val="00D41277"/>
    <w:rsid w:val="00D41388"/>
    <w:rsid w:val="00D415CC"/>
    <w:rsid w:val="00D41752"/>
    <w:rsid w:val="00D417DF"/>
    <w:rsid w:val="00D417F3"/>
    <w:rsid w:val="00D41ABB"/>
    <w:rsid w:val="00D41D08"/>
    <w:rsid w:val="00D42094"/>
    <w:rsid w:val="00D42157"/>
    <w:rsid w:val="00D421A8"/>
    <w:rsid w:val="00D4229E"/>
    <w:rsid w:val="00D4232B"/>
    <w:rsid w:val="00D4242E"/>
    <w:rsid w:val="00D42482"/>
    <w:rsid w:val="00D426FE"/>
    <w:rsid w:val="00D42754"/>
    <w:rsid w:val="00D4278A"/>
    <w:rsid w:val="00D428B1"/>
    <w:rsid w:val="00D429FF"/>
    <w:rsid w:val="00D42BA2"/>
    <w:rsid w:val="00D432D5"/>
    <w:rsid w:val="00D434FD"/>
    <w:rsid w:val="00D43639"/>
    <w:rsid w:val="00D43BC5"/>
    <w:rsid w:val="00D43CCF"/>
    <w:rsid w:val="00D43EE7"/>
    <w:rsid w:val="00D441C1"/>
    <w:rsid w:val="00D44344"/>
    <w:rsid w:val="00D44361"/>
    <w:rsid w:val="00D4445E"/>
    <w:rsid w:val="00D44578"/>
    <w:rsid w:val="00D4474B"/>
    <w:rsid w:val="00D44764"/>
    <w:rsid w:val="00D447F3"/>
    <w:rsid w:val="00D44A6E"/>
    <w:rsid w:val="00D44B25"/>
    <w:rsid w:val="00D44D2B"/>
    <w:rsid w:val="00D44D9C"/>
    <w:rsid w:val="00D44F26"/>
    <w:rsid w:val="00D45106"/>
    <w:rsid w:val="00D451B0"/>
    <w:rsid w:val="00D4534A"/>
    <w:rsid w:val="00D45488"/>
    <w:rsid w:val="00D454BE"/>
    <w:rsid w:val="00D4555D"/>
    <w:rsid w:val="00D455BE"/>
    <w:rsid w:val="00D45925"/>
    <w:rsid w:val="00D45A4C"/>
    <w:rsid w:val="00D461F0"/>
    <w:rsid w:val="00D46259"/>
    <w:rsid w:val="00D46735"/>
    <w:rsid w:val="00D467AC"/>
    <w:rsid w:val="00D46995"/>
    <w:rsid w:val="00D46AA3"/>
    <w:rsid w:val="00D46BC1"/>
    <w:rsid w:val="00D46C75"/>
    <w:rsid w:val="00D46CD9"/>
    <w:rsid w:val="00D46FB6"/>
    <w:rsid w:val="00D471E5"/>
    <w:rsid w:val="00D47B38"/>
    <w:rsid w:val="00D500C6"/>
    <w:rsid w:val="00D50262"/>
    <w:rsid w:val="00D50345"/>
    <w:rsid w:val="00D509A2"/>
    <w:rsid w:val="00D50A28"/>
    <w:rsid w:val="00D50CC8"/>
    <w:rsid w:val="00D5109B"/>
    <w:rsid w:val="00D511B1"/>
    <w:rsid w:val="00D516A5"/>
    <w:rsid w:val="00D51773"/>
    <w:rsid w:val="00D51934"/>
    <w:rsid w:val="00D51C6A"/>
    <w:rsid w:val="00D51D32"/>
    <w:rsid w:val="00D51D47"/>
    <w:rsid w:val="00D5228C"/>
    <w:rsid w:val="00D526EA"/>
    <w:rsid w:val="00D53755"/>
    <w:rsid w:val="00D53789"/>
    <w:rsid w:val="00D538E6"/>
    <w:rsid w:val="00D53BA0"/>
    <w:rsid w:val="00D53FB0"/>
    <w:rsid w:val="00D5421E"/>
    <w:rsid w:val="00D54325"/>
    <w:rsid w:val="00D544E9"/>
    <w:rsid w:val="00D54849"/>
    <w:rsid w:val="00D549F9"/>
    <w:rsid w:val="00D54BC2"/>
    <w:rsid w:val="00D54C01"/>
    <w:rsid w:val="00D54CE2"/>
    <w:rsid w:val="00D54F54"/>
    <w:rsid w:val="00D54FC8"/>
    <w:rsid w:val="00D55065"/>
    <w:rsid w:val="00D550A1"/>
    <w:rsid w:val="00D550F1"/>
    <w:rsid w:val="00D55121"/>
    <w:rsid w:val="00D5513A"/>
    <w:rsid w:val="00D551C9"/>
    <w:rsid w:val="00D553B8"/>
    <w:rsid w:val="00D559CB"/>
    <w:rsid w:val="00D55B38"/>
    <w:rsid w:val="00D55D55"/>
    <w:rsid w:val="00D55D9F"/>
    <w:rsid w:val="00D55E60"/>
    <w:rsid w:val="00D564A3"/>
    <w:rsid w:val="00D566C6"/>
    <w:rsid w:val="00D5702B"/>
    <w:rsid w:val="00D571D9"/>
    <w:rsid w:val="00D572EB"/>
    <w:rsid w:val="00D57383"/>
    <w:rsid w:val="00D5742E"/>
    <w:rsid w:val="00D5754B"/>
    <w:rsid w:val="00D576E0"/>
    <w:rsid w:val="00D577E0"/>
    <w:rsid w:val="00D578AD"/>
    <w:rsid w:val="00D57A55"/>
    <w:rsid w:val="00D57C0F"/>
    <w:rsid w:val="00D57CF8"/>
    <w:rsid w:val="00D57E9A"/>
    <w:rsid w:val="00D60105"/>
    <w:rsid w:val="00D60368"/>
    <w:rsid w:val="00D60375"/>
    <w:rsid w:val="00D603B9"/>
    <w:rsid w:val="00D60402"/>
    <w:rsid w:val="00D605B5"/>
    <w:rsid w:val="00D60709"/>
    <w:rsid w:val="00D60802"/>
    <w:rsid w:val="00D60896"/>
    <w:rsid w:val="00D60C20"/>
    <w:rsid w:val="00D60C4E"/>
    <w:rsid w:val="00D60E81"/>
    <w:rsid w:val="00D60EA1"/>
    <w:rsid w:val="00D6118A"/>
    <w:rsid w:val="00D6118E"/>
    <w:rsid w:val="00D61241"/>
    <w:rsid w:val="00D613B7"/>
    <w:rsid w:val="00D61571"/>
    <w:rsid w:val="00D616D4"/>
    <w:rsid w:val="00D61B81"/>
    <w:rsid w:val="00D61D9D"/>
    <w:rsid w:val="00D61DE9"/>
    <w:rsid w:val="00D61F41"/>
    <w:rsid w:val="00D62046"/>
    <w:rsid w:val="00D620AE"/>
    <w:rsid w:val="00D621DC"/>
    <w:rsid w:val="00D62222"/>
    <w:rsid w:val="00D62412"/>
    <w:rsid w:val="00D62471"/>
    <w:rsid w:val="00D626A4"/>
    <w:rsid w:val="00D62717"/>
    <w:rsid w:val="00D62852"/>
    <w:rsid w:val="00D62C4A"/>
    <w:rsid w:val="00D62C77"/>
    <w:rsid w:val="00D62D96"/>
    <w:rsid w:val="00D62DA7"/>
    <w:rsid w:val="00D62DC3"/>
    <w:rsid w:val="00D6349E"/>
    <w:rsid w:val="00D63862"/>
    <w:rsid w:val="00D63C38"/>
    <w:rsid w:val="00D63D70"/>
    <w:rsid w:val="00D63F93"/>
    <w:rsid w:val="00D6448C"/>
    <w:rsid w:val="00D6484F"/>
    <w:rsid w:val="00D649EE"/>
    <w:rsid w:val="00D64A7C"/>
    <w:rsid w:val="00D64AE4"/>
    <w:rsid w:val="00D64C84"/>
    <w:rsid w:val="00D64E5C"/>
    <w:rsid w:val="00D64F80"/>
    <w:rsid w:val="00D64FA6"/>
    <w:rsid w:val="00D65271"/>
    <w:rsid w:val="00D652C6"/>
    <w:rsid w:val="00D65395"/>
    <w:rsid w:val="00D653B8"/>
    <w:rsid w:val="00D6547A"/>
    <w:rsid w:val="00D656C3"/>
    <w:rsid w:val="00D6573C"/>
    <w:rsid w:val="00D6576E"/>
    <w:rsid w:val="00D65A4F"/>
    <w:rsid w:val="00D65AE8"/>
    <w:rsid w:val="00D65B27"/>
    <w:rsid w:val="00D65DC0"/>
    <w:rsid w:val="00D65F29"/>
    <w:rsid w:val="00D65F86"/>
    <w:rsid w:val="00D66037"/>
    <w:rsid w:val="00D66297"/>
    <w:rsid w:val="00D66540"/>
    <w:rsid w:val="00D666BC"/>
    <w:rsid w:val="00D66981"/>
    <w:rsid w:val="00D66A01"/>
    <w:rsid w:val="00D6700A"/>
    <w:rsid w:val="00D672AA"/>
    <w:rsid w:val="00D679DE"/>
    <w:rsid w:val="00D67A1F"/>
    <w:rsid w:val="00D67A9C"/>
    <w:rsid w:val="00D67FB9"/>
    <w:rsid w:val="00D70125"/>
    <w:rsid w:val="00D702BC"/>
    <w:rsid w:val="00D702F7"/>
    <w:rsid w:val="00D703B3"/>
    <w:rsid w:val="00D70478"/>
    <w:rsid w:val="00D705D7"/>
    <w:rsid w:val="00D70743"/>
    <w:rsid w:val="00D7081E"/>
    <w:rsid w:val="00D70AD9"/>
    <w:rsid w:val="00D70F66"/>
    <w:rsid w:val="00D70F7A"/>
    <w:rsid w:val="00D71172"/>
    <w:rsid w:val="00D712EA"/>
    <w:rsid w:val="00D713BF"/>
    <w:rsid w:val="00D71561"/>
    <w:rsid w:val="00D715C9"/>
    <w:rsid w:val="00D7165B"/>
    <w:rsid w:val="00D716A5"/>
    <w:rsid w:val="00D71C11"/>
    <w:rsid w:val="00D71D62"/>
    <w:rsid w:val="00D72218"/>
    <w:rsid w:val="00D72260"/>
    <w:rsid w:val="00D722EC"/>
    <w:rsid w:val="00D7231D"/>
    <w:rsid w:val="00D7251B"/>
    <w:rsid w:val="00D72594"/>
    <w:rsid w:val="00D725A6"/>
    <w:rsid w:val="00D726E8"/>
    <w:rsid w:val="00D727CC"/>
    <w:rsid w:val="00D72981"/>
    <w:rsid w:val="00D7300B"/>
    <w:rsid w:val="00D73357"/>
    <w:rsid w:val="00D733B1"/>
    <w:rsid w:val="00D737A7"/>
    <w:rsid w:val="00D73A78"/>
    <w:rsid w:val="00D73C90"/>
    <w:rsid w:val="00D73F4B"/>
    <w:rsid w:val="00D740D3"/>
    <w:rsid w:val="00D743B6"/>
    <w:rsid w:val="00D74447"/>
    <w:rsid w:val="00D744FF"/>
    <w:rsid w:val="00D74773"/>
    <w:rsid w:val="00D74957"/>
    <w:rsid w:val="00D74ACB"/>
    <w:rsid w:val="00D74B07"/>
    <w:rsid w:val="00D74D9F"/>
    <w:rsid w:val="00D7513D"/>
    <w:rsid w:val="00D751BE"/>
    <w:rsid w:val="00D754BC"/>
    <w:rsid w:val="00D755D9"/>
    <w:rsid w:val="00D7578E"/>
    <w:rsid w:val="00D758E6"/>
    <w:rsid w:val="00D75A8F"/>
    <w:rsid w:val="00D75B03"/>
    <w:rsid w:val="00D75C1D"/>
    <w:rsid w:val="00D75CB3"/>
    <w:rsid w:val="00D75D2B"/>
    <w:rsid w:val="00D75D42"/>
    <w:rsid w:val="00D7608C"/>
    <w:rsid w:val="00D76114"/>
    <w:rsid w:val="00D76217"/>
    <w:rsid w:val="00D763CF"/>
    <w:rsid w:val="00D7641A"/>
    <w:rsid w:val="00D76427"/>
    <w:rsid w:val="00D76435"/>
    <w:rsid w:val="00D7685B"/>
    <w:rsid w:val="00D769F6"/>
    <w:rsid w:val="00D76A04"/>
    <w:rsid w:val="00D76A18"/>
    <w:rsid w:val="00D76A7F"/>
    <w:rsid w:val="00D76B27"/>
    <w:rsid w:val="00D76B55"/>
    <w:rsid w:val="00D76D23"/>
    <w:rsid w:val="00D76D66"/>
    <w:rsid w:val="00D76F53"/>
    <w:rsid w:val="00D776FE"/>
    <w:rsid w:val="00D77B0C"/>
    <w:rsid w:val="00D77B81"/>
    <w:rsid w:val="00D77C64"/>
    <w:rsid w:val="00D77F94"/>
    <w:rsid w:val="00D80059"/>
    <w:rsid w:val="00D803FD"/>
    <w:rsid w:val="00D8046C"/>
    <w:rsid w:val="00D80754"/>
    <w:rsid w:val="00D80E00"/>
    <w:rsid w:val="00D80ED6"/>
    <w:rsid w:val="00D80F06"/>
    <w:rsid w:val="00D810A5"/>
    <w:rsid w:val="00D81125"/>
    <w:rsid w:val="00D8168F"/>
    <w:rsid w:val="00D816A3"/>
    <w:rsid w:val="00D8178B"/>
    <w:rsid w:val="00D819FD"/>
    <w:rsid w:val="00D81B05"/>
    <w:rsid w:val="00D81B3B"/>
    <w:rsid w:val="00D8234B"/>
    <w:rsid w:val="00D82392"/>
    <w:rsid w:val="00D823BC"/>
    <w:rsid w:val="00D82422"/>
    <w:rsid w:val="00D82574"/>
    <w:rsid w:val="00D8299E"/>
    <w:rsid w:val="00D829E8"/>
    <w:rsid w:val="00D82BAC"/>
    <w:rsid w:val="00D82BD0"/>
    <w:rsid w:val="00D82C7E"/>
    <w:rsid w:val="00D82C8B"/>
    <w:rsid w:val="00D82F91"/>
    <w:rsid w:val="00D8307E"/>
    <w:rsid w:val="00D8347E"/>
    <w:rsid w:val="00D8354B"/>
    <w:rsid w:val="00D835B5"/>
    <w:rsid w:val="00D83A6A"/>
    <w:rsid w:val="00D83C47"/>
    <w:rsid w:val="00D83C52"/>
    <w:rsid w:val="00D8402C"/>
    <w:rsid w:val="00D84113"/>
    <w:rsid w:val="00D84187"/>
    <w:rsid w:val="00D841CA"/>
    <w:rsid w:val="00D842D4"/>
    <w:rsid w:val="00D842FB"/>
    <w:rsid w:val="00D843DA"/>
    <w:rsid w:val="00D849DA"/>
    <w:rsid w:val="00D84A80"/>
    <w:rsid w:val="00D84DB7"/>
    <w:rsid w:val="00D84FEF"/>
    <w:rsid w:val="00D85213"/>
    <w:rsid w:val="00D85585"/>
    <w:rsid w:val="00D857B7"/>
    <w:rsid w:val="00D85884"/>
    <w:rsid w:val="00D85DD1"/>
    <w:rsid w:val="00D85EF9"/>
    <w:rsid w:val="00D85FEE"/>
    <w:rsid w:val="00D86132"/>
    <w:rsid w:val="00D8616C"/>
    <w:rsid w:val="00D861F0"/>
    <w:rsid w:val="00D8639A"/>
    <w:rsid w:val="00D86455"/>
    <w:rsid w:val="00D8669E"/>
    <w:rsid w:val="00D86AE9"/>
    <w:rsid w:val="00D86BB4"/>
    <w:rsid w:val="00D86D19"/>
    <w:rsid w:val="00D86E8B"/>
    <w:rsid w:val="00D86F21"/>
    <w:rsid w:val="00D87007"/>
    <w:rsid w:val="00D87108"/>
    <w:rsid w:val="00D8711C"/>
    <w:rsid w:val="00D87143"/>
    <w:rsid w:val="00D8727B"/>
    <w:rsid w:val="00D87BA0"/>
    <w:rsid w:val="00D90C3B"/>
    <w:rsid w:val="00D90E93"/>
    <w:rsid w:val="00D90ED4"/>
    <w:rsid w:val="00D9122B"/>
    <w:rsid w:val="00D914E1"/>
    <w:rsid w:val="00D91CE0"/>
    <w:rsid w:val="00D91E35"/>
    <w:rsid w:val="00D91E68"/>
    <w:rsid w:val="00D91EB6"/>
    <w:rsid w:val="00D91FF4"/>
    <w:rsid w:val="00D926A9"/>
    <w:rsid w:val="00D92701"/>
    <w:rsid w:val="00D9280E"/>
    <w:rsid w:val="00D92886"/>
    <w:rsid w:val="00D92DC5"/>
    <w:rsid w:val="00D92E2E"/>
    <w:rsid w:val="00D92F86"/>
    <w:rsid w:val="00D92F93"/>
    <w:rsid w:val="00D9304E"/>
    <w:rsid w:val="00D93104"/>
    <w:rsid w:val="00D9363E"/>
    <w:rsid w:val="00D9389F"/>
    <w:rsid w:val="00D93A07"/>
    <w:rsid w:val="00D93BAD"/>
    <w:rsid w:val="00D93DE0"/>
    <w:rsid w:val="00D940A8"/>
    <w:rsid w:val="00D94260"/>
    <w:rsid w:val="00D94372"/>
    <w:rsid w:val="00D9452E"/>
    <w:rsid w:val="00D9461D"/>
    <w:rsid w:val="00D947AE"/>
    <w:rsid w:val="00D9498B"/>
    <w:rsid w:val="00D94A87"/>
    <w:rsid w:val="00D94EF0"/>
    <w:rsid w:val="00D94F12"/>
    <w:rsid w:val="00D9583A"/>
    <w:rsid w:val="00D95C66"/>
    <w:rsid w:val="00D95E5F"/>
    <w:rsid w:val="00D96164"/>
    <w:rsid w:val="00D96230"/>
    <w:rsid w:val="00D962DB"/>
    <w:rsid w:val="00D96312"/>
    <w:rsid w:val="00D9664D"/>
    <w:rsid w:val="00D967EB"/>
    <w:rsid w:val="00D96E07"/>
    <w:rsid w:val="00D970AE"/>
    <w:rsid w:val="00D975F1"/>
    <w:rsid w:val="00D9786E"/>
    <w:rsid w:val="00D97891"/>
    <w:rsid w:val="00D978B5"/>
    <w:rsid w:val="00D978FE"/>
    <w:rsid w:val="00D97A65"/>
    <w:rsid w:val="00D97B15"/>
    <w:rsid w:val="00D97F9F"/>
    <w:rsid w:val="00DA0183"/>
    <w:rsid w:val="00DA01BE"/>
    <w:rsid w:val="00DA05BA"/>
    <w:rsid w:val="00DA0660"/>
    <w:rsid w:val="00DA0BAF"/>
    <w:rsid w:val="00DA17D1"/>
    <w:rsid w:val="00DA188D"/>
    <w:rsid w:val="00DA18F0"/>
    <w:rsid w:val="00DA1979"/>
    <w:rsid w:val="00DA1A87"/>
    <w:rsid w:val="00DA1DE3"/>
    <w:rsid w:val="00DA1E32"/>
    <w:rsid w:val="00DA2060"/>
    <w:rsid w:val="00DA23A4"/>
    <w:rsid w:val="00DA23DF"/>
    <w:rsid w:val="00DA27EA"/>
    <w:rsid w:val="00DA2836"/>
    <w:rsid w:val="00DA2889"/>
    <w:rsid w:val="00DA28A7"/>
    <w:rsid w:val="00DA317A"/>
    <w:rsid w:val="00DA33AD"/>
    <w:rsid w:val="00DA3755"/>
    <w:rsid w:val="00DA3BAF"/>
    <w:rsid w:val="00DA3E46"/>
    <w:rsid w:val="00DA3F72"/>
    <w:rsid w:val="00DA41FE"/>
    <w:rsid w:val="00DA427D"/>
    <w:rsid w:val="00DA427F"/>
    <w:rsid w:val="00DA428A"/>
    <w:rsid w:val="00DA462D"/>
    <w:rsid w:val="00DA47F1"/>
    <w:rsid w:val="00DA4B9F"/>
    <w:rsid w:val="00DA4CE6"/>
    <w:rsid w:val="00DA4F26"/>
    <w:rsid w:val="00DA4F7A"/>
    <w:rsid w:val="00DA507D"/>
    <w:rsid w:val="00DA51E3"/>
    <w:rsid w:val="00DA531A"/>
    <w:rsid w:val="00DA5560"/>
    <w:rsid w:val="00DA55CC"/>
    <w:rsid w:val="00DA55F3"/>
    <w:rsid w:val="00DA5717"/>
    <w:rsid w:val="00DA5B2B"/>
    <w:rsid w:val="00DA5C5E"/>
    <w:rsid w:val="00DA5EE1"/>
    <w:rsid w:val="00DA626F"/>
    <w:rsid w:val="00DA6AFE"/>
    <w:rsid w:val="00DA6BB2"/>
    <w:rsid w:val="00DA70D8"/>
    <w:rsid w:val="00DA729F"/>
    <w:rsid w:val="00DA7306"/>
    <w:rsid w:val="00DA7590"/>
    <w:rsid w:val="00DA76CB"/>
    <w:rsid w:val="00DA7E0D"/>
    <w:rsid w:val="00DA7F87"/>
    <w:rsid w:val="00DB02EB"/>
    <w:rsid w:val="00DB04B6"/>
    <w:rsid w:val="00DB0683"/>
    <w:rsid w:val="00DB06B7"/>
    <w:rsid w:val="00DB0B06"/>
    <w:rsid w:val="00DB0C85"/>
    <w:rsid w:val="00DB0E6D"/>
    <w:rsid w:val="00DB11BA"/>
    <w:rsid w:val="00DB11E3"/>
    <w:rsid w:val="00DB1218"/>
    <w:rsid w:val="00DB122A"/>
    <w:rsid w:val="00DB1488"/>
    <w:rsid w:val="00DB1803"/>
    <w:rsid w:val="00DB1A74"/>
    <w:rsid w:val="00DB1D3F"/>
    <w:rsid w:val="00DB1DEE"/>
    <w:rsid w:val="00DB2003"/>
    <w:rsid w:val="00DB2075"/>
    <w:rsid w:val="00DB22F7"/>
    <w:rsid w:val="00DB2523"/>
    <w:rsid w:val="00DB255E"/>
    <w:rsid w:val="00DB3186"/>
    <w:rsid w:val="00DB3210"/>
    <w:rsid w:val="00DB38AD"/>
    <w:rsid w:val="00DB3D1D"/>
    <w:rsid w:val="00DB3FD3"/>
    <w:rsid w:val="00DB400E"/>
    <w:rsid w:val="00DB40F8"/>
    <w:rsid w:val="00DB4395"/>
    <w:rsid w:val="00DB4711"/>
    <w:rsid w:val="00DB4AF1"/>
    <w:rsid w:val="00DB4D79"/>
    <w:rsid w:val="00DB51D4"/>
    <w:rsid w:val="00DB525D"/>
    <w:rsid w:val="00DB55B9"/>
    <w:rsid w:val="00DB5793"/>
    <w:rsid w:val="00DB57A3"/>
    <w:rsid w:val="00DB587F"/>
    <w:rsid w:val="00DB591E"/>
    <w:rsid w:val="00DB5A83"/>
    <w:rsid w:val="00DB5B38"/>
    <w:rsid w:val="00DB5F5E"/>
    <w:rsid w:val="00DB6104"/>
    <w:rsid w:val="00DB64C3"/>
    <w:rsid w:val="00DB6553"/>
    <w:rsid w:val="00DB6771"/>
    <w:rsid w:val="00DB6D4E"/>
    <w:rsid w:val="00DB6EB3"/>
    <w:rsid w:val="00DB6EE5"/>
    <w:rsid w:val="00DB6F55"/>
    <w:rsid w:val="00DB7067"/>
    <w:rsid w:val="00DB743B"/>
    <w:rsid w:val="00DB752B"/>
    <w:rsid w:val="00DB7598"/>
    <w:rsid w:val="00DB7D9C"/>
    <w:rsid w:val="00DC05C9"/>
    <w:rsid w:val="00DC05CA"/>
    <w:rsid w:val="00DC08C5"/>
    <w:rsid w:val="00DC0BED"/>
    <w:rsid w:val="00DC0BF2"/>
    <w:rsid w:val="00DC16A9"/>
    <w:rsid w:val="00DC170F"/>
    <w:rsid w:val="00DC1AE3"/>
    <w:rsid w:val="00DC1B84"/>
    <w:rsid w:val="00DC2413"/>
    <w:rsid w:val="00DC2557"/>
    <w:rsid w:val="00DC270D"/>
    <w:rsid w:val="00DC28FB"/>
    <w:rsid w:val="00DC2AD0"/>
    <w:rsid w:val="00DC2B22"/>
    <w:rsid w:val="00DC2C13"/>
    <w:rsid w:val="00DC2C4A"/>
    <w:rsid w:val="00DC2F75"/>
    <w:rsid w:val="00DC322F"/>
    <w:rsid w:val="00DC3755"/>
    <w:rsid w:val="00DC3A7F"/>
    <w:rsid w:val="00DC3BB9"/>
    <w:rsid w:val="00DC3CE7"/>
    <w:rsid w:val="00DC4604"/>
    <w:rsid w:val="00DC471F"/>
    <w:rsid w:val="00DC4986"/>
    <w:rsid w:val="00DC4DF6"/>
    <w:rsid w:val="00DC4E8C"/>
    <w:rsid w:val="00DC4EC8"/>
    <w:rsid w:val="00DC4FDF"/>
    <w:rsid w:val="00DC524C"/>
    <w:rsid w:val="00DC5857"/>
    <w:rsid w:val="00DC5A54"/>
    <w:rsid w:val="00DC5DE3"/>
    <w:rsid w:val="00DC5E62"/>
    <w:rsid w:val="00DC60B5"/>
    <w:rsid w:val="00DC60CB"/>
    <w:rsid w:val="00DC623F"/>
    <w:rsid w:val="00DC68CD"/>
    <w:rsid w:val="00DC68E4"/>
    <w:rsid w:val="00DC6BF8"/>
    <w:rsid w:val="00DC6C8F"/>
    <w:rsid w:val="00DC6E34"/>
    <w:rsid w:val="00DC7093"/>
    <w:rsid w:val="00DC7283"/>
    <w:rsid w:val="00DC730C"/>
    <w:rsid w:val="00DC739A"/>
    <w:rsid w:val="00DC7539"/>
    <w:rsid w:val="00DC7553"/>
    <w:rsid w:val="00DC776F"/>
    <w:rsid w:val="00DC7A73"/>
    <w:rsid w:val="00DC7AAF"/>
    <w:rsid w:val="00DC7AF9"/>
    <w:rsid w:val="00DC7C06"/>
    <w:rsid w:val="00DC7F33"/>
    <w:rsid w:val="00DC7FFC"/>
    <w:rsid w:val="00DD026F"/>
    <w:rsid w:val="00DD0555"/>
    <w:rsid w:val="00DD0946"/>
    <w:rsid w:val="00DD0D13"/>
    <w:rsid w:val="00DD0F06"/>
    <w:rsid w:val="00DD10D1"/>
    <w:rsid w:val="00DD142C"/>
    <w:rsid w:val="00DD1D36"/>
    <w:rsid w:val="00DD1F6F"/>
    <w:rsid w:val="00DD2090"/>
    <w:rsid w:val="00DD235C"/>
    <w:rsid w:val="00DD244D"/>
    <w:rsid w:val="00DD2519"/>
    <w:rsid w:val="00DD27BC"/>
    <w:rsid w:val="00DD27DB"/>
    <w:rsid w:val="00DD29B5"/>
    <w:rsid w:val="00DD29DC"/>
    <w:rsid w:val="00DD2BA5"/>
    <w:rsid w:val="00DD2CE7"/>
    <w:rsid w:val="00DD2D5B"/>
    <w:rsid w:val="00DD2FE8"/>
    <w:rsid w:val="00DD3244"/>
    <w:rsid w:val="00DD3251"/>
    <w:rsid w:val="00DD38C9"/>
    <w:rsid w:val="00DD399A"/>
    <w:rsid w:val="00DD3ABD"/>
    <w:rsid w:val="00DD3CB3"/>
    <w:rsid w:val="00DD3CEA"/>
    <w:rsid w:val="00DD42D3"/>
    <w:rsid w:val="00DD4501"/>
    <w:rsid w:val="00DD4506"/>
    <w:rsid w:val="00DD4821"/>
    <w:rsid w:val="00DD48FF"/>
    <w:rsid w:val="00DD496C"/>
    <w:rsid w:val="00DD49B3"/>
    <w:rsid w:val="00DD49FB"/>
    <w:rsid w:val="00DD4B54"/>
    <w:rsid w:val="00DD4BE8"/>
    <w:rsid w:val="00DD4D94"/>
    <w:rsid w:val="00DD4E02"/>
    <w:rsid w:val="00DD4E93"/>
    <w:rsid w:val="00DD4F5E"/>
    <w:rsid w:val="00DD4F72"/>
    <w:rsid w:val="00DD5147"/>
    <w:rsid w:val="00DD5163"/>
    <w:rsid w:val="00DD51E3"/>
    <w:rsid w:val="00DD51F6"/>
    <w:rsid w:val="00DD520E"/>
    <w:rsid w:val="00DD5318"/>
    <w:rsid w:val="00DD538D"/>
    <w:rsid w:val="00DD5434"/>
    <w:rsid w:val="00DD5529"/>
    <w:rsid w:val="00DD5872"/>
    <w:rsid w:val="00DD5BBB"/>
    <w:rsid w:val="00DD5C51"/>
    <w:rsid w:val="00DD5DB2"/>
    <w:rsid w:val="00DD5EB1"/>
    <w:rsid w:val="00DD5F52"/>
    <w:rsid w:val="00DD61C9"/>
    <w:rsid w:val="00DD62F8"/>
    <w:rsid w:val="00DD6399"/>
    <w:rsid w:val="00DD6868"/>
    <w:rsid w:val="00DD6AA6"/>
    <w:rsid w:val="00DD6ECA"/>
    <w:rsid w:val="00DD7032"/>
    <w:rsid w:val="00DD706B"/>
    <w:rsid w:val="00DD712D"/>
    <w:rsid w:val="00DD718B"/>
    <w:rsid w:val="00DD7333"/>
    <w:rsid w:val="00DD75EE"/>
    <w:rsid w:val="00DD7823"/>
    <w:rsid w:val="00DD7888"/>
    <w:rsid w:val="00DD7B14"/>
    <w:rsid w:val="00DD7DB2"/>
    <w:rsid w:val="00DD7F78"/>
    <w:rsid w:val="00DD7FCD"/>
    <w:rsid w:val="00DE0195"/>
    <w:rsid w:val="00DE02D9"/>
    <w:rsid w:val="00DE04A4"/>
    <w:rsid w:val="00DE0788"/>
    <w:rsid w:val="00DE09D9"/>
    <w:rsid w:val="00DE09EB"/>
    <w:rsid w:val="00DE0D4A"/>
    <w:rsid w:val="00DE0FC2"/>
    <w:rsid w:val="00DE131B"/>
    <w:rsid w:val="00DE1347"/>
    <w:rsid w:val="00DE178C"/>
    <w:rsid w:val="00DE17A6"/>
    <w:rsid w:val="00DE1A69"/>
    <w:rsid w:val="00DE1B2F"/>
    <w:rsid w:val="00DE1B5D"/>
    <w:rsid w:val="00DE1C54"/>
    <w:rsid w:val="00DE1C7D"/>
    <w:rsid w:val="00DE1F90"/>
    <w:rsid w:val="00DE1FE6"/>
    <w:rsid w:val="00DE2040"/>
    <w:rsid w:val="00DE21EF"/>
    <w:rsid w:val="00DE238C"/>
    <w:rsid w:val="00DE288B"/>
    <w:rsid w:val="00DE289B"/>
    <w:rsid w:val="00DE2A96"/>
    <w:rsid w:val="00DE2AA2"/>
    <w:rsid w:val="00DE2AE8"/>
    <w:rsid w:val="00DE2D19"/>
    <w:rsid w:val="00DE2D61"/>
    <w:rsid w:val="00DE2ECA"/>
    <w:rsid w:val="00DE2F01"/>
    <w:rsid w:val="00DE30A8"/>
    <w:rsid w:val="00DE30E1"/>
    <w:rsid w:val="00DE30F1"/>
    <w:rsid w:val="00DE3215"/>
    <w:rsid w:val="00DE3698"/>
    <w:rsid w:val="00DE3757"/>
    <w:rsid w:val="00DE37E6"/>
    <w:rsid w:val="00DE3917"/>
    <w:rsid w:val="00DE3971"/>
    <w:rsid w:val="00DE3ACF"/>
    <w:rsid w:val="00DE3CD4"/>
    <w:rsid w:val="00DE410C"/>
    <w:rsid w:val="00DE44F8"/>
    <w:rsid w:val="00DE4516"/>
    <w:rsid w:val="00DE451D"/>
    <w:rsid w:val="00DE4A51"/>
    <w:rsid w:val="00DE4B56"/>
    <w:rsid w:val="00DE4C0B"/>
    <w:rsid w:val="00DE51B0"/>
    <w:rsid w:val="00DE5310"/>
    <w:rsid w:val="00DE5344"/>
    <w:rsid w:val="00DE535E"/>
    <w:rsid w:val="00DE53C7"/>
    <w:rsid w:val="00DE5547"/>
    <w:rsid w:val="00DE575F"/>
    <w:rsid w:val="00DE5999"/>
    <w:rsid w:val="00DE59D7"/>
    <w:rsid w:val="00DE5C30"/>
    <w:rsid w:val="00DE5CD1"/>
    <w:rsid w:val="00DE5E4B"/>
    <w:rsid w:val="00DE5E5B"/>
    <w:rsid w:val="00DE6275"/>
    <w:rsid w:val="00DE63F9"/>
    <w:rsid w:val="00DE64B1"/>
    <w:rsid w:val="00DE64FF"/>
    <w:rsid w:val="00DE6550"/>
    <w:rsid w:val="00DE658F"/>
    <w:rsid w:val="00DE65FB"/>
    <w:rsid w:val="00DE66FF"/>
    <w:rsid w:val="00DE6C9A"/>
    <w:rsid w:val="00DE6DAB"/>
    <w:rsid w:val="00DE70D1"/>
    <w:rsid w:val="00DE725E"/>
    <w:rsid w:val="00DE7267"/>
    <w:rsid w:val="00DE72B6"/>
    <w:rsid w:val="00DE7780"/>
    <w:rsid w:val="00DE77A8"/>
    <w:rsid w:val="00DE79A2"/>
    <w:rsid w:val="00DE7F6C"/>
    <w:rsid w:val="00DF06EB"/>
    <w:rsid w:val="00DF0882"/>
    <w:rsid w:val="00DF08A2"/>
    <w:rsid w:val="00DF09D0"/>
    <w:rsid w:val="00DF0A09"/>
    <w:rsid w:val="00DF0AF3"/>
    <w:rsid w:val="00DF0C95"/>
    <w:rsid w:val="00DF0CCF"/>
    <w:rsid w:val="00DF0E35"/>
    <w:rsid w:val="00DF0FE5"/>
    <w:rsid w:val="00DF112C"/>
    <w:rsid w:val="00DF132D"/>
    <w:rsid w:val="00DF137A"/>
    <w:rsid w:val="00DF18F9"/>
    <w:rsid w:val="00DF1A83"/>
    <w:rsid w:val="00DF1BF7"/>
    <w:rsid w:val="00DF1DFA"/>
    <w:rsid w:val="00DF1E02"/>
    <w:rsid w:val="00DF210A"/>
    <w:rsid w:val="00DF21D2"/>
    <w:rsid w:val="00DF238C"/>
    <w:rsid w:val="00DF251F"/>
    <w:rsid w:val="00DF25F4"/>
    <w:rsid w:val="00DF27F0"/>
    <w:rsid w:val="00DF289A"/>
    <w:rsid w:val="00DF298D"/>
    <w:rsid w:val="00DF2B5A"/>
    <w:rsid w:val="00DF2BC1"/>
    <w:rsid w:val="00DF2E7F"/>
    <w:rsid w:val="00DF354A"/>
    <w:rsid w:val="00DF4393"/>
    <w:rsid w:val="00DF43F5"/>
    <w:rsid w:val="00DF45AC"/>
    <w:rsid w:val="00DF4753"/>
    <w:rsid w:val="00DF492D"/>
    <w:rsid w:val="00DF4A1D"/>
    <w:rsid w:val="00DF4B96"/>
    <w:rsid w:val="00DF4D63"/>
    <w:rsid w:val="00DF4F57"/>
    <w:rsid w:val="00DF4FD5"/>
    <w:rsid w:val="00DF528B"/>
    <w:rsid w:val="00DF5758"/>
    <w:rsid w:val="00DF5906"/>
    <w:rsid w:val="00DF5930"/>
    <w:rsid w:val="00DF5ADD"/>
    <w:rsid w:val="00DF5B7C"/>
    <w:rsid w:val="00DF5D80"/>
    <w:rsid w:val="00DF5E48"/>
    <w:rsid w:val="00DF5F46"/>
    <w:rsid w:val="00DF620D"/>
    <w:rsid w:val="00DF6502"/>
    <w:rsid w:val="00DF651A"/>
    <w:rsid w:val="00DF6CEC"/>
    <w:rsid w:val="00DF6D45"/>
    <w:rsid w:val="00DF7698"/>
    <w:rsid w:val="00DF7829"/>
    <w:rsid w:val="00DF7973"/>
    <w:rsid w:val="00DF7A8D"/>
    <w:rsid w:val="00DF7C03"/>
    <w:rsid w:val="00E00009"/>
    <w:rsid w:val="00E000E5"/>
    <w:rsid w:val="00E007FE"/>
    <w:rsid w:val="00E00A2E"/>
    <w:rsid w:val="00E011E4"/>
    <w:rsid w:val="00E0130D"/>
    <w:rsid w:val="00E013A6"/>
    <w:rsid w:val="00E013D5"/>
    <w:rsid w:val="00E014C6"/>
    <w:rsid w:val="00E0171B"/>
    <w:rsid w:val="00E01754"/>
    <w:rsid w:val="00E01C15"/>
    <w:rsid w:val="00E01CB7"/>
    <w:rsid w:val="00E01EA9"/>
    <w:rsid w:val="00E0204C"/>
    <w:rsid w:val="00E021E3"/>
    <w:rsid w:val="00E02405"/>
    <w:rsid w:val="00E02708"/>
    <w:rsid w:val="00E0270D"/>
    <w:rsid w:val="00E02C64"/>
    <w:rsid w:val="00E02DB0"/>
    <w:rsid w:val="00E02E29"/>
    <w:rsid w:val="00E02F71"/>
    <w:rsid w:val="00E03002"/>
    <w:rsid w:val="00E034E7"/>
    <w:rsid w:val="00E03661"/>
    <w:rsid w:val="00E03685"/>
    <w:rsid w:val="00E03985"/>
    <w:rsid w:val="00E039DA"/>
    <w:rsid w:val="00E03A94"/>
    <w:rsid w:val="00E03AAA"/>
    <w:rsid w:val="00E03B0F"/>
    <w:rsid w:val="00E03BB7"/>
    <w:rsid w:val="00E03DAD"/>
    <w:rsid w:val="00E03DF6"/>
    <w:rsid w:val="00E03EF9"/>
    <w:rsid w:val="00E04447"/>
    <w:rsid w:val="00E044B1"/>
    <w:rsid w:val="00E04732"/>
    <w:rsid w:val="00E04870"/>
    <w:rsid w:val="00E04B93"/>
    <w:rsid w:val="00E04E65"/>
    <w:rsid w:val="00E0501D"/>
    <w:rsid w:val="00E0517F"/>
    <w:rsid w:val="00E05270"/>
    <w:rsid w:val="00E0540C"/>
    <w:rsid w:val="00E0545B"/>
    <w:rsid w:val="00E05534"/>
    <w:rsid w:val="00E05969"/>
    <w:rsid w:val="00E059B2"/>
    <w:rsid w:val="00E05A20"/>
    <w:rsid w:val="00E05C9B"/>
    <w:rsid w:val="00E05D1C"/>
    <w:rsid w:val="00E05D83"/>
    <w:rsid w:val="00E05E18"/>
    <w:rsid w:val="00E060A2"/>
    <w:rsid w:val="00E06176"/>
    <w:rsid w:val="00E0617D"/>
    <w:rsid w:val="00E0617F"/>
    <w:rsid w:val="00E06212"/>
    <w:rsid w:val="00E06970"/>
    <w:rsid w:val="00E06C0B"/>
    <w:rsid w:val="00E071AB"/>
    <w:rsid w:val="00E079CA"/>
    <w:rsid w:val="00E07C53"/>
    <w:rsid w:val="00E07F84"/>
    <w:rsid w:val="00E1003B"/>
    <w:rsid w:val="00E10069"/>
    <w:rsid w:val="00E101C2"/>
    <w:rsid w:val="00E10459"/>
    <w:rsid w:val="00E1051F"/>
    <w:rsid w:val="00E10B29"/>
    <w:rsid w:val="00E10C33"/>
    <w:rsid w:val="00E10C49"/>
    <w:rsid w:val="00E10EC5"/>
    <w:rsid w:val="00E113E6"/>
    <w:rsid w:val="00E11404"/>
    <w:rsid w:val="00E11542"/>
    <w:rsid w:val="00E1167F"/>
    <w:rsid w:val="00E116C7"/>
    <w:rsid w:val="00E117F5"/>
    <w:rsid w:val="00E11909"/>
    <w:rsid w:val="00E11AD3"/>
    <w:rsid w:val="00E11C32"/>
    <w:rsid w:val="00E11C3C"/>
    <w:rsid w:val="00E11D04"/>
    <w:rsid w:val="00E12151"/>
    <w:rsid w:val="00E12306"/>
    <w:rsid w:val="00E123DB"/>
    <w:rsid w:val="00E127B8"/>
    <w:rsid w:val="00E128C7"/>
    <w:rsid w:val="00E12AA7"/>
    <w:rsid w:val="00E12B17"/>
    <w:rsid w:val="00E12D66"/>
    <w:rsid w:val="00E12DE9"/>
    <w:rsid w:val="00E12E91"/>
    <w:rsid w:val="00E12F28"/>
    <w:rsid w:val="00E13016"/>
    <w:rsid w:val="00E1326C"/>
    <w:rsid w:val="00E1368B"/>
    <w:rsid w:val="00E13739"/>
    <w:rsid w:val="00E13A0E"/>
    <w:rsid w:val="00E13B6D"/>
    <w:rsid w:val="00E13C4D"/>
    <w:rsid w:val="00E13C99"/>
    <w:rsid w:val="00E13E5C"/>
    <w:rsid w:val="00E13F3A"/>
    <w:rsid w:val="00E13F9D"/>
    <w:rsid w:val="00E13FF5"/>
    <w:rsid w:val="00E1410B"/>
    <w:rsid w:val="00E142E8"/>
    <w:rsid w:val="00E14990"/>
    <w:rsid w:val="00E14AA5"/>
    <w:rsid w:val="00E14BA5"/>
    <w:rsid w:val="00E14CC7"/>
    <w:rsid w:val="00E14FCD"/>
    <w:rsid w:val="00E150E0"/>
    <w:rsid w:val="00E1531A"/>
    <w:rsid w:val="00E158D6"/>
    <w:rsid w:val="00E15991"/>
    <w:rsid w:val="00E159F1"/>
    <w:rsid w:val="00E15CA5"/>
    <w:rsid w:val="00E15D92"/>
    <w:rsid w:val="00E15F3F"/>
    <w:rsid w:val="00E16047"/>
    <w:rsid w:val="00E1607D"/>
    <w:rsid w:val="00E16242"/>
    <w:rsid w:val="00E1673C"/>
    <w:rsid w:val="00E167D1"/>
    <w:rsid w:val="00E1695D"/>
    <w:rsid w:val="00E16BAB"/>
    <w:rsid w:val="00E16DE2"/>
    <w:rsid w:val="00E17238"/>
    <w:rsid w:val="00E175AB"/>
    <w:rsid w:val="00E175BC"/>
    <w:rsid w:val="00E17791"/>
    <w:rsid w:val="00E17C29"/>
    <w:rsid w:val="00E17CD4"/>
    <w:rsid w:val="00E17CEC"/>
    <w:rsid w:val="00E200E5"/>
    <w:rsid w:val="00E2015B"/>
    <w:rsid w:val="00E202B8"/>
    <w:rsid w:val="00E2034A"/>
    <w:rsid w:val="00E2070D"/>
    <w:rsid w:val="00E2071A"/>
    <w:rsid w:val="00E209A4"/>
    <w:rsid w:val="00E20A2C"/>
    <w:rsid w:val="00E20B8D"/>
    <w:rsid w:val="00E20C83"/>
    <w:rsid w:val="00E20C9A"/>
    <w:rsid w:val="00E20D4E"/>
    <w:rsid w:val="00E20D6C"/>
    <w:rsid w:val="00E2107C"/>
    <w:rsid w:val="00E21292"/>
    <w:rsid w:val="00E2130A"/>
    <w:rsid w:val="00E21356"/>
    <w:rsid w:val="00E214B9"/>
    <w:rsid w:val="00E216F5"/>
    <w:rsid w:val="00E217C9"/>
    <w:rsid w:val="00E21A06"/>
    <w:rsid w:val="00E21A81"/>
    <w:rsid w:val="00E21B5F"/>
    <w:rsid w:val="00E21B9B"/>
    <w:rsid w:val="00E21BEA"/>
    <w:rsid w:val="00E21D0D"/>
    <w:rsid w:val="00E21DDD"/>
    <w:rsid w:val="00E221ED"/>
    <w:rsid w:val="00E22258"/>
    <w:rsid w:val="00E223AA"/>
    <w:rsid w:val="00E2256B"/>
    <w:rsid w:val="00E22785"/>
    <w:rsid w:val="00E228D2"/>
    <w:rsid w:val="00E228E1"/>
    <w:rsid w:val="00E228F2"/>
    <w:rsid w:val="00E229E7"/>
    <w:rsid w:val="00E22B96"/>
    <w:rsid w:val="00E22BA3"/>
    <w:rsid w:val="00E22DC2"/>
    <w:rsid w:val="00E22E5A"/>
    <w:rsid w:val="00E22F4A"/>
    <w:rsid w:val="00E23314"/>
    <w:rsid w:val="00E236B5"/>
    <w:rsid w:val="00E238DA"/>
    <w:rsid w:val="00E23A2F"/>
    <w:rsid w:val="00E23DFA"/>
    <w:rsid w:val="00E23F6A"/>
    <w:rsid w:val="00E24245"/>
    <w:rsid w:val="00E242D4"/>
    <w:rsid w:val="00E24375"/>
    <w:rsid w:val="00E24482"/>
    <w:rsid w:val="00E24639"/>
    <w:rsid w:val="00E2485B"/>
    <w:rsid w:val="00E24B5E"/>
    <w:rsid w:val="00E24BC2"/>
    <w:rsid w:val="00E24D15"/>
    <w:rsid w:val="00E24E32"/>
    <w:rsid w:val="00E24F72"/>
    <w:rsid w:val="00E24FE0"/>
    <w:rsid w:val="00E25017"/>
    <w:rsid w:val="00E25102"/>
    <w:rsid w:val="00E25129"/>
    <w:rsid w:val="00E251B6"/>
    <w:rsid w:val="00E25534"/>
    <w:rsid w:val="00E25559"/>
    <w:rsid w:val="00E2570B"/>
    <w:rsid w:val="00E258E0"/>
    <w:rsid w:val="00E259D3"/>
    <w:rsid w:val="00E25B7B"/>
    <w:rsid w:val="00E25C16"/>
    <w:rsid w:val="00E25E50"/>
    <w:rsid w:val="00E25F71"/>
    <w:rsid w:val="00E264C3"/>
    <w:rsid w:val="00E26545"/>
    <w:rsid w:val="00E265EE"/>
    <w:rsid w:val="00E2675F"/>
    <w:rsid w:val="00E2687C"/>
    <w:rsid w:val="00E26888"/>
    <w:rsid w:val="00E26A93"/>
    <w:rsid w:val="00E26AF6"/>
    <w:rsid w:val="00E26BDA"/>
    <w:rsid w:val="00E26F2D"/>
    <w:rsid w:val="00E26F8D"/>
    <w:rsid w:val="00E27127"/>
    <w:rsid w:val="00E272FF"/>
    <w:rsid w:val="00E27465"/>
    <w:rsid w:val="00E27692"/>
    <w:rsid w:val="00E27694"/>
    <w:rsid w:val="00E278AD"/>
    <w:rsid w:val="00E27D23"/>
    <w:rsid w:val="00E3009D"/>
    <w:rsid w:val="00E30216"/>
    <w:rsid w:val="00E30471"/>
    <w:rsid w:val="00E304CF"/>
    <w:rsid w:val="00E306B6"/>
    <w:rsid w:val="00E30DAB"/>
    <w:rsid w:val="00E313DA"/>
    <w:rsid w:val="00E31462"/>
    <w:rsid w:val="00E31719"/>
    <w:rsid w:val="00E31916"/>
    <w:rsid w:val="00E31D0C"/>
    <w:rsid w:val="00E327F2"/>
    <w:rsid w:val="00E3281E"/>
    <w:rsid w:val="00E32864"/>
    <w:rsid w:val="00E329CF"/>
    <w:rsid w:val="00E32A95"/>
    <w:rsid w:val="00E32AAC"/>
    <w:rsid w:val="00E32BB2"/>
    <w:rsid w:val="00E32D05"/>
    <w:rsid w:val="00E33150"/>
    <w:rsid w:val="00E332D4"/>
    <w:rsid w:val="00E3362F"/>
    <w:rsid w:val="00E336B5"/>
    <w:rsid w:val="00E3379E"/>
    <w:rsid w:val="00E339A4"/>
    <w:rsid w:val="00E33E4E"/>
    <w:rsid w:val="00E33E6B"/>
    <w:rsid w:val="00E33E9E"/>
    <w:rsid w:val="00E33F7E"/>
    <w:rsid w:val="00E346DF"/>
    <w:rsid w:val="00E3481A"/>
    <w:rsid w:val="00E34923"/>
    <w:rsid w:val="00E34A48"/>
    <w:rsid w:val="00E34BEF"/>
    <w:rsid w:val="00E34C2A"/>
    <w:rsid w:val="00E34CA5"/>
    <w:rsid w:val="00E34E9C"/>
    <w:rsid w:val="00E34F3D"/>
    <w:rsid w:val="00E350F8"/>
    <w:rsid w:val="00E35176"/>
    <w:rsid w:val="00E35325"/>
    <w:rsid w:val="00E354C4"/>
    <w:rsid w:val="00E355CA"/>
    <w:rsid w:val="00E357EE"/>
    <w:rsid w:val="00E3594D"/>
    <w:rsid w:val="00E35AEC"/>
    <w:rsid w:val="00E35E89"/>
    <w:rsid w:val="00E364E1"/>
    <w:rsid w:val="00E36661"/>
    <w:rsid w:val="00E3666B"/>
    <w:rsid w:val="00E36862"/>
    <w:rsid w:val="00E36B4C"/>
    <w:rsid w:val="00E36CFA"/>
    <w:rsid w:val="00E36D55"/>
    <w:rsid w:val="00E36D98"/>
    <w:rsid w:val="00E36DBE"/>
    <w:rsid w:val="00E36FB5"/>
    <w:rsid w:val="00E3708A"/>
    <w:rsid w:val="00E374E9"/>
    <w:rsid w:val="00E375F6"/>
    <w:rsid w:val="00E37613"/>
    <w:rsid w:val="00E37D92"/>
    <w:rsid w:val="00E37FF0"/>
    <w:rsid w:val="00E40114"/>
    <w:rsid w:val="00E40163"/>
    <w:rsid w:val="00E40425"/>
    <w:rsid w:val="00E404F9"/>
    <w:rsid w:val="00E40EA5"/>
    <w:rsid w:val="00E4104E"/>
    <w:rsid w:val="00E410D1"/>
    <w:rsid w:val="00E4111E"/>
    <w:rsid w:val="00E412FD"/>
    <w:rsid w:val="00E413A4"/>
    <w:rsid w:val="00E414CC"/>
    <w:rsid w:val="00E414FB"/>
    <w:rsid w:val="00E416E9"/>
    <w:rsid w:val="00E419DF"/>
    <w:rsid w:val="00E4240A"/>
    <w:rsid w:val="00E4252F"/>
    <w:rsid w:val="00E42579"/>
    <w:rsid w:val="00E4266D"/>
    <w:rsid w:val="00E42984"/>
    <w:rsid w:val="00E429BB"/>
    <w:rsid w:val="00E42AE0"/>
    <w:rsid w:val="00E42E18"/>
    <w:rsid w:val="00E42F1F"/>
    <w:rsid w:val="00E4315E"/>
    <w:rsid w:val="00E43AE4"/>
    <w:rsid w:val="00E43C80"/>
    <w:rsid w:val="00E43DA2"/>
    <w:rsid w:val="00E43FF7"/>
    <w:rsid w:val="00E443A4"/>
    <w:rsid w:val="00E443B7"/>
    <w:rsid w:val="00E44651"/>
    <w:rsid w:val="00E4470E"/>
    <w:rsid w:val="00E4491D"/>
    <w:rsid w:val="00E44AC3"/>
    <w:rsid w:val="00E44B9F"/>
    <w:rsid w:val="00E44C58"/>
    <w:rsid w:val="00E44E28"/>
    <w:rsid w:val="00E44F0C"/>
    <w:rsid w:val="00E45342"/>
    <w:rsid w:val="00E45469"/>
    <w:rsid w:val="00E45517"/>
    <w:rsid w:val="00E4561F"/>
    <w:rsid w:val="00E456E4"/>
    <w:rsid w:val="00E459E2"/>
    <w:rsid w:val="00E45A40"/>
    <w:rsid w:val="00E45D48"/>
    <w:rsid w:val="00E45DA1"/>
    <w:rsid w:val="00E45EFB"/>
    <w:rsid w:val="00E467E7"/>
    <w:rsid w:val="00E46854"/>
    <w:rsid w:val="00E46A5E"/>
    <w:rsid w:val="00E46E9B"/>
    <w:rsid w:val="00E46EA2"/>
    <w:rsid w:val="00E46FD6"/>
    <w:rsid w:val="00E47319"/>
    <w:rsid w:val="00E4754F"/>
    <w:rsid w:val="00E47664"/>
    <w:rsid w:val="00E477DD"/>
    <w:rsid w:val="00E47BF8"/>
    <w:rsid w:val="00E47C3D"/>
    <w:rsid w:val="00E500DA"/>
    <w:rsid w:val="00E5032F"/>
    <w:rsid w:val="00E5046E"/>
    <w:rsid w:val="00E50A54"/>
    <w:rsid w:val="00E50AE5"/>
    <w:rsid w:val="00E50CEF"/>
    <w:rsid w:val="00E50F60"/>
    <w:rsid w:val="00E511C8"/>
    <w:rsid w:val="00E51277"/>
    <w:rsid w:val="00E512CD"/>
    <w:rsid w:val="00E512DA"/>
    <w:rsid w:val="00E512E9"/>
    <w:rsid w:val="00E51A36"/>
    <w:rsid w:val="00E51A82"/>
    <w:rsid w:val="00E51FC8"/>
    <w:rsid w:val="00E52072"/>
    <w:rsid w:val="00E52230"/>
    <w:rsid w:val="00E5226E"/>
    <w:rsid w:val="00E5259A"/>
    <w:rsid w:val="00E5287B"/>
    <w:rsid w:val="00E52B8A"/>
    <w:rsid w:val="00E52DA3"/>
    <w:rsid w:val="00E53066"/>
    <w:rsid w:val="00E53242"/>
    <w:rsid w:val="00E536F1"/>
    <w:rsid w:val="00E5381C"/>
    <w:rsid w:val="00E538A7"/>
    <w:rsid w:val="00E539E7"/>
    <w:rsid w:val="00E53A47"/>
    <w:rsid w:val="00E53D4B"/>
    <w:rsid w:val="00E53D50"/>
    <w:rsid w:val="00E53E53"/>
    <w:rsid w:val="00E53E89"/>
    <w:rsid w:val="00E540DF"/>
    <w:rsid w:val="00E54530"/>
    <w:rsid w:val="00E54539"/>
    <w:rsid w:val="00E54541"/>
    <w:rsid w:val="00E5459E"/>
    <w:rsid w:val="00E5478C"/>
    <w:rsid w:val="00E547E6"/>
    <w:rsid w:val="00E5493E"/>
    <w:rsid w:val="00E549C6"/>
    <w:rsid w:val="00E549FA"/>
    <w:rsid w:val="00E54C07"/>
    <w:rsid w:val="00E54D33"/>
    <w:rsid w:val="00E54E8F"/>
    <w:rsid w:val="00E54F4F"/>
    <w:rsid w:val="00E550F4"/>
    <w:rsid w:val="00E55418"/>
    <w:rsid w:val="00E555BF"/>
    <w:rsid w:val="00E558B4"/>
    <w:rsid w:val="00E55A09"/>
    <w:rsid w:val="00E55C3F"/>
    <w:rsid w:val="00E55F12"/>
    <w:rsid w:val="00E55F3F"/>
    <w:rsid w:val="00E56120"/>
    <w:rsid w:val="00E56290"/>
    <w:rsid w:val="00E56681"/>
    <w:rsid w:val="00E567C6"/>
    <w:rsid w:val="00E5686A"/>
    <w:rsid w:val="00E56C45"/>
    <w:rsid w:val="00E56CAD"/>
    <w:rsid w:val="00E56D3B"/>
    <w:rsid w:val="00E56F3B"/>
    <w:rsid w:val="00E5717E"/>
    <w:rsid w:val="00E57326"/>
    <w:rsid w:val="00E5741C"/>
    <w:rsid w:val="00E576CF"/>
    <w:rsid w:val="00E5780F"/>
    <w:rsid w:val="00E57A64"/>
    <w:rsid w:val="00E57BC3"/>
    <w:rsid w:val="00E57E5E"/>
    <w:rsid w:val="00E6013D"/>
    <w:rsid w:val="00E604A9"/>
    <w:rsid w:val="00E6050B"/>
    <w:rsid w:val="00E607C9"/>
    <w:rsid w:val="00E616F6"/>
    <w:rsid w:val="00E619B6"/>
    <w:rsid w:val="00E61F1A"/>
    <w:rsid w:val="00E61F88"/>
    <w:rsid w:val="00E627B2"/>
    <w:rsid w:val="00E62B02"/>
    <w:rsid w:val="00E62B4C"/>
    <w:rsid w:val="00E62B86"/>
    <w:rsid w:val="00E63151"/>
    <w:rsid w:val="00E63505"/>
    <w:rsid w:val="00E63723"/>
    <w:rsid w:val="00E63A58"/>
    <w:rsid w:val="00E63A7F"/>
    <w:rsid w:val="00E6403E"/>
    <w:rsid w:val="00E640EF"/>
    <w:rsid w:val="00E6414E"/>
    <w:rsid w:val="00E6434B"/>
    <w:rsid w:val="00E64366"/>
    <w:rsid w:val="00E64597"/>
    <w:rsid w:val="00E6482C"/>
    <w:rsid w:val="00E6489C"/>
    <w:rsid w:val="00E64A4A"/>
    <w:rsid w:val="00E64A91"/>
    <w:rsid w:val="00E64B75"/>
    <w:rsid w:val="00E64C3C"/>
    <w:rsid w:val="00E65440"/>
    <w:rsid w:val="00E6580B"/>
    <w:rsid w:val="00E658DD"/>
    <w:rsid w:val="00E65A90"/>
    <w:rsid w:val="00E65E1B"/>
    <w:rsid w:val="00E661A5"/>
    <w:rsid w:val="00E6642E"/>
    <w:rsid w:val="00E666F1"/>
    <w:rsid w:val="00E6693A"/>
    <w:rsid w:val="00E66B85"/>
    <w:rsid w:val="00E66BA4"/>
    <w:rsid w:val="00E66C05"/>
    <w:rsid w:val="00E66D61"/>
    <w:rsid w:val="00E66E9A"/>
    <w:rsid w:val="00E66ED6"/>
    <w:rsid w:val="00E66F0F"/>
    <w:rsid w:val="00E6729F"/>
    <w:rsid w:val="00E674D8"/>
    <w:rsid w:val="00E6772D"/>
    <w:rsid w:val="00E6781E"/>
    <w:rsid w:val="00E702D2"/>
    <w:rsid w:val="00E703AA"/>
    <w:rsid w:val="00E708A2"/>
    <w:rsid w:val="00E7090D"/>
    <w:rsid w:val="00E7095D"/>
    <w:rsid w:val="00E70CFC"/>
    <w:rsid w:val="00E70FF2"/>
    <w:rsid w:val="00E71008"/>
    <w:rsid w:val="00E71065"/>
    <w:rsid w:val="00E7123F"/>
    <w:rsid w:val="00E71786"/>
    <w:rsid w:val="00E717A0"/>
    <w:rsid w:val="00E71BEB"/>
    <w:rsid w:val="00E71BFA"/>
    <w:rsid w:val="00E71CE2"/>
    <w:rsid w:val="00E71F2C"/>
    <w:rsid w:val="00E71FCA"/>
    <w:rsid w:val="00E72004"/>
    <w:rsid w:val="00E7205A"/>
    <w:rsid w:val="00E72557"/>
    <w:rsid w:val="00E72683"/>
    <w:rsid w:val="00E727E8"/>
    <w:rsid w:val="00E7291F"/>
    <w:rsid w:val="00E729A4"/>
    <w:rsid w:val="00E72D10"/>
    <w:rsid w:val="00E72F34"/>
    <w:rsid w:val="00E72FFF"/>
    <w:rsid w:val="00E73148"/>
    <w:rsid w:val="00E73291"/>
    <w:rsid w:val="00E73343"/>
    <w:rsid w:val="00E73671"/>
    <w:rsid w:val="00E736AB"/>
    <w:rsid w:val="00E73A41"/>
    <w:rsid w:val="00E73AB8"/>
    <w:rsid w:val="00E73F45"/>
    <w:rsid w:val="00E740E6"/>
    <w:rsid w:val="00E7425C"/>
    <w:rsid w:val="00E74B22"/>
    <w:rsid w:val="00E74CFB"/>
    <w:rsid w:val="00E75110"/>
    <w:rsid w:val="00E75176"/>
    <w:rsid w:val="00E75781"/>
    <w:rsid w:val="00E757ED"/>
    <w:rsid w:val="00E75820"/>
    <w:rsid w:val="00E758EC"/>
    <w:rsid w:val="00E759AB"/>
    <w:rsid w:val="00E76247"/>
    <w:rsid w:val="00E76266"/>
    <w:rsid w:val="00E762EB"/>
    <w:rsid w:val="00E76611"/>
    <w:rsid w:val="00E7690B"/>
    <w:rsid w:val="00E76925"/>
    <w:rsid w:val="00E76B81"/>
    <w:rsid w:val="00E76BDB"/>
    <w:rsid w:val="00E76CCB"/>
    <w:rsid w:val="00E76F55"/>
    <w:rsid w:val="00E770BB"/>
    <w:rsid w:val="00E77114"/>
    <w:rsid w:val="00E7787B"/>
    <w:rsid w:val="00E779D7"/>
    <w:rsid w:val="00E77D95"/>
    <w:rsid w:val="00E80081"/>
    <w:rsid w:val="00E800AC"/>
    <w:rsid w:val="00E80A7F"/>
    <w:rsid w:val="00E80AD3"/>
    <w:rsid w:val="00E80CC5"/>
    <w:rsid w:val="00E80D89"/>
    <w:rsid w:val="00E8169A"/>
    <w:rsid w:val="00E8185A"/>
    <w:rsid w:val="00E81A76"/>
    <w:rsid w:val="00E81CC9"/>
    <w:rsid w:val="00E822D2"/>
    <w:rsid w:val="00E825CA"/>
    <w:rsid w:val="00E82637"/>
    <w:rsid w:val="00E826BB"/>
    <w:rsid w:val="00E82988"/>
    <w:rsid w:val="00E82B4D"/>
    <w:rsid w:val="00E82F15"/>
    <w:rsid w:val="00E8313B"/>
    <w:rsid w:val="00E832D8"/>
    <w:rsid w:val="00E83561"/>
    <w:rsid w:val="00E83617"/>
    <w:rsid w:val="00E83679"/>
    <w:rsid w:val="00E83734"/>
    <w:rsid w:val="00E83839"/>
    <w:rsid w:val="00E83893"/>
    <w:rsid w:val="00E83A59"/>
    <w:rsid w:val="00E83A71"/>
    <w:rsid w:val="00E83ECC"/>
    <w:rsid w:val="00E8408F"/>
    <w:rsid w:val="00E840CE"/>
    <w:rsid w:val="00E84118"/>
    <w:rsid w:val="00E842B9"/>
    <w:rsid w:val="00E8440A"/>
    <w:rsid w:val="00E8462A"/>
    <w:rsid w:val="00E84AB8"/>
    <w:rsid w:val="00E84B8C"/>
    <w:rsid w:val="00E84C07"/>
    <w:rsid w:val="00E84F30"/>
    <w:rsid w:val="00E852D8"/>
    <w:rsid w:val="00E852E7"/>
    <w:rsid w:val="00E8535C"/>
    <w:rsid w:val="00E85682"/>
    <w:rsid w:val="00E857E0"/>
    <w:rsid w:val="00E858AB"/>
    <w:rsid w:val="00E8592C"/>
    <w:rsid w:val="00E85E26"/>
    <w:rsid w:val="00E85E3D"/>
    <w:rsid w:val="00E85F43"/>
    <w:rsid w:val="00E85F81"/>
    <w:rsid w:val="00E86031"/>
    <w:rsid w:val="00E86073"/>
    <w:rsid w:val="00E8607A"/>
    <w:rsid w:val="00E861D4"/>
    <w:rsid w:val="00E86415"/>
    <w:rsid w:val="00E865D9"/>
    <w:rsid w:val="00E86979"/>
    <w:rsid w:val="00E86ABC"/>
    <w:rsid w:val="00E86D94"/>
    <w:rsid w:val="00E86DCC"/>
    <w:rsid w:val="00E86E41"/>
    <w:rsid w:val="00E8724C"/>
    <w:rsid w:val="00E87650"/>
    <w:rsid w:val="00E8782B"/>
    <w:rsid w:val="00E87E7F"/>
    <w:rsid w:val="00E87EC2"/>
    <w:rsid w:val="00E87EED"/>
    <w:rsid w:val="00E87F4F"/>
    <w:rsid w:val="00E9021A"/>
    <w:rsid w:val="00E902E9"/>
    <w:rsid w:val="00E909DE"/>
    <w:rsid w:val="00E90E43"/>
    <w:rsid w:val="00E90F5D"/>
    <w:rsid w:val="00E911A5"/>
    <w:rsid w:val="00E915FF"/>
    <w:rsid w:val="00E91B04"/>
    <w:rsid w:val="00E91D5B"/>
    <w:rsid w:val="00E91E2F"/>
    <w:rsid w:val="00E91FF4"/>
    <w:rsid w:val="00E92000"/>
    <w:rsid w:val="00E9222E"/>
    <w:rsid w:val="00E92357"/>
    <w:rsid w:val="00E92401"/>
    <w:rsid w:val="00E92492"/>
    <w:rsid w:val="00E92742"/>
    <w:rsid w:val="00E927EB"/>
    <w:rsid w:val="00E92B6C"/>
    <w:rsid w:val="00E92CD4"/>
    <w:rsid w:val="00E92DA8"/>
    <w:rsid w:val="00E92DC0"/>
    <w:rsid w:val="00E92EF9"/>
    <w:rsid w:val="00E930E9"/>
    <w:rsid w:val="00E9386A"/>
    <w:rsid w:val="00E9398A"/>
    <w:rsid w:val="00E945C1"/>
    <w:rsid w:val="00E945FA"/>
    <w:rsid w:val="00E9473B"/>
    <w:rsid w:val="00E947B8"/>
    <w:rsid w:val="00E94B65"/>
    <w:rsid w:val="00E94DB4"/>
    <w:rsid w:val="00E95060"/>
    <w:rsid w:val="00E951C4"/>
    <w:rsid w:val="00E9541A"/>
    <w:rsid w:val="00E9567A"/>
    <w:rsid w:val="00E95956"/>
    <w:rsid w:val="00E95B12"/>
    <w:rsid w:val="00E95E90"/>
    <w:rsid w:val="00E95EC0"/>
    <w:rsid w:val="00E95F81"/>
    <w:rsid w:val="00E960F4"/>
    <w:rsid w:val="00E962FD"/>
    <w:rsid w:val="00E9668E"/>
    <w:rsid w:val="00E96822"/>
    <w:rsid w:val="00E9691F"/>
    <w:rsid w:val="00E96953"/>
    <w:rsid w:val="00E96A76"/>
    <w:rsid w:val="00E96B08"/>
    <w:rsid w:val="00E96DA4"/>
    <w:rsid w:val="00E97038"/>
    <w:rsid w:val="00E97066"/>
    <w:rsid w:val="00E974B4"/>
    <w:rsid w:val="00E97625"/>
    <w:rsid w:val="00E97D11"/>
    <w:rsid w:val="00EA00CD"/>
    <w:rsid w:val="00EA014D"/>
    <w:rsid w:val="00EA0325"/>
    <w:rsid w:val="00EA05CC"/>
    <w:rsid w:val="00EA0740"/>
    <w:rsid w:val="00EA0D3E"/>
    <w:rsid w:val="00EA0ED1"/>
    <w:rsid w:val="00EA1519"/>
    <w:rsid w:val="00EA1702"/>
    <w:rsid w:val="00EA17F8"/>
    <w:rsid w:val="00EA18D2"/>
    <w:rsid w:val="00EA1A32"/>
    <w:rsid w:val="00EA1C09"/>
    <w:rsid w:val="00EA1C94"/>
    <w:rsid w:val="00EA1D11"/>
    <w:rsid w:val="00EA1E5A"/>
    <w:rsid w:val="00EA2036"/>
    <w:rsid w:val="00EA2767"/>
    <w:rsid w:val="00EA2797"/>
    <w:rsid w:val="00EA2876"/>
    <w:rsid w:val="00EA2A58"/>
    <w:rsid w:val="00EA2B8C"/>
    <w:rsid w:val="00EA2FF3"/>
    <w:rsid w:val="00EA3214"/>
    <w:rsid w:val="00EA345B"/>
    <w:rsid w:val="00EA3758"/>
    <w:rsid w:val="00EA39EC"/>
    <w:rsid w:val="00EA3C96"/>
    <w:rsid w:val="00EA3CBA"/>
    <w:rsid w:val="00EA3E0D"/>
    <w:rsid w:val="00EA44A3"/>
    <w:rsid w:val="00EA4671"/>
    <w:rsid w:val="00EA499D"/>
    <w:rsid w:val="00EA4D3D"/>
    <w:rsid w:val="00EA50CE"/>
    <w:rsid w:val="00EA52FE"/>
    <w:rsid w:val="00EA53B6"/>
    <w:rsid w:val="00EA573A"/>
    <w:rsid w:val="00EA5A74"/>
    <w:rsid w:val="00EA5AC6"/>
    <w:rsid w:val="00EA5BDA"/>
    <w:rsid w:val="00EA5BEA"/>
    <w:rsid w:val="00EA5C09"/>
    <w:rsid w:val="00EA5CDB"/>
    <w:rsid w:val="00EA5E27"/>
    <w:rsid w:val="00EA5F55"/>
    <w:rsid w:val="00EA656D"/>
    <w:rsid w:val="00EA6603"/>
    <w:rsid w:val="00EA67C2"/>
    <w:rsid w:val="00EA67F1"/>
    <w:rsid w:val="00EA6999"/>
    <w:rsid w:val="00EA69E8"/>
    <w:rsid w:val="00EA6BD1"/>
    <w:rsid w:val="00EA71B6"/>
    <w:rsid w:val="00EA7227"/>
    <w:rsid w:val="00EA7751"/>
    <w:rsid w:val="00EA77AC"/>
    <w:rsid w:val="00EA79D0"/>
    <w:rsid w:val="00EA7A47"/>
    <w:rsid w:val="00EA7F84"/>
    <w:rsid w:val="00EB0407"/>
    <w:rsid w:val="00EB0455"/>
    <w:rsid w:val="00EB0490"/>
    <w:rsid w:val="00EB04EF"/>
    <w:rsid w:val="00EB0536"/>
    <w:rsid w:val="00EB056F"/>
    <w:rsid w:val="00EB09F8"/>
    <w:rsid w:val="00EB0C30"/>
    <w:rsid w:val="00EB0D10"/>
    <w:rsid w:val="00EB0D3F"/>
    <w:rsid w:val="00EB0E3E"/>
    <w:rsid w:val="00EB14BF"/>
    <w:rsid w:val="00EB14C9"/>
    <w:rsid w:val="00EB15B6"/>
    <w:rsid w:val="00EB1894"/>
    <w:rsid w:val="00EB1B91"/>
    <w:rsid w:val="00EB1CA4"/>
    <w:rsid w:val="00EB20A5"/>
    <w:rsid w:val="00EB20EE"/>
    <w:rsid w:val="00EB229B"/>
    <w:rsid w:val="00EB22BF"/>
    <w:rsid w:val="00EB2587"/>
    <w:rsid w:val="00EB2799"/>
    <w:rsid w:val="00EB2E8B"/>
    <w:rsid w:val="00EB3199"/>
    <w:rsid w:val="00EB32E9"/>
    <w:rsid w:val="00EB37CA"/>
    <w:rsid w:val="00EB3C68"/>
    <w:rsid w:val="00EB3D01"/>
    <w:rsid w:val="00EB3D9C"/>
    <w:rsid w:val="00EB402F"/>
    <w:rsid w:val="00EB40C5"/>
    <w:rsid w:val="00EB411A"/>
    <w:rsid w:val="00EB4198"/>
    <w:rsid w:val="00EB42A8"/>
    <w:rsid w:val="00EB45B5"/>
    <w:rsid w:val="00EB48BC"/>
    <w:rsid w:val="00EB4E5E"/>
    <w:rsid w:val="00EB4F66"/>
    <w:rsid w:val="00EB4FBC"/>
    <w:rsid w:val="00EB5120"/>
    <w:rsid w:val="00EB51CF"/>
    <w:rsid w:val="00EB51F5"/>
    <w:rsid w:val="00EB53E6"/>
    <w:rsid w:val="00EB5494"/>
    <w:rsid w:val="00EB54F3"/>
    <w:rsid w:val="00EB5582"/>
    <w:rsid w:val="00EB5601"/>
    <w:rsid w:val="00EB5691"/>
    <w:rsid w:val="00EB577E"/>
    <w:rsid w:val="00EB5D7C"/>
    <w:rsid w:val="00EB5E38"/>
    <w:rsid w:val="00EB60C6"/>
    <w:rsid w:val="00EB6309"/>
    <w:rsid w:val="00EB658C"/>
    <w:rsid w:val="00EB675A"/>
    <w:rsid w:val="00EB687F"/>
    <w:rsid w:val="00EB697B"/>
    <w:rsid w:val="00EB69D5"/>
    <w:rsid w:val="00EB6C46"/>
    <w:rsid w:val="00EB6CA9"/>
    <w:rsid w:val="00EB7211"/>
    <w:rsid w:val="00EB74AE"/>
    <w:rsid w:val="00EB765B"/>
    <w:rsid w:val="00EB766F"/>
    <w:rsid w:val="00EB783A"/>
    <w:rsid w:val="00EB7996"/>
    <w:rsid w:val="00EB7AE4"/>
    <w:rsid w:val="00EB7AF7"/>
    <w:rsid w:val="00EB7B20"/>
    <w:rsid w:val="00EB7F8E"/>
    <w:rsid w:val="00EC00AF"/>
    <w:rsid w:val="00EC05FD"/>
    <w:rsid w:val="00EC05FF"/>
    <w:rsid w:val="00EC06F4"/>
    <w:rsid w:val="00EC0BFE"/>
    <w:rsid w:val="00EC0D4A"/>
    <w:rsid w:val="00EC0DE2"/>
    <w:rsid w:val="00EC11EF"/>
    <w:rsid w:val="00EC1322"/>
    <w:rsid w:val="00EC1625"/>
    <w:rsid w:val="00EC1758"/>
    <w:rsid w:val="00EC19BD"/>
    <w:rsid w:val="00EC1ACE"/>
    <w:rsid w:val="00EC1B28"/>
    <w:rsid w:val="00EC1C5B"/>
    <w:rsid w:val="00EC1E02"/>
    <w:rsid w:val="00EC1E93"/>
    <w:rsid w:val="00EC1EE5"/>
    <w:rsid w:val="00EC1F51"/>
    <w:rsid w:val="00EC2129"/>
    <w:rsid w:val="00EC220D"/>
    <w:rsid w:val="00EC2223"/>
    <w:rsid w:val="00EC235E"/>
    <w:rsid w:val="00EC25B5"/>
    <w:rsid w:val="00EC26A8"/>
    <w:rsid w:val="00EC293E"/>
    <w:rsid w:val="00EC2D23"/>
    <w:rsid w:val="00EC2ECF"/>
    <w:rsid w:val="00EC3180"/>
    <w:rsid w:val="00EC31C1"/>
    <w:rsid w:val="00EC3294"/>
    <w:rsid w:val="00EC34B5"/>
    <w:rsid w:val="00EC385E"/>
    <w:rsid w:val="00EC3E45"/>
    <w:rsid w:val="00EC3EB4"/>
    <w:rsid w:val="00EC3F81"/>
    <w:rsid w:val="00EC4075"/>
    <w:rsid w:val="00EC45B0"/>
    <w:rsid w:val="00EC45CA"/>
    <w:rsid w:val="00EC4AC0"/>
    <w:rsid w:val="00EC4B34"/>
    <w:rsid w:val="00EC4C60"/>
    <w:rsid w:val="00EC501A"/>
    <w:rsid w:val="00EC503A"/>
    <w:rsid w:val="00EC50EA"/>
    <w:rsid w:val="00EC526F"/>
    <w:rsid w:val="00EC52E0"/>
    <w:rsid w:val="00EC5472"/>
    <w:rsid w:val="00EC55C1"/>
    <w:rsid w:val="00EC5758"/>
    <w:rsid w:val="00EC5864"/>
    <w:rsid w:val="00EC58AB"/>
    <w:rsid w:val="00EC5955"/>
    <w:rsid w:val="00EC5A49"/>
    <w:rsid w:val="00EC5A8F"/>
    <w:rsid w:val="00EC5C01"/>
    <w:rsid w:val="00EC5C8F"/>
    <w:rsid w:val="00EC5E79"/>
    <w:rsid w:val="00EC610F"/>
    <w:rsid w:val="00EC6166"/>
    <w:rsid w:val="00EC6238"/>
    <w:rsid w:val="00EC6271"/>
    <w:rsid w:val="00EC66FC"/>
    <w:rsid w:val="00EC6712"/>
    <w:rsid w:val="00EC6DE3"/>
    <w:rsid w:val="00EC6F51"/>
    <w:rsid w:val="00EC6F52"/>
    <w:rsid w:val="00EC7290"/>
    <w:rsid w:val="00EC7387"/>
    <w:rsid w:val="00EC73BB"/>
    <w:rsid w:val="00EC74E9"/>
    <w:rsid w:val="00EC7602"/>
    <w:rsid w:val="00EC7637"/>
    <w:rsid w:val="00EC77C5"/>
    <w:rsid w:val="00EC7B74"/>
    <w:rsid w:val="00EC7E19"/>
    <w:rsid w:val="00EC7FB4"/>
    <w:rsid w:val="00EC7FD7"/>
    <w:rsid w:val="00ED00F5"/>
    <w:rsid w:val="00ED0147"/>
    <w:rsid w:val="00ED018E"/>
    <w:rsid w:val="00ED026E"/>
    <w:rsid w:val="00ED02D2"/>
    <w:rsid w:val="00ED07C7"/>
    <w:rsid w:val="00ED0A75"/>
    <w:rsid w:val="00ED0B7F"/>
    <w:rsid w:val="00ED0EE6"/>
    <w:rsid w:val="00ED0FAB"/>
    <w:rsid w:val="00ED1094"/>
    <w:rsid w:val="00ED11C6"/>
    <w:rsid w:val="00ED136F"/>
    <w:rsid w:val="00ED16A5"/>
    <w:rsid w:val="00ED1773"/>
    <w:rsid w:val="00ED1C39"/>
    <w:rsid w:val="00ED1D1D"/>
    <w:rsid w:val="00ED1DB5"/>
    <w:rsid w:val="00ED269F"/>
    <w:rsid w:val="00ED278F"/>
    <w:rsid w:val="00ED27BA"/>
    <w:rsid w:val="00ED28D8"/>
    <w:rsid w:val="00ED2910"/>
    <w:rsid w:val="00ED2AF6"/>
    <w:rsid w:val="00ED2F4B"/>
    <w:rsid w:val="00ED2F8C"/>
    <w:rsid w:val="00ED2FF9"/>
    <w:rsid w:val="00ED3104"/>
    <w:rsid w:val="00ED369F"/>
    <w:rsid w:val="00ED36C3"/>
    <w:rsid w:val="00ED37C9"/>
    <w:rsid w:val="00ED3992"/>
    <w:rsid w:val="00ED4673"/>
    <w:rsid w:val="00ED47B5"/>
    <w:rsid w:val="00ED48F1"/>
    <w:rsid w:val="00ED491D"/>
    <w:rsid w:val="00ED49CE"/>
    <w:rsid w:val="00ED4C8D"/>
    <w:rsid w:val="00ED4E2B"/>
    <w:rsid w:val="00ED4F9E"/>
    <w:rsid w:val="00ED5066"/>
    <w:rsid w:val="00ED53F4"/>
    <w:rsid w:val="00ED5C0C"/>
    <w:rsid w:val="00ED5D3B"/>
    <w:rsid w:val="00ED5E59"/>
    <w:rsid w:val="00ED60CD"/>
    <w:rsid w:val="00ED62D1"/>
    <w:rsid w:val="00ED6464"/>
    <w:rsid w:val="00ED66AF"/>
    <w:rsid w:val="00ED67B3"/>
    <w:rsid w:val="00ED6FC7"/>
    <w:rsid w:val="00ED6FE5"/>
    <w:rsid w:val="00ED6FEE"/>
    <w:rsid w:val="00ED7010"/>
    <w:rsid w:val="00ED74DA"/>
    <w:rsid w:val="00ED7744"/>
    <w:rsid w:val="00ED7B36"/>
    <w:rsid w:val="00ED7C90"/>
    <w:rsid w:val="00ED7F77"/>
    <w:rsid w:val="00EE0000"/>
    <w:rsid w:val="00EE0009"/>
    <w:rsid w:val="00EE0128"/>
    <w:rsid w:val="00EE0174"/>
    <w:rsid w:val="00EE032A"/>
    <w:rsid w:val="00EE0353"/>
    <w:rsid w:val="00EE09AA"/>
    <w:rsid w:val="00EE0ACD"/>
    <w:rsid w:val="00EE0D57"/>
    <w:rsid w:val="00EE0F2C"/>
    <w:rsid w:val="00EE10BA"/>
    <w:rsid w:val="00EE11EA"/>
    <w:rsid w:val="00EE1531"/>
    <w:rsid w:val="00EE1A4A"/>
    <w:rsid w:val="00EE2096"/>
    <w:rsid w:val="00EE21A3"/>
    <w:rsid w:val="00EE250E"/>
    <w:rsid w:val="00EE266A"/>
    <w:rsid w:val="00EE2727"/>
    <w:rsid w:val="00EE27A5"/>
    <w:rsid w:val="00EE2847"/>
    <w:rsid w:val="00EE28FD"/>
    <w:rsid w:val="00EE2BC0"/>
    <w:rsid w:val="00EE2C0A"/>
    <w:rsid w:val="00EE2D41"/>
    <w:rsid w:val="00EE2D5E"/>
    <w:rsid w:val="00EE3055"/>
    <w:rsid w:val="00EE311F"/>
    <w:rsid w:val="00EE31B2"/>
    <w:rsid w:val="00EE3204"/>
    <w:rsid w:val="00EE3833"/>
    <w:rsid w:val="00EE38C0"/>
    <w:rsid w:val="00EE3A35"/>
    <w:rsid w:val="00EE3D12"/>
    <w:rsid w:val="00EE3DF6"/>
    <w:rsid w:val="00EE3F0B"/>
    <w:rsid w:val="00EE4098"/>
    <w:rsid w:val="00EE40B6"/>
    <w:rsid w:val="00EE424C"/>
    <w:rsid w:val="00EE437B"/>
    <w:rsid w:val="00EE445D"/>
    <w:rsid w:val="00EE4569"/>
    <w:rsid w:val="00EE47D7"/>
    <w:rsid w:val="00EE48CB"/>
    <w:rsid w:val="00EE4C6A"/>
    <w:rsid w:val="00EE4D68"/>
    <w:rsid w:val="00EE4E2C"/>
    <w:rsid w:val="00EE5127"/>
    <w:rsid w:val="00EE5201"/>
    <w:rsid w:val="00EE527B"/>
    <w:rsid w:val="00EE539C"/>
    <w:rsid w:val="00EE59F6"/>
    <w:rsid w:val="00EE5A04"/>
    <w:rsid w:val="00EE5A8A"/>
    <w:rsid w:val="00EE5AB9"/>
    <w:rsid w:val="00EE5BBD"/>
    <w:rsid w:val="00EE5CFB"/>
    <w:rsid w:val="00EE5F9C"/>
    <w:rsid w:val="00EE6551"/>
    <w:rsid w:val="00EE7427"/>
    <w:rsid w:val="00EE7671"/>
    <w:rsid w:val="00EE7726"/>
    <w:rsid w:val="00EE7E70"/>
    <w:rsid w:val="00EF0104"/>
    <w:rsid w:val="00EF01C4"/>
    <w:rsid w:val="00EF0484"/>
    <w:rsid w:val="00EF05DC"/>
    <w:rsid w:val="00EF0647"/>
    <w:rsid w:val="00EF0658"/>
    <w:rsid w:val="00EF080C"/>
    <w:rsid w:val="00EF08E3"/>
    <w:rsid w:val="00EF0943"/>
    <w:rsid w:val="00EF09C7"/>
    <w:rsid w:val="00EF0EA6"/>
    <w:rsid w:val="00EF0F19"/>
    <w:rsid w:val="00EF103C"/>
    <w:rsid w:val="00EF156A"/>
    <w:rsid w:val="00EF173C"/>
    <w:rsid w:val="00EF1925"/>
    <w:rsid w:val="00EF1997"/>
    <w:rsid w:val="00EF1B08"/>
    <w:rsid w:val="00EF1D71"/>
    <w:rsid w:val="00EF217B"/>
    <w:rsid w:val="00EF23E5"/>
    <w:rsid w:val="00EF251A"/>
    <w:rsid w:val="00EF2709"/>
    <w:rsid w:val="00EF294E"/>
    <w:rsid w:val="00EF2CA6"/>
    <w:rsid w:val="00EF2D91"/>
    <w:rsid w:val="00EF2E4D"/>
    <w:rsid w:val="00EF30EB"/>
    <w:rsid w:val="00EF3267"/>
    <w:rsid w:val="00EF3392"/>
    <w:rsid w:val="00EF3427"/>
    <w:rsid w:val="00EF36D4"/>
    <w:rsid w:val="00EF3A93"/>
    <w:rsid w:val="00EF3B00"/>
    <w:rsid w:val="00EF3B5D"/>
    <w:rsid w:val="00EF3C2A"/>
    <w:rsid w:val="00EF3CB0"/>
    <w:rsid w:val="00EF3D9B"/>
    <w:rsid w:val="00EF3DCB"/>
    <w:rsid w:val="00EF3E2C"/>
    <w:rsid w:val="00EF3EE4"/>
    <w:rsid w:val="00EF46AC"/>
    <w:rsid w:val="00EF4774"/>
    <w:rsid w:val="00EF49C9"/>
    <w:rsid w:val="00EF4BC7"/>
    <w:rsid w:val="00EF4F88"/>
    <w:rsid w:val="00EF5074"/>
    <w:rsid w:val="00EF5222"/>
    <w:rsid w:val="00EF5436"/>
    <w:rsid w:val="00EF58BA"/>
    <w:rsid w:val="00EF5A38"/>
    <w:rsid w:val="00EF5D6B"/>
    <w:rsid w:val="00EF5EF5"/>
    <w:rsid w:val="00EF60E3"/>
    <w:rsid w:val="00EF6417"/>
    <w:rsid w:val="00EF6B9E"/>
    <w:rsid w:val="00EF6CAB"/>
    <w:rsid w:val="00EF6E4B"/>
    <w:rsid w:val="00EF6F9F"/>
    <w:rsid w:val="00EF723B"/>
    <w:rsid w:val="00EF741D"/>
    <w:rsid w:val="00EF743E"/>
    <w:rsid w:val="00EF747B"/>
    <w:rsid w:val="00EF7896"/>
    <w:rsid w:val="00EF78E1"/>
    <w:rsid w:val="00EF7DB8"/>
    <w:rsid w:val="00EF7F0A"/>
    <w:rsid w:val="00F00028"/>
    <w:rsid w:val="00F0020B"/>
    <w:rsid w:val="00F00362"/>
    <w:rsid w:val="00F006E1"/>
    <w:rsid w:val="00F008EB"/>
    <w:rsid w:val="00F00927"/>
    <w:rsid w:val="00F00BA1"/>
    <w:rsid w:val="00F00BDB"/>
    <w:rsid w:val="00F00C12"/>
    <w:rsid w:val="00F00CBB"/>
    <w:rsid w:val="00F00D69"/>
    <w:rsid w:val="00F00D6B"/>
    <w:rsid w:val="00F00DB6"/>
    <w:rsid w:val="00F011AA"/>
    <w:rsid w:val="00F013D4"/>
    <w:rsid w:val="00F013E7"/>
    <w:rsid w:val="00F015AB"/>
    <w:rsid w:val="00F015BE"/>
    <w:rsid w:val="00F0172F"/>
    <w:rsid w:val="00F018EC"/>
    <w:rsid w:val="00F01B3E"/>
    <w:rsid w:val="00F01C56"/>
    <w:rsid w:val="00F01CF0"/>
    <w:rsid w:val="00F01FA9"/>
    <w:rsid w:val="00F02053"/>
    <w:rsid w:val="00F020F8"/>
    <w:rsid w:val="00F022B9"/>
    <w:rsid w:val="00F0234B"/>
    <w:rsid w:val="00F023F6"/>
    <w:rsid w:val="00F0278D"/>
    <w:rsid w:val="00F0296B"/>
    <w:rsid w:val="00F029DD"/>
    <w:rsid w:val="00F02DC7"/>
    <w:rsid w:val="00F030AC"/>
    <w:rsid w:val="00F030B1"/>
    <w:rsid w:val="00F0388A"/>
    <w:rsid w:val="00F03939"/>
    <w:rsid w:val="00F03EEE"/>
    <w:rsid w:val="00F043BF"/>
    <w:rsid w:val="00F04432"/>
    <w:rsid w:val="00F044F4"/>
    <w:rsid w:val="00F04A92"/>
    <w:rsid w:val="00F05124"/>
    <w:rsid w:val="00F052B3"/>
    <w:rsid w:val="00F05645"/>
    <w:rsid w:val="00F057AD"/>
    <w:rsid w:val="00F05CD3"/>
    <w:rsid w:val="00F06191"/>
    <w:rsid w:val="00F061E6"/>
    <w:rsid w:val="00F06354"/>
    <w:rsid w:val="00F06450"/>
    <w:rsid w:val="00F06688"/>
    <w:rsid w:val="00F06E1B"/>
    <w:rsid w:val="00F06E61"/>
    <w:rsid w:val="00F06F4A"/>
    <w:rsid w:val="00F07049"/>
    <w:rsid w:val="00F070A5"/>
    <w:rsid w:val="00F070E4"/>
    <w:rsid w:val="00F073B7"/>
    <w:rsid w:val="00F074DF"/>
    <w:rsid w:val="00F07A49"/>
    <w:rsid w:val="00F07B06"/>
    <w:rsid w:val="00F100B3"/>
    <w:rsid w:val="00F10410"/>
    <w:rsid w:val="00F106B2"/>
    <w:rsid w:val="00F10836"/>
    <w:rsid w:val="00F10924"/>
    <w:rsid w:val="00F10D2D"/>
    <w:rsid w:val="00F10E31"/>
    <w:rsid w:val="00F110F2"/>
    <w:rsid w:val="00F11108"/>
    <w:rsid w:val="00F1129B"/>
    <w:rsid w:val="00F114CA"/>
    <w:rsid w:val="00F11698"/>
    <w:rsid w:val="00F118DF"/>
    <w:rsid w:val="00F11A12"/>
    <w:rsid w:val="00F11DD1"/>
    <w:rsid w:val="00F11E14"/>
    <w:rsid w:val="00F11F87"/>
    <w:rsid w:val="00F1222F"/>
    <w:rsid w:val="00F127E6"/>
    <w:rsid w:val="00F12833"/>
    <w:rsid w:val="00F12BA2"/>
    <w:rsid w:val="00F132BA"/>
    <w:rsid w:val="00F13491"/>
    <w:rsid w:val="00F13666"/>
    <w:rsid w:val="00F13862"/>
    <w:rsid w:val="00F13CAE"/>
    <w:rsid w:val="00F13CB9"/>
    <w:rsid w:val="00F13F2B"/>
    <w:rsid w:val="00F14462"/>
    <w:rsid w:val="00F14770"/>
    <w:rsid w:val="00F147DC"/>
    <w:rsid w:val="00F14829"/>
    <w:rsid w:val="00F148EF"/>
    <w:rsid w:val="00F149D7"/>
    <w:rsid w:val="00F14D93"/>
    <w:rsid w:val="00F14DEB"/>
    <w:rsid w:val="00F1513A"/>
    <w:rsid w:val="00F1523F"/>
    <w:rsid w:val="00F1532D"/>
    <w:rsid w:val="00F153BE"/>
    <w:rsid w:val="00F1548E"/>
    <w:rsid w:val="00F15583"/>
    <w:rsid w:val="00F158A1"/>
    <w:rsid w:val="00F15B4B"/>
    <w:rsid w:val="00F15C4A"/>
    <w:rsid w:val="00F15CEC"/>
    <w:rsid w:val="00F15E16"/>
    <w:rsid w:val="00F15EFB"/>
    <w:rsid w:val="00F160C6"/>
    <w:rsid w:val="00F1634C"/>
    <w:rsid w:val="00F16356"/>
    <w:rsid w:val="00F16569"/>
    <w:rsid w:val="00F16597"/>
    <w:rsid w:val="00F166C4"/>
    <w:rsid w:val="00F16718"/>
    <w:rsid w:val="00F16D6F"/>
    <w:rsid w:val="00F16F7D"/>
    <w:rsid w:val="00F1713C"/>
    <w:rsid w:val="00F1733E"/>
    <w:rsid w:val="00F174FB"/>
    <w:rsid w:val="00F178DE"/>
    <w:rsid w:val="00F179D5"/>
    <w:rsid w:val="00F17ADC"/>
    <w:rsid w:val="00F17EF3"/>
    <w:rsid w:val="00F17F0F"/>
    <w:rsid w:val="00F17F6F"/>
    <w:rsid w:val="00F202B0"/>
    <w:rsid w:val="00F202D1"/>
    <w:rsid w:val="00F20357"/>
    <w:rsid w:val="00F209AF"/>
    <w:rsid w:val="00F20D33"/>
    <w:rsid w:val="00F20FFF"/>
    <w:rsid w:val="00F21321"/>
    <w:rsid w:val="00F2159E"/>
    <w:rsid w:val="00F216A7"/>
    <w:rsid w:val="00F21783"/>
    <w:rsid w:val="00F21CF5"/>
    <w:rsid w:val="00F21E73"/>
    <w:rsid w:val="00F21F0A"/>
    <w:rsid w:val="00F223F3"/>
    <w:rsid w:val="00F2269B"/>
    <w:rsid w:val="00F229FC"/>
    <w:rsid w:val="00F22B1C"/>
    <w:rsid w:val="00F22C73"/>
    <w:rsid w:val="00F22EF5"/>
    <w:rsid w:val="00F22F60"/>
    <w:rsid w:val="00F22FEB"/>
    <w:rsid w:val="00F232CC"/>
    <w:rsid w:val="00F23568"/>
    <w:rsid w:val="00F23627"/>
    <w:rsid w:val="00F23C8E"/>
    <w:rsid w:val="00F23D7F"/>
    <w:rsid w:val="00F23DEA"/>
    <w:rsid w:val="00F2407A"/>
    <w:rsid w:val="00F2409D"/>
    <w:rsid w:val="00F240D4"/>
    <w:rsid w:val="00F24121"/>
    <w:rsid w:val="00F241E4"/>
    <w:rsid w:val="00F245D2"/>
    <w:rsid w:val="00F245ED"/>
    <w:rsid w:val="00F248B6"/>
    <w:rsid w:val="00F249CB"/>
    <w:rsid w:val="00F249CC"/>
    <w:rsid w:val="00F24A41"/>
    <w:rsid w:val="00F24AB7"/>
    <w:rsid w:val="00F24B4A"/>
    <w:rsid w:val="00F24BDC"/>
    <w:rsid w:val="00F24C44"/>
    <w:rsid w:val="00F24DC0"/>
    <w:rsid w:val="00F25422"/>
    <w:rsid w:val="00F2557C"/>
    <w:rsid w:val="00F25689"/>
    <w:rsid w:val="00F257DC"/>
    <w:rsid w:val="00F25C63"/>
    <w:rsid w:val="00F25DA8"/>
    <w:rsid w:val="00F25E2D"/>
    <w:rsid w:val="00F25E40"/>
    <w:rsid w:val="00F25E70"/>
    <w:rsid w:val="00F25FC9"/>
    <w:rsid w:val="00F2638F"/>
    <w:rsid w:val="00F26507"/>
    <w:rsid w:val="00F266F4"/>
    <w:rsid w:val="00F26B7B"/>
    <w:rsid w:val="00F26BC2"/>
    <w:rsid w:val="00F272FA"/>
    <w:rsid w:val="00F2739B"/>
    <w:rsid w:val="00F2748D"/>
    <w:rsid w:val="00F276A0"/>
    <w:rsid w:val="00F27D97"/>
    <w:rsid w:val="00F27FDA"/>
    <w:rsid w:val="00F30159"/>
    <w:rsid w:val="00F30250"/>
    <w:rsid w:val="00F30395"/>
    <w:rsid w:val="00F305CC"/>
    <w:rsid w:val="00F307E1"/>
    <w:rsid w:val="00F30A90"/>
    <w:rsid w:val="00F310F5"/>
    <w:rsid w:val="00F316FF"/>
    <w:rsid w:val="00F317F5"/>
    <w:rsid w:val="00F31868"/>
    <w:rsid w:val="00F3190D"/>
    <w:rsid w:val="00F31AA5"/>
    <w:rsid w:val="00F31ECF"/>
    <w:rsid w:val="00F32107"/>
    <w:rsid w:val="00F32136"/>
    <w:rsid w:val="00F323B2"/>
    <w:rsid w:val="00F32501"/>
    <w:rsid w:val="00F325D0"/>
    <w:rsid w:val="00F32610"/>
    <w:rsid w:val="00F32660"/>
    <w:rsid w:val="00F327B8"/>
    <w:rsid w:val="00F3287E"/>
    <w:rsid w:val="00F32A13"/>
    <w:rsid w:val="00F32CCE"/>
    <w:rsid w:val="00F32E40"/>
    <w:rsid w:val="00F33015"/>
    <w:rsid w:val="00F33251"/>
    <w:rsid w:val="00F336AB"/>
    <w:rsid w:val="00F336CE"/>
    <w:rsid w:val="00F3396B"/>
    <w:rsid w:val="00F33CE9"/>
    <w:rsid w:val="00F34445"/>
    <w:rsid w:val="00F3467D"/>
    <w:rsid w:val="00F34725"/>
    <w:rsid w:val="00F347C1"/>
    <w:rsid w:val="00F34A2E"/>
    <w:rsid w:val="00F34A87"/>
    <w:rsid w:val="00F34BA8"/>
    <w:rsid w:val="00F34BEF"/>
    <w:rsid w:val="00F34CE2"/>
    <w:rsid w:val="00F34D7C"/>
    <w:rsid w:val="00F34FF2"/>
    <w:rsid w:val="00F352FE"/>
    <w:rsid w:val="00F35335"/>
    <w:rsid w:val="00F35344"/>
    <w:rsid w:val="00F3536E"/>
    <w:rsid w:val="00F354DF"/>
    <w:rsid w:val="00F3579F"/>
    <w:rsid w:val="00F35A99"/>
    <w:rsid w:val="00F35DF8"/>
    <w:rsid w:val="00F35F94"/>
    <w:rsid w:val="00F36309"/>
    <w:rsid w:val="00F36589"/>
    <w:rsid w:val="00F36646"/>
    <w:rsid w:val="00F36654"/>
    <w:rsid w:val="00F36767"/>
    <w:rsid w:val="00F367DC"/>
    <w:rsid w:val="00F36AAF"/>
    <w:rsid w:val="00F36AB6"/>
    <w:rsid w:val="00F36D26"/>
    <w:rsid w:val="00F37285"/>
    <w:rsid w:val="00F37432"/>
    <w:rsid w:val="00F374A9"/>
    <w:rsid w:val="00F3769E"/>
    <w:rsid w:val="00F3776D"/>
    <w:rsid w:val="00F377AA"/>
    <w:rsid w:val="00F377FE"/>
    <w:rsid w:val="00F37947"/>
    <w:rsid w:val="00F37B83"/>
    <w:rsid w:val="00F37C9D"/>
    <w:rsid w:val="00F37DE6"/>
    <w:rsid w:val="00F37DEF"/>
    <w:rsid w:val="00F40259"/>
    <w:rsid w:val="00F40390"/>
    <w:rsid w:val="00F40591"/>
    <w:rsid w:val="00F40B38"/>
    <w:rsid w:val="00F40DF0"/>
    <w:rsid w:val="00F40E94"/>
    <w:rsid w:val="00F40EA0"/>
    <w:rsid w:val="00F40EFF"/>
    <w:rsid w:val="00F40F71"/>
    <w:rsid w:val="00F40F8F"/>
    <w:rsid w:val="00F41062"/>
    <w:rsid w:val="00F41119"/>
    <w:rsid w:val="00F413F1"/>
    <w:rsid w:val="00F41742"/>
    <w:rsid w:val="00F4177D"/>
    <w:rsid w:val="00F419EE"/>
    <w:rsid w:val="00F41D60"/>
    <w:rsid w:val="00F41D77"/>
    <w:rsid w:val="00F42296"/>
    <w:rsid w:val="00F422C8"/>
    <w:rsid w:val="00F42576"/>
    <w:rsid w:val="00F42B3B"/>
    <w:rsid w:val="00F42C40"/>
    <w:rsid w:val="00F42E2B"/>
    <w:rsid w:val="00F4305E"/>
    <w:rsid w:val="00F43209"/>
    <w:rsid w:val="00F4334B"/>
    <w:rsid w:val="00F433B7"/>
    <w:rsid w:val="00F43740"/>
    <w:rsid w:val="00F437EA"/>
    <w:rsid w:val="00F439A9"/>
    <w:rsid w:val="00F43C71"/>
    <w:rsid w:val="00F440F2"/>
    <w:rsid w:val="00F4413F"/>
    <w:rsid w:val="00F44328"/>
    <w:rsid w:val="00F4434B"/>
    <w:rsid w:val="00F444B7"/>
    <w:rsid w:val="00F44559"/>
    <w:rsid w:val="00F4507B"/>
    <w:rsid w:val="00F450DB"/>
    <w:rsid w:val="00F45230"/>
    <w:rsid w:val="00F45304"/>
    <w:rsid w:val="00F45390"/>
    <w:rsid w:val="00F456AA"/>
    <w:rsid w:val="00F457A2"/>
    <w:rsid w:val="00F45E08"/>
    <w:rsid w:val="00F45E3E"/>
    <w:rsid w:val="00F4613D"/>
    <w:rsid w:val="00F463A3"/>
    <w:rsid w:val="00F467A2"/>
    <w:rsid w:val="00F46A4A"/>
    <w:rsid w:val="00F46AB9"/>
    <w:rsid w:val="00F46B5A"/>
    <w:rsid w:val="00F46CC7"/>
    <w:rsid w:val="00F46CD2"/>
    <w:rsid w:val="00F4704F"/>
    <w:rsid w:val="00F474E7"/>
    <w:rsid w:val="00F479D2"/>
    <w:rsid w:val="00F47B19"/>
    <w:rsid w:val="00F47CF8"/>
    <w:rsid w:val="00F47DF4"/>
    <w:rsid w:val="00F5002E"/>
    <w:rsid w:val="00F506CA"/>
    <w:rsid w:val="00F507F9"/>
    <w:rsid w:val="00F50A62"/>
    <w:rsid w:val="00F50A97"/>
    <w:rsid w:val="00F50B06"/>
    <w:rsid w:val="00F50D77"/>
    <w:rsid w:val="00F50E71"/>
    <w:rsid w:val="00F50FA2"/>
    <w:rsid w:val="00F5141A"/>
    <w:rsid w:val="00F5189C"/>
    <w:rsid w:val="00F518E3"/>
    <w:rsid w:val="00F519E6"/>
    <w:rsid w:val="00F51A4F"/>
    <w:rsid w:val="00F51AC1"/>
    <w:rsid w:val="00F51E3B"/>
    <w:rsid w:val="00F52061"/>
    <w:rsid w:val="00F52100"/>
    <w:rsid w:val="00F52134"/>
    <w:rsid w:val="00F522DC"/>
    <w:rsid w:val="00F522E9"/>
    <w:rsid w:val="00F52633"/>
    <w:rsid w:val="00F52677"/>
    <w:rsid w:val="00F5270D"/>
    <w:rsid w:val="00F527D6"/>
    <w:rsid w:val="00F52883"/>
    <w:rsid w:val="00F52896"/>
    <w:rsid w:val="00F52B8E"/>
    <w:rsid w:val="00F5389C"/>
    <w:rsid w:val="00F53961"/>
    <w:rsid w:val="00F53997"/>
    <w:rsid w:val="00F53DC4"/>
    <w:rsid w:val="00F53F56"/>
    <w:rsid w:val="00F54109"/>
    <w:rsid w:val="00F54479"/>
    <w:rsid w:val="00F54540"/>
    <w:rsid w:val="00F545A8"/>
    <w:rsid w:val="00F54ABD"/>
    <w:rsid w:val="00F54BCA"/>
    <w:rsid w:val="00F54DDA"/>
    <w:rsid w:val="00F54EBC"/>
    <w:rsid w:val="00F54F5B"/>
    <w:rsid w:val="00F55231"/>
    <w:rsid w:val="00F55841"/>
    <w:rsid w:val="00F55B33"/>
    <w:rsid w:val="00F55C91"/>
    <w:rsid w:val="00F55DA7"/>
    <w:rsid w:val="00F55E1B"/>
    <w:rsid w:val="00F56160"/>
    <w:rsid w:val="00F56331"/>
    <w:rsid w:val="00F56489"/>
    <w:rsid w:val="00F564F0"/>
    <w:rsid w:val="00F568F3"/>
    <w:rsid w:val="00F569CC"/>
    <w:rsid w:val="00F56D35"/>
    <w:rsid w:val="00F56FFC"/>
    <w:rsid w:val="00F57032"/>
    <w:rsid w:val="00F57270"/>
    <w:rsid w:val="00F57687"/>
    <w:rsid w:val="00F577FD"/>
    <w:rsid w:val="00F5787A"/>
    <w:rsid w:val="00F57C36"/>
    <w:rsid w:val="00F600B2"/>
    <w:rsid w:val="00F605FB"/>
    <w:rsid w:val="00F60717"/>
    <w:rsid w:val="00F609AB"/>
    <w:rsid w:val="00F60AE8"/>
    <w:rsid w:val="00F60AED"/>
    <w:rsid w:val="00F60D34"/>
    <w:rsid w:val="00F60D53"/>
    <w:rsid w:val="00F60D81"/>
    <w:rsid w:val="00F60DAA"/>
    <w:rsid w:val="00F60F3F"/>
    <w:rsid w:val="00F60FBF"/>
    <w:rsid w:val="00F6104A"/>
    <w:rsid w:val="00F611BF"/>
    <w:rsid w:val="00F613A0"/>
    <w:rsid w:val="00F6161A"/>
    <w:rsid w:val="00F61DED"/>
    <w:rsid w:val="00F6208C"/>
    <w:rsid w:val="00F62B63"/>
    <w:rsid w:val="00F62E3A"/>
    <w:rsid w:val="00F63B4E"/>
    <w:rsid w:val="00F64236"/>
    <w:rsid w:val="00F6439E"/>
    <w:rsid w:val="00F6454C"/>
    <w:rsid w:val="00F649E4"/>
    <w:rsid w:val="00F64AD7"/>
    <w:rsid w:val="00F65292"/>
    <w:rsid w:val="00F657F2"/>
    <w:rsid w:val="00F6593F"/>
    <w:rsid w:val="00F66234"/>
    <w:rsid w:val="00F668FE"/>
    <w:rsid w:val="00F66C66"/>
    <w:rsid w:val="00F66FCE"/>
    <w:rsid w:val="00F67059"/>
    <w:rsid w:val="00F6708A"/>
    <w:rsid w:val="00F6708C"/>
    <w:rsid w:val="00F67459"/>
    <w:rsid w:val="00F677D9"/>
    <w:rsid w:val="00F67968"/>
    <w:rsid w:val="00F67C70"/>
    <w:rsid w:val="00F67C7C"/>
    <w:rsid w:val="00F7005B"/>
    <w:rsid w:val="00F702E4"/>
    <w:rsid w:val="00F703F3"/>
    <w:rsid w:val="00F709C7"/>
    <w:rsid w:val="00F70DCD"/>
    <w:rsid w:val="00F70E02"/>
    <w:rsid w:val="00F70E61"/>
    <w:rsid w:val="00F710E1"/>
    <w:rsid w:val="00F71112"/>
    <w:rsid w:val="00F71255"/>
    <w:rsid w:val="00F713FD"/>
    <w:rsid w:val="00F71854"/>
    <w:rsid w:val="00F71D18"/>
    <w:rsid w:val="00F71F29"/>
    <w:rsid w:val="00F725ED"/>
    <w:rsid w:val="00F72638"/>
    <w:rsid w:val="00F72733"/>
    <w:rsid w:val="00F72954"/>
    <w:rsid w:val="00F72A01"/>
    <w:rsid w:val="00F72E7D"/>
    <w:rsid w:val="00F73043"/>
    <w:rsid w:val="00F73190"/>
    <w:rsid w:val="00F7325F"/>
    <w:rsid w:val="00F73302"/>
    <w:rsid w:val="00F733FE"/>
    <w:rsid w:val="00F73587"/>
    <w:rsid w:val="00F735FA"/>
    <w:rsid w:val="00F73EA0"/>
    <w:rsid w:val="00F74297"/>
    <w:rsid w:val="00F7465C"/>
    <w:rsid w:val="00F748B5"/>
    <w:rsid w:val="00F748D4"/>
    <w:rsid w:val="00F74AB2"/>
    <w:rsid w:val="00F74C27"/>
    <w:rsid w:val="00F74C77"/>
    <w:rsid w:val="00F74D8F"/>
    <w:rsid w:val="00F74EB3"/>
    <w:rsid w:val="00F74F9D"/>
    <w:rsid w:val="00F7525B"/>
    <w:rsid w:val="00F75532"/>
    <w:rsid w:val="00F7565B"/>
    <w:rsid w:val="00F75A88"/>
    <w:rsid w:val="00F75C7C"/>
    <w:rsid w:val="00F75CA3"/>
    <w:rsid w:val="00F75E02"/>
    <w:rsid w:val="00F762C2"/>
    <w:rsid w:val="00F76351"/>
    <w:rsid w:val="00F76361"/>
    <w:rsid w:val="00F768F5"/>
    <w:rsid w:val="00F76B77"/>
    <w:rsid w:val="00F76E63"/>
    <w:rsid w:val="00F76E9A"/>
    <w:rsid w:val="00F76F0F"/>
    <w:rsid w:val="00F772A2"/>
    <w:rsid w:val="00F77356"/>
    <w:rsid w:val="00F77395"/>
    <w:rsid w:val="00F773B0"/>
    <w:rsid w:val="00F77457"/>
    <w:rsid w:val="00F7745A"/>
    <w:rsid w:val="00F7764E"/>
    <w:rsid w:val="00F777A2"/>
    <w:rsid w:val="00F77AF5"/>
    <w:rsid w:val="00F77DF6"/>
    <w:rsid w:val="00F77DF7"/>
    <w:rsid w:val="00F77ED4"/>
    <w:rsid w:val="00F77FA2"/>
    <w:rsid w:val="00F77FDF"/>
    <w:rsid w:val="00F80055"/>
    <w:rsid w:val="00F800C2"/>
    <w:rsid w:val="00F80238"/>
    <w:rsid w:val="00F8055B"/>
    <w:rsid w:val="00F805AB"/>
    <w:rsid w:val="00F80771"/>
    <w:rsid w:val="00F80925"/>
    <w:rsid w:val="00F809B6"/>
    <w:rsid w:val="00F809E3"/>
    <w:rsid w:val="00F80D61"/>
    <w:rsid w:val="00F80DA3"/>
    <w:rsid w:val="00F80DC7"/>
    <w:rsid w:val="00F80F01"/>
    <w:rsid w:val="00F80FCB"/>
    <w:rsid w:val="00F8126F"/>
    <w:rsid w:val="00F81512"/>
    <w:rsid w:val="00F8159B"/>
    <w:rsid w:val="00F81885"/>
    <w:rsid w:val="00F81927"/>
    <w:rsid w:val="00F81D26"/>
    <w:rsid w:val="00F81DA3"/>
    <w:rsid w:val="00F8205E"/>
    <w:rsid w:val="00F8242B"/>
    <w:rsid w:val="00F8293E"/>
    <w:rsid w:val="00F82942"/>
    <w:rsid w:val="00F82BBC"/>
    <w:rsid w:val="00F82CCD"/>
    <w:rsid w:val="00F830B6"/>
    <w:rsid w:val="00F8332E"/>
    <w:rsid w:val="00F83399"/>
    <w:rsid w:val="00F83572"/>
    <w:rsid w:val="00F8357C"/>
    <w:rsid w:val="00F837BB"/>
    <w:rsid w:val="00F83B23"/>
    <w:rsid w:val="00F83D3E"/>
    <w:rsid w:val="00F84284"/>
    <w:rsid w:val="00F846C0"/>
    <w:rsid w:val="00F849FD"/>
    <w:rsid w:val="00F84A22"/>
    <w:rsid w:val="00F84C7C"/>
    <w:rsid w:val="00F84CEB"/>
    <w:rsid w:val="00F84F94"/>
    <w:rsid w:val="00F8511B"/>
    <w:rsid w:val="00F851DA"/>
    <w:rsid w:val="00F85217"/>
    <w:rsid w:val="00F85220"/>
    <w:rsid w:val="00F8545E"/>
    <w:rsid w:val="00F858A5"/>
    <w:rsid w:val="00F85A27"/>
    <w:rsid w:val="00F85ACB"/>
    <w:rsid w:val="00F85B10"/>
    <w:rsid w:val="00F85B60"/>
    <w:rsid w:val="00F85C39"/>
    <w:rsid w:val="00F85D96"/>
    <w:rsid w:val="00F85E4C"/>
    <w:rsid w:val="00F85E9D"/>
    <w:rsid w:val="00F85F44"/>
    <w:rsid w:val="00F85FAC"/>
    <w:rsid w:val="00F86090"/>
    <w:rsid w:val="00F86091"/>
    <w:rsid w:val="00F8620C"/>
    <w:rsid w:val="00F86215"/>
    <w:rsid w:val="00F8632A"/>
    <w:rsid w:val="00F86688"/>
    <w:rsid w:val="00F86878"/>
    <w:rsid w:val="00F86B4C"/>
    <w:rsid w:val="00F86C52"/>
    <w:rsid w:val="00F86E4C"/>
    <w:rsid w:val="00F8703E"/>
    <w:rsid w:val="00F87130"/>
    <w:rsid w:val="00F8713D"/>
    <w:rsid w:val="00F8768B"/>
    <w:rsid w:val="00F876CE"/>
    <w:rsid w:val="00F877A2"/>
    <w:rsid w:val="00F87BF5"/>
    <w:rsid w:val="00F87C37"/>
    <w:rsid w:val="00F87E81"/>
    <w:rsid w:val="00F87ECD"/>
    <w:rsid w:val="00F87EFE"/>
    <w:rsid w:val="00F87F7E"/>
    <w:rsid w:val="00F87FD0"/>
    <w:rsid w:val="00F9084A"/>
    <w:rsid w:val="00F90B62"/>
    <w:rsid w:val="00F90B68"/>
    <w:rsid w:val="00F90BFC"/>
    <w:rsid w:val="00F90D9E"/>
    <w:rsid w:val="00F90E0C"/>
    <w:rsid w:val="00F91331"/>
    <w:rsid w:val="00F913D4"/>
    <w:rsid w:val="00F9168D"/>
    <w:rsid w:val="00F91888"/>
    <w:rsid w:val="00F91C7C"/>
    <w:rsid w:val="00F91D84"/>
    <w:rsid w:val="00F92287"/>
    <w:rsid w:val="00F92A51"/>
    <w:rsid w:val="00F931B7"/>
    <w:rsid w:val="00F9320E"/>
    <w:rsid w:val="00F93354"/>
    <w:rsid w:val="00F93402"/>
    <w:rsid w:val="00F9344A"/>
    <w:rsid w:val="00F93490"/>
    <w:rsid w:val="00F9349E"/>
    <w:rsid w:val="00F9352E"/>
    <w:rsid w:val="00F935DD"/>
    <w:rsid w:val="00F93C18"/>
    <w:rsid w:val="00F93C93"/>
    <w:rsid w:val="00F93E52"/>
    <w:rsid w:val="00F94065"/>
    <w:rsid w:val="00F9407F"/>
    <w:rsid w:val="00F9445D"/>
    <w:rsid w:val="00F944CF"/>
    <w:rsid w:val="00F94778"/>
    <w:rsid w:val="00F947AE"/>
    <w:rsid w:val="00F94869"/>
    <w:rsid w:val="00F94943"/>
    <w:rsid w:val="00F94A9C"/>
    <w:rsid w:val="00F94B35"/>
    <w:rsid w:val="00F94E46"/>
    <w:rsid w:val="00F94EF4"/>
    <w:rsid w:val="00F9538B"/>
    <w:rsid w:val="00F95407"/>
    <w:rsid w:val="00F95440"/>
    <w:rsid w:val="00F955D7"/>
    <w:rsid w:val="00F955D9"/>
    <w:rsid w:val="00F95946"/>
    <w:rsid w:val="00F95D84"/>
    <w:rsid w:val="00F95EF2"/>
    <w:rsid w:val="00F96095"/>
    <w:rsid w:val="00F96387"/>
    <w:rsid w:val="00F9647E"/>
    <w:rsid w:val="00F964B5"/>
    <w:rsid w:val="00F9651A"/>
    <w:rsid w:val="00F96599"/>
    <w:rsid w:val="00F968C8"/>
    <w:rsid w:val="00F96A62"/>
    <w:rsid w:val="00F96AF1"/>
    <w:rsid w:val="00F96E4D"/>
    <w:rsid w:val="00F96F63"/>
    <w:rsid w:val="00F9736D"/>
    <w:rsid w:val="00F9790D"/>
    <w:rsid w:val="00F97F70"/>
    <w:rsid w:val="00FA00B8"/>
    <w:rsid w:val="00FA0894"/>
    <w:rsid w:val="00FA08E0"/>
    <w:rsid w:val="00FA0A23"/>
    <w:rsid w:val="00FA0A5E"/>
    <w:rsid w:val="00FA0B66"/>
    <w:rsid w:val="00FA0E55"/>
    <w:rsid w:val="00FA118B"/>
    <w:rsid w:val="00FA1235"/>
    <w:rsid w:val="00FA19DA"/>
    <w:rsid w:val="00FA1BEA"/>
    <w:rsid w:val="00FA1C4A"/>
    <w:rsid w:val="00FA1C96"/>
    <w:rsid w:val="00FA1CE0"/>
    <w:rsid w:val="00FA1F27"/>
    <w:rsid w:val="00FA21CC"/>
    <w:rsid w:val="00FA2216"/>
    <w:rsid w:val="00FA23DF"/>
    <w:rsid w:val="00FA2645"/>
    <w:rsid w:val="00FA26A4"/>
    <w:rsid w:val="00FA26D6"/>
    <w:rsid w:val="00FA27A3"/>
    <w:rsid w:val="00FA27F3"/>
    <w:rsid w:val="00FA2812"/>
    <w:rsid w:val="00FA28F0"/>
    <w:rsid w:val="00FA2BE1"/>
    <w:rsid w:val="00FA2C81"/>
    <w:rsid w:val="00FA2CFB"/>
    <w:rsid w:val="00FA2E68"/>
    <w:rsid w:val="00FA3167"/>
    <w:rsid w:val="00FA3392"/>
    <w:rsid w:val="00FA34AA"/>
    <w:rsid w:val="00FA3625"/>
    <w:rsid w:val="00FA37CA"/>
    <w:rsid w:val="00FA3B96"/>
    <w:rsid w:val="00FA3C68"/>
    <w:rsid w:val="00FA3DDC"/>
    <w:rsid w:val="00FA3DE7"/>
    <w:rsid w:val="00FA3E32"/>
    <w:rsid w:val="00FA4088"/>
    <w:rsid w:val="00FA40BA"/>
    <w:rsid w:val="00FA4178"/>
    <w:rsid w:val="00FA4217"/>
    <w:rsid w:val="00FA4282"/>
    <w:rsid w:val="00FA437B"/>
    <w:rsid w:val="00FA4473"/>
    <w:rsid w:val="00FA447F"/>
    <w:rsid w:val="00FA460B"/>
    <w:rsid w:val="00FA4683"/>
    <w:rsid w:val="00FA46F0"/>
    <w:rsid w:val="00FA4AAC"/>
    <w:rsid w:val="00FA4B83"/>
    <w:rsid w:val="00FA5990"/>
    <w:rsid w:val="00FA5A53"/>
    <w:rsid w:val="00FA623F"/>
    <w:rsid w:val="00FA64DA"/>
    <w:rsid w:val="00FA652A"/>
    <w:rsid w:val="00FA652F"/>
    <w:rsid w:val="00FA687E"/>
    <w:rsid w:val="00FA6954"/>
    <w:rsid w:val="00FA69BE"/>
    <w:rsid w:val="00FA6F18"/>
    <w:rsid w:val="00FA6F9E"/>
    <w:rsid w:val="00FA7198"/>
    <w:rsid w:val="00FA72EC"/>
    <w:rsid w:val="00FA767D"/>
    <w:rsid w:val="00FA7B20"/>
    <w:rsid w:val="00FA7C63"/>
    <w:rsid w:val="00FA7D7E"/>
    <w:rsid w:val="00FB021E"/>
    <w:rsid w:val="00FB0678"/>
    <w:rsid w:val="00FB06BB"/>
    <w:rsid w:val="00FB0A9D"/>
    <w:rsid w:val="00FB0AA8"/>
    <w:rsid w:val="00FB0ADF"/>
    <w:rsid w:val="00FB0B95"/>
    <w:rsid w:val="00FB0F5E"/>
    <w:rsid w:val="00FB124C"/>
    <w:rsid w:val="00FB1326"/>
    <w:rsid w:val="00FB174C"/>
    <w:rsid w:val="00FB1F64"/>
    <w:rsid w:val="00FB2378"/>
    <w:rsid w:val="00FB276A"/>
    <w:rsid w:val="00FB29BA"/>
    <w:rsid w:val="00FB2CDD"/>
    <w:rsid w:val="00FB3009"/>
    <w:rsid w:val="00FB3264"/>
    <w:rsid w:val="00FB32A5"/>
    <w:rsid w:val="00FB3401"/>
    <w:rsid w:val="00FB3458"/>
    <w:rsid w:val="00FB346E"/>
    <w:rsid w:val="00FB3A7B"/>
    <w:rsid w:val="00FB3A90"/>
    <w:rsid w:val="00FB3BB4"/>
    <w:rsid w:val="00FB3CB1"/>
    <w:rsid w:val="00FB3FA6"/>
    <w:rsid w:val="00FB400D"/>
    <w:rsid w:val="00FB4075"/>
    <w:rsid w:val="00FB40FF"/>
    <w:rsid w:val="00FB458B"/>
    <w:rsid w:val="00FB4A4E"/>
    <w:rsid w:val="00FB4C0B"/>
    <w:rsid w:val="00FB4C82"/>
    <w:rsid w:val="00FB5136"/>
    <w:rsid w:val="00FB5362"/>
    <w:rsid w:val="00FB538A"/>
    <w:rsid w:val="00FB554D"/>
    <w:rsid w:val="00FB57D3"/>
    <w:rsid w:val="00FB5A7F"/>
    <w:rsid w:val="00FB5ABE"/>
    <w:rsid w:val="00FB5AD6"/>
    <w:rsid w:val="00FB5BF5"/>
    <w:rsid w:val="00FB5F32"/>
    <w:rsid w:val="00FB5F9C"/>
    <w:rsid w:val="00FB627F"/>
    <w:rsid w:val="00FB6C47"/>
    <w:rsid w:val="00FB702E"/>
    <w:rsid w:val="00FB7407"/>
    <w:rsid w:val="00FB75A6"/>
    <w:rsid w:val="00FB78D0"/>
    <w:rsid w:val="00FB7BD1"/>
    <w:rsid w:val="00FB7E2B"/>
    <w:rsid w:val="00FB7E40"/>
    <w:rsid w:val="00FB7FE4"/>
    <w:rsid w:val="00FC01D8"/>
    <w:rsid w:val="00FC0392"/>
    <w:rsid w:val="00FC041E"/>
    <w:rsid w:val="00FC0427"/>
    <w:rsid w:val="00FC082F"/>
    <w:rsid w:val="00FC08F8"/>
    <w:rsid w:val="00FC0900"/>
    <w:rsid w:val="00FC0A49"/>
    <w:rsid w:val="00FC0A9F"/>
    <w:rsid w:val="00FC0BFA"/>
    <w:rsid w:val="00FC0D07"/>
    <w:rsid w:val="00FC0F57"/>
    <w:rsid w:val="00FC1265"/>
    <w:rsid w:val="00FC15D5"/>
    <w:rsid w:val="00FC1729"/>
    <w:rsid w:val="00FC1780"/>
    <w:rsid w:val="00FC1809"/>
    <w:rsid w:val="00FC1A75"/>
    <w:rsid w:val="00FC1C7B"/>
    <w:rsid w:val="00FC21E2"/>
    <w:rsid w:val="00FC2504"/>
    <w:rsid w:val="00FC27A6"/>
    <w:rsid w:val="00FC28AC"/>
    <w:rsid w:val="00FC2995"/>
    <w:rsid w:val="00FC29D8"/>
    <w:rsid w:val="00FC2EF2"/>
    <w:rsid w:val="00FC300A"/>
    <w:rsid w:val="00FC3073"/>
    <w:rsid w:val="00FC3114"/>
    <w:rsid w:val="00FC345F"/>
    <w:rsid w:val="00FC3494"/>
    <w:rsid w:val="00FC3580"/>
    <w:rsid w:val="00FC3726"/>
    <w:rsid w:val="00FC3752"/>
    <w:rsid w:val="00FC37CE"/>
    <w:rsid w:val="00FC3C56"/>
    <w:rsid w:val="00FC3D5E"/>
    <w:rsid w:val="00FC407C"/>
    <w:rsid w:val="00FC4134"/>
    <w:rsid w:val="00FC45DB"/>
    <w:rsid w:val="00FC4931"/>
    <w:rsid w:val="00FC4AB4"/>
    <w:rsid w:val="00FC4B72"/>
    <w:rsid w:val="00FC4D06"/>
    <w:rsid w:val="00FC4D89"/>
    <w:rsid w:val="00FC4DD5"/>
    <w:rsid w:val="00FC5118"/>
    <w:rsid w:val="00FC5206"/>
    <w:rsid w:val="00FC524A"/>
    <w:rsid w:val="00FC528A"/>
    <w:rsid w:val="00FC52E8"/>
    <w:rsid w:val="00FC545C"/>
    <w:rsid w:val="00FC553A"/>
    <w:rsid w:val="00FC58EB"/>
    <w:rsid w:val="00FC5922"/>
    <w:rsid w:val="00FC5E57"/>
    <w:rsid w:val="00FC628E"/>
    <w:rsid w:val="00FC64FC"/>
    <w:rsid w:val="00FC6814"/>
    <w:rsid w:val="00FC6956"/>
    <w:rsid w:val="00FC6A95"/>
    <w:rsid w:val="00FC6AFC"/>
    <w:rsid w:val="00FC6CB8"/>
    <w:rsid w:val="00FC7486"/>
    <w:rsid w:val="00FC7B17"/>
    <w:rsid w:val="00FC7D1D"/>
    <w:rsid w:val="00FD0018"/>
    <w:rsid w:val="00FD01B1"/>
    <w:rsid w:val="00FD028C"/>
    <w:rsid w:val="00FD078A"/>
    <w:rsid w:val="00FD08C5"/>
    <w:rsid w:val="00FD0950"/>
    <w:rsid w:val="00FD0B16"/>
    <w:rsid w:val="00FD0DE1"/>
    <w:rsid w:val="00FD134B"/>
    <w:rsid w:val="00FD1567"/>
    <w:rsid w:val="00FD18AD"/>
    <w:rsid w:val="00FD1A85"/>
    <w:rsid w:val="00FD1BA3"/>
    <w:rsid w:val="00FD1E1A"/>
    <w:rsid w:val="00FD1FB9"/>
    <w:rsid w:val="00FD21E4"/>
    <w:rsid w:val="00FD2217"/>
    <w:rsid w:val="00FD239F"/>
    <w:rsid w:val="00FD23BD"/>
    <w:rsid w:val="00FD2457"/>
    <w:rsid w:val="00FD2635"/>
    <w:rsid w:val="00FD2702"/>
    <w:rsid w:val="00FD27DA"/>
    <w:rsid w:val="00FD29CE"/>
    <w:rsid w:val="00FD2A0E"/>
    <w:rsid w:val="00FD311C"/>
    <w:rsid w:val="00FD327A"/>
    <w:rsid w:val="00FD339A"/>
    <w:rsid w:val="00FD351D"/>
    <w:rsid w:val="00FD3732"/>
    <w:rsid w:val="00FD3910"/>
    <w:rsid w:val="00FD3BE8"/>
    <w:rsid w:val="00FD3D53"/>
    <w:rsid w:val="00FD404B"/>
    <w:rsid w:val="00FD41E7"/>
    <w:rsid w:val="00FD464B"/>
    <w:rsid w:val="00FD49BE"/>
    <w:rsid w:val="00FD49BF"/>
    <w:rsid w:val="00FD49EE"/>
    <w:rsid w:val="00FD4B7B"/>
    <w:rsid w:val="00FD4BCB"/>
    <w:rsid w:val="00FD50C4"/>
    <w:rsid w:val="00FD53F1"/>
    <w:rsid w:val="00FD5532"/>
    <w:rsid w:val="00FD5627"/>
    <w:rsid w:val="00FD5743"/>
    <w:rsid w:val="00FD577F"/>
    <w:rsid w:val="00FD5815"/>
    <w:rsid w:val="00FD5AA1"/>
    <w:rsid w:val="00FD5ABF"/>
    <w:rsid w:val="00FD5ACC"/>
    <w:rsid w:val="00FD5D96"/>
    <w:rsid w:val="00FD5DEF"/>
    <w:rsid w:val="00FD63C1"/>
    <w:rsid w:val="00FD66D5"/>
    <w:rsid w:val="00FD6D1F"/>
    <w:rsid w:val="00FD6DB4"/>
    <w:rsid w:val="00FD6F7E"/>
    <w:rsid w:val="00FD76CC"/>
    <w:rsid w:val="00FD7743"/>
    <w:rsid w:val="00FD7D16"/>
    <w:rsid w:val="00FD7DF2"/>
    <w:rsid w:val="00FE0599"/>
    <w:rsid w:val="00FE097C"/>
    <w:rsid w:val="00FE0A1A"/>
    <w:rsid w:val="00FE0CF9"/>
    <w:rsid w:val="00FE0D36"/>
    <w:rsid w:val="00FE0DE8"/>
    <w:rsid w:val="00FE0ECF"/>
    <w:rsid w:val="00FE0EF0"/>
    <w:rsid w:val="00FE11AF"/>
    <w:rsid w:val="00FE129F"/>
    <w:rsid w:val="00FE12CF"/>
    <w:rsid w:val="00FE1636"/>
    <w:rsid w:val="00FE1776"/>
    <w:rsid w:val="00FE1A8C"/>
    <w:rsid w:val="00FE1CF7"/>
    <w:rsid w:val="00FE238C"/>
    <w:rsid w:val="00FE2816"/>
    <w:rsid w:val="00FE2EF8"/>
    <w:rsid w:val="00FE3560"/>
    <w:rsid w:val="00FE3652"/>
    <w:rsid w:val="00FE38CA"/>
    <w:rsid w:val="00FE39B2"/>
    <w:rsid w:val="00FE3A4D"/>
    <w:rsid w:val="00FE3C35"/>
    <w:rsid w:val="00FE3D63"/>
    <w:rsid w:val="00FE3F4D"/>
    <w:rsid w:val="00FE3FEB"/>
    <w:rsid w:val="00FE4038"/>
    <w:rsid w:val="00FE417A"/>
    <w:rsid w:val="00FE41AA"/>
    <w:rsid w:val="00FE41FF"/>
    <w:rsid w:val="00FE4337"/>
    <w:rsid w:val="00FE45A9"/>
    <w:rsid w:val="00FE47C0"/>
    <w:rsid w:val="00FE4AE1"/>
    <w:rsid w:val="00FE4AF3"/>
    <w:rsid w:val="00FE4C89"/>
    <w:rsid w:val="00FE4E4A"/>
    <w:rsid w:val="00FE4E5C"/>
    <w:rsid w:val="00FE4F8D"/>
    <w:rsid w:val="00FE5049"/>
    <w:rsid w:val="00FE5074"/>
    <w:rsid w:val="00FE57DE"/>
    <w:rsid w:val="00FE57F0"/>
    <w:rsid w:val="00FE5912"/>
    <w:rsid w:val="00FE5B5A"/>
    <w:rsid w:val="00FE5C62"/>
    <w:rsid w:val="00FE5C72"/>
    <w:rsid w:val="00FE5D9D"/>
    <w:rsid w:val="00FE5DBC"/>
    <w:rsid w:val="00FE5DFB"/>
    <w:rsid w:val="00FE5E2C"/>
    <w:rsid w:val="00FE5FB2"/>
    <w:rsid w:val="00FE6901"/>
    <w:rsid w:val="00FE69F6"/>
    <w:rsid w:val="00FE6B42"/>
    <w:rsid w:val="00FE6CC1"/>
    <w:rsid w:val="00FE6DEC"/>
    <w:rsid w:val="00FE6FDC"/>
    <w:rsid w:val="00FE7107"/>
    <w:rsid w:val="00FE71D7"/>
    <w:rsid w:val="00FE74FB"/>
    <w:rsid w:val="00FE752E"/>
    <w:rsid w:val="00FE765E"/>
    <w:rsid w:val="00FE7AFD"/>
    <w:rsid w:val="00FE7B03"/>
    <w:rsid w:val="00FE7B77"/>
    <w:rsid w:val="00FE7F7E"/>
    <w:rsid w:val="00FF010E"/>
    <w:rsid w:val="00FF014F"/>
    <w:rsid w:val="00FF01F3"/>
    <w:rsid w:val="00FF0201"/>
    <w:rsid w:val="00FF03D7"/>
    <w:rsid w:val="00FF03DA"/>
    <w:rsid w:val="00FF0590"/>
    <w:rsid w:val="00FF082C"/>
    <w:rsid w:val="00FF0B8A"/>
    <w:rsid w:val="00FF0C46"/>
    <w:rsid w:val="00FF0DAD"/>
    <w:rsid w:val="00FF0E7C"/>
    <w:rsid w:val="00FF0F11"/>
    <w:rsid w:val="00FF1257"/>
    <w:rsid w:val="00FF1A5A"/>
    <w:rsid w:val="00FF1B76"/>
    <w:rsid w:val="00FF1C4A"/>
    <w:rsid w:val="00FF1C67"/>
    <w:rsid w:val="00FF1C6C"/>
    <w:rsid w:val="00FF1E52"/>
    <w:rsid w:val="00FF1EB5"/>
    <w:rsid w:val="00FF2017"/>
    <w:rsid w:val="00FF2170"/>
    <w:rsid w:val="00FF2436"/>
    <w:rsid w:val="00FF2678"/>
    <w:rsid w:val="00FF26A4"/>
    <w:rsid w:val="00FF277B"/>
    <w:rsid w:val="00FF2B07"/>
    <w:rsid w:val="00FF3191"/>
    <w:rsid w:val="00FF376A"/>
    <w:rsid w:val="00FF3B06"/>
    <w:rsid w:val="00FF43C5"/>
    <w:rsid w:val="00FF473A"/>
    <w:rsid w:val="00FF49E4"/>
    <w:rsid w:val="00FF4AA2"/>
    <w:rsid w:val="00FF4D76"/>
    <w:rsid w:val="00FF50F9"/>
    <w:rsid w:val="00FF56F2"/>
    <w:rsid w:val="00FF57CB"/>
    <w:rsid w:val="00FF59BB"/>
    <w:rsid w:val="00FF5A33"/>
    <w:rsid w:val="00FF5A3F"/>
    <w:rsid w:val="00FF5A84"/>
    <w:rsid w:val="00FF5ACC"/>
    <w:rsid w:val="00FF5DE4"/>
    <w:rsid w:val="00FF5E23"/>
    <w:rsid w:val="00FF611F"/>
    <w:rsid w:val="00FF6144"/>
    <w:rsid w:val="00FF6348"/>
    <w:rsid w:val="00FF6387"/>
    <w:rsid w:val="00FF6451"/>
    <w:rsid w:val="00FF668D"/>
    <w:rsid w:val="00FF66B1"/>
    <w:rsid w:val="00FF66E2"/>
    <w:rsid w:val="00FF670C"/>
    <w:rsid w:val="00FF674F"/>
    <w:rsid w:val="00FF68B7"/>
    <w:rsid w:val="00FF6CE0"/>
    <w:rsid w:val="00FF6F21"/>
    <w:rsid w:val="00FF7077"/>
    <w:rsid w:val="00FF735A"/>
    <w:rsid w:val="00FF73AD"/>
    <w:rsid w:val="00FF74D3"/>
    <w:rsid w:val="00FF793B"/>
    <w:rsid w:val="00FF7E11"/>
    <w:rsid w:val="00FF7E49"/>
    <w:rsid w:val="0124D55C"/>
    <w:rsid w:val="013612D7"/>
    <w:rsid w:val="0136DC40"/>
    <w:rsid w:val="013D1AED"/>
    <w:rsid w:val="0140395A"/>
    <w:rsid w:val="01569DFF"/>
    <w:rsid w:val="015724B3"/>
    <w:rsid w:val="01749254"/>
    <w:rsid w:val="019DBC2A"/>
    <w:rsid w:val="01AE0F00"/>
    <w:rsid w:val="01B93E45"/>
    <w:rsid w:val="01DA5B1A"/>
    <w:rsid w:val="01E29E0B"/>
    <w:rsid w:val="01F27329"/>
    <w:rsid w:val="021E2F0E"/>
    <w:rsid w:val="02280958"/>
    <w:rsid w:val="02735CBF"/>
    <w:rsid w:val="02A02943"/>
    <w:rsid w:val="02C13E2B"/>
    <w:rsid w:val="02CB071F"/>
    <w:rsid w:val="0306FF63"/>
    <w:rsid w:val="03080C23"/>
    <w:rsid w:val="032700AF"/>
    <w:rsid w:val="03272D32"/>
    <w:rsid w:val="033A160B"/>
    <w:rsid w:val="034C5F00"/>
    <w:rsid w:val="035B89F6"/>
    <w:rsid w:val="039D7AD6"/>
    <w:rsid w:val="03A198F6"/>
    <w:rsid w:val="03C6CE62"/>
    <w:rsid w:val="03CE187C"/>
    <w:rsid w:val="03F0E60A"/>
    <w:rsid w:val="040234BA"/>
    <w:rsid w:val="040591FF"/>
    <w:rsid w:val="042A052A"/>
    <w:rsid w:val="044F9430"/>
    <w:rsid w:val="046F2AA8"/>
    <w:rsid w:val="04CE4840"/>
    <w:rsid w:val="04D5D699"/>
    <w:rsid w:val="04D6B07F"/>
    <w:rsid w:val="04FEA1B3"/>
    <w:rsid w:val="05596B83"/>
    <w:rsid w:val="055E8240"/>
    <w:rsid w:val="056541FA"/>
    <w:rsid w:val="05723006"/>
    <w:rsid w:val="058278F1"/>
    <w:rsid w:val="05944ED1"/>
    <w:rsid w:val="059DDA9F"/>
    <w:rsid w:val="05A58D97"/>
    <w:rsid w:val="05BB8978"/>
    <w:rsid w:val="05CB9F06"/>
    <w:rsid w:val="05DFFA63"/>
    <w:rsid w:val="05E271C5"/>
    <w:rsid w:val="05EC6DB4"/>
    <w:rsid w:val="05F02B76"/>
    <w:rsid w:val="05F2D252"/>
    <w:rsid w:val="05F8EB36"/>
    <w:rsid w:val="060D8A55"/>
    <w:rsid w:val="0619C989"/>
    <w:rsid w:val="0624C49A"/>
    <w:rsid w:val="06288F62"/>
    <w:rsid w:val="063EFCA7"/>
    <w:rsid w:val="067DD84D"/>
    <w:rsid w:val="068FFA11"/>
    <w:rsid w:val="0692423F"/>
    <w:rsid w:val="06B8708E"/>
    <w:rsid w:val="06BA0CF3"/>
    <w:rsid w:val="06FA5CE5"/>
    <w:rsid w:val="06FD452F"/>
    <w:rsid w:val="07014BB9"/>
    <w:rsid w:val="072A6B3A"/>
    <w:rsid w:val="072F660C"/>
    <w:rsid w:val="0754E194"/>
    <w:rsid w:val="075B73F8"/>
    <w:rsid w:val="07690D93"/>
    <w:rsid w:val="077B9D13"/>
    <w:rsid w:val="078E398A"/>
    <w:rsid w:val="07B3421B"/>
    <w:rsid w:val="07B83105"/>
    <w:rsid w:val="0815E833"/>
    <w:rsid w:val="082AD32C"/>
    <w:rsid w:val="0848D501"/>
    <w:rsid w:val="0864F28B"/>
    <w:rsid w:val="08796D44"/>
    <w:rsid w:val="088B3BEE"/>
    <w:rsid w:val="08A37D4A"/>
    <w:rsid w:val="08BD9003"/>
    <w:rsid w:val="08C68DCA"/>
    <w:rsid w:val="08CA62B3"/>
    <w:rsid w:val="08D2DDCE"/>
    <w:rsid w:val="08E9BFBF"/>
    <w:rsid w:val="09339DDD"/>
    <w:rsid w:val="095B41B6"/>
    <w:rsid w:val="095FBE41"/>
    <w:rsid w:val="0971E2D3"/>
    <w:rsid w:val="0985B0DA"/>
    <w:rsid w:val="098F2607"/>
    <w:rsid w:val="09965548"/>
    <w:rsid w:val="09A80E7E"/>
    <w:rsid w:val="09D1E419"/>
    <w:rsid w:val="09E87D2F"/>
    <w:rsid w:val="0A0422DB"/>
    <w:rsid w:val="0A116CE5"/>
    <w:rsid w:val="0A2A474F"/>
    <w:rsid w:val="0A2CC8BD"/>
    <w:rsid w:val="0A2FFAB1"/>
    <w:rsid w:val="0A3206AA"/>
    <w:rsid w:val="0A33F726"/>
    <w:rsid w:val="0A5C2669"/>
    <w:rsid w:val="0A6EBC80"/>
    <w:rsid w:val="0A7E1F5E"/>
    <w:rsid w:val="0A8E3520"/>
    <w:rsid w:val="0A97ED1A"/>
    <w:rsid w:val="0A9C2584"/>
    <w:rsid w:val="0AB3B536"/>
    <w:rsid w:val="0AB3E3F8"/>
    <w:rsid w:val="0AB60C26"/>
    <w:rsid w:val="0AC40279"/>
    <w:rsid w:val="0ACC5010"/>
    <w:rsid w:val="0ADE240D"/>
    <w:rsid w:val="0ADF57E3"/>
    <w:rsid w:val="0ADFB8A4"/>
    <w:rsid w:val="0AF53098"/>
    <w:rsid w:val="0B114E74"/>
    <w:rsid w:val="0B3F138F"/>
    <w:rsid w:val="0B4801FA"/>
    <w:rsid w:val="0B7CF4E8"/>
    <w:rsid w:val="0BADF4BE"/>
    <w:rsid w:val="0BBF72EC"/>
    <w:rsid w:val="0BCBE920"/>
    <w:rsid w:val="0BCD728C"/>
    <w:rsid w:val="0BD93B60"/>
    <w:rsid w:val="0BFA3C84"/>
    <w:rsid w:val="0C2856CA"/>
    <w:rsid w:val="0C31D261"/>
    <w:rsid w:val="0C700DF7"/>
    <w:rsid w:val="0C7359C9"/>
    <w:rsid w:val="0C7AA517"/>
    <w:rsid w:val="0C7C0240"/>
    <w:rsid w:val="0C7D380D"/>
    <w:rsid w:val="0C889F82"/>
    <w:rsid w:val="0CDC26D7"/>
    <w:rsid w:val="0CED4ED7"/>
    <w:rsid w:val="0D00DB18"/>
    <w:rsid w:val="0D099743"/>
    <w:rsid w:val="0D11D493"/>
    <w:rsid w:val="0D4008C4"/>
    <w:rsid w:val="0D4CA48A"/>
    <w:rsid w:val="0D5EC1E4"/>
    <w:rsid w:val="0D6FFD1A"/>
    <w:rsid w:val="0D8C91C2"/>
    <w:rsid w:val="0DABCC86"/>
    <w:rsid w:val="0DB32878"/>
    <w:rsid w:val="0DD84911"/>
    <w:rsid w:val="0DDB679E"/>
    <w:rsid w:val="0DE0480A"/>
    <w:rsid w:val="0E02406B"/>
    <w:rsid w:val="0E09F41A"/>
    <w:rsid w:val="0E193DB9"/>
    <w:rsid w:val="0E22F77C"/>
    <w:rsid w:val="0E2EAF7A"/>
    <w:rsid w:val="0E364FAF"/>
    <w:rsid w:val="0E4E74E8"/>
    <w:rsid w:val="0E6B9D12"/>
    <w:rsid w:val="0EE08B92"/>
    <w:rsid w:val="0EE1D145"/>
    <w:rsid w:val="0EE9C25E"/>
    <w:rsid w:val="0EF0D646"/>
    <w:rsid w:val="0EF52262"/>
    <w:rsid w:val="0F336DAA"/>
    <w:rsid w:val="0F7DECBA"/>
    <w:rsid w:val="0F9035D1"/>
    <w:rsid w:val="0FA5AA2B"/>
    <w:rsid w:val="0FAD0B8E"/>
    <w:rsid w:val="0FC3FE1C"/>
    <w:rsid w:val="10248C68"/>
    <w:rsid w:val="10262AB2"/>
    <w:rsid w:val="102BA807"/>
    <w:rsid w:val="104BB46D"/>
    <w:rsid w:val="104D80B2"/>
    <w:rsid w:val="109E2057"/>
    <w:rsid w:val="10DEB739"/>
    <w:rsid w:val="10F290B6"/>
    <w:rsid w:val="1105813A"/>
    <w:rsid w:val="11081A63"/>
    <w:rsid w:val="111AEAA8"/>
    <w:rsid w:val="11411EAF"/>
    <w:rsid w:val="11419D18"/>
    <w:rsid w:val="114A9254"/>
    <w:rsid w:val="1166A6CB"/>
    <w:rsid w:val="11C6A4C0"/>
    <w:rsid w:val="11CC530E"/>
    <w:rsid w:val="120424C8"/>
    <w:rsid w:val="120541AF"/>
    <w:rsid w:val="1229F356"/>
    <w:rsid w:val="1238FD42"/>
    <w:rsid w:val="1256627B"/>
    <w:rsid w:val="1264983D"/>
    <w:rsid w:val="127644D9"/>
    <w:rsid w:val="127CC406"/>
    <w:rsid w:val="1290A403"/>
    <w:rsid w:val="12A18C56"/>
    <w:rsid w:val="12ADC058"/>
    <w:rsid w:val="12B8FAFA"/>
    <w:rsid w:val="12E590EA"/>
    <w:rsid w:val="1308785A"/>
    <w:rsid w:val="1326918F"/>
    <w:rsid w:val="132F6A00"/>
    <w:rsid w:val="13896669"/>
    <w:rsid w:val="1394A744"/>
    <w:rsid w:val="13ADFEC3"/>
    <w:rsid w:val="13C9AD11"/>
    <w:rsid w:val="13D87800"/>
    <w:rsid w:val="13DA0499"/>
    <w:rsid w:val="13E299C1"/>
    <w:rsid w:val="140CDF16"/>
    <w:rsid w:val="140FD723"/>
    <w:rsid w:val="1412D2DA"/>
    <w:rsid w:val="1448A8BC"/>
    <w:rsid w:val="149BAF11"/>
    <w:rsid w:val="14A9F8CC"/>
    <w:rsid w:val="14AA4536"/>
    <w:rsid w:val="14D304D7"/>
    <w:rsid w:val="1520DB86"/>
    <w:rsid w:val="152326D2"/>
    <w:rsid w:val="1529DAD8"/>
    <w:rsid w:val="153202F4"/>
    <w:rsid w:val="1540B26C"/>
    <w:rsid w:val="1553F19E"/>
    <w:rsid w:val="15622166"/>
    <w:rsid w:val="156BB130"/>
    <w:rsid w:val="156CF425"/>
    <w:rsid w:val="157404B0"/>
    <w:rsid w:val="1578CD5D"/>
    <w:rsid w:val="1588E21C"/>
    <w:rsid w:val="158BCAF4"/>
    <w:rsid w:val="159D3C5F"/>
    <w:rsid w:val="15B43BAF"/>
    <w:rsid w:val="15C6F9EE"/>
    <w:rsid w:val="15CA63FF"/>
    <w:rsid w:val="15DEA38D"/>
    <w:rsid w:val="15E533C3"/>
    <w:rsid w:val="161EC4E4"/>
    <w:rsid w:val="162F888B"/>
    <w:rsid w:val="1646E6CE"/>
    <w:rsid w:val="165B2B14"/>
    <w:rsid w:val="168DA579"/>
    <w:rsid w:val="1699083F"/>
    <w:rsid w:val="16B1F0B9"/>
    <w:rsid w:val="16BD26F7"/>
    <w:rsid w:val="16CC5578"/>
    <w:rsid w:val="16D585C3"/>
    <w:rsid w:val="16E72B6E"/>
    <w:rsid w:val="16EE15F4"/>
    <w:rsid w:val="17067855"/>
    <w:rsid w:val="1713A328"/>
    <w:rsid w:val="171BF4B1"/>
    <w:rsid w:val="17558237"/>
    <w:rsid w:val="1761C03C"/>
    <w:rsid w:val="176C2AEF"/>
    <w:rsid w:val="177EBF4F"/>
    <w:rsid w:val="17822A44"/>
    <w:rsid w:val="178E8C52"/>
    <w:rsid w:val="17CD4D4A"/>
    <w:rsid w:val="17FAC9D9"/>
    <w:rsid w:val="1814588C"/>
    <w:rsid w:val="185A9698"/>
    <w:rsid w:val="18675F20"/>
    <w:rsid w:val="1877E53B"/>
    <w:rsid w:val="18A2A527"/>
    <w:rsid w:val="18A59A9B"/>
    <w:rsid w:val="18A74CD2"/>
    <w:rsid w:val="18BCC82D"/>
    <w:rsid w:val="18CA47CD"/>
    <w:rsid w:val="18E77340"/>
    <w:rsid w:val="1920C76D"/>
    <w:rsid w:val="197D29A8"/>
    <w:rsid w:val="1990D637"/>
    <w:rsid w:val="199618DF"/>
    <w:rsid w:val="19B59FC3"/>
    <w:rsid w:val="19E73CFD"/>
    <w:rsid w:val="19EEE272"/>
    <w:rsid w:val="19F292CA"/>
    <w:rsid w:val="1A44DD61"/>
    <w:rsid w:val="1A4ED46C"/>
    <w:rsid w:val="1A503CAC"/>
    <w:rsid w:val="1A7740E8"/>
    <w:rsid w:val="1AA0FDFC"/>
    <w:rsid w:val="1AAC9E3B"/>
    <w:rsid w:val="1ABF31A1"/>
    <w:rsid w:val="1AD29B77"/>
    <w:rsid w:val="1AD99BE4"/>
    <w:rsid w:val="1B039F5D"/>
    <w:rsid w:val="1B1CD432"/>
    <w:rsid w:val="1B224284"/>
    <w:rsid w:val="1B32DD4D"/>
    <w:rsid w:val="1B98BD39"/>
    <w:rsid w:val="1BBA3C8D"/>
    <w:rsid w:val="1BBC8C0B"/>
    <w:rsid w:val="1BCE6798"/>
    <w:rsid w:val="1BD395A8"/>
    <w:rsid w:val="1BD636CD"/>
    <w:rsid w:val="1BD6BCC0"/>
    <w:rsid w:val="1C14186B"/>
    <w:rsid w:val="1C1FE230"/>
    <w:rsid w:val="1C3BA48B"/>
    <w:rsid w:val="1C3E6F2C"/>
    <w:rsid w:val="1C486E9C"/>
    <w:rsid w:val="1C5B5E8C"/>
    <w:rsid w:val="1C664F13"/>
    <w:rsid w:val="1CA82B91"/>
    <w:rsid w:val="1CC7BA0A"/>
    <w:rsid w:val="1CCD4330"/>
    <w:rsid w:val="1D0541A9"/>
    <w:rsid w:val="1D0D3F4D"/>
    <w:rsid w:val="1D3C98D8"/>
    <w:rsid w:val="1D9B3A42"/>
    <w:rsid w:val="1DA17D28"/>
    <w:rsid w:val="1DB00C8F"/>
    <w:rsid w:val="1DB02658"/>
    <w:rsid w:val="1DD57442"/>
    <w:rsid w:val="1DF11372"/>
    <w:rsid w:val="1E093241"/>
    <w:rsid w:val="1E09FE44"/>
    <w:rsid w:val="1E1D552C"/>
    <w:rsid w:val="1E1DEF07"/>
    <w:rsid w:val="1E2DDFD5"/>
    <w:rsid w:val="1E7AE33C"/>
    <w:rsid w:val="1E97008F"/>
    <w:rsid w:val="1E9A5DDB"/>
    <w:rsid w:val="1EB2F28E"/>
    <w:rsid w:val="1EDE1BCF"/>
    <w:rsid w:val="1EE34E88"/>
    <w:rsid w:val="1EEFD973"/>
    <w:rsid w:val="1F14AB2B"/>
    <w:rsid w:val="1F1BF224"/>
    <w:rsid w:val="1F3ACFF0"/>
    <w:rsid w:val="1F4A26D3"/>
    <w:rsid w:val="1F5154D0"/>
    <w:rsid w:val="1F63FEF2"/>
    <w:rsid w:val="1F67B86F"/>
    <w:rsid w:val="1F815003"/>
    <w:rsid w:val="1F81B407"/>
    <w:rsid w:val="1F92A2C4"/>
    <w:rsid w:val="1F995491"/>
    <w:rsid w:val="1F9DBE48"/>
    <w:rsid w:val="1F9DEC9C"/>
    <w:rsid w:val="1FC44E68"/>
    <w:rsid w:val="1FC532B8"/>
    <w:rsid w:val="1FD31E6F"/>
    <w:rsid w:val="2005F204"/>
    <w:rsid w:val="2011FE74"/>
    <w:rsid w:val="202A41E6"/>
    <w:rsid w:val="20363574"/>
    <w:rsid w:val="204D8A33"/>
    <w:rsid w:val="206C4EE6"/>
    <w:rsid w:val="20A138F3"/>
    <w:rsid w:val="20ABB214"/>
    <w:rsid w:val="20AD545E"/>
    <w:rsid w:val="20CBEEB6"/>
    <w:rsid w:val="20CF612F"/>
    <w:rsid w:val="210FF34C"/>
    <w:rsid w:val="212229C9"/>
    <w:rsid w:val="2154D4A7"/>
    <w:rsid w:val="217F12C5"/>
    <w:rsid w:val="21B9C0EC"/>
    <w:rsid w:val="21CE3A13"/>
    <w:rsid w:val="21DD8460"/>
    <w:rsid w:val="21F2B4C6"/>
    <w:rsid w:val="21FFF240"/>
    <w:rsid w:val="22061D51"/>
    <w:rsid w:val="2209B5DF"/>
    <w:rsid w:val="2211FBA3"/>
    <w:rsid w:val="2236A6E5"/>
    <w:rsid w:val="22399A4F"/>
    <w:rsid w:val="2243F9C0"/>
    <w:rsid w:val="227ACF8A"/>
    <w:rsid w:val="229544D4"/>
    <w:rsid w:val="22F78DBB"/>
    <w:rsid w:val="2318250E"/>
    <w:rsid w:val="23282854"/>
    <w:rsid w:val="2328DEC1"/>
    <w:rsid w:val="232EC45A"/>
    <w:rsid w:val="233986D1"/>
    <w:rsid w:val="233C84B4"/>
    <w:rsid w:val="2350BD6E"/>
    <w:rsid w:val="236BD387"/>
    <w:rsid w:val="236E640F"/>
    <w:rsid w:val="2378966A"/>
    <w:rsid w:val="2379294F"/>
    <w:rsid w:val="2380A475"/>
    <w:rsid w:val="23B792D2"/>
    <w:rsid w:val="23EA2A1C"/>
    <w:rsid w:val="23F55300"/>
    <w:rsid w:val="24195DDE"/>
    <w:rsid w:val="242BEACB"/>
    <w:rsid w:val="243A9ACF"/>
    <w:rsid w:val="2455B7F0"/>
    <w:rsid w:val="2461379A"/>
    <w:rsid w:val="2464C24D"/>
    <w:rsid w:val="2479BFE2"/>
    <w:rsid w:val="248FFFA8"/>
    <w:rsid w:val="249480C1"/>
    <w:rsid w:val="24B6CB5E"/>
    <w:rsid w:val="24BA28FA"/>
    <w:rsid w:val="24D45DDB"/>
    <w:rsid w:val="24E4ED96"/>
    <w:rsid w:val="24EB9957"/>
    <w:rsid w:val="251DD49B"/>
    <w:rsid w:val="25454EB4"/>
    <w:rsid w:val="254813FB"/>
    <w:rsid w:val="254CC192"/>
    <w:rsid w:val="2554AF18"/>
    <w:rsid w:val="25601429"/>
    <w:rsid w:val="258E9157"/>
    <w:rsid w:val="25BB9B53"/>
    <w:rsid w:val="25C7227A"/>
    <w:rsid w:val="25F73E68"/>
    <w:rsid w:val="262D0F00"/>
    <w:rsid w:val="26311315"/>
    <w:rsid w:val="263C9F11"/>
    <w:rsid w:val="26604EF6"/>
    <w:rsid w:val="26742576"/>
    <w:rsid w:val="26A1EA9D"/>
    <w:rsid w:val="26EFAC61"/>
    <w:rsid w:val="27066FCA"/>
    <w:rsid w:val="270900AF"/>
    <w:rsid w:val="27172B62"/>
    <w:rsid w:val="27449A55"/>
    <w:rsid w:val="27812114"/>
    <w:rsid w:val="278EEA43"/>
    <w:rsid w:val="278F21CB"/>
    <w:rsid w:val="279E6464"/>
    <w:rsid w:val="27AEE532"/>
    <w:rsid w:val="27DF6C80"/>
    <w:rsid w:val="27E68281"/>
    <w:rsid w:val="283AF768"/>
    <w:rsid w:val="283E9518"/>
    <w:rsid w:val="2852A240"/>
    <w:rsid w:val="2857435C"/>
    <w:rsid w:val="28578AD5"/>
    <w:rsid w:val="2890C350"/>
    <w:rsid w:val="289AAEF0"/>
    <w:rsid w:val="28AB7E8D"/>
    <w:rsid w:val="28AEEEF6"/>
    <w:rsid w:val="28C6E645"/>
    <w:rsid w:val="28EFD182"/>
    <w:rsid w:val="290A6EC9"/>
    <w:rsid w:val="2917AD8F"/>
    <w:rsid w:val="29287870"/>
    <w:rsid w:val="292BC977"/>
    <w:rsid w:val="294D84A1"/>
    <w:rsid w:val="29759DCA"/>
    <w:rsid w:val="29887693"/>
    <w:rsid w:val="2990F5C1"/>
    <w:rsid w:val="299FF978"/>
    <w:rsid w:val="29B03CA5"/>
    <w:rsid w:val="29BDC425"/>
    <w:rsid w:val="29C8EDD6"/>
    <w:rsid w:val="29DF62DC"/>
    <w:rsid w:val="29F78B9E"/>
    <w:rsid w:val="2A17560E"/>
    <w:rsid w:val="2A63E00B"/>
    <w:rsid w:val="2A853B13"/>
    <w:rsid w:val="2A8884A7"/>
    <w:rsid w:val="2A926358"/>
    <w:rsid w:val="2AC6706B"/>
    <w:rsid w:val="2AD621F6"/>
    <w:rsid w:val="2AE32A62"/>
    <w:rsid w:val="2AF62821"/>
    <w:rsid w:val="2AF76E8F"/>
    <w:rsid w:val="2AFE72DE"/>
    <w:rsid w:val="2B4335AC"/>
    <w:rsid w:val="2B85E5C2"/>
    <w:rsid w:val="2BAB2BF6"/>
    <w:rsid w:val="2BDF4B04"/>
    <w:rsid w:val="2BECEC32"/>
    <w:rsid w:val="2C1F6267"/>
    <w:rsid w:val="2C200A17"/>
    <w:rsid w:val="2C215D1C"/>
    <w:rsid w:val="2C5062D5"/>
    <w:rsid w:val="2C600097"/>
    <w:rsid w:val="2C63C1DE"/>
    <w:rsid w:val="2C667FEC"/>
    <w:rsid w:val="2C6D74D1"/>
    <w:rsid w:val="2C7F2373"/>
    <w:rsid w:val="2C8A3D9B"/>
    <w:rsid w:val="2C8C4429"/>
    <w:rsid w:val="2CA69352"/>
    <w:rsid w:val="2CA95F1C"/>
    <w:rsid w:val="2D571085"/>
    <w:rsid w:val="2D5731B0"/>
    <w:rsid w:val="2D70D8DB"/>
    <w:rsid w:val="2DA3C343"/>
    <w:rsid w:val="2DAD1F42"/>
    <w:rsid w:val="2DBD5E7D"/>
    <w:rsid w:val="2DC6B537"/>
    <w:rsid w:val="2DCBD627"/>
    <w:rsid w:val="2DCC6969"/>
    <w:rsid w:val="2DD7C20F"/>
    <w:rsid w:val="2E11B9B8"/>
    <w:rsid w:val="2E304D13"/>
    <w:rsid w:val="2E319725"/>
    <w:rsid w:val="2E35238D"/>
    <w:rsid w:val="2E6076AF"/>
    <w:rsid w:val="2EA83844"/>
    <w:rsid w:val="2EDEAAF1"/>
    <w:rsid w:val="2EFE2D1B"/>
    <w:rsid w:val="2F52B468"/>
    <w:rsid w:val="2F811E7C"/>
    <w:rsid w:val="2F8A7320"/>
    <w:rsid w:val="2F952CE1"/>
    <w:rsid w:val="30059915"/>
    <w:rsid w:val="30655DD6"/>
    <w:rsid w:val="30743E37"/>
    <w:rsid w:val="3077DD31"/>
    <w:rsid w:val="30844D47"/>
    <w:rsid w:val="30A240E7"/>
    <w:rsid w:val="30B77A95"/>
    <w:rsid w:val="30D5015B"/>
    <w:rsid w:val="310CF8A0"/>
    <w:rsid w:val="313AB4A8"/>
    <w:rsid w:val="3160D3B2"/>
    <w:rsid w:val="316AE748"/>
    <w:rsid w:val="31941F7E"/>
    <w:rsid w:val="31B48013"/>
    <w:rsid w:val="31C5B4A8"/>
    <w:rsid w:val="31D2ED29"/>
    <w:rsid w:val="3260E95C"/>
    <w:rsid w:val="32617A19"/>
    <w:rsid w:val="329214F2"/>
    <w:rsid w:val="32A0C27E"/>
    <w:rsid w:val="32A4325E"/>
    <w:rsid w:val="32E7B51E"/>
    <w:rsid w:val="32EE4DE1"/>
    <w:rsid w:val="33184DB6"/>
    <w:rsid w:val="33360875"/>
    <w:rsid w:val="3340F9FE"/>
    <w:rsid w:val="3343898B"/>
    <w:rsid w:val="334A55EA"/>
    <w:rsid w:val="33523BE6"/>
    <w:rsid w:val="3355F87A"/>
    <w:rsid w:val="3363923A"/>
    <w:rsid w:val="338C0C26"/>
    <w:rsid w:val="339FCD49"/>
    <w:rsid w:val="33AFDEAC"/>
    <w:rsid w:val="33CFB96C"/>
    <w:rsid w:val="33D20881"/>
    <w:rsid w:val="33D58934"/>
    <w:rsid w:val="33F6D6B2"/>
    <w:rsid w:val="340B7330"/>
    <w:rsid w:val="344191A9"/>
    <w:rsid w:val="345FAD04"/>
    <w:rsid w:val="346E5CBC"/>
    <w:rsid w:val="34AD9094"/>
    <w:rsid w:val="34BD648A"/>
    <w:rsid w:val="34D4EB6F"/>
    <w:rsid w:val="34EF801F"/>
    <w:rsid w:val="34F0A14A"/>
    <w:rsid w:val="3504526B"/>
    <w:rsid w:val="351CA92B"/>
    <w:rsid w:val="35278BEF"/>
    <w:rsid w:val="354EA321"/>
    <w:rsid w:val="3554D65C"/>
    <w:rsid w:val="357A4C45"/>
    <w:rsid w:val="357AFC00"/>
    <w:rsid w:val="3593AE5F"/>
    <w:rsid w:val="35A71B69"/>
    <w:rsid w:val="35EA69B9"/>
    <w:rsid w:val="361BFAD4"/>
    <w:rsid w:val="3622BA61"/>
    <w:rsid w:val="364ADF53"/>
    <w:rsid w:val="367243A1"/>
    <w:rsid w:val="3680E4BD"/>
    <w:rsid w:val="36851202"/>
    <w:rsid w:val="3691E758"/>
    <w:rsid w:val="36C83228"/>
    <w:rsid w:val="36E7BFD5"/>
    <w:rsid w:val="36E95F93"/>
    <w:rsid w:val="37045084"/>
    <w:rsid w:val="372616CD"/>
    <w:rsid w:val="374453D2"/>
    <w:rsid w:val="375BBCDF"/>
    <w:rsid w:val="37C4F75F"/>
    <w:rsid w:val="37CA80B3"/>
    <w:rsid w:val="38355E49"/>
    <w:rsid w:val="3841EEC5"/>
    <w:rsid w:val="3847A4E3"/>
    <w:rsid w:val="38523100"/>
    <w:rsid w:val="38964004"/>
    <w:rsid w:val="38A54D58"/>
    <w:rsid w:val="38B32A10"/>
    <w:rsid w:val="38C85916"/>
    <w:rsid w:val="38E620BA"/>
    <w:rsid w:val="3906C308"/>
    <w:rsid w:val="39912DC0"/>
    <w:rsid w:val="39BDBE10"/>
    <w:rsid w:val="3A06748F"/>
    <w:rsid w:val="3A19D5AF"/>
    <w:rsid w:val="3A3D9908"/>
    <w:rsid w:val="3A564DB9"/>
    <w:rsid w:val="3A595DB2"/>
    <w:rsid w:val="3A8ED3ED"/>
    <w:rsid w:val="3A9A681F"/>
    <w:rsid w:val="3AAE571A"/>
    <w:rsid w:val="3AE6FD33"/>
    <w:rsid w:val="3AE8BCCB"/>
    <w:rsid w:val="3AF26AC8"/>
    <w:rsid w:val="3B1FB84A"/>
    <w:rsid w:val="3B216D69"/>
    <w:rsid w:val="3B2B3133"/>
    <w:rsid w:val="3B3B44B5"/>
    <w:rsid w:val="3B50C22E"/>
    <w:rsid w:val="3B59B2C0"/>
    <w:rsid w:val="3B6701D5"/>
    <w:rsid w:val="3B7515FD"/>
    <w:rsid w:val="3B7D324B"/>
    <w:rsid w:val="3B816896"/>
    <w:rsid w:val="3B8DEA67"/>
    <w:rsid w:val="3B90A97A"/>
    <w:rsid w:val="3B920E9A"/>
    <w:rsid w:val="3BF15019"/>
    <w:rsid w:val="3C0A0CF4"/>
    <w:rsid w:val="3C211A2E"/>
    <w:rsid w:val="3C4DB2C3"/>
    <w:rsid w:val="3C5B3277"/>
    <w:rsid w:val="3C5CF79F"/>
    <w:rsid w:val="3C64D556"/>
    <w:rsid w:val="3C78E582"/>
    <w:rsid w:val="3CC4D17E"/>
    <w:rsid w:val="3CEF0D7D"/>
    <w:rsid w:val="3D129C57"/>
    <w:rsid w:val="3D3966D8"/>
    <w:rsid w:val="3D5575C2"/>
    <w:rsid w:val="3D573E4C"/>
    <w:rsid w:val="3D59D4D1"/>
    <w:rsid w:val="3D76F05A"/>
    <w:rsid w:val="3D7B972F"/>
    <w:rsid w:val="3DA8B31C"/>
    <w:rsid w:val="3DAA27A0"/>
    <w:rsid w:val="3DACFAC2"/>
    <w:rsid w:val="3DC476E3"/>
    <w:rsid w:val="3DD15692"/>
    <w:rsid w:val="3E1A00BE"/>
    <w:rsid w:val="3E1EA185"/>
    <w:rsid w:val="3E28B961"/>
    <w:rsid w:val="3E293856"/>
    <w:rsid w:val="3E32BF6A"/>
    <w:rsid w:val="3E3B0549"/>
    <w:rsid w:val="3E5784CF"/>
    <w:rsid w:val="3EA9C88C"/>
    <w:rsid w:val="3EB98B94"/>
    <w:rsid w:val="3EE1310B"/>
    <w:rsid w:val="3F266E3F"/>
    <w:rsid w:val="3F34C3A3"/>
    <w:rsid w:val="3F46A352"/>
    <w:rsid w:val="3F56245C"/>
    <w:rsid w:val="3F58A396"/>
    <w:rsid w:val="3F86A1E6"/>
    <w:rsid w:val="3F8ADA2C"/>
    <w:rsid w:val="3FAE6754"/>
    <w:rsid w:val="3FC5EA0A"/>
    <w:rsid w:val="3FC6FF67"/>
    <w:rsid w:val="3FCBF9C7"/>
    <w:rsid w:val="3FD23FBB"/>
    <w:rsid w:val="4021BCF6"/>
    <w:rsid w:val="4032DD5D"/>
    <w:rsid w:val="4032EF4A"/>
    <w:rsid w:val="40466FDE"/>
    <w:rsid w:val="407F59DC"/>
    <w:rsid w:val="408C2DC0"/>
    <w:rsid w:val="40A89AB3"/>
    <w:rsid w:val="40DF6F3D"/>
    <w:rsid w:val="40E94D1D"/>
    <w:rsid w:val="41026CD0"/>
    <w:rsid w:val="410F7CD8"/>
    <w:rsid w:val="411C818C"/>
    <w:rsid w:val="411D7D94"/>
    <w:rsid w:val="4159D39A"/>
    <w:rsid w:val="418C4547"/>
    <w:rsid w:val="418C7E9C"/>
    <w:rsid w:val="41C6E05C"/>
    <w:rsid w:val="41D92C16"/>
    <w:rsid w:val="41E58A28"/>
    <w:rsid w:val="41EE2605"/>
    <w:rsid w:val="41FF890F"/>
    <w:rsid w:val="4226DB61"/>
    <w:rsid w:val="422DD5E8"/>
    <w:rsid w:val="423DB2F5"/>
    <w:rsid w:val="424120B9"/>
    <w:rsid w:val="42422ACD"/>
    <w:rsid w:val="4243330F"/>
    <w:rsid w:val="42518559"/>
    <w:rsid w:val="4252E16E"/>
    <w:rsid w:val="42A8156F"/>
    <w:rsid w:val="42B5A3AB"/>
    <w:rsid w:val="42BD2FFD"/>
    <w:rsid w:val="42EDE561"/>
    <w:rsid w:val="42F29CEF"/>
    <w:rsid w:val="433261D0"/>
    <w:rsid w:val="43350829"/>
    <w:rsid w:val="4346569A"/>
    <w:rsid w:val="434A287E"/>
    <w:rsid w:val="439F9F6E"/>
    <w:rsid w:val="43BC94CD"/>
    <w:rsid w:val="43C20575"/>
    <w:rsid w:val="43C4F0B2"/>
    <w:rsid w:val="44032B19"/>
    <w:rsid w:val="44171537"/>
    <w:rsid w:val="44264A28"/>
    <w:rsid w:val="44350A8E"/>
    <w:rsid w:val="444B5464"/>
    <w:rsid w:val="44613477"/>
    <w:rsid w:val="4462B3B5"/>
    <w:rsid w:val="4474BECF"/>
    <w:rsid w:val="449E16FD"/>
    <w:rsid w:val="44FFB9F4"/>
    <w:rsid w:val="450AFC86"/>
    <w:rsid w:val="4510CBFA"/>
    <w:rsid w:val="451AC3D2"/>
    <w:rsid w:val="4534AD4E"/>
    <w:rsid w:val="455A8AB3"/>
    <w:rsid w:val="45652B76"/>
    <w:rsid w:val="458AC09D"/>
    <w:rsid w:val="459C96FD"/>
    <w:rsid w:val="45AFC04C"/>
    <w:rsid w:val="45B7FB53"/>
    <w:rsid w:val="45D0BC4B"/>
    <w:rsid w:val="45E32612"/>
    <w:rsid w:val="45FED3A4"/>
    <w:rsid w:val="4623B489"/>
    <w:rsid w:val="462CF45A"/>
    <w:rsid w:val="4651065F"/>
    <w:rsid w:val="46A54887"/>
    <w:rsid w:val="46C1BF5B"/>
    <w:rsid w:val="46CD7A95"/>
    <w:rsid w:val="46EE86AC"/>
    <w:rsid w:val="47081412"/>
    <w:rsid w:val="474B57A0"/>
    <w:rsid w:val="476CDD16"/>
    <w:rsid w:val="477B11F7"/>
    <w:rsid w:val="47831FEC"/>
    <w:rsid w:val="47AF6F08"/>
    <w:rsid w:val="47B5B3BC"/>
    <w:rsid w:val="47D5447A"/>
    <w:rsid w:val="47DB5E39"/>
    <w:rsid w:val="47F419DE"/>
    <w:rsid w:val="48455373"/>
    <w:rsid w:val="4855876C"/>
    <w:rsid w:val="485BEEE9"/>
    <w:rsid w:val="4861FD79"/>
    <w:rsid w:val="487DC2B3"/>
    <w:rsid w:val="48805025"/>
    <w:rsid w:val="48BF2B89"/>
    <w:rsid w:val="48E26EAC"/>
    <w:rsid w:val="491030BC"/>
    <w:rsid w:val="4913A8ED"/>
    <w:rsid w:val="4921E638"/>
    <w:rsid w:val="4954298A"/>
    <w:rsid w:val="495DE0C4"/>
    <w:rsid w:val="495E2A2C"/>
    <w:rsid w:val="498E1D06"/>
    <w:rsid w:val="4996499E"/>
    <w:rsid w:val="49A5CABF"/>
    <w:rsid w:val="49D4B852"/>
    <w:rsid w:val="4A015749"/>
    <w:rsid w:val="4A27085B"/>
    <w:rsid w:val="4A3DEB30"/>
    <w:rsid w:val="4A667AA4"/>
    <w:rsid w:val="4A78862C"/>
    <w:rsid w:val="4A7F55C6"/>
    <w:rsid w:val="4A837CB2"/>
    <w:rsid w:val="4A917FCA"/>
    <w:rsid w:val="4ADB9185"/>
    <w:rsid w:val="4ADEE909"/>
    <w:rsid w:val="4AE8D76F"/>
    <w:rsid w:val="4AEB81EA"/>
    <w:rsid w:val="4AF53127"/>
    <w:rsid w:val="4B013A9A"/>
    <w:rsid w:val="4B273120"/>
    <w:rsid w:val="4B514407"/>
    <w:rsid w:val="4B689045"/>
    <w:rsid w:val="4B786A11"/>
    <w:rsid w:val="4B7FB4BC"/>
    <w:rsid w:val="4B92C66D"/>
    <w:rsid w:val="4BAE0635"/>
    <w:rsid w:val="4BD0875E"/>
    <w:rsid w:val="4C13B0B4"/>
    <w:rsid w:val="4C23034A"/>
    <w:rsid w:val="4C447DC5"/>
    <w:rsid w:val="4C452B72"/>
    <w:rsid w:val="4C540869"/>
    <w:rsid w:val="4C891E4B"/>
    <w:rsid w:val="4C98756D"/>
    <w:rsid w:val="4C9D1497"/>
    <w:rsid w:val="4CD0C2C1"/>
    <w:rsid w:val="4CD826C5"/>
    <w:rsid w:val="4CFCDF1F"/>
    <w:rsid w:val="4D0ABC48"/>
    <w:rsid w:val="4D0EE29C"/>
    <w:rsid w:val="4D219F02"/>
    <w:rsid w:val="4D508DE2"/>
    <w:rsid w:val="4D62B354"/>
    <w:rsid w:val="4D7456FB"/>
    <w:rsid w:val="4DAE00B6"/>
    <w:rsid w:val="4DCF2E01"/>
    <w:rsid w:val="4DD8AD93"/>
    <w:rsid w:val="4DEA0969"/>
    <w:rsid w:val="4DF55B34"/>
    <w:rsid w:val="4E3D2DD2"/>
    <w:rsid w:val="4E41F49D"/>
    <w:rsid w:val="4E42A450"/>
    <w:rsid w:val="4E5DCC59"/>
    <w:rsid w:val="4E662B09"/>
    <w:rsid w:val="4E770C6E"/>
    <w:rsid w:val="4E9FD3BE"/>
    <w:rsid w:val="4ECFD6E5"/>
    <w:rsid w:val="4EDBF293"/>
    <w:rsid w:val="4EEB3759"/>
    <w:rsid w:val="4EF00A1A"/>
    <w:rsid w:val="4EF67C96"/>
    <w:rsid w:val="4EF6845B"/>
    <w:rsid w:val="4F2B982B"/>
    <w:rsid w:val="4F4C44EB"/>
    <w:rsid w:val="4F7A662D"/>
    <w:rsid w:val="4F7CCC34"/>
    <w:rsid w:val="4F8E4F7F"/>
    <w:rsid w:val="4F97CD02"/>
    <w:rsid w:val="4FBA563F"/>
    <w:rsid w:val="4FC02859"/>
    <w:rsid w:val="4FCA7C1D"/>
    <w:rsid w:val="4FE1B2C7"/>
    <w:rsid w:val="500073F9"/>
    <w:rsid w:val="500ACA63"/>
    <w:rsid w:val="5030A970"/>
    <w:rsid w:val="5048FDB2"/>
    <w:rsid w:val="5055F999"/>
    <w:rsid w:val="5076F6EA"/>
    <w:rsid w:val="507B9C1A"/>
    <w:rsid w:val="507DC123"/>
    <w:rsid w:val="50B44571"/>
    <w:rsid w:val="50BD3034"/>
    <w:rsid w:val="50CF2A09"/>
    <w:rsid w:val="50DDC5AE"/>
    <w:rsid w:val="50DE6B41"/>
    <w:rsid w:val="50E9D13B"/>
    <w:rsid w:val="50F621AC"/>
    <w:rsid w:val="50FD5122"/>
    <w:rsid w:val="51351F2B"/>
    <w:rsid w:val="515055B2"/>
    <w:rsid w:val="518FD6FA"/>
    <w:rsid w:val="51ACBA63"/>
    <w:rsid w:val="51DFC3A4"/>
    <w:rsid w:val="51E99417"/>
    <w:rsid w:val="52123234"/>
    <w:rsid w:val="5212ECC0"/>
    <w:rsid w:val="5227AADC"/>
    <w:rsid w:val="52301B2B"/>
    <w:rsid w:val="52595E87"/>
    <w:rsid w:val="526A0744"/>
    <w:rsid w:val="527A644D"/>
    <w:rsid w:val="527CF8B9"/>
    <w:rsid w:val="52971410"/>
    <w:rsid w:val="52EB66E2"/>
    <w:rsid w:val="530554D9"/>
    <w:rsid w:val="530A4EE9"/>
    <w:rsid w:val="532B7E2F"/>
    <w:rsid w:val="532F9517"/>
    <w:rsid w:val="534D8C80"/>
    <w:rsid w:val="53638E48"/>
    <w:rsid w:val="53695C19"/>
    <w:rsid w:val="537342E9"/>
    <w:rsid w:val="537693E9"/>
    <w:rsid w:val="53A98BB0"/>
    <w:rsid w:val="53D57BCF"/>
    <w:rsid w:val="540AC9C6"/>
    <w:rsid w:val="5418D34B"/>
    <w:rsid w:val="541A6772"/>
    <w:rsid w:val="541D3EC7"/>
    <w:rsid w:val="542CA0DA"/>
    <w:rsid w:val="54B96BD6"/>
    <w:rsid w:val="54D113CC"/>
    <w:rsid w:val="54D3DE57"/>
    <w:rsid w:val="54E3A366"/>
    <w:rsid w:val="54E88EE5"/>
    <w:rsid w:val="54F2C419"/>
    <w:rsid w:val="5532988B"/>
    <w:rsid w:val="5541F615"/>
    <w:rsid w:val="557D0912"/>
    <w:rsid w:val="5590C89F"/>
    <w:rsid w:val="55E13E45"/>
    <w:rsid w:val="55FD1FC5"/>
    <w:rsid w:val="55FDA280"/>
    <w:rsid w:val="56122CC7"/>
    <w:rsid w:val="561D830E"/>
    <w:rsid w:val="56335EE8"/>
    <w:rsid w:val="568060E0"/>
    <w:rsid w:val="56984736"/>
    <w:rsid w:val="56A3897F"/>
    <w:rsid w:val="56F689BE"/>
    <w:rsid w:val="573D1380"/>
    <w:rsid w:val="5747544D"/>
    <w:rsid w:val="57580DB6"/>
    <w:rsid w:val="5773E131"/>
    <w:rsid w:val="57845860"/>
    <w:rsid w:val="57BE2907"/>
    <w:rsid w:val="57C5CBF7"/>
    <w:rsid w:val="57C9F1E3"/>
    <w:rsid w:val="57D70AC7"/>
    <w:rsid w:val="57FC3B09"/>
    <w:rsid w:val="581A3513"/>
    <w:rsid w:val="58277B7B"/>
    <w:rsid w:val="5856BF52"/>
    <w:rsid w:val="58725F2D"/>
    <w:rsid w:val="5879DA92"/>
    <w:rsid w:val="589D6B63"/>
    <w:rsid w:val="58AB34AC"/>
    <w:rsid w:val="58D5CD7B"/>
    <w:rsid w:val="58DDD5C3"/>
    <w:rsid w:val="58E3B4B8"/>
    <w:rsid w:val="58FBA9D3"/>
    <w:rsid w:val="5918E183"/>
    <w:rsid w:val="591903AD"/>
    <w:rsid w:val="595F88F3"/>
    <w:rsid w:val="59AFFD2F"/>
    <w:rsid w:val="59B05230"/>
    <w:rsid w:val="59CF1B77"/>
    <w:rsid w:val="59E6E55B"/>
    <w:rsid w:val="5A01F396"/>
    <w:rsid w:val="5A187D46"/>
    <w:rsid w:val="5A1D586D"/>
    <w:rsid w:val="5A2A16C2"/>
    <w:rsid w:val="5A2EDF83"/>
    <w:rsid w:val="5A3133A5"/>
    <w:rsid w:val="5A3ABF29"/>
    <w:rsid w:val="5A3BC41D"/>
    <w:rsid w:val="5A5FDE9F"/>
    <w:rsid w:val="5A669A22"/>
    <w:rsid w:val="5A786289"/>
    <w:rsid w:val="5A79BAEB"/>
    <w:rsid w:val="5AD2F3D8"/>
    <w:rsid w:val="5AF02359"/>
    <w:rsid w:val="5B069450"/>
    <w:rsid w:val="5B510886"/>
    <w:rsid w:val="5B558DD4"/>
    <w:rsid w:val="5B62C012"/>
    <w:rsid w:val="5B7E7E99"/>
    <w:rsid w:val="5B886531"/>
    <w:rsid w:val="5BC0D509"/>
    <w:rsid w:val="5BF35F09"/>
    <w:rsid w:val="5C007245"/>
    <w:rsid w:val="5C0D08A3"/>
    <w:rsid w:val="5C15DFF7"/>
    <w:rsid w:val="5C1E541F"/>
    <w:rsid w:val="5C21FDC9"/>
    <w:rsid w:val="5C34958C"/>
    <w:rsid w:val="5C4D1D9B"/>
    <w:rsid w:val="5C57835A"/>
    <w:rsid w:val="5C724851"/>
    <w:rsid w:val="5C758D1B"/>
    <w:rsid w:val="5C77EF00"/>
    <w:rsid w:val="5C87F5F4"/>
    <w:rsid w:val="5C8F7A39"/>
    <w:rsid w:val="5C96F912"/>
    <w:rsid w:val="5CE56C4C"/>
    <w:rsid w:val="5CFCE12A"/>
    <w:rsid w:val="5D0290EB"/>
    <w:rsid w:val="5D0BE499"/>
    <w:rsid w:val="5D12CB2A"/>
    <w:rsid w:val="5D17EA75"/>
    <w:rsid w:val="5D4D7C26"/>
    <w:rsid w:val="5DABB9F6"/>
    <w:rsid w:val="5DAC8883"/>
    <w:rsid w:val="5DB33B49"/>
    <w:rsid w:val="5DCA3580"/>
    <w:rsid w:val="5E3D3E9F"/>
    <w:rsid w:val="5E3FCE58"/>
    <w:rsid w:val="5E8D024F"/>
    <w:rsid w:val="5E90EDA8"/>
    <w:rsid w:val="5E91AE36"/>
    <w:rsid w:val="5E91FDD7"/>
    <w:rsid w:val="5EA0AB58"/>
    <w:rsid w:val="5EB1D521"/>
    <w:rsid w:val="5EB46FC9"/>
    <w:rsid w:val="5EE2E1C3"/>
    <w:rsid w:val="5EE2F50A"/>
    <w:rsid w:val="5F12E1FA"/>
    <w:rsid w:val="5F6DF83D"/>
    <w:rsid w:val="5F7ED4CB"/>
    <w:rsid w:val="5F88FA4A"/>
    <w:rsid w:val="5F903EE6"/>
    <w:rsid w:val="5FA0AE40"/>
    <w:rsid w:val="5FB440BA"/>
    <w:rsid w:val="5FC3947C"/>
    <w:rsid w:val="5FCECA77"/>
    <w:rsid w:val="5FD0DDDC"/>
    <w:rsid w:val="5FEEE09C"/>
    <w:rsid w:val="601ABD34"/>
    <w:rsid w:val="6044C363"/>
    <w:rsid w:val="604D3AF6"/>
    <w:rsid w:val="60686B6F"/>
    <w:rsid w:val="606BB6F0"/>
    <w:rsid w:val="606C315F"/>
    <w:rsid w:val="60897937"/>
    <w:rsid w:val="60A91BF4"/>
    <w:rsid w:val="60B0F985"/>
    <w:rsid w:val="60B9C754"/>
    <w:rsid w:val="60CBBA51"/>
    <w:rsid w:val="61047A4F"/>
    <w:rsid w:val="6116D870"/>
    <w:rsid w:val="61293976"/>
    <w:rsid w:val="613DE776"/>
    <w:rsid w:val="6141F87C"/>
    <w:rsid w:val="614834BE"/>
    <w:rsid w:val="61501B37"/>
    <w:rsid w:val="6151FDE5"/>
    <w:rsid w:val="6156BDEF"/>
    <w:rsid w:val="61573C1F"/>
    <w:rsid w:val="61A20CF0"/>
    <w:rsid w:val="61AAD724"/>
    <w:rsid w:val="61E602B7"/>
    <w:rsid w:val="61FFE3D4"/>
    <w:rsid w:val="6278F186"/>
    <w:rsid w:val="627FD5B1"/>
    <w:rsid w:val="6284DCC8"/>
    <w:rsid w:val="62DA028B"/>
    <w:rsid w:val="62EFDE13"/>
    <w:rsid w:val="62F17D94"/>
    <w:rsid w:val="62F220F2"/>
    <w:rsid w:val="632476BE"/>
    <w:rsid w:val="63275E67"/>
    <w:rsid w:val="63421101"/>
    <w:rsid w:val="63621946"/>
    <w:rsid w:val="63627973"/>
    <w:rsid w:val="6364A2B2"/>
    <w:rsid w:val="638D2635"/>
    <w:rsid w:val="6399822A"/>
    <w:rsid w:val="63A14A6E"/>
    <w:rsid w:val="63B7D0AB"/>
    <w:rsid w:val="63CA7774"/>
    <w:rsid w:val="63D1479A"/>
    <w:rsid w:val="63E5F549"/>
    <w:rsid w:val="641B182E"/>
    <w:rsid w:val="641BCF2B"/>
    <w:rsid w:val="64539836"/>
    <w:rsid w:val="649853EA"/>
    <w:rsid w:val="64C793FE"/>
    <w:rsid w:val="64F979D5"/>
    <w:rsid w:val="65034E75"/>
    <w:rsid w:val="650FDA46"/>
    <w:rsid w:val="65397020"/>
    <w:rsid w:val="65473BB6"/>
    <w:rsid w:val="655173C3"/>
    <w:rsid w:val="65716792"/>
    <w:rsid w:val="65831FC7"/>
    <w:rsid w:val="65AFF0F8"/>
    <w:rsid w:val="65BE2F51"/>
    <w:rsid w:val="65C7E701"/>
    <w:rsid w:val="65E1F3ED"/>
    <w:rsid w:val="660E488B"/>
    <w:rsid w:val="661C2089"/>
    <w:rsid w:val="6620F301"/>
    <w:rsid w:val="6629921B"/>
    <w:rsid w:val="6637BD1D"/>
    <w:rsid w:val="666DE3E1"/>
    <w:rsid w:val="6672E547"/>
    <w:rsid w:val="66827B97"/>
    <w:rsid w:val="6688B2EF"/>
    <w:rsid w:val="6688D6D0"/>
    <w:rsid w:val="66963A17"/>
    <w:rsid w:val="66D92ECA"/>
    <w:rsid w:val="66F35174"/>
    <w:rsid w:val="66F7C10F"/>
    <w:rsid w:val="66FD7C59"/>
    <w:rsid w:val="674C62A9"/>
    <w:rsid w:val="674E8DB8"/>
    <w:rsid w:val="678E5491"/>
    <w:rsid w:val="67CE9538"/>
    <w:rsid w:val="67E148EF"/>
    <w:rsid w:val="67E3A253"/>
    <w:rsid w:val="67FA2552"/>
    <w:rsid w:val="67FEDB22"/>
    <w:rsid w:val="6856599D"/>
    <w:rsid w:val="6860D77C"/>
    <w:rsid w:val="68741C31"/>
    <w:rsid w:val="687EEC5F"/>
    <w:rsid w:val="688192AA"/>
    <w:rsid w:val="68C39507"/>
    <w:rsid w:val="68D192E3"/>
    <w:rsid w:val="68ED97C2"/>
    <w:rsid w:val="696489D0"/>
    <w:rsid w:val="69857150"/>
    <w:rsid w:val="699E5307"/>
    <w:rsid w:val="69D1F581"/>
    <w:rsid w:val="69E5385E"/>
    <w:rsid w:val="6A0C8467"/>
    <w:rsid w:val="6A263C85"/>
    <w:rsid w:val="6A300CEA"/>
    <w:rsid w:val="6A44AF81"/>
    <w:rsid w:val="6A461A7C"/>
    <w:rsid w:val="6A53EAB9"/>
    <w:rsid w:val="6A58B096"/>
    <w:rsid w:val="6A5AD60E"/>
    <w:rsid w:val="6A5B2A10"/>
    <w:rsid w:val="6A5ED43E"/>
    <w:rsid w:val="6A64D42E"/>
    <w:rsid w:val="6A691C71"/>
    <w:rsid w:val="6A7AF542"/>
    <w:rsid w:val="6AA0E7CA"/>
    <w:rsid w:val="6AA193CD"/>
    <w:rsid w:val="6AA3CF1C"/>
    <w:rsid w:val="6AC6600C"/>
    <w:rsid w:val="6AD5411D"/>
    <w:rsid w:val="6B03022A"/>
    <w:rsid w:val="6B214CA1"/>
    <w:rsid w:val="6B239FEF"/>
    <w:rsid w:val="6B27CDBB"/>
    <w:rsid w:val="6B27F638"/>
    <w:rsid w:val="6B3DE651"/>
    <w:rsid w:val="6B4B7883"/>
    <w:rsid w:val="6B6F281A"/>
    <w:rsid w:val="6BAE76DC"/>
    <w:rsid w:val="6BB68EA4"/>
    <w:rsid w:val="6BF29473"/>
    <w:rsid w:val="6C0FC245"/>
    <w:rsid w:val="6C1BBD0E"/>
    <w:rsid w:val="6C281D62"/>
    <w:rsid w:val="6C453C2E"/>
    <w:rsid w:val="6C6AFF2B"/>
    <w:rsid w:val="6C7FB504"/>
    <w:rsid w:val="6C89D529"/>
    <w:rsid w:val="6C8B26E8"/>
    <w:rsid w:val="6C916637"/>
    <w:rsid w:val="6CA6C636"/>
    <w:rsid w:val="6CD1FF4D"/>
    <w:rsid w:val="6CE32AFA"/>
    <w:rsid w:val="6D4995D0"/>
    <w:rsid w:val="6D5C343A"/>
    <w:rsid w:val="6D5CFF63"/>
    <w:rsid w:val="6D70BD97"/>
    <w:rsid w:val="6D71EF33"/>
    <w:rsid w:val="6D7AC92F"/>
    <w:rsid w:val="6D7FF1BB"/>
    <w:rsid w:val="6DB1D5F1"/>
    <w:rsid w:val="6DBAFBC3"/>
    <w:rsid w:val="6DBC4C34"/>
    <w:rsid w:val="6DE2C00D"/>
    <w:rsid w:val="6DE3FDDE"/>
    <w:rsid w:val="6DF7BA08"/>
    <w:rsid w:val="6DF938CD"/>
    <w:rsid w:val="6E093136"/>
    <w:rsid w:val="6E23A1F1"/>
    <w:rsid w:val="6E368EB0"/>
    <w:rsid w:val="6E6A7467"/>
    <w:rsid w:val="6E6D24C9"/>
    <w:rsid w:val="6E6DAF49"/>
    <w:rsid w:val="6EA98415"/>
    <w:rsid w:val="6EE9FE4A"/>
    <w:rsid w:val="6F1ED306"/>
    <w:rsid w:val="6F579D51"/>
    <w:rsid w:val="6F6418B7"/>
    <w:rsid w:val="6FAA5A9A"/>
    <w:rsid w:val="6FB1D68D"/>
    <w:rsid w:val="6FBCD8F4"/>
    <w:rsid w:val="6FCC20C7"/>
    <w:rsid w:val="6FD25F11"/>
    <w:rsid w:val="6FEADFA0"/>
    <w:rsid w:val="70094427"/>
    <w:rsid w:val="700C2437"/>
    <w:rsid w:val="7024CA61"/>
    <w:rsid w:val="703C2B0F"/>
    <w:rsid w:val="70432FEB"/>
    <w:rsid w:val="70455476"/>
    <w:rsid w:val="70583439"/>
    <w:rsid w:val="7081A6A7"/>
    <w:rsid w:val="70D1E49A"/>
    <w:rsid w:val="70DA7866"/>
    <w:rsid w:val="70DDBA14"/>
    <w:rsid w:val="70E4AD12"/>
    <w:rsid w:val="70E633A2"/>
    <w:rsid w:val="713A450E"/>
    <w:rsid w:val="714880A7"/>
    <w:rsid w:val="71532C61"/>
    <w:rsid w:val="715BA67F"/>
    <w:rsid w:val="716109AA"/>
    <w:rsid w:val="71A4A061"/>
    <w:rsid w:val="71B23A35"/>
    <w:rsid w:val="71CB3535"/>
    <w:rsid w:val="71E124D7"/>
    <w:rsid w:val="720B614C"/>
    <w:rsid w:val="7234CE27"/>
    <w:rsid w:val="7250C05F"/>
    <w:rsid w:val="7251038B"/>
    <w:rsid w:val="726E7DE1"/>
    <w:rsid w:val="72748195"/>
    <w:rsid w:val="72787987"/>
    <w:rsid w:val="72860727"/>
    <w:rsid w:val="72CB883C"/>
    <w:rsid w:val="7300FC85"/>
    <w:rsid w:val="730B641D"/>
    <w:rsid w:val="731A4293"/>
    <w:rsid w:val="731E1850"/>
    <w:rsid w:val="734883F5"/>
    <w:rsid w:val="7366E3D9"/>
    <w:rsid w:val="73A85183"/>
    <w:rsid w:val="73A9D6E5"/>
    <w:rsid w:val="73CE3F36"/>
    <w:rsid w:val="73E209F1"/>
    <w:rsid w:val="74205E17"/>
    <w:rsid w:val="742EDCBA"/>
    <w:rsid w:val="746881BB"/>
    <w:rsid w:val="746FEADD"/>
    <w:rsid w:val="747C229E"/>
    <w:rsid w:val="748DD7AC"/>
    <w:rsid w:val="748F5E9E"/>
    <w:rsid w:val="74D1D27C"/>
    <w:rsid w:val="74D1E646"/>
    <w:rsid w:val="74D24C32"/>
    <w:rsid w:val="74F2773F"/>
    <w:rsid w:val="75176803"/>
    <w:rsid w:val="752BA7B7"/>
    <w:rsid w:val="75405300"/>
    <w:rsid w:val="758DB84C"/>
    <w:rsid w:val="75C4E112"/>
    <w:rsid w:val="75C6A26F"/>
    <w:rsid w:val="75CEA398"/>
    <w:rsid w:val="75CF0A38"/>
    <w:rsid w:val="75D853C4"/>
    <w:rsid w:val="75DDC7E6"/>
    <w:rsid w:val="75EF01FA"/>
    <w:rsid w:val="761966A3"/>
    <w:rsid w:val="76545FF2"/>
    <w:rsid w:val="766568F3"/>
    <w:rsid w:val="767ED22D"/>
    <w:rsid w:val="76C6F21A"/>
    <w:rsid w:val="76D59B8D"/>
    <w:rsid w:val="76F67E75"/>
    <w:rsid w:val="7713FEA0"/>
    <w:rsid w:val="7717FDC2"/>
    <w:rsid w:val="7755645A"/>
    <w:rsid w:val="77E54C20"/>
    <w:rsid w:val="77FBE20C"/>
    <w:rsid w:val="780957A1"/>
    <w:rsid w:val="780BBE47"/>
    <w:rsid w:val="7811F317"/>
    <w:rsid w:val="7817A899"/>
    <w:rsid w:val="7835DB8A"/>
    <w:rsid w:val="7840EB51"/>
    <w:rsid w:val="785D0966"/>
    <w:rsid w:val="78663CFF"/>
    <w:rsid w:val="786B14E5"/>
    <w:rsid w:val="786C4D32"/>
    <w:rsid w:val="78AC34C0"/>
    <w:rsid w:val="78DE0882"/>
    <w:rsid w:val="78E870D8"/>
    <w:rsid w:val="78F0355C"/>
    <w:rsid w:val="7906445A"/>
    <w:rsid w:val="7917E5F2"/>
    <w:rsid w:val="792CFC9C"/>
    <w:rsid w:val="79326E7E"/>
    <w:rsid w:val="796FD962"/>
    <w:rsid w:val="797B770B"/>
    <w:rsid w:val="79958536"/>
    <w:rsid w:val="7995B3F7"/>
    <w:rsid w:val="799D8404"/>
    <w:rsid w:val="79A3A80E"/>
    <w:rsid w:val="79C1AFC1"/>
    <w:rsid w:val="79DE7C90"/>
    <w:rsid w:val="79F4CF97"/>
    <w:rsid w:val="79FC588B"/>
    <w:rsid w:val="7A0525CF"/>
    <w:rsid w:val="7A202C4D"/>
    <w:rsid w:val="7A2FAF86"/>
    <w:rsid w:val="7A43E833"/>
    <w:rsid w:val="7A60C215"/>
    <w:rsid w:val="7AA2C713"/>
    <w:rsid w:val="7AF6887A"/>
    <w:rsid w:val="7B0FE79C"/>
    <w:rsid w:val="7B123E5C"/>
    <w:rsid w:val="7B2C02C6"/>
    <w:rsid w:val="7B418C71"/>
    <w:rsid w:val="7B5FC91F"/>
    <w:rsid w:val="7B652443"/>
    <w:rsid w:val="7B6AE1EA"/>
    <w:rsid w:val="7B6D992E"/>
    <w:rsid w:val="7B8A64D2"/>
    <w:rsid w:val="7B959134"/>
    <w:rsid w:val="7BC654AD"/>
    <w:rsid w:val="7BD2554C"/>
    <w:rsid w:val="7BF2A811"/>
    <w:rsid w:val="7C11D897"/>
    <w:rsid w:val="7C146FE5"/>
    <w:rsid w:val="7C15BF45"/>
    <w:rsid w:val="7C21CF9E"/>
    <w:rsid w:val="7C42FBAF"/>
    <w:rsid w:val="7C61574A"/>
    <w:rsid w:val="7C7A2647"/>
    <w:rsid w:val="7C7D6D4D"/>
    <w:rsid w:val="7CA214E7"/>
    <w:rsid w:val="7CA784C4"/>
    <w:rsid w:val="7CCB5ECF"/>
    <w:rsid w:val="7CD41B43"/>
    <w:rsid w:val="7CE824CA"/>
    <w:rsid w:val="7CFB15DA"/>
    <w:rsid w:val="7D0192AE"/>
    <w:rsid w:val="7D16949C"/>
    <w:rsid w:val="7D1F1F40"/>
    <w:rsid w:val="7D4B1C6E"/>
    <w:rsid w:val="7D564F80"/>
    <w:rsid w:val="7D75EE28"/>
    <w:rsid w:val="7D8A7734"/>
    <w:rsid w:val="7D925343"/>
    <w:rsid w:val="7DA0C32F"/>
    <w:rsid w:val="7DA7E69F"/>
    <w:rsid w:val="7DAF4E2E"/>
    <w:rsid w:val="7DBFAAFC"/>
    <w:rsid w:val="7DCF7FD4"/>
    <w:rsid w:val="7DFCA0D8"/>
    <w:rsid w:val="7E1159D8"/>
    <w:rsid w:val="7E2756EC"/>
    <w:rsid w:val="7E2A1079"/>
    <w:rsid w:val="7E431049"/>
    <w:rsid w:val="7E5C4695"/>
    <w:rsid w:val="7EEC2C05"/>
    <w:rsid w:val="7F369088"/>
    <w:rsid w:val="7F438602"/>
    <w:rsid w:val="7F5C5D81"/>
    <w:rsid w:val="7F6264B0"/>
    <w:rsid w:val="7F8AB81E"/>
    <w:rsid w:val="7F8B0280"/>
    <w:rsid w:val="7FAFD52C"/>
    <w:rsid w:val="7FC4C73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0C3B4064"/>
  <w15:docId w15:val="{98021CD4-64B7-CE4B-9073-6BDDA9976C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73" w:qFormat="1"/>
    <w:lsdException w:name="heading 1" w:uiPriority="1" w:qFormat="1"/>
    <w:lsdException w:name="heading 2" w:uiPriority="1" w:qFormat="1"/>
    <w:lsdException w:name="heading 3" w:uiPriority="1" w:unhideWhenUsed="1" w:qFormat="1"/>
    <w:lsdException w:name="heading 4" w:uiPriority="1" w:unhideWhenUsed="1" w:qFormat="1"/>
    <w:lsdException w:name="heading 5" w:uiPriority="1" w:unhideWhenUsed="1" w:qFormat="1"/>
    <w:lsdException w:name="heading 6" w:unhideWhenUsed="1" w:qFormat="1"/>
    <w:lsdException w:name="heading 7" w:unhideWhenUsed="1" w:qFormat="1"/>
    <w:lsdException w:name="heading 8" w:unhideWhenUsed="1" w:qFormat="1"/>
    <w:lsdException w:name="heading 9" w:uiPriority="13"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iPriority="39" w:unhideWhenUsed="1"/>
    <w:lsdException w:name="Normal Indent" w:locked="1" w:semiHidden="1" w:unhideWhenUsed="1"/>
    <w:lsdException w:name="footnote text" w:locked="1" w:semiHidden="1" w:uiPriority="15"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15"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semiHidden="1" w:uiPriority="7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nhideWhenUsed="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3"/>
    <w:qFormat/>
    <w:rsid w:val="00111236"/>
    <w:pPr>
      <w:spacing w:after="120"/>
    </w:pPr>
    <w:rPr>
      <w:rFonts w:eastAsia="Calibri"/>
      <w:color w:val="000000"/>
    </w:rPr>
  </w:style>
  <w:style w:type="paragraph" w:styleId="Heading1">
    <w:name w:val="heading 1"/>
    <w:next w:val="BodyText"/>
    <w:link w:val="Heading1Char"/>
    <w:uiPriority w:val="1"/>
    <w:qFormat/>
    <w:rsid w:val="00790DDB"/>
    <w:pPr>
      <w:keepNext/>
      <w:keepLines/>
      <w:pageBreakBefore/>
      <w:numPr>
        <w:numId w:val="3"/>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790DDB"/>
    <w:pPr>
      <w:pageBreakBefore w:val="0"/>
      <w:numPr>
        <w:ilvl w:val="1"/>
      </w:numPr>
      <w:spacing w:before="360" w:after="240" w:line="240" w:lineRule="auto"/>
      <w:outlineLvl w:val="1"/>
    </w:pPr>
    <w:rPr>
      <w:color w:val="001D34" w:themeColor="accent2"/>
      <w:sz w:val="32"/>
      <w:szCs w:val="26"/>
    </w:rPr>
  </w:style>
  <w:style w:type="paragraph" w:styleId="Heading3">
    <w:name w:val="heading 3"/>
    <w:basedOn w:val="Heading2"/>
    <w:next w:val="BodyText"/>
    <w:link w:val="Heading3Char"/>
    <w:uiPriority w:val="1"/>
    <w:qFormat/>
    <w:rsid w:val="00790DDB"/>
    <w:pPr>
      <w:numPr>
        <w:ilvl w:val="2"/>
      </w:numPr>
      <w:outlineLvl w:val="2"/>
    </w:pPr>
    <w:rPr>
      <w:b/>
      <w:color w:val="auto"/>
      <w:sz w:val="26"/>
    </w:rPr>
  </w:style>
  <w:style w:type="paragraph" w:styleId="Heading4">
    <w:name w:val="heading 4"/>
    <w:basedOn w:val="Heading3"/>
    <w:next w:val="BodyText"/>
    <w:link w:val="Heading4Char"/>
    <w:uiPriority w:val="1"/>
    <w:qFormat/>
    <w:rsid w:val="00790DDB"/>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790DDB"/>
    <w:pPr>
      <w:outlineLvl w:val="4"/>
    </w:pPr>
    <w:rPr>
      <w:color w:val="auto"/>
      <w:sz w:val="22"/>
    </w:rPr>
  </w:style>
  <w:style w:type="paragraph" w:styleId="Heading6">
    <w:name w:val="heading 6"/>
    <w:basedOn w:val="Normal"/>
    <w:next w:val="Normal"/>
    <w:link w:val="Heading6Char"/>
    <w:uiPriority w:val="99"/>
    <w:semiHidden/>
    <w:qFormat/>
    <w:rsid w:val="00790DDB"/>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790DDB"/>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790DDB"/>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3"/>
    <w:locked/>
    <w:rsid w:val="00790DDB"/>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790DDB"/>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790DDB"/>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790DDB"/>
    <w:rPr>
      <w:rFonts w:eastAsiaTheme="majorEastAsia" w:cstheme="majorBidi"/>
      <w:b/>
      <w:bCs/>
      <w:sz w:val="26"/>
      <w:szCs w:val="26"/>
    </w:rPr>
  </w:style>
  <w:style w:type="character" w:customStyle="1" w:styleId="Heading4Char">
    <w:name w:val="Heading 4 Char"/>
    <w:basedOn w:val="DefaultParagraphFont"/>
    <w:link w:val="Heading4"/>
    <w:uiPriority w:val="1"/>
    <w:locked/>
    <w:rsid w:val="00790DDB"/>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790DDB"/>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790DDB"/>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790DDB"/>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790DDB"/>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3"/>
    <w:locked/>
    <w:rsid w:val="00790DDB"/>
    <w:rPr>
      <w:rFonts w:eastAsiaTheme="majorEastAsia" w:cstheme="majorBidi"/>
      <w:bCs/>
      <w:color w:val="757579" w:themeColor="accent3"/>
      <w:sz w:val="44"/>
      <w:szCs w:val="28"/>
    </w:rPr>
  </w:style>
  <w:style w:type="paragraph" w:styleId="Header">
    <w:name w:val="header"/>
    <w:basedOn w:val="Normal"/>
    <w:link w:val="HeaderChar"/>
    <w:uiPriority w:val="99"/>
    <w:rsid w:val="00790DDB"/>
    <w:rPr>
      <w:caps/>
      <w:color w:val="FFFFFF"/>
      <w:spacing w:val="16"/>
    </w:rPr>
  </w:style>
  <w:style w:type="character" w:customStyle="1" w:styleId="HeaderChar">
    <w:name w:val="Header Char"/>
    <w:basedOn w:val="DefaultParagraphFont"/>
    <w:link w:val="Header"/>
    <w:uiPriority w:val="99"/>
    <w:locked/>
    <w:rsid w:val="00790DDB"/>
    <w:rPr>
      <w:rFonts w:eastAsia="Calibri"/>
      <w:caps/>
      <w:color w:val="FFFFFF"/>
      <w:spacing w:val="16"/>
    </w:rPr>
  </w:style>
  <w:style w:type="paragraph" w:styleId="Footer">
    <w:name w:val="footer"/>
    <w:basedOn w:val="BodyText"/>
    <w:link w:val="FooterChar"/>
    <w:uiPriority w:val="99"/>
    <w:qFormat/>
    <w:rsid w:val="00790DDB"/>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790DDB"/>
    <w:rPr>
      <w:rFonts w:eastAsia="Calibri"/>
      <w:smallCaps/>
      <w:color w:val="757579" w:themeColor="accent3"/>
      <w:sz w:val="16"/>
    </w:rPr>
  </w:style>
  <w:style w:type="paragraph" w:styleId="BalloonText">
    <w:name w:val="Balloon Text"/>
    <w:basedOn w:val="Normal"/>
    <w:link w:val="BalloonTextChar"/>
    <w:uiPriority w:val="99"/>
    <w:semiHidden/>
    <w:locked/>
    <w:rsid w:val="00790DDB"/>
    <w:pPr>
      <w:spacing w:after="0"/>
    </w:pPr>
    <w:rPr>
      <w:rFonts w:ascii="Tahoma" w:hAnsi="Tahoma" w:cs="Tahoma"/>
      <w:sz w:val="16"/>
      <w:szCs w:val="16"/>
    </w:rPr>
  </w:style>
  <w:style w:type="paragraph" w:styleId="ListBullet">
    <w:name w:val="List Bullet"/>
    <w:basedOn w:val="BodyText"/>
    <w:uiPriority w:val="2"/>
    <w:qFormat/>
    <w:rsid w:val="000F00A4"/>
    <w:pPr>
      <w:numPr>
        <w:numId w:val="9"/>
      </w:numPr>
      <w:spacing w:before="60" w:after="60"/>
    </w:pPr>
  </w:style>
  <w:style w:type="paragraph" w:styleId="ListNumber">
    <w:name w:val="List Number"/>
    <w:basedOn w:val="BodyText"/>
    <w:uiPriority w:val="2"/>
    <w:qFormat/>
    <w:rsid w:val="00D55E60"/>
    <w:pPr>
      <w:numPr>
        <w:numId w:val="12"/>
      </w:numPr>
      <w:spacing w:before="60" w:after="60"/>
      <w:ind w:left="681" w:hanging="397"/>
    </w:pPr>
  </w:style>
  <w:style w:type="paragraph" w:styleId="ListBullet2">
    <w:name w:val="List Bullet 2"/>
    <w:basedOn w:val="ListBullet"/>
    <w:uiPriority w:val="2"/>
    <w:qFormat/>
    <w:rsid w:val="00790DDB"/>
    <w:pPr>
      <w:numPr>
        <w:ilvl w:val="1"/>
      </w:numPr>
    </w:pPr>
  </w:style>
  <w:style w:type="paragraph" w:styleId="TOC1">
    <w:name w:val="toc 1"/>
    <w:basedOn w:val="BodyText"/>
    <w:next w:val="TOC2"/>
    <w:uiPriority w:val="39"/>
    <w:unhideWhenUsed/>
    <w:rsid w:val="00CF0035"/>
    <w:pPr>
      <w:tabs>
        <w:tab w:val="left" w:pos="737"/>
        <w:tab w:val="left" w:pos="1134"/>
        <w:tab w:val="right" w:leader="dot" w:pos="9554"/>
      </w:tabs>
      <w:spacing w:before="180" w:after="60"/>
      <w:ind w:left="426" w:right="567" w:hanging="426"/>
    </w:pPr>
    <w:rPr>
      <w:b/>
      <w:smallCaps/>
      <w:noProof/>
      <w:color w:val="01528B" w:themeColor="accent1"/>
    </w:rPr>
  </w:style>
  <w:style w:type="paragraph" w:styleId="TOC2">
    <w:name w:val="toc 2"/>
    <w:basedOn w:val="BodyText"/>
    <w:uiPriority w:val="39"/>
    <w:unhideWhenUsed/>
    <w:rsid w:val="00286DB3"/>
    <w:pPr>
      <w:tabs>
        <w:tab w:val="left" w:pos="737"/>
        <w:tab w:val="left" w:pos="1531"/>
        <w:tab w:val="right" w:leader="dot" w:pos="9554"/>
      </w:tabs>
      <w:spacing w:before="60" w:after="60"/>
      <w:ind w:left="737" w:right="567" w:hanging="737"/>
    </w:pPr>
    <w:rPr>
      <w:noProof/>
      <w:color w:val="01528B" w:themeColor="accent1"/>
      <w:sz w:val="20"/>
      <w:szCs w:val="20"/>
    </w:rPr>
  </w:style>
  <w:style w:type="table" w:styleId="TableGrid">
    <w:name w:val="Table Grid"/>
    <w:basedOn w:val="TableNormal"/>
    <w:uiPriority w:val="99"/>
    <w:rsid w:val="00790DDB"/>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790DDB"/>
    <w:rPr>
      <w:rFonts w:ascii="Calibri" w:hAnsi="Calibri" w:cs="Times New Roman"/>
      <w:sz w:val="16"/>
    </w:rPr>
  </w:style>
  <w:style w:type="paragraph" w:styleId="TOC3">
    <w:name w:val="toc 3"/>
    <w:basedOn w:val="BodyText"/>
    <w:uiPriority w:val="39"/>
    <w:unhideWhenUsed/>
    <w:rsid w:val="006A2787"/>
    <w:pPr>
      <w:tabs>
        <w:tab w:val="left" w:pos="1531"/>
        <w:tab w:val="right" w:leader="dot" w:pos="9497"/>
      </w:tabs>
      <w:spacing w:before="60"/>
      <w:ind w:left="737" w:right="567"/>
    </w:pPr>
    <w:rPr>
      <w:color w:val="001D34" w:themeColor="accent2"/>
    </w:rPr>
  </w:style>
  <w:style w:type="paragraph" w:customStyle="1" w:styleId="CoverTitle">
    <w:name w:val="CoverTitle"/>
    <w:next w:val="CoverSubtitle"/>
    <w:uiPriority w:val="16"/>
    <w:qFormat/>
    <w:rsid w:val="00790DDB"/>
    <w:pPr>
      <w:spacing w:after="170" w:line="216" w:lineRule="auto"/>
    </w:pPr>
    <w:rPr>
      <w:rFonts w:eastAsiaTheme="majorEastAsia" w:cstheme="majorBidi"/>
      <w:color w:val="01528B" w:themeColor="accent1"/>
      <w:spacing w:val="5"/>
      <w:kern w:val="28"/>
      <w:sz w:val="72"/>
      <w:szCs w:val="52"/>
    </w:rPr>
  </w:style>
  <w:style w:type="paragraph" w:customStyle="1" w:styleId="PartTitle">
    <w:name w:val="PartTitle"/>
    <w:next w:val="PartSubtitle"/>
    <w:uiPriority w:val="17"/>
    <w:qFormat/>
    <w:rsid w:val="00790DDB"/>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7"/>
    <w:qFormat/>
    <w:rsid w:val="005B245D"/>
    <w:pPr>
      <w:spacing w:before="360" w:after="240" w:line="340" w:lineRule="atLeast"/>
      <w:ind w:left="0" w:firstLine="0"/>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29"/>
    <w:qFormat/>
    <w:rsid w:val="00790DDB"/>
  </w:style>
  <w:style w:type="paragraph" w:styleId="ListBullet3">
    <w:name w:val="List Bullet 3"/>
    <w:basedOn w:val="ListBullet2"/>
    <w:uiPriority w:val="2"/>
    <w:rsid w:val="00790DDB"/>
    <w:pPr>
      <w:numPr>
        <w:ilvl w:val="2"/>
      </w:numPr>
      <w:tabs>
        <w:tab w:val="num" w:pos="360"/>
      </w:tabs>
      <w:ind w:left="680" w:hanging="198"/>
    </w:pPr>
  </w:style>
  <w:style w:type="paragraph" w:styleId="FootnoteText">
    <w:name w:val="footnote text"/>
    <w:basedOn w:val="BodyText"/>
    <w:link w:val="FootnoteTextChar"/>
    <w:uiPriority w:val="15"/>
    <w:qFormat/>
    <w:rsid w:val="00A558EF"/>
    <w:pPr>
      <w:spacing w:before="60" w:after="60" w:line="180" w:lineRule="atLeast"/>
    </w:pPr>
    <w:rPr>
      <w:sz w:val="16"/>
      <w:szCs w:val="20"/>
    </w:rPr>
  </w:style>
  <w:style w:type="character" w:customStyle="1" w:styleId="FootnoteTextChar">
    <w:name w:val="Footnote Text Char"/>
    <w:basedOn w:val="DefaultParagraphFont"/>
    <w:link w:val="FootnoteText"/>
    <w:uiPriority w:val="15"/>
    <w:locked/>
    <w:rsid w:val="00A558EF"/>
    <w:rPr>
      <w:rFonts w:eastAsia="Calibri"/>
      <w:color w:val="000000"/>
      <w:sz w:val="16"/>
      <w:szCs w:val="20"/>
    </w:rPr>
  </w:style>
  <w:style w:type="paragraph" w:customStyle="1" w:styleId="FootnoteHeading">
    <w:name w:val="Footnote Heading"/>
    <w:basedOn w:val="FootnoteText"/>
    <w:uiPriority w:val="15"/>
    <w:qFormat/>
    <w:rsid w:val="00790DDB"/>
    <w:rPr>
      <w:b/>
    </w:rPr>
  </w:style>
  <w:style w:type="paragraph" w:customStyle="1" w:styleId="FigureTableSource">
    <w:name w:val="Figure/Table Source"/>
    <w:basedOn w:val="BodyText"/>
    <w:next w:val="BodyText"/>
    <w:uiPriority w:val="4"/>
    <w:qFormat/>
    <w:rsid w:val="007113EE"/>
    <w:pPr>
      <w:tabs>
        <w:tab w:val="left" w:pos="539"/>
      </w:tabs>
      <w:spacing w:before="20" w:after="20" w:line="240" w:lineRule="auto"/>
    </w:pPr>
    <w:rPr>
      <w:sz w:val="16"/>
      <w:szCs w:val="20"/>
    </w:rPr>
  </w:style>
  <w:style w:type="paragraph" w:customStyle="1" w:styleId="TableText">
    <w:name w:val="TableText"/>
    <w:basedOn w:val="Normal"/>
    <w:uiPriority w:val="5"/>
    <w:qFormat/>
    <w:rsid w:val="00790DDB"/>
    <w:pPr>
      <w:spacing w:before="60" w:after="60"/>
    </w:pPr>
    <w:rPr>
      <w:sz w:val="18"/>
    </w:rPr>
  </w:style>
  <w:style w:type="paragraph" w:customStyle="1" w:styleId="TableBullet">
    <w:name w:val="TableBullet"/>
    <w:basedOn w:val="TableText"/>
    <w:next w:val="TableText"/>
    <w:uiPriority w:val="5"/>
    <w:qFormat/>
    <w:rsid w:val="00790DDB"/>
    <w:pPr>
      <w:numPr>
        <w:numId w:val="17"/>
      </w:numPr>
    </w:pPr>
  </w:style>
  <w:style w:type="paragraph" w:customStyle="1" w:styleId="RowHeading">
    <w:name w:val="RowHeading"/>
    <w:basedOn w:val="TableText"/>
    <w:next w:val="TableText"/>
    <w:uiPriority w:val="5"/>
    <w:qFormat/>
    <w:rsid w:val="00790DDB"/>
    <w:rPr>
      <w:b/>
      <w:color w:val="auto"/>
    </w:rPr>
  </w:style>
  <w:style w:type="paragraph" w:customStyle="1" w:styleId="ColumnHeading">
    <w:name w:val="ColumnHeading"/>
    <w:basedOn w:val="TableText"/>
    <w:uiPriority w:val="5"/>
    <w:qFormat/>
    <w:rsid w:val="00790DDB"/>
    <w:pPr>
      <w:spacing w:after="0" w:line="180" w:lineRule="atLeast"/>
    </w:pPr>
    <w:rPr>
      <w:b/>
      <w:color w:val="FFFFFF"/>
    </w:rPr>
  </w:style>
  <w:style w:type="paragraph" w:customStyle="1" w:styleId="CoverSubtitle">
    <w:name w:val="CoverSubtitle"/>
    <w:next w:val="BodyText"/>
    <w:uiPriority w:val="16"/>
    <w:qFormat/>
    <w:rsid w:val="00790DDB"/>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790DDB"/>
    <w:pPr>
      <w:spacing w:before="360" w:after="60"/>
    </w:pPr>
    <w:rPr>
      <w:rFonts w:eastAsia="Calibri"/>
      <w:b/>
      <w:sz w:val="18"/>
      <w:szCs w:val="20"/>
    </w:rPr>
  </w:style>
  <w:style w:type="paragraph" w:customStyle="1" w:styleId="BackCoverContactDetails">
    <w:name w:val="BackCover ContactDetails"/>
    <w:uiPriority w:val="31"/>
    <w:qFormat/>
    <w:rsid w:val="00790DDB"/>
    <w:pPr>
      <w:tabs>
        <w:tab w:val="left" w:pos="199"/>
      </w:tabs>
    </w:pPr>
    <w:rPr>
      <w:rFonts w:eastAsia="Calibri"/>
      <w:sz w:val="18"/>
    </w:rPr>
  </w:style>
  <w:style w:type="character" w:customStyle="1" w:styleId="BackCoverContactBold">
    <w:name w:val="BackCover ContactBold"/>
    <w:basedOn w:val="DefaultParagraphFont"/>
    <w:uiPriority w:val="31"/>
    <w:qFormat/>
    <w:rsid w:val="00790DDB"/>
    <w:rPr>
      <w:b/>
    </w:rPr>
  </w:style>
  <w:style w:type="paragraph" w:styleId="TOCHeading">
    <w:name w:val="TOC Heading"/>
    <w:basedOn w:val="Heading1"/>
    <w:next w:val="Normal"/>
    <w:link w:val="TOCHeadingChar"/>
    <w:uiPriority w:val="19"/>
    <w:rsid w:val="00790DDB"/>
    <w:pPr>
      <w:pageBreakBefore w:val="0"/>
      <w:numPr>
        <w:numId w:val="0"/>
      </w:numPr>
      <w:spacing w:before="480" w:after="240"/>
      <w:outlineLvl w:val="1"/>
    </w:pPr>
    <w:rPr>
      <w:bCs w:val="0"/>
    </w:rPr>
  </w:style>
  <w:style w:type="character" w:styleId="Hyperlink">
    <w:name w:val="Hyperlink"/>
    <w:basedOn w:val="DefaultParagraphFont"/>
    <w:uiPriority w:val="99"/>
    <w:qFormat/>
    <w:rsid w:val="00790DDB"/>
    <w:rPr>
      <w:rFonts w:ascii="Calibri" w:hAnsi="Calibri" w:cs="Times New Roman"/>
      <w:color w:val="005CA6" w:themeColor="accent2" w:themeTint="BF"/>
      <w:u w:val="none"/>
    </w:rPr>
  </w:style>
  <w:style w:type="paragraph" w:styleId="TOC4">
    <w:name w:val="toc 4"/>
    <w:basedOn w:val="Normal"/>
    <w:next w:val="Normal"/>
    <w:autoRedefine/>
    <w:uiPriority w:val="99"/>
    <w:semiHidden/>
    <w:rsid w:val="00790DDB"/>
    <w:pPr>
      <w:spacing w:after="100"/>
      <w:ind w:left="660"/>
    </w:pPr>
  </w:style>
  <w:style w:type="paragraph" w:styleId="TOC9">
    <w:name w:val="toc 9"/>
    <w:basedOn w:val="Normal"/>
    <w:next w:val="Normal"/>
    <w:autoRedefine/>
    <w:uiPriority w:val="39"/>
    <w:rsid w:val="00790DDB"/>
    <w:pPr>
      <w:spacing w:after="100"/>
      <w:ind w:left="1760"/>
    </w:pPr>
  </w:style>
  <w:style w:type="character" w:customStyle="1" w:styleId="BalloonTextChar">
    <w:name w:val="Balloon Text Char"/>
    <w:basedOn w:val="DefaultParagraphFont"/>
    <w:link w:val="BalloonText"/>
    <w:uiPriority w:val="99"/>
    <w:semiHidden/>
    <w:rsid w:val="00790DDB"/>
    <w:rPr>
      <w:rFonts w:ascii="Tahoma" w:eastAsia="Calibri" w:hAnsi="Tahoma" w:cs="Tahoma"/>
      <w:color w:val="000000"/>
      <w:sz w:val="16"/>
      <w:szCs w:val="16"/>
    </w:rPr>
  </w:style>
  <w:style w:type="paragraph" w:styleId="Caption">
    <w:name w:val="caption"/>
    <w:basedOn w:val="BodyText"/>
    <w:next w:val="BodyText"/>
    <w:link w:val="CaptionChar"/>
    <w:uiPriority w:val="3"/>
    <w:qFormat/>
    <w:rsid w:val="005A5D2D"/>
    <w:pPr>
      <w:keepNext/>
      <w:keepLines/>
      <w:pBdr>
        <w:top w:val="single" w:sz="4" w:space="1" w:color="ABABAE" w:themeColor="accent3" w:themeTint="99"/>
      </w:pBdr>
      <w:spacing w:before="360" w:after="60" w:line="240" w:lineRule="auto"/>
      <w:contextualSpacing/>
    </w:pPr>
    <w:rPr>
      <w:b/>
      <w:bCs/>
      <w:color w:val="757579" w:themeColor="accent3"/>
      <w:sz w:val="20"/>
      <w:szCs w:val="18"/>
    </w:rPr>
  </w:style>
  <w:style w:type="paragraph" w:customStyle="1" w:styleId="Headerurl">
    <w:name w:val="Header url"/>
    <w:basedOn w:val="Header"/>
    <w:uiPriority w:val="99"/>
    <w:semiHidden/>
    <w:rsid w:val="00790DDB"/>
    <w:pPr>
      <w:tabs>
        <w:tab w:val="center" w:pos="4153"/>
        <w:tab w:val="right" w:pos="8306"/>
      </w:tabs>
      <w:spacing w:after="0"/>
    </w:pPr>
    <w:rPr>
      <w:b/>
      <w:color w:val="00313C"/>
      <w:szCs w:val="24"/>
    </w:rPr>
  </w:style>
  <w:style w:type="character" w:customStyle="1" w:styleId="PartNumber">
    <w:name w:val="PartNumber"/>
    <w:basedOn w:val="DefaultParagraphFont"/>
    <w:uiPriority w:val="17"/>
    <w:qFormat/>
    <w:rsid w:val="00790DDB"/>
    <w:rPr>
      <w:color w:val="001D34" w:themeColor="accent2"/>
    </w:rPr>
  </w:style>
  <w:style w:type="paragraph" w:customStyle="1" w:styleId="Heading1notnumbered">
    <w:name w:val="Heading 1 not numbered"/>
    <w:basedOn w:val="Heading1"/>
    <w:next w:val="BodyText"/>
    <w:link w:val="Heading1notnumberedChar"/>
    <w:uiPriority w:val="1"/>
    <w:rsid w:val="00790DDB"/>
    <w:pPr>
      <w:numPr>
        <w:numId w:val="0"/>
      </w:numPr>
    </w:pPr>
  </w:style>
  <w:style w:type="paragraph" w:customStyle="1" w:styleId="Heading3notnumbered">
    <w:name w:val="Heading 3 not numbered"/>
    <w:basedOn w:val="Heading3"/>
    <w:next w:val="BodyText"/>
    <w:uiPriority w:val="1"/>
    <w:qFormat/>
    <w:rsid w:val="00790DDB"/>
    <w:pPr>
      <w:numPr>
        <w:ilvl w:val="0"/>
        <w:numId w:val="0"/>
      </w:numPr>
    </w:pPr>
  </w:style>
  <w:style w:type="paragraph" w:customStyle="1" w:styleId="Heading2notnumbered">
    <w:name w:val="Heading 2 not numbered"/>
    <w:basedOn w:val="Heading2"/>
    <w:next w:val="BodyText"/>
    <w:uiPriority w:val="1"/>
    <w:qFormat/>
    <w:rsid w:val="00790DDB"/>
    <w:pPr>
      <w:numPr>
        <w:ilvl w:val="0"/>
        <w:numId w:val="0"/>
      </w:numPr>
    </w:pPr>
  </w:style>
  <w:style w:type="paragraph" w:customStyle="1" w:styleId="Heading1noTOC">
    <w:name w:val="Heading 1 no TOC"/>
    <w:basedOn w:val="Heading1notnumbered"/>
    <w:next w:val="BodyText"/>
    <w:link w:val="Heading1noTOCChar"/>
    <w:uiPriority w:val="1"/>
    <w:qFormat/>
    <w:rsid w:val="00790DDB"/>
  </w:style>
  <w:style w:type="character" w:customStyle="1" w:styleId="TOCHeadingChar">
    <w:name w:val="TOC Heading Char"/>
    <w:basedOn w:val="DefaultParagraphFont"/>
    <w:link w:val="TOCHeading"/>
    <w:uiPriority w:val="19"/>
    <w:locked/>
    <w:rsid w:val="00790DDB"/>
    <w:rPr>
      <w:rFonts w:eastAsiaTheme="majorEastAsia" w:cstheme="majorBidi"/>
      <w:color w:val="757579" w:themeColor="accent3"/>
      <w:sz w:val="44"/>
      <w:szCs w:val="28"/>
    </w:rPr>
  </w:style>
  <w:style w:type="paragraph" w:styleId="BlockText">
    <w:name w:val="Block Text"/>
    <w:basedOn w:val="Normal"/>
    <w:uiPriority w:val="99"/>
    <w:semiHidden/>
    <w:locked/>
    <w:rsid w:val="00D77C64"/>
    <w:pPr>
      <w:ind w:left="567" w:right="567"/>
    </w:pPr>
    <w:rPr>
      <w:i/>
    </w:rPr>
  </w:style>
  <w:style w:type="paragraph" w:styleId="BodyText">
    <w:name w:val="Body Text"/>
    <w:link w:val="BodyTextChar"/>
    <w:qFormat/>
    <w:locked/>
    <w:rsid w:val="006A2787"/>
    <w:pPr>
      <w:spacing w:before="120" w:after="120" w:line="264" w:lineRule="auto"/>
    </w:pPr>
    <w:rPr>
      <w:rFonts w:eastAsia="Calibri"/>
      <w:color w:val="000000"/>
    </w:rPr>
  </w:style>
  <w:style w:type="character" w:customStyle="1" w:styleId="BodyTextChar">
    <w:name w:val="Body Text Char"/>
    <w:basedOn w:val="DefaultParagraphFont"/>
    <w:link w:val="BodyText"/>
    <w:locked/>
    <w:rsid w:val="006A2787"/>
    <w:rPr>
      <w:rFonts w:eastAsia="Calibri"/>
      <w:color w:val="000000"/>
    </w:rPr>
  </w:style>
  <w:style w:type="paragraph" w:styleId="BodyText2">
    <w:name w:val="Body Text 2"/>
    <w:basedOn w:val="Normal"/>
    <w:link w:val="BodyText2Char"/>
    <w:uiPriority w:val="99"/>
    <w:semiHidden/>
    <w:locked/>
    <w:rsid w:val="00790DDB"/>
    <w:pPr>
      <w:spacing w:line="480" w:lineRule="auto"/>
    </w:pPr>
  </w:style>
  <w:style w:type="character" w:customStyle="1" w:styleId="BodyText2Char">
    <w:name w:val="Body Text 2 Char"/>
    <w:basedOn w:val="DefaultParagraphFont"/>
    <w:link w:val="BodyText2"/>
    <w:uiPriority w:val="99"/>
    <w:semiHidden/>
    <w:locked/>
    <w:rsid w:val="00790DDB"/>
    <w:rPr>
      <w:rFonts w:eastAsia="Calibri"/>
      <w:color w:val="000000"/>
    </w:rPr>
  </w:style>
  <w:style w:type="paragraph" w:styleId="BodyText3">
    <w:name w:val="Body Text 3"/>
    <w:basedOn w:val="Normal"/>
    <w:link w:val="BodyText3Char"/>
    <w:uiPriority w:val="99"/>
    <w:semiHidden/>
    <w:locked/>
    <w:rsid w:val="00790DDB"/>
    <w:rPr>
      <w:sz w:val="16"/>
      <w:szCs w:val="16"/>
    </w:rPr>
  </w:style>
  <w:style w:type="character" w:customStyle="1" w:styleId="BodyText3Char">
    <w:name w:val="Body Text 3 Char"/>
    <w:basedOn w:val="DefaultParagraphFont"/>
    <w:link w:val="BodyText3"/>
    <w:uiPriority w:val="99"/>
    <w:semiHidden/>
    <w:locked/>
    <w:rsid w:val="00790DDB"/>
    <w:rPr>
      <w:rFonts w:eastAsia="Calibri"/>
      <w:color w:val="000000"/>
      <w:sz w:val="16"/>
      <w:szCs w:val="16"/>
    </w:rPr>
  </w:style>
  <w:style w:type="paragraph" w:styleId="BodyTextFirstIndent">
    <w:name w:val="Body Text First Indent"/>
    <w:basedOn w:val="BodyText"/>
    <w:link w:val="BodyTextFirstIndentChar"/>
    <w:uiPriority w:val="99"/>
    <w:semiHidden/>
    <w:locked/>
    <w:rsid w:val="00790DDB"/>
    <w:pPr>
      <w:ind w:firstLine="210"/>
    </w:pPr>
  </w:style>
  <w:style w:type="character" w:customStyle="1" w:styleId="BodyTextFirstIndentChar">
    <w:name w:val="Body Text First Indent Char"/>
    <w:basedOn w:val="BodyTextChar"/>
    <w:link w:val="BodyTextFirstIndent"/>
    <w:uiPriority w:val="99"/>
    <w:semiHidden/>
    <w:locked/>
    <w:rsid w:val="00790DDB"/>
    <w:rPr>
      <w:rFonts w:eastAsia="Calibri"/>
      <w:color w:val="000000"/>
    </w:rPr>
  </w:style>
  <w:style w:type="paragraph" w:styleId="BodyTextIndent">
    <w:name w:val="Body Text Indent"/>
    <w:basedOn w:val="Normal"/>
    <w:link w:val="BodyTextIndentChar"/>
    <w:uiPriority w:val="99"/>
    <w:semiHidden/>
    <w:locked/>
    <w:rsid w:val="00790DDB"/>
    <w:pPr>
      <w:ind w:left="283"/>
    </w:pPr>
  </w:style>
  <w:style w:type="character" w:customStyle="1" w:styleId="BodyTextIndentChar">
    <w:name w:val="Body Text Indent Char"/>
    <w:basedOn w:val="DefaultParagraphFont"/>
    <w:link w:val="BodyTextIndent"/>
    <w:uiPriority w:val="99"/>
    <w:semiHidden/>
    <w:locked/>
    <w:rsid w:val="00790DDB"/>
    <w:rPr>
      <w:rFonts w:eastAsia="Calibri"/>
      <w:color w:val="000000"/>
    </w:rPr>
  </w:style>
  <w:style w:type="paragraph" w:styleId="BodyTextFirstIndent2">
    <w:name w:val="Body Text First Indent 2"/>
    <w:basedOn w:val="BodyTextIndent"/>
    <w:link w:val="BodyTextFirstIndent2Char"/>
    <w:uiPriority w:val="99"/>
    <w:semiHidden/>
    <w:locked/>
    <w:rsid w:val="00790DDB"/>
    <w:pPr>
      <w:ind w:firstLine="210"/>
    </w:pPr>
  </w:style>
  <w:style w:type="character" w:customStyle="1" w:styleId="BodyTextFirstIndent2Char">
    <w:name w:val="Body Text First Indent 2 Char"/>
    <w:basedOn w:val="BodyTextIndentChar"/>
    <w:link w:val="BodyTextFirstIndent2"/>
    <w:uiPriority w:val="99"/>
    <w:semiHidden/>
    <w:locked/>
    <w:rsid w:val="00790DDB"/>
    <w:rPr>
      <w:rFonts w:eastAsia="Calibri"/>
      <w:color w:val="000000"/>
    </w:rPr>
  </w:style>
  <w:style w:type="paragraph" w:styleId="BodyTextIndent2">
    <w:name w:val="Body Text Indent 2"/>
    <w:basedOn w:val="Normal"/>
    <w:link w:val="BodyTextIndent2Char"/>
    <w:uiPriority w:val="99"/>
    <w:semiHidden/>
    <w:locked/>
    <w:rsid w:val="00790DDB"/>
    <w:pPr>
      <w:spacing w:line="480" w:lineRule="auto"/>
      <w:ind w:left="283"/>
    </w:pPr>
  </w:style>
  <w:style w:type="character" w:customStyle="1" w:styleId="BodyTextIndent2Char">
    <w:name w:val="Body Text Indent 2 Char"/>
    <w:basedOn w:val="DefaultParagraphFont"/>
    <w:link w:val="BodyTextIndent2"/>
    <w:uiPriority w:val="99"/>
    <w:semiHidden/>
    <w:locked/>
    <w:rsid w:val="00790DDB"/>
    <w:rPr>
      <w:rFonts w:eastAsia="Calibri"/>
      <w:color w:val="000000"/>
    </w:rPr>
  </w:style>
  <w:style w:type="paragraph" w:styleId="BodyTextIndent3">
    <w:name w:val="Body Text Indent 3"/>
    <w:basedOn w:val="Normal"/>
    <w:link w:val="BodyTextIndent3Char"/>
    <w:uiPriority w:val="99"/>
    <w:semiHidden/>
    <w:locked/>
    <w:rsid w:val="00790DDB"/>
    <w:pPr>
      <w:ind w:left="283"/>
    </w:pPr>
    <w:rPr>
      <w:sz w:val="16"/>
      <w:szCs w:val="16"/>
    </w:rPr>
  </w:style>
  <w:style w:type="character" w:customStyle="1" w:styleId="BodyTextIndent3Char">
    <w:name w:val="Body Text Indent 3 Char"/>
    <w:basedOn w:val="DefaultParagraphFont"/>
    <w:link w:val="BodyTextIndent3"/>
    <w:uiPriority w:val="99"/>
    <w:semiHidden/>
    <w:locked/>
    <w:rsid w:val="00790DDB"/>
    <w:rPr>
      <w:rFonts w:eastAsia="Calibri"/>
      <w:color w:val="000000"/>
      <w:sz w:val="16"/>
      <w:szCs w:val="16"/>
    </w:rPr>
  </w:style>
  <w:style w:type="paragraph" w:styleId="Closing">
    <w:name w:val="Closing"/>
    <w:basedOn w:val="Normal"/>
    <w:link w:val="ClosingChar"/>
    <w:uiPriority w:val="99"/>
    <w:semiHidden/>
    <w:locked/>
    <w:rsid w:val="00790DDB"/>
    <w:pPr>
      <w:ind w:left="4252"/>
    </w:pPr>
  </w:style>
  <w:style w:type="character" w:customStyle="1" w:styleId="ClosingChar">
    <w:name w:val="Closing Char"/>
    <w:basedOn w:val="DefaultParagraphFont"/>
    <w:link w:val="Closing"/>
    <w:uiPriority w:val="99"/>
    <w:semiHidden/>
    <w:locked/>
    <w:rsid w:val="00790DDB"/>
    <w:rPr>
      <w:rFonts w:eastAsia="Calibri"/>
      <w:color w:val="000000"/>
    </w:rPr>
  </w:style>
  <w:style w:type="paragraph" w:styleId="Date">
    <w:name w:val="Date"/>
    <w:basedOn w:val="Normal"/>
    <w:next w:val="Normal"/>
    <w:link w:val="DateChar"/>
    <w:uiPriority w:val="99"/>
    <w:semiHidden/>
    <w:locked/>
    <w:rsid w:val="00790DDB"/>
  </w:style>
  <w:style w:type="character" w:customStyle="1" w:styleId="DateChar">
    <w:name w:val="Date Char"/>
    <w:basedOn w:val="DefaultParagraphFont"/>
    <w:link w:val="Date"/>
    <w:uiPriority w:val="99"/>
    <w:semiHidden/>
    <w:locked/>
    <w:rsid w:val="00790DDB"/>
    <w:rPr>
      <w:rFonts w:eastAsia="Calibri"/>
      <w:color w:val="000000"/>
    </w:rPr>
  </w:style>
  <w:style w:type="paragraph" w:styleId="E-mailSignature">
    <w:name w:val="E-mail Signature"/>
    <w:basedOn w:val="Normal"/>
    <w:link w:val="E-mailSignatureChar"/>
    <w:uiPriority w:val="99"/>
    <w:semiHidden/>
    <w:locked/>
    <w:rsid w:val="00790DDB"/>
  </w:style>
  <w:style w:type="character" w:customStyle="1" w:styleId="E-mailSignatureChar">
    <w:name w:val="E-mail Signature Char"/>
    <w:basedOn w:val="DefaultParagraphFont"/>
    <w:link w:val="E-mailSignature"/>
    <w:uiPriority w:val="99"/>
    <w:semiHidden/>
    <w:locked/>
    <w:rsid w:val="00790DDB"/>
    <w:rPr>
      <w:rFonts w:eastAsia="Calibri"/>
      <w:color w:val="000000"/>
    </w:rPr>
  </w:style>
  <w:style w:type="character" w:styleId="Emphasis">
    <w:name w:val="Emphasis"/>
    <w:basedOn w:val="DefaultParagraphFont"/>
    <w:uiPriority w:val="99"/>
    <w:semiHidden/>
    <w:locked/>
    <w:rsid w:val="00790DDB"/>
    <w:rPr>
      <w:rFonts w:cs="Times New Roman"/>
      <w:i/>
      <w:iCs/>
    </w:rPr>
  </w:style>
  <w:style w:type="paragraph" w:styleId="EnvelopeAddress">
    <w:name w:val="envelope address"/>
    <w:basedOn w:val="Normal"/>
    <w:uiPriority w:val="99"/>
    <w:semiHidden/>
    <w:locked/>
    <w:rsid w:val="00790DDB"/>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790DDB"/>
    <w:rPr>
      <w:rFonts w:ascii="Arial" w:hAnsi="Arial" w:cs="Arial"/>
      <w:sz w:val="20"/>
      <w:szCs w:val="20"/>
    </w:rPr>
  </w:style>
  <w:style w:type="character" w:styleId="FollowedHyperlink">
    <w:name w:val="FollowedHyperlink"/>
    <w:basedOn w:val="DefaultParagraphFont"/>
    <w:uiPriority w:val="99"/>
    <w:semiHidden/>
    <w:locked/>
    <w:rsid w:val="00790DDB"/>
    <w:rPr>
      <w:rFonts w:cs="Times New Roman"/>
      <w:color w:val="auto"/>
      <w:u w:val="none"/>
    </w:rPr>
  </w:style>
  <w:style w:type="character" w:styleId="FootnoteReference">
    <w:name w:val="footnote reference"/>
    <w:basedOn w:val="DefaultParagraphFont"/>
    <w:uiPriority w:val="15"/>
    <w:locked/>
    <w:rsid w:val="00790DDB"/>
    <w:rPr>
      <w:rFonts w:cs="Times New Roman"/>
      <w:vertAlign w:val="superscript"/>
    </w:rPr>
  </w:style>
  <w:style w:type="character" w:styleId="HTMLAcronym">
    <w:name w:val="HTML Acronym"/>
    <w:basedOn w:val="DefaultParagraphFont"/>
    <w:uiPriority w:val="99"/>
    <w:semiHidden/>
    <w:locked/>
    <w:rsid w:val="00790DDB"/>
    <w:rPr>
      <w:rFonts w:cs="Times New Roman"/>
    </w:rPr>
  </w:style>
  <w:style w:type="paragraph" w:styleId="HTMLAddress">
    <w:name w:val="HTML Address"/>
    <w:basedOn w:val="Normal"/>
    <w:link w:val="HTMLAddressChar"/>
    <w:uiPriority w:val="99"/>
    <w:semiHidden/>
    <w:locked/>
    <w:rsid w:val="00790DDB"/>
    <w:rPr>
      <w:i/>
      <w:iCs/>
    </w:rPr>
  </w:style>
  <w:style w:type="character" w:customStyle="1" w:styleId="HTMLAddressChar">
    <w:name w:val="HTML Address Char"/>
    <w:basedOn w:val="DefaultParagraphFont"/>
    <w:link w:val="HTMLAddress"/>
    <w:uiPriority w:val="99"/>
    <w:semiHidden/>
    <w:locked/>
    <w:rsid w:val="00790DDB"/>
    <w:rPr>
      <w:rFonts w:eastAsia="Calibri"/>
      <w:i/>
      <w:iCs/>
      <w:color w:val="000000"/>
    </w:rPr>
  </w:style>
  <w:style w:type="character" w:styleId="HTMLCite">
    <w:name w:val="HTML Cite"/>
    <w:basedOn w:val="DefaultParagraphFont"/>
    <w:uiPriority w:val="99"/>
    <w:semiHidden/>
    <w:locked/>
    <w:rsid w:val="00790DDB"/>
    <w:rPr>
      <w:rFonts w:cs="Times New Roman"/>
      <w:i/>
      <w:iCs/>
    </w:rPr>
  </w:style>
  <w:style w:type="character" w:styleId="HTMLCode">
    <w:name w:val="HTML Code"/>
    <w:basedOn w:val="DefaultParagraphFont"/>
    <w:uiPriority w:val="99"/>
    <w:semiHidden/>
    <w:locked/>
    <w:rsid w:val="00790DDB"/>
    <w:rPr>
      <w:rFonts w:ascii="Courier New" w:hAnsi="Courier New" w:cs="Courier New"/>
      <w:sz w:val="20"/>
      <w:szCs w:val="20"/>
    </w:rPr>
  </w:style>
  <w:style w:type="character" w:styleId="HTMLDefinition">
    <w:name w:val="HTML Definition"/>
    <w:basedOn w:val="DefaultParagraphFont"/>
    <w:uiPriority w:val="99"/>
    <w:semiHidden/>
    <w:locked/>
    <w:rsid w:val="00790DDB"/>
    <w:rPr>
      <w:rFonts w:cs="Times New Roman"/>
      <w:i/>
      <w:iCs/>
    </w:rPr>
  </w:style>
  <w:style w:type="character" w:styleId="HTMLKeyboard">
    <w:name w:val="HTML Keyboard"/>
    <w:basedOn w:val="DefaultParagraphFont"/>
    <w:uiPriority w:val="99"/>
    <w:semiHidden/>
    <w:locked/>
    <w:rsid w:val="00790DDB"/>
    <w:rPr>
      <w:rFonts w:ascii="Courier New" w:hAnsi="Courier New" w:cs="Courier New"/>
      <w:sz w:val="20"/>
      <w:szCs w:val="20"/>
    </w:rPr>
  </w:style>
  <w:style w:type="paragraph" w:styleId="HTMLPreformatted">
    <w:name w:val="HTML Preformatted"/>
    <w:basedOn w:val="Normal"/>
    <w:link w:val="HTMLPreformattedChar"/>
    <w:uiPriority w:val="99"/>
    <w:semiHidden/>
    <w:locked/>
    <w:rsid w:val="00790DDB"/>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790DDB"/>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790DDB"/>
    <w:rPr>
      <w:rFonts w:ascii="Courier New" w:hAnsi="Courier New" w:cs="Courier New"/>
    </w:rPr>
  </w:style>
  <w:style w:type="character" w:styleId="HTMLTypewriter">
    <w:name w:val="HTML Typewriter"/>
    <w:basedOn w:val="DefaultParagraphFont"/>
    <w:uiPriority w:val="99"/>
    <w:semiHidden/>
    <w:locked/>
    <w:rsid w:val="00790DDB"/>
    <w:rPr>
      <w:rFonts w:ascii="Courier New" w:hAnsi="Courier New" w:cs="Courier New"/>
      <w:sz w:val="20"/>
      <w:szCs w:val="20"/>
    </w:rPr>
  </w:style>
  <w:style w:type="character" w:styleId="HTMLVariable">
    <w:name w:val="HTML Variable"/>
    <w:basedOn w:val="DefaultParagraphFont"/>
    <w:uiPriority w:val="99"/>
    <w:semiHidden/>
    <w:locked/>
    <w:rsid w:val="00790DDB"/>
    <w:rPr>
      <w:rFonts w:cs="Times New Roman"/>
      <w:i/>
      <w:iCs/>
    </w:rPr>
  </w:style>
  <w:style w:type="character" w:styleId="LineNumber">
    <w:name w:val="line number"/>
    <w:basedOn w:val="DefaultParagraphFont"/>
    <w:uiPriority w:val="99"/>
    <w:semiHidden/>
    <w:locked/>
    <w:rsid w:val="00790DDB"/>
    <w:rPr>
      <w:rFonts w:cs="Times New Roman"/>
    </w:rPr>
  </w:style>
  <w:style w:type="paragraph" w:styleId="List">
    <w:name w:val="List"/>
    <w:basedOn w:val="Normal"/>
    <w:uiPriority w:val="99"/>
    <w:semiHidden/>
    <w:locked/>
    <w:rsid w:val="00790DDB"/>
    <w:pPr>
      <w:ind w:left="283" w:hanging="283"/>
    </w:pPr>
  </w:style>
  <w:style w:type="paragraph" w:styleId="List2">
    <w:name w:val="List 2"/>
    <w:basedOn w:val="Normal"/>
    <w:uiPriority w:val="99"/>
    <w:semiHidden/>
    <w:locked/>
    <w:rsid w:val="00790DDB"/>
    <w:pPr>
      <w:ind w:left="566" w:hanging="283"/>
    </w:pPr>
  </w:style>
  <w:style w:type="paragraph" w:styleId="List3">
    <w:name w:val="List 3"/>
    <w:basedOn w:val="Normal"/>
    <w:uiPriority w:val="99"/>
    <w:semiHidden/>
    <w:locked/>
    <w:rsid w:val="00790DDB"/>
    <w:pPr>
      <w:ind w:left="849" w:hanging="283"/>
    </w:pPr>
  </w:style>
  <w:style w:type="paragraph" w:styleId="List4">
    <w:name w:val="List 4"/>
    <w:basedOn w:val="Normal"/>
    <w:uiPriority w:val="99"/>
    <w:semiHidden/>
    <w:locked/>
    <w:rsid w:val="00790DDB"/>
    <w:pPr>
      <w:ind w:left="1132" w:hanging="283"/>
    </w:pPr>
  </w:style>
  <w:style w:type="paragraph" w:styleId="List5">
    <w:name w:val="List 5"/>
    <w:basedOn w:val="Normal"/>
    <w:uiPriority w:val="99"/>
    <w:semiHidden/>
    <w:locked/>
    <w:rsid w:val="00790DDB"/>
    <w:pPr>
      <w:ind w:left="1415" w:hanging="283"/>
    </w:pPr>
  </w:style>
  <w:style w:type="paragraph" w:styleId="ListBullet4">
    <w:name w:val="List Bullet 4"/>
    <w:basedOn w:val="Normal"/>
    <w:uiPriority w:val="99"/>
    <w:semiHidden/>
    <w:locked/>
    <w:rsid w:val="00790DDB"/>
    <w:pPr>
      <w:numPr>
        <w:numId w:val="10"/>
      </w:numPr>
      <w:tabs>
        <w:tab w:val="num" w:pos="1209"/>
      </w:tabs>
    </w:pPr>
  </w:style>
  <w:style w:type="paragraph" w:styleId="ListBullet5">
    <w:name w:val="List Bullet 5"/>
    <w:basedOn w:val="Normal"/>
    <w:uiPriority w:val="99"/>
    <w:semiHidden/>
    <w:locked/>
    <w:rsid w:val="00790DDB"/>
    <w:pPr>
      <w:numPr>
        <w:numId w:val="11"/>
      </w:numPr>
      <w:tabs>
        <w:tab w:val="num" w:pos="926"/>
        <w:tab w:val="num" w:pos="1492"/>
      </w:tabs>
    </w:pPr>
  </w:style>
  <w:style w:type="paragraph" w:styleId="ListContinue">
    <w:name w:val="List Continue"/>
    <w:basedOn w:val="Normal"/>
    <w:uiPriority w:val="99"/>
    <w:semiHidden/>
    <w:locked/>
    <w:rsid w:val="00790DDB"/>
    <w:pPr>
      <w:ind w:left="283"/>
    </w:pPr>
  </w:style>
  <w:style w:type="paragraph" w:styleId="ListContinue2">
    <w:name w:val="List Continue 2"/>
    <w:basedOn w:val="Normal"/>
    <w:uiPriority w:val="99"/>
    <w:semiHidden/>
    <w:locked/>
    <w:rsid w:val="00790DDB"/>
    <w:pPr>
      <w:ind w:left="566"/>
    </w:pPr>
  </w:style>
  <w:style w:type="paragraph" w:styleId="ListContinue3">
    <w:name w:val="List Continue 3"/>
    <w:basedOn w:val="Normal"/>
    <w:uiPriority w:val="99"/>
    <w:semiHidden/>
    <w:locked/>
    <w:rsid w:val="00790DDB"/>
    <w:pPr>
      <w:ind w:left="849"/>
    </w:pPr>
  </w:style>
  <w:style w:type="paragraph" w:styleId="ListContinue4">
    <w:name w:val="List Continue 4"/>
    <w:basedOn w:val="Normal"/>
    <w:uiPriority w:val="99"/>
    <w:semiHidden/>
    <w:locked/>
    <w:rsid w:val="00790DDB"/>
    <w:pPr>
      <w:ind w:left="1132"/>
    </w:pPr>
  </w:style>
  <w:style w:type="paragraph" w:styleId="ListContinue5">
    <w:name w:val="List Continue 5"/>
    <w:basedOn w:val="Normal"/>
    <w:uiPriority w:val="99"/>
    <w:semiHidden/>
    <w:locked/>
    <w:rsid w:val="00790DDB"/>
    <w:pPr>
      <w:ind w:left="1415"/>
    </w:pPr>
  </w:style>
  <w:style w:type="paragraph" w:styleId="ListNumber3">
    <w:name w:val="List Number 3"/>
    <w:basedOn w:val="ListNumber2"/>
    <w:uiPriority w:val="2"/>
    <w:locked/>
    <w:rsid w:val="00D55E60"/>
    <w:pPr>
      <w:numPr>
        <w:ilvl w:val="2"/>
      </w:numPr>
      <w:ind w:left="1077"/>
    </w:pPr>
  </w:style>
  <w:style w:type="paragraph" w:styleId="ListNumber4">
    <w:name w:val="List Number 4"/>
    <w:basedOn w:val="Normal"/>
    <w:uiPriority w:val="99"/>
    <w:semiHidden/>
    <w:locked/>
    <w:rsid w:val="00790DDB"/>
    <w:pPr>
      <w:numPr>
        <w:numId w:val="13"/>
      </w:numPr>
    </w:pPr>
  </w:style>
  <w:style w:type="paragraph" w:styleId="ListNumber5">
    <w:name w:val="List Number 5"/>
    <w:basedOn w:val="Normal"/>
    <w:uiPriority w:val="99"/>
    <w:semiHidden/>
    <w:locked/>
    <w:rsid w:val="00790DDB"/>
    <w:pPr>
      <w:numPr>
        <w:numId w:val="14"/>
      </w:numPr>
    </w:pPr>
  </w:style>
  <w:style w:type="paragraph" w:styleId="MessageHeader">
    <w:name w:val="Message Header"/>
    <w:basedOn w:val="Normal"/>
    <w:link w:val="MessageHeaderChar"/>
    <w:uiPriority w:val="99"/>
    <w:semiHidden/>
    <w:locked/>
    <w:rsid w:val="00790DDB"/>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790DDB"/>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790DDB"/>
    <w:rPr>
      <w:rFonts w:ascii="Times New Roman" w:hAnsi="Times New Roman"/>
      <w:sz w:val="24"/>
      <w:szCs w:val="24"/>
    </w:rPr>
  </w:style>
  <w:style w:type="paragraph" w:styleId="NormalIndent">
    <w:name w:val="Normal Indent"/>
    <w:basedOn w:val="Normal"/>
    <w:uiPriority w:val="99"/>
    <w:semiHidden/>
    <w:locked/>
    <w:rsid w:val="00790DDB"/>
    <w:pPr>
      <w:ind w:left="720"/>
    </w:pPr>
  </w:style>
  <w:style w:type="paragraph" w:styleId="NoteHeading">
    <w:name w:val="Note Heading"/>
    <w:basedOn w:val="Normal"/>
    <w:next w:val="Normal"/>
    <w:link w:val="NoteHeadingChar"/>
    <w:uiPriority w:val="99"/>
    <w:semiHidden/>
    <w:locked/>
    <w:rsid w:val="00790DDB"/>
  </w:style>
  <w:style w:type="character" w:customStyle="1" w:styleId="NoteHeadingChar">
    <w:name w:val="Note Heading Char"/>
    <w:basedOn w:val="DefaultParagraphFont"/>
    <w:link w:val="NoteHeading"/>
    <w:uiPriority w:val="99"/>
    <w:semiHidden/>
    <w:locked/>
    <w:rsid w:val="00790DDB"/>
    <w:rPr>
      <w:rFonts w:eastAsia="Calibri"/>
      <w:color w:val="000000"/>
    </w:rPr>
  </w:style>
  <w:style w:type="paragraph" w:styleId="PlainText">
    <w:name w:val="Plain Text"/>
    <w:basedOn w:val="Normal"/>
    <w:link w:val="PlainTextChar"/>
    <w:uiPriority w:val="99"/>
    <w:semiHidden/>
    <w:locked/>
    <w:rsid w:val="00790DDB"/>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790DDB"/>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790DDB"/>
  </w:style>
  <w:style w:type="character" w:customStyle="1" w:styleId="SalutationChar">
    <w:name w:val="Salutation Char"/>
    <w:basedOn w:val="DefaultParagraphFont"/>
    <w:link w:val="Salutation"/>
    <w:uiPriority w:val="99"/>
    <w:semiHidden/>
    <w:locked/>
    <w:rsid w:val="00790DDB"/>
    <w:rPr>
      <w:rFonts w:eastAsia="Calibri"/>
      <w:color w:val="000000"/>
    </w:rPr>
  </w:style>
  <w:style w:type="paragraph" w:styleId="Signature">
    <w:name w:val="Signature"/>
    <w:basedOn w:val="Normal"/>
    <w:link w:val="SignatureChar"/>
    <w:uiPriority w:val="99"/>
    <w:semiHidden/>
    <w:locked/>
    <w:rsid w:val="00790DDB"/>
    <w:pPr>
      <w:ind w:left="4252"/>
    </w:pPr>
  </w:style>
  <w:style w:type="character" w:customStyle="1" w:styleId="SignatureChar">
    <w:name w:val="Signature Char"/>
    <w:basedOn w:val="DefaultParagraphFont"/>
    <w:link w:val="Signature"/>
    <w:uiPriority w:val="99"/>
    <w:semiHidden/>
    <w:locked/>
    <w:rsid w:val="00790DDB"/>
    <w:rPr>
      <w:rFonts w:eastAsia="Calibri"/>
      <w:color w:val="000000"/>
    </w:rPr>
  </w:style>
  <w:style w:type="character" w:styleId="Strong">
    <w:name w:val="Strong"/>
    <w:basedOn w:val="DefaultParagraphFont"/>
    <w:uiPriority w:val="22"/>
    <w:qFormat/>
    <w:locked/>
    <w:rsid w:val="00790DDB"/>
    <w:rPr>
      <w:rFonts w:cs="Times New Roman"/>
      <w:b/>
      <w:bCs/>
    </w:rPr>
  </w:style>
  <w:style w:type="table" w:styleId="Table3Deffects1">
    <w:name w:val="Table 3D effects 1"/>
    <w:basedOn w:val="TableNormal"/>
    <w:uiPriority w:val="99"/>
    <w:locked/>
    <w:rsid w:val="00790DDB"/>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790DDB"/>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790DDB"/>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790DDB"/>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790DDB"/>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790DDB"/>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790DDB"/>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790DDB"/>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790DDB"/>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790DDB"/>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790DDB"/>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790DDB"/>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790DDB"/>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790DDB"/>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790DDB"/>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790DDB"/>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790DDB"/>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790DD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790DDB"/>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790DDB"/>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790DDB"/>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790DDB"/>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790DDB"/>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790DDB"/>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790DDB"/>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790DDB"/>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790DD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790DDB"/>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790DDB"/>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790DDB"/>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790DD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790DDB"/>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790DDB"/>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790DDB"/>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790DDB"/>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790DDB"/>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790DDB"/>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790DDB"/>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790DDB"/>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6"/>
    <w:qFormat/>
    <w:rsid w:val="00790DDB"/>
    <w:pPr>
      <w:spacing w:before="180" w:after="60"/>
    </w:pPr>
    <w:rPr>
      <w:rFonts w:eastAsia="Times New Roman"/>
      <w:bCs/>
      <w:color w:val="001D34" w:themeColor="accent2"/>
      <w:sz w:val="20"/>
      <w:szCs w:val="20"/>
      <w:lang w:eastAsia="en-US"/>
    </w:rPr>
  </w:style>
  <w:style w:type="paragraph" w:customStyle="1" w:styleId="BusinessUnitName">
    <w:name w:val="Business Unit Name"/>
    <w:uiPriority w:val="16"/>
    <w:rsid w:val="00790DDB"/>
    <w:rPr>
      <w:b/>
      <w:caps/>
      <w:noProof/>
      <w:color w:val="FFFFFF"/>
      <w:spacing w:val="16"/>
      <w:szCs w:val="24"/>
      <w:lang w:eastAsia="en-US"/>
    </w:rPr>
  </w:style>
  <w:style w:type="character" w:styleId="CommentReference">
    <w:name w:val="annotation reference"/>
    <w:basedOn w:val="DefaultParagraphFont"/>
    <w:uiPriority w:val="99"/>
    <w:semiHidden/>
    <w:locked/>
    <w:rsid w:val="00790DDB"/>
    <w:rPr>
      <w:rFonts w:cs="Times New Roman"/>
      <w:sz w:val="16"/>
      <w:szCs w:val="16"/>
    </w:rPr>
  </w:style>
  <w:style w:type="paragraph" w:styleId="CommentText">
    <w:name w:val="annotation text"/>
    <w:basedOn w:val="Normal"/>
    <w:link w:val="CommentTextChar"/>
    <w:uiPriority w:val="99"/>
    <w:locked/>
    <w:rsid w:val="00790DDB"/>
    <w:rPr>
      <w:sz w:val="20"/>
      <w:szCs w:val="20"/>
    </w:rPr>
  </w:style>
  <w:style w:type="character" w:customStyle="1" w:styleId="CommentTextChar">
    <w:name w:val="Comment Text Char"/>
    <w:basedOn w:val="DefaultParagraphFont"/>
    <w:link w:val="CommentText"/>
    <w:uiPriority w:val="99"/>
    <w:rsid w:val="00790DDB"/>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790DDB"/>
    <w:rPr>
      <w:b/>
      <w:bCs/>
    </w:rPr>
  </w:style>
  <w:style w:type="character" w:customStyle="1" w:styleId="CommentSubjectChar">
    <w:name w:val="Comment Subject Char"/>
    <w:basedOn w:val="CommentTextChar"/>
    <w:link w:val="CommentSubject"/>
    <w:uiPriority w:val="99"/>
    <w:semiHidden/>
    <w:rsid w:val="00790DDB"/>
    <w:rPr>
      <w:rFonts w:eastAsia="Calibri"/>
      <w:b/>
      <w:bCs/>
      <w:color w:val="000000"/>
      <w:sz w:val="20"/>
      <w:szCs w:val="20"/>
    </w:rPr>
  </w:style>
  <w:style w:type="paragraph" w:styleId="DocumentMap">
    <w:name w:val="Document Map"/>
    <w:basedOn w:val="Normal"/>
    <w:link w:val="DocumentMapChar"/>
    <w:uiPriority w:val="99"/>
    <w:semiHidden/>
    <w:locked/>
    <w:rsid w:val="00790DDB"/>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790DDB"/>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790DDB"/>
    <w:rPr>
      <w:rFonts w:cs="Times New Roman"/>
      <w:vertAlign w:val="superscript"/>
    </w:rPr>
  </w:style>
  <w:style w:type="paragraph" w:styleId="EndnoteText">
    <w:name w:val="endnote text"/>
    <w:basedOn w:val="Normal"/>
    <w:link w:val="EndnoteTextChar"/>
    <w:uiPriority w:val="99"/>
    <w:semiHidden/>
    <w:locked/>
    <w:rsid w:val="00790DDB"/>
    <w:rPr>
      <w:sz w:val="20"/>
      <w:szCs w:val="20"/>
    </w:rPr>
  </w:style>
  <w:style w:type="character" w:customStyle="1" w:styleId="EndnoteTextChar">
    <w:name w:val="Endnote Text Char"/>
    <w:basedOn w:val="DefaultParagraphFont"/>
    <w:link w:val="EndnoteText"/>
    <w:uiPriority w:val="99"/>
    <w:semiHidden/>
    <w:rsid w:val="00790DDB"/>
    <w:rPr>
      <w:rFonts w:eastAsia="Calibri"/>
      <w:color w:val="000000"/>
      <w:sz w:val="20"/>
      <w:szCs w:val="20"/>
    </w:rPr>
  </w:style>
  <w:style w:type="paragraph" w:styleId="Index1">
    <w:name w:val="index 1"/>
    <w:basedOn w:val="Normal"/>
    <w:next w:val="Normal"/>
    <w:autoRedefine/>
    <w:uiPriority w:val="99"/>
    <w:semiHidden/>
    <w:locked/>
    <w:rsid w:val="00790DDB"/>
    <w:pPr>
      <w:ind w:left="220" w:hanging="220"/>
    </w:pPr>
  </w:style>
  <w:style w:type="paragraph" w:styleId="Index2">
    <w:name w:val="index 2"/>
    <w:basedOn w:val="Normal"/>
    <w:next w:val="Normal"/>
    <w:autoRedefine/>
    <w:uiPriority w:val="99"/>
    <w:semiHidden/>
    <w:locked/>
    <w:rsid w:val="00790DDB"/>
    <w:pPr>
      <w:ind w:left="440" w:hanging="220"/>
    </w:pPr>
  </w:style>
  <w:style w:type="paragraph" w:styleId="Index3">
    <w:name w:val="index 3"/>
    <w:basedOn w:val="Normal"/>
    <w:next w:val="Normal"/>
    <w:autoRedefine/>
    <w:uiPriority w:val="99"/>
    <w:semiHidden/>
    <w:locked/>
    <w:rsid w:val="00790DDB"/>
    <w:pPr>
      <w:ind w:left="660" w:hanging="220"/>
    </w:pPr>
  </w:style>
  <w:style w:type="paragraph" w:styleId="Index4">
    <w:name w:val="index 4"/>
    <w:basedOn w:val="Normal"/>
    <w:next w:val="Normal"/>
    <w:autoRedefine/>
    <w:uiPriority w:val="99"/>
    <w:semiHidden/>
    <w:locked/>
    <w:rsid w:val="00790DDB"/>
    <w:pPr>
      <w:ind w:left="880" w:hanging="220"/>
    </w:pPr>
  </w:style>
  <w:style w:type="paragraph" w:styleId="Index5">
    <w:name w:val="index 5"/>
    <w:basedOn w:val="Normal"/>
    <w:next w:val="Normal"/>
    <w:autoRedefine/>
    <w:uiPriority w:val="99"/>
    <w:semiHidden/>
    <w:locked/>
    <w:rsid w:val="00790DDB"/>
    <w:pPr>
      <w:ind w:left="1100" w:hanging="220"/>
    </w:pPr>
  </w:style>
  <w:style w:type="paragraph" w:styleId="Index6">
    <w:name w:val="index 6"/>
    <w:basedOn w:val="Normal"/>
    <w:next w:val="Normal"/>
    <w:autoRedefine/>
    <w:uiPriority w:val="99"/>
    <w:semiHidden/>
    <w:locked/>
    <w:rsid w:val="00790DDB"/>
    <w:pPr>
      <w:ind w:left="1320" w:hanging="220"/>
    </w:pPr>
  </w:style>
  <w:style w:type="paragraph" w:styleId="Index7">
    <w:name w:val="index 7"/>
    <w:basedOn w:val="Normal"/>
    <w:next w:val="Normal"/>
    <w:autoRedefine/>
    <w:uiPriority w:val="99"/>
    <w:semiHidden/>
    <w:locked/>
    <w:rsid w:val="00790DDB"/>
    <w:pPr>
      <w:ind w:left="1540" w:hanging="220"/>
    </w:pPr>
  </w:style>
  <w:style w:type="paragraph" w:styleId="Index8">
    <w:name w:val="index 8"/>
    <w:basedOn w:val="Normal"/>
    <w:next w:val="Normal"/>
    <w:autoRedefine/>
    <w:uiPriority w:val="99"/>
    <w:semiHidden/>
    <w:locked/>
    <w:rsid w:val="00790DDB"/>
    <w:pPr>
      <w:ind w:left="1760" w:hanging="220"/>
    </w:pPr>
  </w:style>
  <w:style w:type="paragraph" w:styleId="Index9">
    <w:name w:val="index 9"/>
    <w:basedOn w:val="Normal"/>
    <w:next w:val="Normal"/>
    <w:autoRedefine/>
    <w:uiPriority w:val="99"/>
    <w:semiHidden/>
    <w:locked/>
    <w:rsid w:val="00790DDB"/>
    <w:pPr>
      <w:ind w:left="1980" w:hanging="220"/>
    </w:pPr>
  </w:style>
  <w:style w:type="paragraph" w:styleId="IndexHeading">
    <w:name w:val="index heading"/>
    <w:basedOn w:val="Normal"/>
    <w:next w:val="Index1"/>
    <w:uiPriority w:val="99"/>
    <w:semiHidden/>
    <w:locked/>
    <w:rsid w:val="00790DDB"/>
    <w:rPr>
      <w:rFonts w:ascii="Arial" w:hAnsi="Arial" w:cs="Arial"/>
      <w:b/>
      <w:bCs/>
    </w:rPr>
  </w:style>
  <w:style w:type="paragraph" w:styleId="MacroText">
    <w:name w:val="macro"/>
    <w:link w:val="MacroTextChar"/>
    <w:uiPriority w:val="99"/>
    <w:semiHidden/>
    <w:locked/>
    <w:rsid w:val="00B613BF"/>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B613BF"/>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790DDB"/>
    <w:pPr>
      <w:ind w:left="220" w:hanging="220"/>
    </w:pPr>
  </w:style>
  <w:style w:type="paragraph" w:styleId="TableofFigures">
    <w:name w:val="table of figures"/>
    <w:basedOn w:val="BodyText"/>
    <w:next w:val="BodyText"/>
    <w:uiPriority w:val="99"/>
    <w:locked/>
    <w:rsid w:val="007E463F"/>
    <w:pPr>
      <w:tabs>
        <w:tab w:val="right" w:leader="dot" w:pos="9554"/>
      </w:tabs>
      <w:spacing w:before="0" w:after="60"/>
      <w:ind w:left="284" w:right="567" w:hanging="284"/>
    </w:pPr>
    <w:rPr>
      <w:noProof/>
      <w:sz w:val="20"/>
      <w:szCs w:val="20"/>
    </w:rPr>
  </w:style>
  <w:style w:type="paragraph" w:styleId="TOAHeading">
    <w:name w:val="toa heading"/>
    <w:basedOn w:val="Normal"/>
    <w:next w:val="Normal"/>
    <w:uiPriority w:val="99"/>
    <w:semiHidden/>
    <w:locked/>
    <w:rsid w:val="00790DDB"/>
    <w:pPr>
      <w:spacing w:before="120"/>
    </w:pPr>
    <w:rPr>
      <w:rFonts w:ascii="Arial" w:hAnsi="Arial" w:cs="Arial"/>
      <w:b/>
      <w:bCs/>
      <w:sz w:val="24"/>
      <w:szCs w:val="24"/>
    </w:rPr>
  </w:style>
  <w:style w:type="paragraph" w:styleId="TOC5">
    <w:name w:val="toc 5"/>
    <w:basedOn w:val="Normal"/>
    <w:next w:val="Normal"/>
    <w:autoRedefine/>
    <w:uiPriority w:val="99"/>
    <w:semiHidden/>
    <w:rsid w:val="00790DDB"/>
    <w:pPr>
      <w:ind w:left="880"/>
    </w:pPr>
  </w:style>
  <w:style w:type="paragraph" w:styleId="TOC6">
    <w:name w:val="toc 6"/>
    <w:basedOn w:val="Normal"/>
    <w:next w:val="Normal"/>
    <w:autoRedefine/>
    <w:uiPriority w:val="99"/>
    <w:semiHidden/>
    <w:rsid w:val="00790DDB"/>
    <w:pPr>
      <w:ind w:left="1100"/>
    </w:pPr>
  </w:style>
  <w:style w:type="paragraph" w:styleId="TOC7">
    <w:name w:val="toc 7"/>
    <w:basedOn w:val="Normal"/>
    <w:next w:val="Normal"/>
    <w:autoRedefine/>
    <w:uiPriority w:val="99"/>
    <w:semiHidden/>
    <w:rsid w:val="00790DDB"/>
    <w:pPr>
      <w:ind w:left="1320"/>
    </w:pPr>
  </w:style>
  <w:style w:type="paragraph" w:styleId="TOC8">
    <w:name w:val="toc 8"/>
    <w:basedOn w:val="Normal"/>
    <w:next w:val="Normal"/>
    <w:autoRedefine/>
    <w:uiPriority w:val="99"/>
    <w:semiHidden/>
    <w:rsid w:val="00790DDB"/>
    <w:pPr>
      <w:ind w:left="1540"/>
    </w:pPr>
  </w:style>
  <w:style w:type="numbering" w:customStyle="1" w:styleId="TableBullets">
    <w:name w:val="TableBullets"/>
    <w:uiPriority w:val="99"/>
    <w:rsid w:val="00790DDB"/>
    <w:pPr>
      <w:numPr>
        <w:numId w:val="17"/>
      </w:numPr>
    </w:pPr>
  </w:style>
  <w:style w:type="numbering" w:customStyle="1" w:styleId="Sources">
    <w:name w:val="Sources"/>
    <w:rsid w:val="00790DDB"/>
    <w:pPr>
      <w:numPr>
        <w:numId w:val="16"/>
      </w:numPr>
    </w:pPr>
  </w:style>
  <w:style w:type="numbering" w:styleId="1ai">
    <w:name w:val="Outline List 1"/>
    <w:basedOn w:val="NoList"/>
    <w:uiPriority w:val="99"/>
    <w:semiHidden/>
    <w:unhideWhenUsed/>
    <w:locked/>
    <w:rsid w:val="00790DDB"/>
    <w:pPr>
      <w:numPr>
        <w:numId w:val="2"/>
      </w:numPr>
    </w:pPr>
  </w:style>
  <w:style w:type="numbering" w:styleId="111111">
    <w:name w:val="Outline List 2"/>
    <w:basedOn w:val="NoList"/>
    <w:uiPriority w:val="99"/>
    <w:semiHidden/>
    <w:unhideWhenUsed/>
    <w:locked/>
    <w:rsid w:val="00790DDB"/>
    <w:pPr>
      <w:numPr>
        <w:numId w:val="1"/>
      </w:numPr>
    </w:pPr>
  </w:style>
  <w:style w:type="numbering" w:customStyle="1" w:styleId="Bullets">
    <w:name w:val="Bullets"/>
    <w:rsid w:val="00790DDB"/>
    <w:pPr>
      <w:numPr>
        <w:numId w:val="6"/>
      </w:numPr>
    </w:pPr>
  </w:style>
  <w:style w:type="numbering" w:customStyle="1" w:styleId="Numbers">
    <w:name w:val="Numbers"/>
    <w:rsid w:val="00790DDB"/>
    <w:pPr>
      <w:numPr>
        <w:numId w:val="15"/>
      </w:numPr>
    </w:pPr>
  </w:style>
  <w:style w:type="numbering" w:styleId="ArticleSection">
    <w:name w:val="Outline List 3"/>
    <w:basedOn w:val="NoList"/>
    <w:uiPriority w:val="99"/>
    <w:semiHidden/>
    <w:unhideWhenUsed/>
    <w:locked/>
    <w:rsid w:val="00790DDB"/>
    <w:pPr>
      <w:numPr>
        <w:numId w:val="4"/>
      </w:numPr>
    </w:pPr>
  </w:style>
  <w:style w:type="paragraph" w:customStyle="1" w:styleId="AppendixHeading1base">
    <w:name w:val="Appendix Heading 1 base"/>
    <w:uiPriority w:val="20"/>
    <w:semiHidden/>
    <w:qFormat/>
    <w:rsid w:val="00790DDB"/>
    <w:pPr>
      <w:keepNext/>
      <w:pageBreakBefore/>
      <w:numPr>
        <w:numId w:val="7"/>
      </w:numPr>
      <w:tabs>
        <w:tab w:val="left" w:pos="2268"/>
      </w:tabs>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4"/>
    <w:qFormat/>
    <w:rsid w:val="001F1AA4"/>
    <w:pPr>
      <w:numPr>
        <w:numId w:val="7"/>
      </w:numPr>
      <w:ind w:left="993" w:hanging="993"/>
    </w:pPr>
  </w:style>
  <w:style w:type="paragraph" w:customStyle="1" w:styleId="AppendixHeading3">
    <w:name w:val="Appendix Heading 3"/>
    <w:basedOn w:val="Heading3"/>
    <w:next w:val="BodyText"/>
    <w:uiPriority w:val="14"/>
    <w:qFormat/>
    <w:rsid w:val="00790DDB"/>
    <w:pPr>
      <w:numPr>
        <w:numId w:val="7"/>
      </w:numPr>
    </w:pPr>
  </w:style>
  <w:style w:type="paragraph" w:customStyle="1" w:styleId="AppendixHeading4">
    <w:name w:val="Appendix Heading 4"/>
    <w:basedOn w:val="Heading4"/>
    <w:next w:val="BodyText"/>
    <w:uiPriority w:val="14"/>
    <w:qFormat/>
    <w:rsid w:val="00790DDB"/>
    <w:pPr>
      <w:outlineLvl w:val="2"/>
    </w:pPr>
  </w:style>
  <w:style w:type="paragraph" w:customStyle="1" w:styleId="Equation">
    <w:name w:val="Equation"/>
    <w:basedOn w:val="BodyText"/>
    <w:next w:val="BodyText"/>
    <w:uiPriority w:val="7"/>
    <w:qFormat/>
    <w:rsid w:val="00790DDB"/>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7"/>
    <w:qFormat/>
    <w:rsid w:val="00790DDB"/>
    <w:pPr>
      <w:ind w:left="567" w:hanging="567"/>
    </w:pPr>
  </w:style>
  <w:style w:type="paragraph" w:styleId="ListNumber2">
    <w:name w:val="List Number 2"/>
    <w:basedOn w:val="ListNumber"/>
    <w:uiPriority w:val="2"/>
    <w:qFormat/>
    <w:locked/>
    <w:rsid w:val="00790DDB"/>
    <w:pPr>
      <w:numPr>
        <w:ilvl w:val="1"/>
      </w:numPr>
    </w:pPr>
  </w:style>
  <w:style w:type="character" w:customStyle="1" w:styleId="Italics">
    <w:name w:val="Italics"/>
    <w:basedOn w:val="DefaultParagraphFont"/>
    <w:uiPriority w:val="73"/>
    <w:qFormat/>
    <w:rsid w:val="00790DDB"/>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old">
    <w:name w:val="Bold"/>
    <w:basedOn w:val="DefaultParagraphFont"/>
    <w:uiPriority w:val="3"/>
    <w:qFormat/>
    <w:rsid w:val="00790DDB"/>
    <w:rPr>
      <w:b/>
    </w:rPr>
  </w:style>
  <w:style w:type="paragraph" w:styleId="ListParagraph">
    <w:name w:val="List Paragraph"/>
    <w:basedOn w:val="Normal"/>
    <w:link w:val="ListParagraphChar"/>
    <w:uiPriority w:val="99"/>
    <w:qFormat/>
    <w:rsid w:val="00B613BF"/>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790DDB"/>
    <w:rPr>
      <w:b/>
      <w:bCs/>
      <w:i/>
      <w:iCs/>
      <w:color w:val="001D34" w:themeColor="accent2"/>
    </w:rPr>
  </w:style>
  <w:style w:type="character" w:styleId="SubtleEmphasis">
    <w:name w:val="Subtle Emphasis"/>
    <w:basedOn w:val="DefaultParagraphFont"/>
    <w:uiPriority w:val="99"/>
    <w:semiHidden/>
    <w:qFormat/>
    <w:rsid w:val="00790DDB"/>
    <w:rPr>
      <w:i/>
      <w:iCs/>
      <w:color w:val="595959" w:themeColor="text1" w:themeTint="A6"/>
    </w:rPr>
  </w:style>
  <w:style w:type="paragraph" w:styleId="IntenseQuote">
    <w:name w:val="Intense Quote"/>
    <w:basedOn w:val="Normal"/>
    <w:next w:val="Normal"/>
    <w:link w:val="IntenseQuoteChar"/>
    <w:uiPriority w:val="30"/>
    <w:semiHidden/>
    <w:qFormat/>
    <w:rsid w:val="00790DDB"/>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semiHidden/>
    <w:rsid w:val="00790DDB"/>
    <w:rPr>
      <w:rFonts w:eastAsia="Calibri"/>
      <w:b/>
      <w:bCs/>
      <w:i/>
      <w:iCs/>
      <w:color w:val="001D34" w:themeColor="accent2"/>
    </w:rPr>
  </w:style>
  <w:style w:type="paragraph" w:customStyle="1" w:styleId="Boxedheading">
    <w:name w:val="Boxed heading"/>
    <w:next w:val="Boxedtext"/>
    <w:uiPriority w:val="8"/>
    <w:qFormat/>
    <w:rsid w:val="00790DDB"/>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9D9D9" w:themeFill="background2" w:themeFillShade="D9"/>
      <w:spacing w:before="360" w:after="240"/>
      <w:ind w:left="227" w:right="227"/>
    </w:pPr>
    <w:rPr>
      <w:rFonts w:eastAsia="Calibri"/>
      <w:b/>
      <w:color w:val="000000"/>
      <w:sz w:val="28"/>
      <w:szCs w:val="28"/>
    </w:rPr>
  </w:style>
  <w:style w:type="paragraph" w:customStyle="1" w:styleId="Boxedtext">
    <w:name w:val="Boxed text"/>
    <w:uiPriority w:val="8"/>
    <w:qFormat/>
    <w:rsid w:val="00B4193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2" w:themeFillShade="F2"/>
      <w:spacing w:before="100" w:after="120" w:line="264" w:lineRule="auto"/>
      <w:ind w:left="227" w:right="227"/>
    </w:pPr>
    <w:rPr>
      <w:rFonts w:eastAsia="Calibri"/>
      <w:color w:val="000000"/>
    </w:rPr>
  </w:style>
  <w:style w:type="paragraph" w:customStyle="1" w:styleId="Boxedlistbullet">
    <w:name w:val="Boxed list bullet"/>
    <w:basedOn w:val="Boxedtext"/>
    <w:uiPriority w:val="8"/>
    <w:qFormat/>
    <w:rsid w:val="00790DDB"/>
    <w:pPr>
      <w:numPr>
        <w:numId w:val="18"/>
      </w:numPr>
      <w:spacing w:before="0" w:after="0"/>
    </w:pPr>
  </w:style>
  <w:style w:type="paragraph" w:customStyle="1" w:styleId="Boxedheadingblue">
    <w:name w:val="Boxed heading blue"/>
    <w:basedOn w:val="Boxedheading"/>
    <w:next w:val="Boxedtextblue"/>
    <w:uiPriority w:val="9"/>
    <w:qFormat/>
    <w:rsid w:val="00083AE1"/>
    <w:pPr>
      <w:shd w:val="clear" w:color="auto" w:fill="D0EAFF" w:themeFill="accent2" w:themeFillTint="1A"/>
    </w:pPr>
  </w:style>
  <w:style w:type="paragraph" w:customStyle="1" w:styleId="Boxedtextblue">
    <w:name w:val="Boxed text blue"/>
    <w:basedOn w:val="Boxedtext"/>
    <w:uiPriority w:val="9"/>
    <w:qFormat/>
    <w:rsid w:val="00083AE1"/>
    <w:pPr>
      <w:shd w:val="clear" w:color="auto" w:fill="D0EAFF" w:themeFill="accent2" w:themeFillTint="1A"/>
    </w:pPr>
  </w:style>
  <w:style w:type="paragraph" w:customStyle="1" w:styleId="Boxedlistbulletblue">
    <w:name w:val="Boxed list bullet blue"/>
    <w:basedOn w:val="Boxedlistbullet"/>
    <w:uiPriority w:val="9"/>
    <w:qFormat/>
    <w:rsid w:val="00B01080"/>
    <w:pPr>
      <w:shd w:val="clear" w:color="auto" w:fill="D0EAFF" w:themeFill="accent2" w:themeFillTint="1A"/>
    </w:pPr>
  </w:style>
  <w:style w:type="paragraph" w:customStyle="1" w:styleId="Boxedheadingpurple">
    <w:name w:val="Boxed heading purple"/>
    <w:basedOn w:val="Boxedheading"/>
    <w:next w:val="Boxedtextorange"/>
    <w:uiPriority w:val="10"/>
    <w:qFormat/>
    <w:rsid w:val="00790DDB"/>
    <w:pPr>
      <w:shd w:val="clear" w:color="auto" w:fill="CACBF5" w:themeFill="accent4" w:themeFillTint="33"/>
    </w:pPr>
  </w:style>
  <w:style w:type="paragraph" w:customStyle="1" w:styleId="Boxedtextorange">
    <w:name w:val="Boxed text orange"/>
    <w:basedOn w:val="Boxedtextgreen"/>
    <w:uiPriority w:val="12"/>
    <w:qFormat/>
    <w:rsid w:val="006A2787"/>
    <w:pPr>
      <w:shd w:val="clear" w:color="auto" w:fill="FAE4D3"/>
    </w:pPr>
  </w:style>
  <w:style w:type="paragraph" w:customStyle="1" w:styleId="Boxedlistbulletpurple">
    <w:name w:val="Boxed list bullet purple"/>
    <w:basedOn w:val="Boxedlistbullet"/>
    <w:uiPriority w:val="10"/>
    <w:qFormat/>
    <w:rsid w:val="00790DDB"/>
    <w:pPr>
      <w:shd w:val="clear" w:color="auto" w:fill="CACBF5" w:themeFill="accent4" w:themeFillTint="33"/>
    </w:pPr>
  </w:style>
  <w:style w:type="paragraph" w:customStyle="1" w:styleId="VersoPageText">
    <w:name w:val="Verso Page Text"/>
    <w:basedOn w:val="BodyText"/>
    <w:uiPriority w:val="16"/>
    <w:rsid w:val="00790DDB"/>
    <w:pPr>
      <w:spacing w:before="0" w:line="240" w:lineRule="auto"/>
    </w:pPr>
    <w:rPr>
      <w:rFonts w:asciiTheme="minorHAnsi" w:eastAsia="Times" w:hAnsiTheme="minorHAnsi" w:cs="Arial"/>
      <w:color w:val="auto"/>
      <w:sz w:val="18"/>
      <w:szCs w:val="20"/>
    </w:rPr>
  </w:style>
  <w:style w:type="table" w:styleId="ListTable3-Accent2">
    <w:name w:val="List Table 3 Accent 2"/>
    <w:basedOn w:val="TableNormal"/>
    <w:uiPriority w:val="48"/>
    <w:rsid w:val="00790DDB"/>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character" w:customStyle="1" w:styleId="ListParagraphChar">
    <w:name w:val="List Paragraph Char"/>
    <w:link w:val="ListParagraph"/>
    <w:uiPriority w:val="99"/>
    <w:rsid w:val="00193529"/>
    <w:rPr>
      <w:rFonts w:eastAsia="Calibri"/>
      <w:color w:val="000000"/>
      <w:sz w:val="24"/>
      <w:szCs w:val="24"/>
    </w:rPr>
  </w:style>
  <w:style w:type="character" w:customStyle="1" w:styleId="CaptionChar">
    <w:name w:val="Caption Char"/>
    <w:basedOn w:val="DefaultParagraphFont"/>
    <w:link w:val="Caption"/>
    <w:uiPriority w:val="3"/>
    <w:rsid w:val="005A5D2D"/>
    <w:rPr>
      <w:rFonts w:eastAsia="Calibri"/>
      <w:b/>
      <w:bCs/>
      <w:color w:val="757579" w:themeColor="accent3"/>
      <w:sz w:val="20"/>
      <w:szCs w:val="18"/>
    </w:rPr>
  </w:style>
  <w:style w:type="paragraph" w:styleId="Revision">
    <w:name w:val="Revision"/>
    <w:hidden/>
    <w:uiPriority w:val="99"/>
    <w:semiHidden/>
    <w:rsid w:val="00876F04"/>
    <w:rPr>
      <w:rFonts w:eastAsia="Calibri"/>
      <w:color w:val="000000"/>
    </w:rPr>
  </w:style>
  <w:style w:type="table" w:styleId="TableGridLight">
    <w:name w:val="Grid Table Light"/>
    <w:basedOn w:val="TableNormal"/>
    <w:uiPriority w:val="40"/>
    <w:rsid w:val="00790DD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790DDB"/>
    <w:rPr>
      <w:color w:val="808080"/>
    </w:rPr>
  </w:style>
  <w:style w:type="paragraph" w:customStyle="1" w:styleId="BodyText10">
    <w:name w:val="Body Text 10"/>
    <w:basedOn w:val="BodyText"/>
    <w:rsid w:val="006A2787"/>
    <w:rPr>
      <w:color w:val="auto"/>
      <w:sz w:val="20"/>
      <w:szCs w:val="20"/>
    </w:rPr>
  </w:style>
  <w:style w:type="paragraph" w:customStyle="1" w:styleId="ListBullet10">
    <w:name w:val="List Bullet 10"/>
    <w:basedOn w:val="ListBullet"/>
    <w:next w:val="BodyText"/>
    <w:uiPriority w:val="24"/>
    <w:qFormat/>
    <w:rsid w:val="00B5375C"/>
    <w:pPr>
      <w:numPr>
        <w:numId w:val="8"/>
      </w:numPr>
      <w:ind w:left="426" w:hanging="284"/>
    </w:pPr>
    <w:rPr>
      <w:color w:val="auto"/>
      <w:sz w:val="20"/>
      <w:szCs w:val="20"/>
    </w:rPr>
  </w:style>
  <w:style w:type="table" w:styleId="ListTable2-Accent3">
    <w:name w:val="List Table 2 Accent 3"/>
    <w:basedOn w:val="TableNormal"/>
    <w:uiPriority w:val="47"/>
    <w:rsid w:val="00790DDB"/>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paragraph" w:styleId="Bibliography">
    <w:name w:val="Bibliography"/>
    <w:basedOn w:val="Normal"/>
    <w:next w:val="Normal"/>
    <w:uiPriority w:val="99"/>
    <w:semiHidden/>
    <w:rsid w:val="00790DDB"/>
    <w:pPr>
      <w:spacing w:after="240"/>
      <w:ind w:left="720" w:hanging="720"/>
    </w:pPr>
  </w:style>
  <w:style w:type="numbering" w:customStyle="1" w:styleId="BulletList">
    <w:name w:val="Bullet List"/>
    <w:uiPriority w:val="99"/>
    <w:rsid w:val="00790DDB"/>
    <w:pPr>
      <w:numPr>
        <w:numId w:val="5"/>
      </w:numPr>
    </w:pPr>
  </w:style>
  <w:style w:type="paragraph" w:customStyle="1" w:styleId="Figure">
    <w:name w:val="Figure"/>
    <w:basedOn w:val="BodyText"/>
    <w:next w:val="Normal"/>
    <w:uiPriority w:val="4"/>
    <w:qFormat/>
    <w:rsid w:val="00DA51E3"/>
    <w:pPr>
      <w:spacing w:before="0" w:after="360" w:line="240" w:lineRule="auto"/>
    </w:pPr>
  </w:style>
  <w:style w:type="paragraph" w:styleId="NoSpacing">
    <w:name w:val="No Spacing"/>
    <w:uiPriority w:val="73"/>
    <w:qFormat/>
    <w:rsid w:val="00790DDB"/>
    <w:rPr>
      <w:rFonts w:asciiTheme="minorHAnsi" w:hAnsiTheme="minorHAnsi" w:cstheme="minorBidi"/>
      <w:szCs w:val="24"/>
      <w:lang w:eastAsia="en-US"/>
    </w:rPr>
  </w:style>
  <w:style w:type="table" w:styleId="PlainTable1">
    <w:name w:val="Plain Table 1"/>
    <w:basedOn w:val="TableNormal"/>
    <w:uiPriority w:val="41"/>
    <w:rsid w:val="00790DD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Flow-MER">
    <w:name w:val="Table_Flow-MER"/>
    <w:basedOn w:val="TableNormal"/>
    <w:qFormat/>
    <w:rsid w:val="00790DDB"/>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TableTextRight">
    <w:name w:val="TableTextRight"/>
    <w:basedOn w:val="TableText"/>
    <w:uiPriority w:val="5"/>
    <w:qFormat/>
    <w:rsid w:val="00790DDB"/>
    <w:pPr>
      <w:ind w:right="113"/>
      <w:jc w:val="right"/>
    </w:pPr>
  </w:style>
  <w:style w:type="paragraph" w:customStyle="1" w:styleId="BlockQuote">
    <w:name w:val="Block Quote"/>
    <w:basedOn w:val="BlockText"/>
    <w:next w:val="BodyText"/>
    <w:uiPriority w:val="73"/>
    <w:qFormat/>
    <w:rsid w:val="00504CC0"/>
    <w:pPr>
      <w:spacing w:before="120"/>
    </w:pPr>
    <w:rPr>
      <w:color w:val="auto"/>
    </w:rPr>
  </w:style>
  <w:style w:type="paragraph" w:customStyle="1" w:styleId="AppendixHeading3notnumbered">
    <w:name w:val="Appendix Heading 3 not numbered"/>
    <w:basedOn w:val="AppendixHeading3"/>
    <w:next w:val="BodyText"/>
    <w:uiPriority w:val="14"/>
    <w:qFormat/>
    <w:rsid w:val="00790DDB"/>
    <w:pPr>
      <w:numPr>
        <w:ilvl w:val="0"/>
        <w:numId w:val="0"/>
      </w:numPr>
    </w:pPr>
  </w:style>
  <w:style w:type="paragraph" w:customStyle="1" w:styleId="BodyTextExtraSpaceAfter">
    <w:name w:val="Body Text Extra Space After"/>
    <w:basedOn w:val="BodyText"/>
    <w:next w:val="BodyText"/>
    <w:qFormat/>
    <w:rsid w:val="006A2787"/>
    <w:pPr>
      <w:spacing w:after="360"/>
    </w:pPr>
  </w:style>
  <w:style w:type="paragraph" w:customStyle="1" w:styleId="BodyTextExtraSpaceBefore">
    <w:name w:val="Body Text Extra Space Before"/>
    <w:basedOn w:val="BodyText"/>
    <w:next w:val="BodyText"/>
    <w:link w:val="BodyTextExtraSpaceBeforeChar"/>
    <w:qFormat/>
    <w:rsid w:val="006A2787"/>
    <w:pPr>
      <w:spacing w:before="360"/>
    </w:pPr>
  </w:style>
  <w:style w:type="paragraph" w:customStyle="1" w:styleId="CaptionNote">
    <w:name w:val="CaptionNote"/>
    <w:basedOn w:val="Caption"/>
    <w:next w:val="BodyText"/>
    <w:uiPriority w:val="3"/>
    <w:qFormat/>
    <w:rsid w:val="005A5D2D"/>
    <w:pPr>
      <w:pBdr>
        <w:top w:val="none" w:sz="0" w:space="0" w:color="auto"/>
      </w:pBdr>
      <w:spacing w:before="0"/>
    </w:pPr>
    <w:rPr>
      <w:b w:val="0"/>
      <w:bCs w:val="0"/>
      <w:sz w:val="18"/>
      <w:szCs w:val="20"/>
    </w:rPr>
  </w:style>
  <w:style w:type="paragraph" w:customStyle="1" w:styleId="EndNoteBibliographyTitle">
    <w:name w:val="EndNote Bibliography Title"/>
    <w:basedOn w:val="Normal"/>
    <w:link w:val="EndNoteBibliographyTitleChar"/>
    <w:uiPriority w:val="99"/>
    <w:semiHidden/>
    <w:rsid w:val="007D1034"/>
    <w:pPr>
      <w:spacing w:after="0"/>
      <w:jc w:val="center"/>
    </w:pPr>
    <w:rPr>
      <w:rFonts w:cs="Calibri"/>
      <w:noProof/>
    </w:rPr>
  </w:style>
  <w:style w:type="character" w:customStyle="1" w:styleId="Heading1notnumberedChar">
    <w:name w:val="Heading 1 not numbered Char"/>
    <w:basedOn w:val="Heading1Char"/>
    <w:link w:val="Heading1notnumbered"/>
    <w:uiPriority w:val="1"/>
    <w:rsid w:val="007D1034"/>
    <w:rPr>
      <w:rFonts w:eastAsiaTheme="majorEastAsia" w:cstheme="majorBidi"/>
      <w:bCs/>
      <w:color w:val="757579" w:themeColor="accent3"/>
      <w:sz w:val="44"/>
      <w:szCs w:val="28"/>
    </w:rPr>
  </w:style>
  <w:style w:type="character" w:customStyle="1" w:styleId="Heading1noTOCChar">
    <w:name w:val="Heading 1 no TOC Char"/>
    <w:basedOn w:val="Heading1notnumberedChar"/>
    <w:link w:val="Heading1noTOC"/>
    <w:uiPriority w:val="1"/>
    <w:rsid w:val="007D1034"/>
    <w:rPr>
      <w:rFonts w:eastAsiaTheme="majorEastAsia" w:cstheme="majorBidi"/>
      <w:bCs/>
      <w:color w:val="757579" w:themeColor="accent3"/>
      <w:sz w:val="44"/>
      <w:szCs w:val="28"/>
    </w:rPr>
  </w:style>
  <w:style w:type="character" w:customStyle="1" w:styleId="EndNoteBibliographyTitleChar">
    <w:name w:val="EndNote Bibliography Title Char"/>
    <w:basedOn w:val="Heading1noTOCChar"/>
    <w:link w:val="EndNoteBibliographyTitle"/>
    <w:uiPriority w:val="99"/>
    <w:semiHidden/>
    <w:rsid w:val="00C67671"/>
    <w:rPr>
      <w:rFonts w:eastAsia="Calibri" w:cs="Calibri"/>
      <w:bCs w:val="0"/>
      <w:noProof/>
      <w:color w:val="000000"/>
      <w:sz w:val="44"/>
      <w:szCs w:val="28"/>
    </w:rPr>
  </w:style>
  <w:style w:type="paragraph" w:customStyle="1" w:styleId="EndNoteBibliography">
    <w:name w:val="EndNote Bibliography"/>
    <w:basedOn w:val="Normal"/>
    <w:link w:val="EndNoteBibliographyChar"/>
    <w:uiPriority w:val="99"/>
    <w:semiHidden/>
    <w:rsid w:val="007D1034"/>
    <w:rPr>
      <w:rFonts w:cs="Calibri"/>
      <w:noProof/>
    </w:rPr>
  </w:style>
  <w:style w:type="character" w:customStyle="1" w:styleId="EndNoteBibliographyChar">
    <w:name w:val="EndNote Bibliography Char"/>
    <w:basedOn w:val="Heading1noTOCChar"/>
    <w:link w:val="EndNoteBibliography"/>
    <w:uiPriority w:val="99"/>
    <w:semiHidden/>
    <w:rsid w:val="00C67671"/>
    <w:rPr>
      <w:rFonts w:eastAsia="Calibri" w:cs="Calibri"/>
      <w:bCs w:val="0"/>
      <w:noProof/>
      <w:color w:val="000000"/>
      <w:sz w:val="44"/>
      <w:szCs w:val="28"/>
    </w:rPr>
  </w:style>
  <w:style w:type="character" w:styleId="Mention">
    <w:name w:val="Mention"/>
    <w:basedOn w:val="DefaultParagraphFont"/>
    <w:uiPriority w:val="99"/>
    <w:unhideWhenUsed/>
    <w:rsid w:val="00806852"/>
    <w:rPr>
      <w:color w:val="2B579A"/>
      <w:shd w:val="clear" w:color="auto" w:fill="E6E6E6"/>
    </w:rPr>
  </w:style>
  <w:style w:type="paragraph" w:customStyle="1" w:styleId="PrelimText">
    <w:name w:val="PrelimText"/>
    <w:basedOn w:val="Normal"/>
    <w:uiPriority w:val="99"/>
    <w:rsid w:val="00504657"/>
    <w:pPr>
      <w:spacing w:after="160"/>
      <w:jc w:val="both"/>
    </w:pPr>
    <w:rPr>
      <w:rFonts w:eastAsia="Times New Roman" w:cs="Arial"/>
      <w:kern w:val="28"/>
      <w:lang w:eastAsia="en-US"/>
    </w:rPr>
  </w:style>
  <w:style w:type="table" w:customStyle="1" w:styleId="TableCSIRO">
    <w:name w:val="Table_CSIRO"/>
    <w:basedOn w:val="TableNormal"/>
    <w:qFormat/>
    <w:rsid w:val="00684EAE"/>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shd w:val="clear" w:color="auto" w:fill="01528B"/>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Boxedtext10">
    <w:name w:val="Boxed text 10"/>
    <w:basedOn w:val="Boxedtext"/>
    <w:uiPriority w:val="73"/>
    <w:qFormat/>
    <w:rsid w:val="00B15E62"/>
    <w:pPr>
      <w:shd w:val="clear" w:color="auto" w:fill="F2F2F2" w:themeFill="background1" w:themeFillShade="F2"/>
      <w:spacing w:before="0" w:after="0"/>
    </w:pPr>
    <w:rPr>
      <w:sz w:val="20"/>
    </w:rPr>
  </w:style>
  <w:style w:type="paragraph" w:customStyle="1" w:styleId="Boxedtextgreen">
    <w:name w:val="Boxed text green"/>
    <w:basedOn w:val="Boxedtext"/>
    <w:uiPriority w:val="10"/>
    <w:qFormat/>
    <w:rsid w:val="006A2787"/>
    <w:pPr>
      <w:shd w:val="clear" w:color="auto" w:fill="E0FEDE"/>
      <w:spacing w:before="180" w:after="180"/>
    </w:pPr>
    <w:rPr>
      <w:szCs w:val="24"/>
    </w:rPr>
  </w:style>
  <w:style w:type="paragraph" w:customStyle="1" w:styleId="Boxedlistbulletgreen">
    <w:name w:val="Boxed list bullet green"/>
    <w:basedOn w:val="Boxedlistbullet"/>
    <w:uiPriority w:val="10"/>
    <w:qFormat/>
    <w:rsid w:val="007F02A6"/>
    <w:pPr>
      <w:shd w:val="clear" w:color="auto" w:fill="E0FEDE"/>
      <w:spacing w:before="40" w:after="40"/>
    </w:pPr>
    <w:rPr>
      <w:szCs w:val="24"/>
    </w:rPr>
  </w:style>
  <w:style w:type="character" w:customStyle="1" w:styleId="BodyTextExtraSpaceBeforeChar">
    <w:name w:val="Body Text Extra Space Before Char"/>
    <w:basedOn w:val="BodyTextChar"/>
    <w:link w:val="BodyTextExtraSpaceBefore"/>
    <w:rsid w:val="006A2787"/>
    <w:rPr>
      <w:rFonts w:eastAsia="Calibri"/>
      <w:color w:val="000000"/>
    </w:rPr>
  </w:style>
  <w:style w:type="paragraph" w:customStyle="1" w:styleId="Boxedheadinggreen">
    <w:name w:val="Boxed heading green"/>
    <w:basedOn w:val="Boxedheading"/>
    <w:next w:val="Boxedtextgreen"/>
    <w:uiPriority w:val="10"/>
    <w:qFormat/>
    <w:rsid w:val="006A2787"/>
    <w:pPr>
      <w:shd w:val="clear" w:color="auto" w:fill="E0FEDE"/>
    </w:pPr>
  </w:style>
  <w:style w:type="paragraph" w:customStyle="1" w:styleId="Boxedheadingorange">
    <w:name w:val="Boxed heading orange"/>
    <w:basedOn w:val="Boxedheading"/>
    <w:next w:val="Boxedtextorange"/>
    <w:uiPriority w:val="12"/>
    <w:qFormat/>
    <w:rsid w:val="006A2787"/>
    <w:pPr>
      <w:shd w:val="clear" w:color="auto" w:fill="FAE4D3"/>
    </w:pPr>
  </w:style>
  <w:style w:type="paragraph" w:customStyle="1" w:styleId="Boxedlistbulletorange">
    <w:name w:val="Boxed list bullet orange"/>
    <w:basedOn w:val="Boxedlistbullet"/>
    <w:uiPriority w:val="12"/>
    <w:qFormat/>
    <w:rsid w:val="006A2787"/>
    <w:pPr>
      <w:shd w:val="clear" w:color="auto" w:fill="FAE4D3"/>
    </w:pPr>
    <w:rPr>
      <w:szCs w:val="24"/>
    </w:rPr>
  </w:style>
  <w:style w:type="paragraph" w:customStyle="1" w:styleId="CaptionWithNote">
    <w:name w:val="CaptionWithNote"/>
    <w:basedOn w:val="Caption"/>
    <w:next w:val="CaptionNote"/>
    <w:uiPriority w:val="3"/>
    <w:qFormat/>
    <w:rsid w:val="006A2787"/>
    <w:pPr>
      <w:spacing w:after="0"/>
    </w:pPr>
  </w:style>
  <w:style w:type="paragraph" w:customStyle="1" w:styleId="DocumentInstructions">
    <w:name w:val="Document Instructions"/>
    <w:basedOn w:val="BodyText"/>
    <w:next w:val="BodyText"/>
    <w:uiPriority w:val="16"/>
    <w:qFormat/>
    <w:rsid w:val="00A100C0"/>
    <w:pPr>
      <w:keepNext/>
      <w:outlineLvl w:val="0"/>
    </w:pPr>
    <w:rPr>
      <w:b/>
      <w:bCs/>
    </w:rPr>
  </w:style>
  <w:style w:type="paragraph" w:customStyle="1" w:styleId="TIP">
    <w:name w:val="TIP"/>
    <w:basedOn w:val="Normal"/>
    <w:uiPriority w:val="99"/>
    <w:qFormat/>
    <w:rsid w:val="00A100C0"/>
    <w:pPr>
      <w:pBdr>
        <w:top w:val="single" w:sz="12" w:space="1" w:color="01528B" w:themeColor="accent1" w:shadow="1"/>
        <w:left w:val="single" w:sz="12" w:space="4" w:color="01528B" w:themeColor="accent1" w:shadow="1"/>
        <w:bottom w:val="single" w:sz="12" w:space="1" w:color="01528B" w:themeColor="accent1" w:shadow="1"/>
        <w:right w:val="single" w:sz="12" w:space="4" w:color="01528B" w:themeColor="accent1" w:shadow="1"/>
      </w:pBdr>
      <w:spacing w:before="120"/>
      <w:ind w:left="1418" w:hanging="709"/>
      <w:jc w:val="both"/>
    </w:pPr>
    <w:rPr>
      <w:rFonts w:asciiTheme="minorHAnsi" w:eastAsia="Times New Roman" w:hAnsiTheme="minorHAnsi"/>
      <w:color w:val="000000" w:themeColor="text2" w:themeShade="BF"/>
      <w:szCs w:val="24"/>
      <w:lang w:eastAsia="en-US"/>
    </w:rPr>
  </w:style>
  <w:style w:type="paragraph" w:customStyle="1" w:styleId="Picture">
    <w:name w:val="Picture"/>
    <w:basedOn w:val="NormalWeb"/>
    <w:uiPriority w:val="99"/>
    <w:qFormat/>
    <w:rsid w:val="00A100C0"/>
    <w:pPr>
      <w:spacing w:before="180" w:after="180"/>
      <w:ind w:left="1418"/>
    </w:pPr>
    <w:rPr>
      <w:rFonts w:asciiTheme="minorHAnsi" w:eastAsia="Times New Roman" w:hAnsiTheme="minorHAnsi"/>
      <w:noProof/>
      <w:color w:val="auto"/>
      <w:sz w:val="22"/>
      <w:szCs w:val="22"/>
    </w:rPr>
  </w:style>
  <w:style w:type="character" w:customStyle="1" w:styleId="TipText">
    <w:name w:val="Tip Text"/>
    <w:basedOn w:val="DefaultParagraphFont"/>
    <w:uiPriority w:val="99"/>
    <w:qFormat/>
    <w:rsid w:val="00A100C0"/>
    <w:rPr>
      <w:b/>
      <w:bCs/>
      <w:color w:val="01528B" w:themeColor="accent1"/>
    </w:rPr>
  </w:style>
  <w:style w:type="paragraph" w:customStyle="1" w:styleId="BackCoverWebAddress">
    <w:name w:val="BackCoverWebAddress"/>
    <w:basedOn w:val="BodyText"/>
    <w:next w:val="BodyText"/>
    <w:uiPriority w:val="31"/>
    <w:qFormat/>
    <w:rsid w:val="000F33F3"/>
    <w:pPr>
      <w:jc w:val="center"/>
    </w:pPr>
    <w:rPr>
      <w:b/>
      <w:bCs/>
      <w:color w:val="005CA6" w:themeColor="accent2" w:themeTint="BF"/>
      <w:sz w:val="52"/>
      <w:szCs w:val="52"/>
    </w:rPr>
  </w:style>
  <w:style w:type="paragraph" w:customStyle="1" w:styleId="DocumentInstructions2">
    <w:name w:val="Document Instructions 2"/>
    <w:basedOn w:val="DocumentInstructions"/>
    <w:next w:val="BodyText"/>
    <w:uiPriority w:val="16"/>
    <w:qFormat/>
    <w:rsid w:val="00111236"/>
  </w:style>
  <w:style w:type="character" w:customStyle="1" w:styleId="author">
    <w:name w:val="author"/>
    <w:basedOn w:val="DefaultParagraphFont"/>
    <w:rsid w:val="00DD6AA6"/>
  </w:style>
  <w:style w:type="character" w:styleId="UnresolvedMention">
    <w:name w:val="Unresolved Mention"/>
    <w:basedOn w:val="DefaultParagraphFont"/>
    <w:uiPriority w:val="99"/>
    <w:unhideWhenUsed/>
    <w:rsid w:val="006B098D"/>
    <w:rPr>
      <w:color w:val="605E5C"/>
      <w:shd w:val="clear" w:color="auto" w:fill="E1DFDD"/>
    </w:rPr>
  </w:style>
  <w:style w:type="paragraph" w:customStyle="1" w:styleId="Heading2notnumbered1014">
    <w:name w:val="Heading 2 not numbered 10/14"/>
    <w:basedOn w:val="Heading2notnumbered"/>
    <w:uiPriority w:val="73"/>
    <w:qFormat/>
    <w:rsid w:val="00F5389C"/>
    <w:pPr>
      <w:spacing w:before="0" w:after="0"/>
    </w:pPr>
    <w:rPr>
      <w:color w:val="003560" w:themeColor="accent2" w:themeTint="E6"/>
      <w:sz w:val="28"/>
    </w:rPr>
  </w:style>
  <w:style w:type="table" w:customStyle="1" w:styleId="TableFlow-Mer0">
    <w:name w:val="Table_Flow-Mer"/>
    <w:basedOn w:val="TableNormal"/>
    <w:qFormat/>
    <w:rsid w:val="00090685"/>
    <w:rPr>
      <w:sz w:val="20"/>
    </w:rPr>
    <w:tblPr>
      <w:tblStyleRowBandSize w:val="1"/>
      <w:tblInd w:w="113" w:type="dxa"/>
      <w:tblBorders>
        <w:bottom w:val="single" w:sz="4" w:space="0" w:color="auto"/>
      </w:tblBorders>
      <w:tblCellMar>
        <w:left w:w="85" w:type="dxa"/>
        <w:right w:w="85" w:type="dxa"/>
      </w:tblCellMar>
    </w:tblPr>
    <w:tcPr>
      <w:shd w:val="clear" w:color="auto" w:fill="auto"/>
    </w:tcPr>
    <w:tblStylePr w:type="firstRow">
      <w:pPr>
        <w:spacing w:before="0" w:after="0" w:line="240" w:lineRule="auto"/>
      </w:pPr>
      <w:rPr>
        <w:b w:val="0"/>
        <w:bCs/>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912479">
      <w:bodyDiv w:val="1"/>
      <w:marLeft w:val="0"/>
      <w:marRight w:val="0"/>
      <w:marTop w:val="0"/>
      <w:marBottom w:val="0"/>
      <w:divBdr>
        <w:top w:val="none" w:sz="0" w:space="0" w:color="auto"/>
        <w:left w:val="none" w:sz="0" w:space="0" w:color="auto"/>
        <w:bottom w:val="none" w:sz="0" w:space="0" w:color="auto"/>
        <w:right w:val="none" w:sz="0" w:space="0" w:color="auto"/>
      </w:divBdr>
    </w:div>
    <w:div w:id="132141127">
      <w:bodyDiv w:val="1"/>
      <w:marLeft w:val="0"/>
      <w:marRight w:val="0"/>
      <w:marTop w:val="0"/>
      <w:marBottom w:val="0"/>
      <w:divBdr>
        <w:top w:val="none" w:sz="0" w:space="0" w:color="auto"/>
        <w:left w:val="none" w:sz="0" w:space="0" w:color="auto"/>
        <w:bottom w:val="none" w:sz="0" w:space="0" w:color="auto"/>
        <w:right w:val="none" w:sz="0" w:space="0" w:color="auto"/>
      </w:divBdr>
    </w:div>
    <w:div w:id="152375397">
      <w:bodyDiv w:val="1"/>
      <w:marLeft w:val="0"/>
      <w:marRight w:val="0"/>
      <w:marTop w:val="0"/>
      <w:marBottom w:val="0"/>
      <w:divBdr>
        <w:top w:val="none" w:sz="0" w:space="0" w:color="auto"/>
        <w:left w:val="none" w:sz="0" w:space="0" w:color="auto"/>
        <w:bottom w:val="none" w:sz="0" w:space="0" w:color="auto"/>
        <w:right w:val="none" w:sz="0" w:space="0" w:color="auto"/>
      </w:divBdr>
    </w:div>
    <w:div w:id="153885989">
      <w:bodyDiv w:val="1"/>
      <w:marLeft w:val="0"/>
      <w:marRight w:val="0"/>
      <w:marTop w:val="0"/>
      <w:marBottom w:val="0"/>
      <w:divBdr>
        <w:top w:val="none" w:sz="0" w:space="0" w:color="auto"/>
        <w:left w:val="none" w:sz="0" w:space="0" w:color="auto"/>
        <w:bottom w:val="none" w:sz="0" w:space="0" w:color="auto"/>
        <w:right w:val="none" w:sz="0" w:space="0" w:color="auto"/>
      </w:divBdr>
    </w:div>
    <w:div w:id="202717895">
      <w:bodyDiv w:val="1"/>
      <w:marLeft w:val="0"/>
      <w:marRight w:val="0"/>
      <w:marTop w:val="0"/>
      <w:marBottom w:val="0"/>
      <w:divBdr>
        <w:top w:val="none" w:sz="0" w:space="0" w:color="auto"/>
        <w:left w:val="none" w:sz="0" w:space="0" w:color="auto"/>
        <w:bottom w:val="none" w:sz="0" w:space="0" w:color="auto"/>
        <w:right w:val="none" w:sz="0" w:space="0" w:color="auto"/>
      </w:divBdr>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52201547">
      <w:bodyDiv w:val="1"/>
      <w:marLeft w:val="0"/>
      <w:marRight w:val="0"/>
      <w:marTop w:val="0"/>
      <w:marBottom w:val="0"/>
      <w:divBdr>
        <w:top w:val="none" w:sz="0" w:space="0" w:color="auto"/>
        <w:left w:val="none" w:sz="0" w:space="0" w:color="auto"/>
        <w:bottom w:val="none" w:sz="0" w:space="0" w:color="auto"/>
        <w:right w:val="none" w:sz="0" w:space="0" w:color="auto"/>
      </w:divBdr>
    </w:div>
    <w:div w:id="294677324">
      <w:bodyDiv w:val="1"/>
      <w:marLeft w:val="0"/>
      <w:marRight w:val="0"/>
      <w:marTop w:val="0"/>
      <w:marBottom w:val="0"/>
      <w:divBdr>
        <w:top w:val="none" w:sz="0" w:space="0" w:color="auto"/>
        <w:left w:val="none" w:sz="0" w:space="0" w:color="auto"/>
        <w:bottom w:val="none" w:sz="0" w:space="0" w:color="auto"/>
        <w:right w:val="none" w:sz="0" w:space="0" w:color="auto"/>
      </w:divBdr>
    </w:div>
    <w:div w:id="323776307">
      <w:bodyDiv w:val="1"/>
      <w:marLeft w:val="0"/>
      <w:marRight w:val="0"/>
      <w:marTop w:val="0"/>
      <w:marBottom w:val="0"/>
      <w:divBdr>
        <w:top w:val="none" w:sz="0" w:space="0" w:color="auto"/>
        <w:left w:val="none" w:sz="0" w:space="0" w:color="auto"/>
        <w:bottom w:val="none" w:sz="0" w:space="0" w:color="auto"/>
        <w:right w:val="none" w:sz="0" w:space="0" w:color="auto"/>
      </w:divBdr>
    </w:div>
    <w:div w:id="343899440">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400060996">
      <w:bodyDiv w:val="1"/>
      <w:marLeft w:val="0"/>
      <w:marRight w:val="0"/>
      <w:marTop w:val="0"/>
      <w:marBottom w:val="0"/>
      <w:divBdr>
        <w:top w:val="none" w:sz="0" w:space="0" w:color="auto"/>
        <w:left w:val="none" w:sz="0" w:space="0" w:color="auto"/>
        <w:bottom w:val="none" w:sz="0" w:space="0" w:color="auto"/>
        <w:right w:val="none" w:sz="0" w:space="0" w:color="auto"/>
      </w:divBdr>
      <w:divsChild>
        <w:div w:id="1962106790">
          <w:marLeft w:val="0"/>
          <w:marRight w:val="0"/>
          <w:marTop w:val="0"/>
          <w:marBottom w:val="0"/>
          <w:divBdr>
            <w:top w:val="none" w:sz="0" w:space="0" w:color="auto"/>
            <w:left w:val="none" w:sz="0" w:space="0" w:color="auto"/>
            <w:bottom w:val="none" w:sz="0" w:space="0" w:color="auto"/>
            <w:right w:val="none" w:sz="0" w:space="0" w:color="auto"/>
          </w:divBdr>
        </w:div>
      </w:divsChild>
    </w:div>
    <w:div w:id="414936044">
      <w:bodyDiv w:val="1"/>
      <w:marLeft w:val="0"/>
      <w:marRight w:val="0"/>
      <w:marTop w:val="0"/>
      <w:marBottom w:val="0"/>
      <w:divBdr>
        <w:top w:val="none" w:sz="0" w:space="0" w:color="auto"/>
        <w:left w:val="none" w:sz="0" w:space="0" w:color="auto"/>
        <w:bottom w:val="none" w:sz="0" w:space="0" w:color="auto"/>
        <w:right w:val="none" w:sz="0" w:space="0" w:color="auto"/>
      </w:divBdr>
    </w:div>
    <w:div w:id="514420194">
      <w:bodyDiv w:val="1"/>
      <w:marLeft w:val="0"/>
      <w:marRight w:val="0"/>
      <w:marTop w:val="0"/>
      <w:marBottom w:val="0"/>
      <w:divBdr>
        <w:top w:val="none" w:sz="0" w:space="0" w:color="auto"/>
        <w:left w:val="none" w:sz="0" w:space="0" w:color="auto"/>
        <w:bottom w:val="none" w:sz="0" w:space="0" w:color="auto"/>
        <w:right w:val="none" w:sz="0" w:space="0" w:color="auto"/>
      </w:divBdr>
    </w:div>
    <w:div w:id="563948681">
      <w:bodyDiv w:val="1"/>
      <w:marLeft w:val="0"/>
      <w:marRight w:val="0"/>
      <w:marTop w:val="0"/>
      <w:marBottom w:val="0"/>
      <w:divBdr>
        <w:top w:val="none" w:sz="0" w:space="0" w:color="auto"/>
        <w:left w:val="none" w:sz="0" w:space="0" w:color="auto"/>
        <w:bottom w:val="none" w:sz="0" w:space="0" w:color="auto"/>
        <w:right w:val="none" w:sz="0" w:space="0" w:color="auto"/>
      </w:divBdr>
      <w:divsChild>
        <w:div w:id="483742604">
          <w:marLeft w:val="0"/>
          <w:marRight w:val="0"/>
          <w:marTop w:val="0"/>
          <w:marBottom w:val="0"/>
          <w:divBdr>
            <w:top w:val="none" w:sz="0" w:space="0" w:color="auto"/>
            <w:left w:val="none" w:sz="0" w:space="0" w:color="auto"/>
            <w:bottom w:val="none" w:sz="0" w:space="0" w:color="auto"/>
            <w:right w:val="none" w:sz="0" w:space="0" w:color="auto"/>
          </w:divBdr>
        </w:div>
        <w:div w:id="608897029">
          <w:marLeft w:val="0"/>
          <w:marRight w:val="0"/>
          <w:marTop w:val="0"/>
          <w:marBottom w:val="0"/>
          <w:divBdr>
            <w:top w:val="none" w:sz="0" w:space="0" w:color="auto"/>
            <w:left w:val="none" w:sz="0" w:space="0" w:color="auto"/>
            <w:bottom w:val="none" w:sz="0" w:space="0" w:color="auto"/>
            <w:right w:val="none" w:sz="0" w:space="0" w:color="auto"/>
          </w:divBdr>
          <w:divsChild>
            <w:div w:id="1202279174">
              <w:marLeft w:val="-75"/>
              <w:marRight w:val="0"/>
              <w:marTop w:val="30"/>
              <w:marBottom w:val="30"/>
              <w:divBdr>
                <w:top w:val="none" w:sz="0" w:space="0" w:color="auto"/>
                <w:left w:val="none" w:sz="0" w:space="0" w:color="auto"/>
                <w:bottom w:val="none" w:sz="0" w:space="0" w:color="auto"/>
                <w:right w:val="none" w:sz="0" w:space="0" w:color="auto"/>
              </w:divBdr>
              <w:divsChild>
                <w:div w:id="154877170">
                  <w:marLeft w:val="0"/>
                  <w:marRight w:val="0"/>
                  <w:marTop w:val="0"/>
                  <w:marBottom w:val="0"/>
                  <w:divBdr>
                    <w:top w:val="none" w:sz="0" w:space="0" w:color="auto"/>
                    <w:left w:val="none" w:sz="0" w:space="0" w:color="auto"/>
                    <w:bottom w:val="none" w:sz="0" w:space="0" w:color="auto"/>
                    <w:right w:val="none" w:sz="0" w:space="0" w:color="auto"/>
                  </w:divBdr>
                  <w:divsChild>
                    <w:div w:id="541476415">
                      <w:marLeft w:val="0"/>
                      <w:marRight w:val="0"/>
                      <w:marTop w:val="0"/>
                      <w:marBottom w:val="0"/>
                      <w:divBdr>
                        <w:top w:val="none" w:sz="0" w:space="0" w:color="auto"/>
                        <w:left w:val="none" w:sz="0" w:space="0" w:color="auto"/>
                        <w:bottom w:val="none" w:sz="0" w:space="0" w:color="auto"/>
                        <w:right w:val="none" w:sz="0" w:space="0" w:color="auto"/>
                      </w:divBdr>
                    </w:div>
                  </w:divsChild>
                </w:div>
                <w:div w:id="251861519">
                  <w:marLeft w:val="0"/>
                  <w:marRight w:val="0"/>
                  <w:marTop w:val="0"/>
                  <w:marBottom w:val="0"/>
                  <w:divBdr>
                    <w:top w:val="none" w:sz="0" w:space="0" w:color="auto"/>
                    <w:left w:val="none" w:sz="0" w:space="0" w:color="auto"/>
                    <w:bottom w:val="none" w:sz="0" w:space="0" w:color="auto"/>
                    <w:right w:val="none" w:sz="0" w:space="0" w:color="auto"/>
                  </w:divBdr>
                  <w:divsChild>
                    <w:div w:id="1656955967">
                      <w:marLeft w:val="0"/>
                      <w:marRight w:val="0"/>
                      <w:marTop w:val="0"/>
                      <w:marBottom w:val="0"/>
                      <w:divBdr>
                        <w:top w:val="none" w:sz="0" w:space="0" w:color="auto"/>
                        <w:left w:val="none" w:sz="0" w:space="0" w:color="auto"/>
                        <w:bottom w:val="none" w:sz="0" w:space="0" w:color="auto"/>
                        <w:right w:val="none" w:sz="0" w:space="0" w:color="auto"/>
                      </w:divBdr>
                    </w:div>
                  </w:divsChild>
                </w:div>
                <w:div w:id="643047010">
                  <w:marLeft w:val="0"/>
                  <w:marRight w:val="0"/>
                  <w:marTop w:val="0"/>
                  <w:marBottom w:val="0"/>
                  <w:divBdr>
                    <w:top w:val="none" w:sz="0" w:space="0" w:color="auto"/>
                    <w:left w:val="none" w:sz="0" w:space="0" w:color="auto"/>
                    <w:bottom w:val="none" w:sz="0" w:space="0" w:color="auto"/>
                    <w:right w:val="none" w:sz="0" w:space="0" w:color="auto"/>
                  </w:divBdr>
                  <w:divsChild>
                    <w:div w:id="1055012759">
                      <w:marLeft w:val="0"/>
                      <w:marRight w:val="0"/>
                      <w:marTop w:val="0"/>
                      <w:marBottom w:val="0"/>
                      <w:divBdr>
                        <w:top w:val="none" w:sz="0" w:space="0" w:color="auto"/>
                        <w:left w:val="none" w:sz="0" w:space="0" w:color="auto"/>
                        <w:bottom w:val="none" w:sz="0" w:space="0" w:color="auto"/>
                        <w:right w:val="none" w:sz="0" w:space="0" w:color="auto"/>
                      </w:divBdr>
                    </w:div>
                  </w:divsChild>
                </w:div>
                <w:div w:id="729618743">
                  <w:marLeft w:val="0"/>
                  <w:marRight w:val="0"/>
                  <w:marTop w:val="0"/>
                  <w:marBottom w:val="0"/>
                  <w:divBdr>
                    <w:top w:val="none" w:sz="0" w:space="0" w:color="auto"/>
                    <w:left w:val="none" w:sz="0" w:space="0" w:color="auto"/>
                    <w:bottom w:val="none" w:sz="0" w:space="0" w:color="auto"/>
                    <w:right w:val="none" w:sz="0" w:space="0" w:color="auto"/>
                  </w:divBdr>
                  <w:divsChild>
                    <w:div w:id="880937742">
                      <w:marLeft w:val="0"/>
                      <w:marRight w:val="0"/>
                      <w:marTop w:val="0"/>
                      <w:marBottom w:val="0"/>
                      <w:divBdr>
                        <w:top w:val="none" w:sz="0" w:space="0" w:color="auto"/>
                        <w:left w:val="none" w:sz="0" w:space="0" w:color="auto"/>
                        <w:bottom w:val="none" w:sz="0" w:space="0" w:color="auto"/>
                        <w:right w:val="none" w:sz="0" w:space="0" w:color="auto"/>
                      </w:divBdr>
                    </w:div>
                  </w:divsChild>
                </w:div>
                <w:div w:id="878207247">
                  <w:marLeft w:val="0"/>
                  <w:marRight w:val="0"/>
                  <w:marTop w:val="0"/>
                  <w:marBottom w:val="0"/>
                  <w:divBdr>
                    <w:top w:val="none" w:sz="0" w:space="0" w:color="auto"/>
                    <w:left w:val="none" w:sz="0" w:space="0" w:color="auto"/>
                    <w:bottom w:val="none" w:sz="0" w:space="0" w:color="auto"/>
                    <w:right w:val="none" w:sz="0" w:space="0" w:color="auto"/>
                  </w:divBdr>
                  <w:divsChild>
                    <w:div w:id="147210102">
                      <w:marLeft w:val="0"/>
                      <w:marRight w:val="0"/>
                      <w:marTop w:val="0"/>
                      <w:marBottom w:val="0"/>
                      <w:divBdr>
                        <w:top w:val="none" w:sz="0" w:space="0" w:color="auto"/>
                        <w:left w:val="none" w:sz="0" w:space="0" w:color="auto"/>
                        <w:bottom w:val="none" w:sz="0" w:space="0" w:color="auto"/>
                        <w:right w:val="none" w:sz="0" w:space="0" w:color="auto"/>
                      </w:divBdr>
                    </w:div>
                  </w:divsChild>
                </w:div>
                <w:div w:id="1065641165">
                  <w:marLeft w:val="0"/>
                  <w:marRight w:val="0"/>
                  <w:marTop w:val="0"/>
                  <w:marBottom w:val="0"/>
                  <w:divBdr>
                    <w:top w:val="none" w:sz="0" w:space="0" w:color="auto"/>
                    <w:left w:val="none" w:sz="0" w:space="0" w:color="auto"/>
                    <w:bottom w:val="none" w:sz="0" w:space="0" w:color="auto"/>
                    <w:right w:val="none" w:sz="0" w:space="0" w:color="auto"/>
                  </w:divBdr>
                  <w:divsChild>
                    <w:div w:id="1687125686">
                      <w:marLeft w:val="0"/>
                      <w:marRight w:val="0"/>
                      <w:marTop w:val="0"/>
                      <w:marBottom w:val="0"/>
                      <w:divBdr>
                        <w:top w:val="none" w:sz="0" w:space="0" w:color="auto"/>
                        <w:left w:val="none" w:sz="0" w:space="0" w:color="auto"/>
                        <w:bottom w:val="none" w:sz="0" w:space="0" w:color="auto"/>
                        <w:right w:val="none" w:sz="0" w:space="0" w:color="auto"/>
                      </w:divBdr>
                    </w:div>
                  </w:divsChild>
                </w:div>
                <w:div w:id="1330477700">
                  <w:marLeft w:val="0"/>
                  <w:marRight w:val="0"/>
                  <w:marTop w:val="0"/>
                  <w:marBottom w:val="0"/>
                  <w:divBdr>
                    <w:top w:val="none" w:sz="0" w:space="0" w:color="auto"/>
                    <w:left w:val="none" w:sz="0" w:space="0" w:color="auto"/>
                    <w:bottom w:val="none" w:sz="0" w:space="0" w:color="auto"/>
                    <w:right w:val="none" w:sz="0" w:space="0" w:color="auto"/>
                  </w:divBdr>
                  <w:divsChild>
                    <w:div w:id="755787592">
                      <w:marLeft w:val="0"/>
                      <w:marRight w:val="0"/>
                      <w:marTop w:val="0"/>
                      <w:marBottom w:val="0"/>
                      <w:divBdr>
                        <w:top w:val="none" w:sz="0" w:space="0" w:color="auto"/>
                        <w:left w:val="none" w:sz="0" w:space="0" w:color="auto"/>
                        <w:bottom w:val="none" w:sz="0" w:space="0" w:color="auto"/>
                        <w:right w:val="none" w:sz="0" w:space="0" w:color="auto"/>
                      </w:divBdr>
                    </w:div>
                  </w:divsChild>
                </w:div>
                <w:div w:id="1642272592">
                  <w:marLeft w:val="0"/>
                  <w:marRight w:val="0"/>
                  <w:marTop w:val="0"/>
                  <w:marBottom w:val="0"/>
                  <w:divBdr>
                    <w:top w:val="none" w:sz="0" w:space="0" w:color="auto"/>
                    <w:left w:val="none" w:sz="0" w:space="0" w:color="auto"/>
                    <w:bottom w:val="none" w:sz="0" w:space="0" w:color="auto"/>
                    <w:right w:val="none" w:sz="0" w:space="0" w:color="auto"/>
                  </w:divBdr>
                  <w:divsChild>
                    <w:div w:id="565796790">
                      <w:marLeft w:val="0"/>
                      <w:marRight w:val="0"/>
                      <w:marTop w:val="0"/>
                      <w:marBottom w:val="0"/>
                      <w:divBdr>
                        <w:top w:val="none" w:sz="0" w:space="0" w:color="auto"/>
                        <w:left w:val="none" w:sz="0" w:space="0" w:color="auto"/>
                        <w:bottom w:val="none" w:sz="0" w:space="0" w:color="auto"/>
                        <w:right w:val="none" w:sz="0" w:space="0" w:color="auto"/>
                      </w:divBdr>
                    </w:div>
                  </w:divsChild>
                </w:div>
                <w:div w:id="1853180622">
                  <w:marLeft w:val="0"/>
                  <w:marRight w:val="0"/>
                  <w:marTop w:val="0"/>
                  <w:marBottom w:val="0"/>
                  <w:divBdr>
                    <w:top w:val="none" w:sz="0" w:space="0" w:color="auto"/>
                    <w:left w:val="none" w:sz="0" w:space="0" w:color="auto"/>
                    <w:bottom w:val="none" w:sz="0" w:space="0" w:color="auto"/>
                    <w:right w:val="none" w:sz="0" w:space="0" w:color="auto"/>
                  </w:divBdr>
                  <w:divsChild>
                    <w:div w:id="310254947">
                      <w:marLeft w:val="0"/>
                      <w:marRight w:val="0"/>
                      <w:marTop w:val="0"/>
                      <w:marBottom w:val="0"/>
                      <w:divBdr>
                        <w:top w:val="none" w:sz="0" w:space="0" w:color="auto"/>
                        <w:left w:val="none" w:sz="0" w:space="0" w:color="auto"/>
                        <w:bottom w:val="none" w:sz="0" w:space="0" w:color="auto"/>
                        <w:right w:val="none" w:sz="0" w:space="0" w:color="auto"/>
                      </w:divBdr>
                    </w:div>
                  </w:divsChild>
                </w:div>
                <w:div w:id="2026707224">
                  <w:marLeft w:val="0"/>
                  <w:marRight w:val="0"/>
                  <w:marTop w:val="0"/>
                  <w:marBottom w:val="0"/>
                  <w:divBdr>
                    <w:top w:val="none" w:sz="0" w:space="0" w:color="auto"/>
                    <w:left w:val="none" w:sz="0" w:space="0" w:color="auto"/>
                    <w:bottom w:val="none" w:sz="0" w:space="0" w:color="auto"/>
                    <w:right w:val="none" w:sz="0" w:space="0" w:color="auto"/>
                  </w:divBdr>
                  <w:divsChild>
                    <w:div w:id="621418417">
                      <w:marLeft w:val="0"/>
                      <w:marRight w:val="0"/>
                      <w:marTop w:val="0"/>
                      <w:marBottom w:val="0"/>
                      <w:divBdr>
                        <w:top w:val="none" w:sz="0" w:space="0" w:color="auto"/>
                        <w:left w:val="none" w:sz="0" w:space="0" w:color="auto"/>
                        <w:bottom w:val="none" w:sz="0" w:space="0" w:color="auto"/>
                        <w:right w:val="none" w:sz="0" w:space="0" w:color="auto"/>
                      </w:divBdr>
                    </w:div>
                  </w:divsChild>
                </w:div>
                <w:div w:id="2065567699">
                  <w:marLeft w:val="0"/>
                  <w:marRight w:val="0"/>
                  <w:marTop w:val="0"/>
                  <w:marBottom w:val="0"/>
                  <w:divBdr>
                    <w:top w:val="none" w:sz="0" w:space="0" w:color="auto"/>
                    <w:left w:val="none" w:sz="0" w:space="0" w:color="auto"/>
                    <w:bottom w:val="none" w:sz="0" w:space="0" w:color="auto"/>
                    <w:right w:val="none" w:sz="0" w:space="0" w:color="auto"/>
                  </w:divBdr>
                  <w:divsChild>
                    <w:div w:id="868029804">
                      <w:marLeft w:val="0"/>
                      <w:marRight w:val="0"/>
                      <w:marTop w:val="0"/>
                      <w:marBottom w:val="0"/>
                      <w:divBdr>
                        <w:top w:val="none" w:sz="0" w:space="0" w:color="auto"/>
                        <w:left w:val="none" w:sz="0" w:space="0" w:color="auto"/>
                        <w:bottom w:val="none" w:sz="0" w:space="0" w:color="auto"/>
                        <w:right w:val="none" w:sz="0" w:space="0" w:color="auto"/>
                      </w:divBdr>
                    </w:div>
                    <w:div w:id="1864585572">
                      <w:marLeft w:val="0"/>
                      <w:marRight w:val="0"/>
                      <w:marTop w:val="0"/>
                      <w:marBottom w:val="0"/>
                      <w:divBdr>
                        <w:top w:val="none" w:sz="0" w:space="0" w:color="auto"/>
                        <w:left w:val="none" w:sz="0" w:space="0" w:color="auto"/>
                        <w:bottom w:val="none" w:sz="0" w:space="0" w:color="auto"/>
                        <w:right w:val="none" w:sz="0" w:space="0" w:color="auto"/>
                      </w:divBdr>
                    </w:div>
                  </w:divsChild>
                </w:div>
                <w:div w:id="2113167357">
                  <w:marLeft w:val="0"/>
                  <w:marRight w:val="0"/>
                  <w:marTop w:val="0"/>
                  <w:marBottom w:val="0"/>
                  <w:divBdr>
                    <w:top w:val="none" w:sz="0" w:space="0" w:color="auto"/>
                    <w:left w:val="none" w:sz="0" w:space="0" w:color="auto"/>
                    <w:bottom w:val="none" w:sz="0" w:space="0" w:color="auto"/>
                    <w:right w:val="none" w:sz="0" w:space="0" w:color="auto"/>
                  </w:divBdr>
                  <w:divsChild>
                    <w:div w:id="13756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323885">
          <w:marLeft w:val="0"/>
          <w:marRight w:val="0"/>
          <w:marTop w:val="0"/>
          <w:marBottom w:val="0"/>
          <w:divBdr>
            <w:top w:val="none" w:sz="0" w:space="0" w:color="auto"/>
            <w:left w:val="none" w:sz="0" w:space="0" w:color="auto"/>
            <w:bottom w:val="none" w:sz="0" w:space="0" w:color="auto"/>
            <w:right w:val="none" w:sz="0" w:space="0" w:color="auto"/>
          </w:divBdr>
        </w:div>
        <w:div w:id="1135638073">
          <w:marLeft w:val="0"/>
          <w:marRight w:val="0"/>
          <w:marTop w:val="0"/>
          <w:marBottom w:val="0"/>
          <w:divBdr>
            <w:top w:val="none" w:sz="0" w:space="0" w:color="auto"/>
            <w:left w:val="none" w:sz="0" w:space="0" w:color="auto"/>
            <w:bottom w:val="none" w:sz="0" w:space="0" w:color="auto"/>
            <w:right w:val="none" w:sz="0" w:space="0" w:color="auto"/>
          </w:divBdr>
        </w:div>
      </w:divsChild>
    </w:div>
    <w:div w:id="624236194">
      <w:bodyDiv w:val="1"/>
      <w:marLeft w:val="0"/>
      <w:marRight w:val="0"/>
      <w:marTop w:val="0"/>
      <w:marBottom w:val="0"/>
      <w:divBdr>
        <w:top w:val="none" w:sz="0" w:space="0" w:color="auto"/>
        <w:left w:val="none" w:sz="0" w:space="0" w:color="auto"/>
        <w:bottom w:val="none" w:sz="0" w:space="0" w:color="auto"/>
        <w:right w:val="none" w:sz="0" w:space="0" w:color="auto"/>
      </w:divBdr>
      <w:divsChild>
        <w:div w:id="1085883696">
          <w:marLeft w:val="0"/>
          <w:marRight w:val="0"/>
          <w:marTop w:val="0"/>
          <w:marBottom w:val="0"/>
          <w:divBdr>
            <w:top w:val="none" w:sz="0" w:space="0" w:color="auto"/>
            <w:left w:val="none" w:sz="0" w:space="0" w:color="auto"/>
            <w:bottom w:val="none" w:sz="0" w:space="0" w:color="auto"/>
            <w:right w:val="none" w:sz="0" w:space="0" w:color="auto"/>
          </w:divBdr>
        </w:div>
        <w:div w:id="1584340231">
          <w:marLeft w:val="0"/>
          <w:marRight w:val="0"/>
          <w:marTop w:val="0"/>
          <w:marBottom w:val="0"/>
          <w:divBdr>
            <w:top w:val="none" w:sz="0" w:space="0" w:color="auto"/>
            <w:left w:val="none" w:sz="0" w:space="0" w:color="auto"/>
            <w:bottom w:val="none" w:sz="0" w:space="0" w:color="auto"/>
            <w:right w:val="none" w:sz="0" w:space="0" w:color="auto"/>
          </w:divBdr>
        </w:div>
        <w:div w:id="1738935055">
          <w:marLeft w:val="0"/>
          <w:marRight w:val="0"/>
          <w:marTop w:val="0"/>
          <w:marBottom w:val="0"/>
          <w:divBdr>
            <w:top w:val="none" w:sz="0" w:space="0" w:color="auto"/>
            <w:left w:val="none" w:sz="0" w:space="0" w:color="auto"/>
            <w:bottom w:val="none" w:sz="0" w:space="0" w:color="auto"/>
            <w:right w:val="none" w:sz="0" w:space="0" w:color="auto"/>
          </w:divBdr>
        </w:div>
      </w:divsChild>
    </w:div>
    <w:div w:id="652371558">
      <w:bodyDiv w:val="1"/>
      <w:marLeft w:val="0"/>
      <w:marRight w:val="0"/>
      <w:marTop w:val="0"/>
      <w:marBottom w:val="0"/>
      <w:divBdr>
        <w:top w:val="none" w:sz="0" w:space="0" w:color="auto"/>
        <w:left w:val="none" w:sz="0" w:space="0" w:color="auto"/>
        <w:bottom w:val="none" w:sz="0" w:space="0" w:color="auto"/>
        <w:right w:val="none" w:sz="0" w:space="0" w:color="auto"/>
      </w:divBdr>
    </w:div>
    <w:div w:id="709652032">
      <w:bodyDiv w:val="1"/>
      <w:marLeft w:val="0"/>
      <w:marRight w:val="0"/>
      <w:marTop w:val="0"/>
      <w:marBottom w:val="0"/>
      <w:divBdr>
        <w:top w:val="none" w:sz="0" w:space="0" w:color="auto"/>
        <w:left w:val="none" w:sz="0" w:space="0" w:color="auto"/>
        <w:bottom w:val="none" w:sz="0" w:space="0" w:color="auto"/>
        <w:right w:val="none" w:sz="0" w:space="0" w:color="auto"/>
      </w:divBdr>
    </w:div>
    <w:div w:id="750201160">
      <w:bodyDiv w:val="1"/>
      <w:marLeft w:val="0"/>
      <w:marRight w:val="0"/>
      <w:marTop w:val="0"/>
      <w:marBottom w:val="0"/>
      <w:divBdr>
        <w:top w:val="none" w:sz="0" w:space="0" w:color="auto"/>
        <w:left w:val="none" w:sz="0" w:space="0" w:color="auto"/>
        <w:bottom w:val="none" w:sz="0" w:space="0" w:color="auto"/>
        <w:right w:val="none" w:sz="0" w:space="0" w:color="auto"/>
      </w:divBdr>
    </w:div>
    <w:div w:id="764036231">
      <w:bodyDiv w:val="1"/>
      <w:marLeft w:val="0"/>
      <w:marRight w:val="0"/>
      <w:marTop w:val="0"/>
      <w:marBottom w:val="0"/>
      <w:divBdr>
        <w:top w:val="none" w:sz="0" w:space="0" w:color="auto"/>
        <w:left w:val="none" w:sz="0" w:space="0" w:color="auto"/>
        <w:bottom w:val="none" w:sz="0" w:space="0" w:color="auto"/>
        <w:right w:val="none" w:sz="0" w:space="0" w:color="auto"/>
      </w:divBdr>
    </w:div>
    <w:div w:id="768622459">
      <w:bodyDiv w:val="1"/>
      <w:marLeft w:val="0"/>
      <w:marRight w:val="0"/>
      <w:marTop w:val="0"/>
      <w:marBottom w:val="0"/>
      <w:divBdr>
        <w:top w:val="none" w:sz="0" w:space="0" w:color="auto"/>
        <w:left w:val="none" w:sz="0" w:space="0" w:color="auto"/>
        <w:bottom w:val="none" w:sz="0" w:space="0" w:color="auto"/>
        <w:right w:val="none" w:sz="0" w:space="0" w:color="auto"/>
      </w:divBdr>
    </w:div>
    <w:div w:id="794104296">
      <w:bodyDiv w:val="1"/>
      <w:marLeft w:val="0"/>
      <w:marRight w:val="0"/>
      <w:marTop w:val="0"/>
      <w:marBottom w:val="0"/>
      <w:divBdr>
        <w:top w:val="none" w:sz="0" w:space="0" w:color="auto"/>
        <w:left w:val="none" w:sz="0" w:space="0" w:color="auto"/>
        <w:bottom w:val="none" w:sz="0" w:space="0" w:color="auto"/>
        <w:right w:val="none" w:sz="0" w:space="0" w:color="auto"/>
      </w:divBdr>
      <w:divsChild>
        <w:div w:id="465512751">
          <w:marLeft w:val="0"/>
          <w:marRight w:val="0"/>
          <w:marTop w:val="0"/>
          <w:marBottom w:val="0"/>
          <w:divBdr>
            <w:top w:val="none" w:sz="0" w:space="0" w:color="auto"/>
            <w:left w:val="none" w:sz="0" w:space="0" w:color="auto"/>
            <w:bottom w:val="none" w:sz="0" w:space="0" w:color="auto"/>
            <w:right w:val="none" w:sz="0" w:space="0" w:color="auto"/>
          </w:divBdr>
        </w:div>
        <w:div w:id="1655448907">
          <w:marLeft w:val="0"/>
          <w:marRight w:val="0"/>
          <w:marTop w:val="0"/>
          <w:marBottom w:val="0"/>
          <w:divBdr>
            <w:top w:val="none" w:sz="0" w:space="0" w:color="auto"/>
            <w:left w:val="none" w:sz="0" w:space="0" w:color="auto"/>
            <w:bottom w:val="none" w:sz="0" w:space="0" w:color="auto"/>
            <w:right w:val="none" w:sz="0" w:space="0" w:color="auto"/>
          </w:divBdr>
          <w:divsChild>
            <w:div w:id="2006323193">
              <w:marLeft w:val="0"/>
              <w:marRight w:val="0"/>
              <w:marTop w:val="30"/>
              <w:marBottom w:val="30"/>
              <w:divBdr>
                <w:top w:val="none" w:sz="0" w:space="0" w:color="auto"/>
                <w:left w:val="none" w:sz="0" w:space="0" w:color="auto"/>
                <w:bottom w:val="none" w:sz="0" w:space="0" w:color="auto"/>
                <w:right w:val="none" w:sz="0" w:space="0" w:color="auto"/>
              </w:divBdr>
              <w:divsChild>
                <w:div w:id="56326651">
                  <w:marLeft w:val="0"/>
                  <w:marRight w:val="0"/>
                  <w:marTop w:val="0"/>
                  <w:marBottom w:val="0"/>
                  <w:divBdr>
                    <w:top w:val="none" w:sz="0" w:space="0" w:color="auto"/>
                    <w:left w:val="none" w:sz="0" w:space="0" w:color="auto"/>
                    <w:bottom w:val="none" w:sz="0" w:space="0" w:color="auto"/>
                    <w:right w:val="none" w:sz="0" w:space="0" w:color="auto"/>
                  </w:divBdr>
                  <w:divsChild>
                    <w:div w:id="432094829">
                      <w:marLeft w:val="0"/>
                      <w:marRight w:val="0"/>
                      <w:marTop w:val="0"/>
                      <w:marBottom w:val="0"/>
                      <w:divBdr>
                        <w:top w:val="none" w:sz="0" w:space="0" w:color="auto"/>
                        <w:left w:val="none" w:sz="0" w:space="0" w:color="auto"/>
                        <w:bottom w:val="none" w:sz="0" w:space="0" w:color="auto"/>
                        <w:right w:val="none" w:sz="0" w:space="0" w:color="auto"/>
                      </w:divBdr>
                    </w:div>
                  </w:divsChild>
                </w:div>
                <w:div w:id="75711935">
                  <w:marLeft w:val="0"/>
                  <w:marRight w:val="0"/>
                  <w:marTop w:val="0"/>
                  <w:marBottom w:val="0"/>
                  <w:divBdr>
                    <w:top w:val="none" w:sz="0" w:space="0" w:color="auto"/>
                    <w:left w:val="none" w:sz="0" w:space="0" w:color="auto"/>
                    <w:bottom w:val="none" w:sz="0" w:space="0" w:color="auto"/>
                    <w:right w:val="none" w:sz="0" w:space="0" w:color="auto"/>
                  </w:divBdr>
                  <w:divsChild>
                    <w:div w:id="455757850">
                      <w:marLeft w:val="0"/>
                      <w:marRight w:val="0"/>
                      <w:marTop w:val="0"/>
                      <w:marBottom w:val="0"/>
                      <w:divBdr>
                        <w:top w:val="none" w:sz="0" w:space="0" w:color="auto"/>
                        <w:left w:val="none" w:sz="0" w:space="0" w:color="auto"/>
                        <w:bottom w:val="none" w:sz="0" w:space="0" w:color="auto"/>
                        <w:right w:val="none" w:sz="0" w:space="0" w:color="auto"/>
                      </w:divBdr>
                    </w:div>
                  </w:divsChild>
                </w:div>
                <w:div w:id="84152789">
                  <w:marLeft w:val="0"/>
                  <w:marRight w:val="0"/>
                  <w:marTop w:val="0"/>
                  <w:marBottom w:val="0"/>
                  <w:divBdr>
                    <w:top w:val="none" w:sz="0" w:space="0" w:color="auto"/>
                    <w:left w:val="none" w:sz="0" w:space="0" w:color="auto"/>
                    <w:bottom w:val="none" w:sz="0" w:space="0" w:color="auto"/>
                    <w:right w:val="none" w:sz="0" w:space="0" w:color="auto"/>
                  </w:divBdr>
                  <w:divsChild>
                    <w:div w:id="1024792177">
                      <w:marLeft w:val="0"/>
                      <w:marRight w:val="0"/>
                      <w:marTop w:val="0"/>
                      <w:marBottom w:val="0"/>
                      <w:divBdr>
                        <w:top w:val="none" w:sz="0" w:space="0" w:color="auto"/>
                        <w:left w:val="none" w:sz="0" w:space="0" w:color="auto"/>
                        <w:bottom w:val="none" w:sz="0" w:space="0" w:color="auto"/>
                        <w:right w:val="none" w:sz="0" w:space="0" w:color="auto"/>
                      </w:divBdr>
                    </w:div>
                  </w:divsChild>
                </w:div>
                <w:div w:id="153885571">
                  <w:marLeft w:val="0"/>
                  <w:marRight w:val="0"/>
                  <w:marTop w:val="0"/>
                  <w:marBottom w:val="0"/>
                  <w:divBdr>
                    <w:top w:val="none" w:sz="0" w:space="0" w:color="auto"/>
                    <w:left w:val="none" w:sz="0" w:space="0" w:color="auto"/>
                    <w:bottom w:val="none" w:sz="0" w:space="0" w:color="auto"/>
                    <w:right w:val="none" w:sz="0" w:space="0" w:color="auto"/>
                  </w:divBdr>
                  <w:divsChild>
                    <w:div w:id="466362480">
                      <w:marLeft w:val="0"/>
                      <w:marRight w:val="0"/>
                      <w:marTop w:val="0"/>
                      <w:marBottom w:val="0"/>
                      <w:divBdr>
                        <w:top w:val="none" w:sz="0" w:space="0" w:color="auto"/>
                        <w:left w:val="none" w:sz="0" w:space="0" w:color="auto"/>
                        <w:bottom w:val="none" w:sz="0" w:space="0" w:color="auto"/>
                        <w:right w:val="none" w:sz="0" w:space="0" w:color="auto"/>
                      </w:divBdr>
                    </w:div>
                  </w:divsChild>
                </w:div>
                <w:div w:id="173812902">
                  <w:marLeft w:val="0"/>
                  <w:marRight w:val="0"/>
                  <w:marTop w:val="0"/>
                  <w:marBottom w:val="0"/>
                  <w:divBdr>
                    <w:top w:val="none" w:sz="0" w:space="0" w:color="auto"/>
                    <w:left w:val="none" w:sz="0" w:space="0" w:color="auto"/>
                    <w:bottom w:val="none" w:sz="0" w:space="0" w:color="auto"/>
                    <w:right w:val="none" w:sz="0" w:space="0" w:color="auto"/>
                  </w:divBdr>
                  <w:divsChild>
                    <w:div w:id="1243561248">
                      <w:marLeft w:val="0"/>
                      <w:marRight w:val="0"/>
                      <w:marTop w:val="0"/>
                      <w:marBottom w:val="0"/>
                      <w:divBdr>
                        <w:top w:val="none" w:sz="0" w:space="0" w:color="auto"/>
                        <w:left w:val="none" w:sz="0" w:space="0" w:color="auto"/>
                        <w:bottom w:val="none" w:sz="0" w:space="0" w:color="auto"/>
                        <w:right w:val="none" w:sz="0" w:space="0" w:color="auto"/>
                      </w:divBdr>
                    </w:div>
                  </w:divsChild>
                </w:div>
                <w:div w:id="205794483">
                  <w:marLeft w:val="0"/>
                  <w:marRight w:val="0"/>
                  <w:marTop w:val="0"/>
                  <w:marBottom w:val="0"/>
                  <w:divBdr>
                    <w:top w:val="none" w:sz="0" w:space="0" w:color="auto"/>
                    <w:left w:val="none" w:sz="0" w:space="0" w:color="auto"/>
                    <w:bottom w:val="none" w:sz="0" w:space="0" w:color="auto"/>
                    <w:right w:val="none" w:sz="0" w:space="0" w:color="auto"/>
                  </w:divBdr>
                  <w:divsChild>
                    <w:div w:id="393160383">
                      <w:marLeft w:val="0"/>
                      <w:marRight w:val="0"/>
                      <w:marTop w:val="0"/>
                      <w:marBottom w:val="0"/>
                      <w:divBdr>
                        <w:top w:val="none" w:sz="0" w:space="0" w:color="auto"/>
                        <w:left w:val="none" w:sz="0" w:space="0" w:color="auto"/>
                        <w:bottom w:val="none" w:sz="0" w:space="0" w:color="auto"/>
                        <w:right w:val="none" w:sz="0" w:space="0" w:color="auto"/>
                      </w:divBdr>
                    </w:div>
                  </w:divsChild>
                </w:div>
                <w:div w:id="237596008">
                  <w:marLeft w:val="0"/>
                  <w:marRight w:val="0"/>
                  <w:marTop w:val="0"/>
                  <w:marBottom w:val="0"/>
                  <w:divBdr>
                    <w:top w:val="none" w:sz="0" w:space="0" w:color="auto"/>
                    <w:left w:val="none" w:sz="0" w:space="0" w:color="auto"/>
                    <w:bottom w:val="none" w:sz="0" w:space="0" w:color="auto"/>
                    <w:right w:val="none" w:sz="0" w:space="0" w:color="auto"/>
                  </w:divBdr>
                  <w:divsChild>
                    <w:div w:id="1732384903">
                      <w:marLeft w:val="0"/>
                      <w:marRight w:val="0"/>
                      <w:marTop w:val="0"/>
                      <w:marBottom w:val="0"/>
                      <w:divBdr>
                        <w:top w:val="none" w:sz="0" w:space="0" w:color="auto"/>
                        <w:left w:val="none" w:sz="0" w:space="0" w:color="auto"/>
                        <w:bottom w:val="none" w:sz="0" w:space="0" w:color="auto"/>
                        <w:right w:val="none" w:sz="0" w:space="0" w:color="auto"/>
                      </w:divBdr>
                    </w:div>
                  </w:divsChild>
                </w:div>
                <w:div w:id="263072296">
                  <w:marLeft w:val="0"/>
                  <w:marRight w:val="0"/>
                  <w:marTop w:val="0"/>
                  <w:marBottom w:val="0"/>
                  <w:divBdr>
                    <w:top w:val="none" w:sz="0" w:space="0" w:color="auto"/>
                    <w:left w:val="none" w:sz="0" w:space="0" w:color="auto"/>
                    <w:bottom w:val="none" w:sz="0" w:space="0" w:color="auto"/>
                    <w:right w:val="none" w:sz="0" w:space="0" w:color="auto"/>
                  </w:divBdr>
                  <w:divsChild>
                    <w:div w:id="1664508645">
                      <w:marLeft w:val="0"/>
                      <w:marRight w:val="0"/>
                      <w:marTop w:val="0"/>
                      <w:marBottom w:val="0"/>
                      <w:divBdr>
                        <w:top w:val="none" w:sz="0" w:space="0" w:color="auto"/>
                        <w:left w:val="none" w:sz="0" w:space="0" w:color="auto"/>
                        <w:bottom w:val="none" w:sz="0" w:space="0" w:color="auto"/>
                        <w:right w:val="none" w:sz="0" w:space="0" w:color="auto"/>
                      </w:divBdr>
                    </w:div>
                  </w:divsChild>
                </w:div>
                <w:div w:id="317617785">
                  <w:marLeft w:val="0"/>
                  <w:marRight w:val="0"/>
                  <w:marTop w:val="0"/>
                  <w:marBottom w:val="0"/>
                  <w:divBdr>
                    <w:top w:val="none" w:sz="0" w:space="0" w:color="auto"/>
                    <w:left w:val="none" w:sz="0" w:space="0" w:color="auto"/>
                    <w:bottom w:val="none" w:sz="0" w:space="0" w:color="auto"/>
                    <w:right w:val="none" w:sz="0" w:space="0" w:color="auto"/>
                  </w:divBdr>
                  <w:divsChild>
                    <w:div w:id="1642690175">
                      <w:marLeft w:val="0"/>
                      <w:marRight w:val="0"/>
                      <w:marTop w:val="0"/>
                      <w:marBottom w:val="0"/>
                      <w:divBdr>
                        <w:top w:val="none" w:sz="0" w:space="0" w:color="auto"/>
                        <w:left w:val="none" w:sz="0" w:space="0" w:color="auto"/>
                        <w:bottom w:val="none" w:sz="0" w:space="0" w:color="auto"/>
                        <w:right w:val="none" w:sz="0" w:space="0" w:color="auto"/>
                      </w:divBdr>
                    </w:div>
                  </w:divsChild>
                </w:div>
                <w:div w:id="318727888">
                  <w:marLeft w:val="0"/>
                  <w:marRight w:val="0"/>
                  <w:marTop w:val="0"/>
                  <w:marBottom w:val="0"/>
                  <w:divBdr>
                    <w:top w:val="none" w:sz="0" w:space="0" w:color="auto"/>
                    <w:left w:val="none" w:sz="0" w:space="0" w:color="auto"/>
                    <w:bottom w:val="none" w:sz="0" w:space="0" w:color="auto"/>
                    <w:right w:val="none" w:sz="0" w:space="0" w:color="auto"/>
                  </w:divBdr>
                  <w:divsChild>
                    <w:div w:id="796220943">
                      <w:marLeft w:val="0"/>
                      <w:marRight w:val="0"/>
                      <w:marTop w:val="0"/>
                      <w:marBottom w:val="0"/>
                      <w:divBdr>
                        <w:top w:val="none" w:sz="0" w:space="0" w:color="auto"/>
                        <w:left w:val="none" w:sz="0" w:space="0" w:color="auto"/>
                        <w:bottom w:val="none" w:sz="0" w:space="0" w:color="auto"/>
                        <w:right w:val="none" w:sz="0" w:space="0" w:color="auto"/>
                      </w:divBdr>
                    </w:div>
                  </w:divsChild>
                </w:div>
                <w:div w:id="396444090">
                  <w:marLeft w:val="0"/>
                  <w:marRight w:val="0"/>
                  <w:marTop w:val="0"/>
                  <w:marBottom w:val="0"/>
                  <w:divBdr>
                    <w:top w:val="none" w:sz="0" w:space="0" w:color="auto"/>
                    <w:left w:val="none" w:sz="0" w:space="0" w:color="auto"/>
                    <w:bottom w:val="none" w:sz="0" w:space="0" w:color="auto"/>
                    <w:right w:val="none" w:sz="0" w:space="0" w:color="auto"/>
                  </w:divBdr>
                  <w:divsChild>
                    <w:div w:id="186212633">
                      <w:marLeft w:val="0"/>
                      <w:marRight w:val="0"/>
                      <w:marTop w:val="0"/>
                      <w:marBottom w:val="0"/>
                      <w:divBdr>
                        <w:top w:val="none" w:sz="0" w:space="0" w:color="auto"/>
                        <w:left w:val="none" w:sz="0" w:space="0" w:color="auto"/>
                        <w:bottom w:val="none" w:sz="0" w:space="0" w:color="auto"/>
                        <w:right w:val="none" w:sz="0" w:space="0" w:color="auto"/>
                      </w:divBdr>
                    </w:div>
                  </w:divsChild>
                </w:div>
                <w:div w:id="405147057">
                  <w:marLeft w:val="0"/>
                  <w:marRight w:val="0"/>
                  <w:marTop w:val="0"/>
                  <w:marBottom w:val="0"/>
                  <w:divBdr>
                    <w:top w:val="none" w:sz="0" w:space="0" w:color="auto"/>
                    <w:left w:val="none" w:sz="0" w:space="0" w:color="auto"/>
                    <w:bottom w:val="none" w:sz="0" w:space="0" w:color="auto"/>
                    <w:right w:val="none" w:sz="0" w:space="0" w:color="auto"/>
                  </w:divBdr>
                  <w:divsChild>
                    <w:div w:id="757865131">
                      <w:marLeft w:val="0"/>
                      <w:marRight w:val="0"/>
                      <w:marTop w:val="0"/>
                      <w:marBottom w:val="0"/>
                      <w:divBdr>
                        <w:top w:val="none" w:sz="0" w:space="0" w:color="auto"/>
                        <w:left w:val="none" w:sz="0" w:space="0" w:color="auto"/>
                        <w:bottom w:val="none" w:sz="0" w:space="0" w:color="auto"/>
                        <w:right w:val="none" w:sz="0" w:space="0" w:color="auto"/>
                      </w:divBdr>
                    </w:div>
                  </w:divsChild>
                </w:div>
                <w:div w:id="435751332">
                  <w:marLeft w:val="0"/>
                  <w:marRight w:val="0"/>
                  <w:marTop w:val="0"/>
                  <w:marBottom w:val="0"/>
                  <w:divBdr>
                    <w:top w:val="none" w:sz="0" w:space="0" w:color="auto"/>
                    <w:left w:val="none" w:sz="0" w:space="0" w:color="auto"/>
                    <w:bottom w:val="none" w:sz="0" w:space="0" w:color="auto"/>
                    <w:right w:val="none" w:sz="0" w:space="0" w:color="auto"/>
                  </w:divBdr>
                  <w:divsChild>
                    <w:div w:id="1814444113">
                      <w:marLeft w:val="0"/>
                      <w:marRight w:val="0"/>
                      <w:marTop w:val="0"/>
                      <w:marBottom w:val="0"/>
                      <w:divBdr>
                        <w:top w:val="none" w:sz="0" w:space="0" w:color="auto"/>
                        <w:left w:val="none" w:sz="0" w:space="0" w:color="auto"/>
                        <w:bottom w:val="none" w:sz="0" w:space="0" w:color="auto"/>
                        <w:right w:val="none" w:sz="0" w:space="0" w:color="auto"/>
                      </w:divBdr>
                    </w:div>
                  </w:divsChild>
                </w:div>
                <w:div w:id="689374685">
                  <w:marLeft w:val="0"/>
                  <w:marRight w:val="0"/>
                  <w:marTop w:val="0"/>
                  <w:marBottom w:val="0"/>
                  <w:divBdr>
                    <w:top w:val="none" w:sz="0" w:space="0" w:color="auto"/>
                    <w:left w:val="none" w:sz="0" w:space="0" w:color="auto"/>
                    <w:bottom w:val="none" w:sz="0" w:space="0" w:color="auto"/>
                    <w:right w:val="none" w:sz="0" w:space="0" w:color="auto"/>
                  </w:divBdr>
                  <w:divsChild>
                    <w:div w:id="1172841475">
                      <w:marLeft w:val="0"/>
                      <w:marRight w:val="0"/>
                      <w:marTop w:val="0"/>
                      <w:marBottom w:val="0"/>
                      <w:divBdr>
                        <w:top w:val="none" w:sz="0" w:space="0" w:color="auto"/>
                        <w:left w:val="none" w:sz="0" w:space="0" w:color="auto"/>
                        <w:bottom w:val="none" w:sz="0" w:space="0" w:color="auto"/>
                        <w:right w:val="none" w:sz="0" w:space="0" w:color="auto"/>
                      </w:divBdr>
                    </w:div>
                  </w:divsChild>
                </w:div>
                <w:div w:id="698238510">
                  <w:marLeft w:val="0"/>
                  <w:marRight w:val="0"/>
                  <w:marTop w:val="0"/>
                  <w:marBottom w:val="0"/>
                  <w:divBdr>
                    <w:top w:val="none" w:sz="0" w:space="0" w:color="auto"/>
                    <w:left w:val="none" w:sz="0" w:space="0" w:color="auto"/>
                    <w:bottom w:val="none" w:sz="0" w:space="0" w:color="auto"/>
                    <w:right w:val="none" w:sz="0" w:space="0" w:color="auto"/>
                  </w:divBdr>
                  <w:divsChild>
                    <w:div w:id="2107729157">
                      <w:marLeft w:val="0"/>
                      <w:marRight w:val="0"/>
                      <w:marTop w:val="0"/>
                      <w:marBottom w:val="0"/>
                      <w:divBdr>
                        <w:top w:val="none" w:sz="0" w:space="0" w:color="auto"/>
                        <w:left w:val="none" w:sz="0" w:space="0" w:color="auto"/>
                        <w:bottom w:val="none" w:sz="0" w:space="0" w:color="auto"/>
                        <w:right w:val="none" w:sz="0" w:space="0" w:color="auto"/>
                      </w:divBdr>
                    </w:div>
                  </w:divsChild>
                </w:div>
                <w:div w:id="738014159">
                  <w:marLeft w:val="0"/>
                  <w:marRight w:val="0"/>
                  <w:marTop w:val="0"/>
                  <w:marBottom w:val="0"/>
                  <w:divBdr>
                    <w:top w:val="none" w:sz="0" w:space="0" w:color="auto"/>
                    <w:left w:val="none" w:sz="0" w:space="0" w:color="auto"/>
                    <w:bottom w:val="none" w:sz="0" w:space="0" w:color="auto"/>
                    <w:right w:val="none" w:sz="0" w:space="0" w:color="auto"/>
                  </w:divBdr>
                  <w:divsChild>
                    <w:div w:id="39087736">
                      <w:marLeft w:val="0"/>
                      <w:marRight w:val="0"/>
                      <w:marTop w:val="0"/>
                      <w:marBottom w:val="0"/>
                      <w:divBdr>
                        <w:top w:val="none" w:sz="0" w:space="0" w:color="auto"/>
                        <w:left w:val="none" w:sz="0" w:space="0" w:color="auto"/>
                        <w:bottom w:val="none" w:sz="0" w:space="0" w:color="auto"/>
                        <w:right w:val="none" w:sz="0" w:space="0" w:color="auto"/>
                      </w:divBdr>
                    </w:div>
                  </w:divsChild>
                </w:div>
                <w:div w:id="747003191">
                  <w:marLeft w:val="0"/>
                  <w:marRight w:val="0"/>
                  <w:marTop w:val="0"/>
                  <w:marBottom w:val="0"/>
                  <w:divBdr>
                    <w:top w:val="none" w:sz="0" w:space="0" w:color="auto"/>
                    <w:left w:val="none" w:sz="0" w:space="0" w:color="auto"/>
                    <w:bottom w:val="none" w:sz="0" w:space="0" w:color="auto"/>
                    <w:right w:val="none" w:sz="0" w:space="0" w:color="auto"/>
                  </w:divBdr>
                  <w:divsChild>
                    <w:div w:id="1035161053">
                      <w:marLeft w:val="0"/>
                      <w:marRight w:val="0"/>
                      <w:marTop w:val="0"/>
                      <w:marBottom w:val="0"/>
                      <w:divBdr>
                        <w:top w:val="none" w:sz="0" w:space="0" w:color="auto"/>
                        <w:left w:val="none" w:sz="0" w:space="0" w:color="auto"/>
                        <w:bottom w:val="none" w:sz="0" w:space="0" w:color="auto"/>
                        <w:right w:val="none" w:sz="0" w:space="0" w:color="auto"/>
                      </w:divBdr>
                    </w:div>
                  </w:divsChild>
                </w:div>
                <w:div w:id="749237165">
                  <w:marLeft w:val="0"/>
                  <w:marRight w:val="0"/>
                  <w:marTop w:val="0"/>
                  <w:marBottom w:val="0"/>
                  <w:divBdr>
                    <w:top w:val="none" w:sz="0" w:space="0" w:color="auto"/>
                    <w:left w:val="none" w:sz="0" w:space="0" w:color="auto"/>
                    <w:bottom w:val="none" w:sz="0" w:space="0" w:color="auto"/>
                    <w:right w:val="none" w:sz="0" w:space="0" w:color="auto"/>
                  </w:divBdr>
                  <w:divsChild>
                    <w:div w:id="1670323767">
                      <w:marLeft w:val="0"/>
                      <w:marRight w:val="0"/>
                      <w:marTop w:val="0"/>
                      <w:marBottom w:val="0"/>
                      <w:divBdr>
                        <w:top w:val="none" w:sz="0" w:space="0" w:color="auto"/>
                        <w:left w:val="none" w:sz="0" w:space="0" w:color="auto"/>
                        <w:bottom w:val="none" w:sz="0" w:space="0" w:color="auto"/>
                        <w:right w:val="none" w:sz="0" w:space="0" w:color="auto"/>
                      </w:divBdr>
                    </w:div>
                  </w:divsChild>
                </w:div>
                <w:div w:id="752513823">
                  <w:marLeft w:val="0"/>
                  <w:marRight w:val="0"/>
                  <w:marTop w:val="0"/>
                  <w:marBottom w:val="0"/>
                  <w:divBdr>
                    <w:top w:val="none" w:sz="0" w:space="0" w:color="auto"/>
                    <w:left w:val="none" w:sz="0" w:space="0" w:color="auto"/>
                    <w:bottom w:val="none" w:sz="0" w:space="0" w:color="auto"/>
                    <w:right w:val="none" w:sz="0" w:space="0" w:color="auto"/>
                  </w:divBdr>
                  <w:divsChild>
                    <w:div w:id="1669333870">
                      <w:marLeft w:val="0"/>
                      <w:marRight w:val="0"/>
                      <w:marTop w:val="0"/>
                      <w:marBottom w:val="0"/>
                      <w:divBdr>
                        <w:top w:val="none" w:sz="0" w:space="0" w:color="auto"/>
                        <w:left w:val="none" w:sz="0" w:space="0" w:color="auto"/>
                        <w:bottom w:val="none" w:sz="0" w:space="0" w:color="auto"/>
                        <w:right w:val="none" w:sz="0" w:space="0" w:color="auto"/>
                      </w:divBdr>
                    </w:div>
                  </w:divsChild>
                </w:div>
                <w:div w:id="839657789">
                  <w:marLeft w:val="0"/>
                  <w:marRight w:val="0"/>
                  <w:marTop w:val="0"/>
                  <w:marBottom w:val="0"/>
                  <w:divBdr>
                    <w:top w:val="none" w:sz="0" w:space="0" w:color="auto"/>
                    <w:left w:val="none" w:sz="0" w:space="0" w:color="auto"/>
                    <w:bottom w:val="none" w:sz="0" w:space="0" w:color="auto"/>
                    <w:right w:val="none" w:sz="0" w:space="0" w:color="auto"/>
                  </w:divBdr>
                  <w:divsChild>
                    <w:div w:id="472646591">
                      <w:marLeft w:val="0"/>
                      <w:marRight w:val="0"/>
                      <w:marTop w:val="0"/>
                      <w:marBottom w:val="0"/>
                      <w:divBdr>
                        <w:top w:val="none" w:sz="0" w:space="0" w:color="auto"/>
                        <w:left w:val="none" w:sz="0" w:space="0" w:color="auto"/>
                        <w:bottom w:val="none" w:sz="0" w:space="0" w:color="auto"/>
                        <w:right w:val="none" w:sz="0" w:space="0" w:color="auto"/>
                      </w:divBdr>
                    </w:div>
                  </w:divsChild>
                </w:div>
                <w:div w:id="844711628">
                  <w:marLeft w:val="0"/>
                  <w:marRight w:val="0"/>
                  <w:marTop w:val="0"/>
                  <w:marBottom w:val="0"/>
                  <w:divBdr>
                    <w:top w:val="none" w:sz="0" w:space="0" w:color="auto"/>
                    <w:left w:val="none" w:sz="0" w:space="0" w:color="auto"/>
                    <w:bottom w:val="none" w:sz="0" w:space="0" w:color="auto"/>
                    <w:right w:val="none" w:sz="0" w:space="0" w:color="auto"/>
                  </w:divBdr>
                  <w:divsChild>
                    <w:div w:id="1725526495">
                      <w:marLeft w:val="0"/>
                      <w:marRight w:val="0"/>
                      <w:marTop w:val="0"/>
                      <w:marBottom w:val="0"/>
                      <w:divBdr>
                        <w:top w:val="none" w:sz="0" w:space="0" w:color="auto"/>
                        <w:left w:val="none" w:sz="0" w:space="0" w:color="auto"/>
                        <w:bottom w:val="none" w:sz="0" w:space="0" w:color="auto"/>
                        <w:right w:val="none" w:sz="0" w:space="0" w:color="auto"/>
                      </w:divBdr>
                    </w:div>
                  </w:divsChild>
                </w:div>
                <w:div w:id="880046495">
                  <w:marLeft w:val="0"/>
                  <w:marRight w:val="0"/>
                  <w:marTop w:val="0"/>
                  <w:marBottom w:val="0"/>
                  <w:divBdr>
                    <w:top w:val="none" w:sz="0" w:space="0" w:color="auto"/>
                    <w:left w:val="none" w:sz="0" w:space="0" w:color="auto"/>
                    <w:bottom w:val="none" w:sz="0" w:space="0" w:color="auto"/>
                    <w:right w:val="none" w:sz="0" w:space="0" w:color="auto"/>
                  </w:divBdr>
                  <w:divsChild>
                    <w:div w:id="976032240">
                      <w:marLeft w:val="0"/>
                      <w:marRight w:val="0"/>
                      <w:marTop w:val="0"/>
                      <w:marBottom w:val="0"/>
                      <w:divBdr>
                        <w:top w:val="none" w:sz="0" w:space="0" w:color="auto"/>
                        <w:left w:val="none" w:sz="0" w:space="0" w:color="auto"/>
                        <w:bottom w:val="none" w:sz="0" w:space="0" w:color="auto"/>
                        <w:right w:val="none" w:sz="0" w:space="0" w:color="auto"/>
                      </w:divBdr>
                    </w:div>
                  </w:divsChild>
                </w:div>
                <w:div w:id="907959352">
                  <w:marLeft w:val="0"/>
                  <w:marRight w:val="0"/>
                  <w:marTop w:val="0"/>
                  <w:marBottom w:val="0"/>
                  <w:divBdr>
                    <w:top w:val="none" w:sz="0" w:space="0" w:color="auto"/>
                    <w:left w:val="none" w:sz="0" w:space="0" w:color="auto"/>
                    <w:bottom w:val="none" w:sz="0" w:space="0" w:color="auto"/>
                    <w:right w:val="none" w:sz="0" w:space="0" w:color="auto"/>
                  </w:divBdr>
                  <w:divsChild>
                    <w:div w:id="1961643378">
                      <w:marLeft w:val="0"/>
                      <w:marRight w:val="0"/>
                      <w:marTop w:val="0"/>
                      <w:marBottom w:val="0"/>
                      <w:divBdr>
                        <w:top w:val="none" w:sz="0" w:space="0" w:color="auto"/>
                        <w:left w:val="none" w:sz="0" w:space="0" w:color="auto"/>
                        <w:bottom w:val="none" w:sz="0" w:space="0" w:color="auto"/>
                        <w:right w:val="none" w:sz="0" w:space="0" w:color="auto"/>
                      </w:divBdr>
                    </w:div>
                  </w:divsChild>
                </w:div>
                <w:div w:id="995107215">
                  <w:marLeft w:val="0"/>
                  <w:marRight w:val="0"/>
                  <w:marTop w:val="0"/>
                  <w:marBottom w:val="0"/>
                  <w:divBdr>
                    <w:top w:val="none" w:sz="0" w:space="0" w:color="auto"/>
                    <w:left w:val="none" w:sz="0" w:space="0" w:color="auto"/>
                    <w:bottom w:val="none" w:sz="0" w:space="0" w:color="auto"/>
                    <w:right w:val="none" w:sz="0" w:space="0" w:color="auto"/>
                  </w:divBdr>
                  <w:divsChild>
                    <w:div w:id="1604917595">
                      <w:marLeft w:val="0"/>
                      <w:marRight w:val="0"/>
                      <w:marTop w:val="0"/>
                      <w:marBottom w:val="0"/>
                      <w:divBdr>
                        <w:top w:val="none" w:sz="0" w:space="0" w:color="auto"/>
                        <w:left w:val="none" w:sz="0" w:space="0" w:color="auto"/>
                        <w:bottom w:val="none" w:sz="0" w:space="0" w:color="auto"/>
                        <w:right w:val="none" w:sz="0" w:space="0" w:color="auto"/>
                      </w:divBdr>
                    </w:div>
                  </w:divsChild>
                </w:div>
                <w:div w:id="995458633">
                  <w:marLeft w:val="0"/>
                  <w:marRight w:val="0"/>
                  <w:marTop w:val="0"/>
                  <w:marBottom w:val="0"/>
                  <w:divBdr>
                    <w:top w:val="none" w:sz="0" w:space="0" w:color="auto"/>
                    <w:left w:val="none" w:sz="0" w:space="0" w:color="auto"/>
                    <w:bottom w:val="none" w:sz="0" w:space="0" w:color="auto"/>
                    <w:right w:val="none" w:sz="0" w:space="0" w:color="auto"/>
                  </w:divBdr>
                  <w:divsChild>
                    <w:div w:id="864949808">
                      <w:marLeft w:val="0"/>
                      <w:marRight w:val="0"/>
                      <w:marTop w:val="0"/>
                      <w:marBottom w:val="0"/>
                      <w:divBdr>
                        <w:top w:val="none" w:sz="0" w:space="0" w:color="auto"/>
                        <w:left w:val="none" w:sz="0" w:space="0" w:color="auto"/>
                        <w:bottom w:val="none" w:sz="0" w:space="0" w:color="auto"/>
                        <w:right w:val="none" w:sz="0" w:space="0" w:color="auto"/>
                      </w:divBdr>
                    </w:div>
                  </w:divsChild>
                </w:div>
                <w:div w:id="1011642001">
                  <w:marLeft w:val="0"/>
                  <w:marRight w:val="0"/>
                  <w:marTop w:val="0"/>
                  <w:marBottom w:val="0"/>
                  <w:divBdr>
                    <w:top w:val="none" w:sz="0" w:space="0" w:color="auto"/>
                    <w:left w:val="none" w:sz="0" w:space="0" w:color="auto"/>
                    <w:bottom w:val="none" w:sz="0" w:space="0" w:color="auto"/>
                    <w:right w:val="none" w:sz="0" w:space="0" w:color="auto"/>
                  </w:divBdr>
                  <w:divsChild>
                    <w:div w:id="1032537248">
                      <w:marLeft w:val="0"/>
                      <w:marRight w:val="0"/>
                      <w:marTop w:val="0"/>
                      <w:marBottom w:val="0"/>
                      <w:divBdr>
                        <w:top w:val="none" w:sz="0" w:space="0" w:color="auto"/>
                        <w:left w:val="none" w:sz="0" w:space="0" w:color="auto"/>
                        <w:bottom w:val="none" w:sz="0" w:space="0" w:color="auto"/>
                        <w:right w:val="none" w:sz="0" w:space="0" w:color="auto"/>
                      </w:divBdr>
                    </w:div>
                  </w:divsChild>
                </w:div>
                <w:div w:id="1018043981">
                  <w:marLeft w:val="0"/>
                  <w:marRight w:val="0"/>
                  <w:marTop w:val="0"/>
                  <w:marBottom w:val="0"/>
                  <w:divBdr>
                    <w:top w:val="none" w:sz="0" w:space="0" w:color="auto"/>
                    <w:left w:val="none" w:sz="0" w:space="0" w:color="auto"/>
                    <w:bottom w:val="none" w:sz="0" w:space="0" w:color="auto"/>
                    <w:right w:val="none" w:sz="0" w:space="0" w:color="auto"/>
                  </w:divBdr>
                  <w:divsChild>
                    <w:div w:id="1805075372">
                      <w:marLeft w:val="0"/>
                      <w:marRight w:val="0"/>
                      <w:marTop w:val="0"/>
                      <w:marBottom w:val="0"/>
                      <w:divBdr>
                        <w:top w:val="none" w:sz="0" w:space="0" w:color="auto"/>
                        <w:left w:val="none" w:sz="0" w:space="0" w:color="auto"/>
                        <w:bottom w:val="none" w:sz="0" w:space="0" w:color="auto"/>
                        <w:right w:val="none" w:sz="0" w:space="0" w:color="auto"/>
                      </w:divBdr>
                    </w:div>
                  </w:divsChild>
                </w:div>
                <w:div w:id="1021977001">
                  <w:marLeft w:val="0"/>
                  <w:marRight w:val="0"/>
                  <w:marTop w:val="0"/>
                  <w:marBottom w:val="0"/>
                  <w:divBdr>
                    <w:top w:val="none" w:sz="0" w:space="0" w:color="auto"/>
                    <w:left w:val="none" w:sz="0" w:space="0" w:color="auto"/>
                    <w:bottom w:val="none" w:sz="0" w:space="0" w:color="auto"/>
                    <w:right w:val="none" w:sz="0" w:space="0" w:color="auto"/>
                  </w:divBdr>
                  <w:divsChild>
                    <w:div w:id="278726881">
                      <w:marLeft w:val="0"/>
                      <w:marRight w:val="0"/>
                      <w:marTop w:val="0"/>
                      <w:marBottom w:val="0"/>
                      <w:divBdr>
                        <w:top w:val="none" w:sz="0" w:space="0" w:color="auto"/>
                        <w:left w:val="none" w:sz="0" w:space="0" w:color="auto"/>
                        <w:bottom w:val="none" w:sz="0" w:space="0" w:color="auto"/>
                        <w:right w:val="none" w:sz="0" w:space="0" w:color="auto"/>
                      </w:divBdr>
                    </w:div>
                  </w:divsChild>
                </w:div>
                <w:div w:id="1032657516">
                  <w:marLeft w:val="0"/>
                  <w:marRight w:val="0"/>
                  <w:marTop w:val="0"/>
                  <w:marBottom w:val="0"/>
                  <w:divBdr>
                    <w:top w:val="none" w:sz="0" w:space="0" w:color="auto"/>
                    <w:left w:val="none" w:sz="0" w:space="0" w:color="auto"/>
                    <w:bottom w:val="none" w:sz="0" w:space="0" w:color="auto"/>
                    <w:right w:val="none" w:sz="0" w:space="0" w:color="auto"/>
                  </w:divBdr>
                  <w:divsChild>
                    <w:div w:id="296493270">
                      <w:marLeft w:val="0"/>
                      <w:marRight w:val="0"/>
                      <w:marTop w:val="0"/>
                      <w:marBottom w:val="0"/>
                      <w:divBdr>
                        <w:top w:val="none" w:sz="0" w:space="0" w:color="auto"/>
                        <w:left w:val="none" w:sz="0" w:space="0" w:color="auto"/>
                        <w:bottom w:val="none" w:sz="0" w:space="0" w:color="auto"/>
                        <w:right w:val="none" w:sz="0" w:space="0" w:color="auto"/>
                      </w:divBdr>
                    </w:div>
                  </w:divsChild>
                </w:div>
                <w:div w:id="1054237559">
                  <w:marLeft w:val="0"/>
                  <w:marRight w:val="0"/>
                  <w:marTop w:val="0"/>
                  <w:marBottom w:val="0"/>
                  <w:divBdr>
                    <w:top w:val="none" w:sz="0" w:space="0" w:color="auto"/>
                    <w:left w:val="none" w:sz="0" w:space="0" w:color="auto"/>
                    <w:bottom w:val="none" w:sz="0" w:space="0" w:color="auto"/>
                    <w:right w:val="none" w:sz="0" w:space="0" w:color="auto"/>
                  </w:divBdr>
                  <w:divsChild>
                    <w:div w:id="1134829088">
                      <w:marLeft w:val="0"/>
                      <w:marRight w:val="0"/>
                      <w:marTop w:val="0"/>
                      <w:marBottom w:val="0"/>
                      <w:divBdr>
                        <w:top w:val="none" w:sz="0" w:space="0" w:color="auto"/>
                        <w:left w:val="none" w:sz="0" w:space="0" w:color="auto"/>
                        <w:bottom w:val="none" w:sz="0" w:space="0" w:color="auto"/>
                        <w:right w:val="none" w:sz="0" w:space="0" w:color="auto"/>
                      </w:divBdr>
                    </w:div>
                  </w:divsChild>
                </w:div>
                <w:div w:id="1073549776">
                  <w:marLeft w:val="0"/>
                  <w:marRight w:val="0"/>
                  <w:marTop w:val="0"/>
                  <w:marBottom w:val="0"/>
                  <w:divBdr>
                    <w:top w:val="none" w:sz="0" w:space="0" w:color="auto"/>
                    <w:left w:val="none" w:sz="0" w:space="0" w:color="auto"/>
                    <w:bottom w:val="none" w:sz="0" w:space="0" w:color="auto"/>
                    <w:right w:val="none" w:sz="0" w:space="0" w:color="auto"/>
                  </w:divBdr>
                  <w:divsChild>
                    <w:div w:id="560797843">
                      <w:marLeft w:val="0"/>
                      <w:marRight w:val="0"/>
                      <w:marTop w:val="0"/>
                      <w:marBottom w:val="0"/>
                      <w:divBdr>
                        <w:top w:val="none" w:sz="0" w:space="0" w:color="auto"/>
                        <w:left w:val="none" w:sz="0" w:space="0" w:color="auto"/>
                        <w:bottom w:val="none" w:sz="0" w:space="0" w:color="auto"/>
                        <w:right w:val="none" w:sz="0" w:space="0" w:color="auto"/>
                      </w:divBdr>
                    </w:div>
                  </w:divsChild>
                </w:div>
                <w:div w:id="1094398791">
                  <w:marLeft w:val="0"/>
                  <w:marRight w:val="0"/>
                  <w:marTop w:val="0"/>
                  <w:marBottom w:val="0"/>
                  <w:divBdr>
                    <w:top w:val="none" w:sz="0" w:space="0" w:color="auto"/>
                    <w:left w:val="none" w:sz="0" w:space="0" w:color="auto"/>
                    <w:bottom w:val="none" w:sz="0" w:space="0" w:color="auto"/>
                    <w:right w:val="none" w:sz="0" w:space="0" w:color="auto"/>
                  </w:divBdr>
                  <w:divsChild>
                    <w:div w:id="2058972723">
                      <w:marLeft w:val="0"/>
                      <w:marRight w:val="0"/>
                      <w:marTop w:val="0"/>
                      <w:marBottom w:val="0"/>
                      <w:divBdr>
                        <w:top w:val="none" w:sz="0" w:space="0" w:color="auto"/>
                        <w:left w:val="none" w:sz="0" w:space="0" w:color="auto"/>
                        <w:bottom w:val="none" w:sz="0" w:space="0" w:color="auto"/>
                        <w:right w:val="none" w:sz="0" w:space="0" w:color="auto"/>
                      </w:divBdr>
                    </w:div>
                  </w:divsChild>
                </w:div>
                <w:div w:id="1131703342">
                  <w:marLeft w:val="0"/>
                  <w:marRight w:val="0"/>
                  <w:marTop w:val="0"/>
                  <w:marBottom w:val="0"/>
                  <w:divBdr>
                    <w:top w:val="none" w:sz="0" w:space="0" w:color="auto"/>
                    <w:left w:val="none" w:sz="0" w:space="0" w:color="auto"/>
                    <w:bottom w:val="none" w:sz="0" w:space="0" w:color="auto"/>
                    <w:right w:val="none" w:sz="0" w:space="0" w:color="auto"/>
                  </w:divBdr>
                  <w:divsChild>
                    <w:div w:id="885870613">
                      <w:marLeft w:val="0"/>
                      <w:marRight w:val="0"/>
                      <w:marTop w:val="0"/>
                      <w:marBottom w:val="0"/>
                      <w:divBdr>
                        <w:top w:val="none" w:sz="0" w:space="0" w:color="auto"/>
                        <w:left w:val="none" w:sz="0" w:space="0" w:color="auto"/>
                        <w:bottom w:val="none" w:sz="0" w:space="0" w:color="auto"/>
                        <w:right w:val="none" w:sz="0" w:space="0" w:color="auto"/>
                      </w:divBdr>
                    </w:div>
                  </w:divsChild>
                </w:div>
                <w:div w:id="1136995560">
                  <w:marLeft w:val="0"/>
                  <w:marRight w:val="0"/>
                  <w:marTop w:val="0"/>
                  <w:marBottom w:val="0"/>
                  <w:divBdr>
                    <w:top w:val="none" w:sz="0" w:space="0" w:color="auto"/>
                    <w:left w:val="none" w:sz="0" w:space="0" w:color="auto"/>
                    <w:bottom w:val="none" w:sz="0" w:space="0" w:color="auto"/>
                    <w:right w:val="none" w:sz="0" w:space="0" w:color="auto"/>
                  </w:divBdr>
                  <w:divsChild>
                    <w:div w:id="1519195339">
                      <w:marLeft w:val="0"/>
                      <w:marRight w:val="0"/>
                      <w:marTop w:val="0"/>
                      <w:marBottom w:val="0"/>
                      <w:divBdr>
                        <w:top w:val="none" w:sz="0" w:space="0" w:color="auto"/>
                        <w:left w:val="none" w:sz="0" w:space="0" w:color="auto"/>
                        <w:bottom w:val="none" w:sz="0" w:space="0" w:color="auto"/>
                        <w:right w:val="none" w:sz="0" w:space="0" w:color="auto"/>
                      </w:divBdr>
                    </w:div>
                  </w:divsChild>
                </w:div>
                <w:div w:id="1144929703">
                  <w:marLeft w:val="0"/>
                  <w:marRight w:val="0"/>
                  <w:marTop w:val="0"/>
                  <w:marBottom w:val="0"/>
                  <w:divBdr>
                    <w:top w:val="none" w:sz="0" w:space="0" w:color="auto"/>
                    <w:left w:val="none" w:sz="0" w:space="0" w:color="auto"/>
                    <w:bottom w:val="none" w:sz="0" w:space="0" w:color="auto"/>
                    <w:right w:val="none" w:sz="0" w:space="0" w:color="auto"/>
                  </w:divBdr>
                  <w:divsChild>
                    <w:div w:id="1402602491">
                      <w:marLeft w:val="0"/>
                      <w:marRight w:val="0"/>
                      <w:marTop w:val="0"/>
                      <w:marBottom w:val="0"/>
                      <w:divBdr>
                        <w:top w:val="none" w:sz="0" w:space="0" w:color="auto"/>
                        <w:left w:val="none" w:sz="0" w:space="0" w:color="auto"/>
                        <w:bottom w:val="none" w:sz="0" w:space="0" w:color="auto"/>
                        <w:right w:val="none" w:sz="0" w:space="0" w:color="auto"/>
                      </w:divBdr>
                    </w:div>
                  </w:divsChild>
                </w:div>
                <w:div w:id="1149790886">
                  <w:marLeft w:val="0"/>
                  <w:marRight w:val="0"/>
                  <w:marTop w:val="0"/>
                  <w:marBottom w:val="0"/>
                  <w:divBdr>
                    <w:top w:val="none" w:sz="0" w:space="0" w:color="auto"/>
                    <w:left w:val="none" w:sz="0" w:space="0" w:color="auto"/>
                    <w:bottom w:val="none" w:sz="0" w:space="0" w:color="auto"/>
                    <w:right w:val="none" w:sz="0" w:space="0" w:color="auto"/>
                  </w:divBdr>
                  <w:divsChild>
                    <w:div w:id="200167631">
                      <w:marLeft w:val="0"/>
                      <w:marRight w:val="0"/>
                      <w:marTop w:val="0"/>
                      <w:marBottom w:val="0"/>
                      <w:divBdr>
                        <w:top w:val="none" w:sz="0" w:space="0" w:color="auto"/>
                        <w:left w:val="none" w:sz="0" w:space="0" w:color="auto"/>
                        <w:bottom w:val="none" w:sz="0" w:space="0" w:color="auto"/>
                        <w:right w:val="none" w:sz="0" w:space="0" w:color="auto"/>
                      </w:divBdr>
                    </w:div>
                  </w:divsChild>
                </w:div>
                <w:div w:id="1170095745">
                  <w:marLeft w:val="0"/>
                  <w:marRight w:val="0"/>
                  <w:marTop w:val="0"/>
                  <w:marBottom w:val="0"/>
                  <w:divBdr>
                    <w:top w:val="none" w:sz="0" w:space="0" w:color="auto"/>
                    <w:left w:val="none" w:sz="0" w:space="0" w:color="auto"/>
                    <w:bottom w:val="none" w:sz="0" w:space="0" w:color="auto"/>
                    <w:right w:val="none" w:sz="0" w:space="0" w:color="auto"/>
                  </w:divBdr>
                  <w:divsChild>
                    <w:div w:id="785394803">
                      <w:marLeft w:val="0"/>
                      <w:marRight w:val="0"/>
                      <w:marTop w:val="0"/>
                      <w:marBottom w:val="0"/>
                      <w:divBdr>
                        <w:top w:val="none" w:sz="0" w:space="0" w:color="auto"/>
                        <w:left w:val="none" w:sz="0" w:space="0" w:color="auto"/>
                        <w:bottom w:val="none" w:sz="0" w:space="0" w:color="auto"/>
                        <w:right w:val="none" w:sz="0" w:space="0" w:color="auto"/>
                      </w:divBdr>
                    </w:div>
                  </w:divsChild>
                </w:div>
                <w:div w:id="1238827659">
                  <w:marLeft w:val="0"/>
                  <w:marRight w:val="0"/>
                  <w:marTop w:val="0"/>
                  <w:marBottom w:val="0"/>
                  <w:divBdr>
                    <w:top w:val="none" w:sz="0" w:space="0" w:color="auto"/>
                    <w:left w:val="none" w:sz="0" w:space="0" w:color="auto"/>
                    <w:bottom w:val="none" w:sz="0" w:space="0" w:color="auto"/>
                    <w:right w:val="none" w:sz="0" w:space="0" w:color="auto"/>
                  </w:divBdr>
                  <w:divsChild>
                    <w:div w:id="843205756">
                      <w:marLeft w:val="0"/>
                      <w:marRight w:val="0"/>
                      <w:marTop w:val="0"/>
                      <w:marBottom w:val="0"/>
                      <w:divBdr>
                        <w:top w:val="none" w:sz="0" w:space="0" w:color="auto"/>
                        <w:left w:val="none" w:sz="0" w:space="0" w:color="auto"/>
                        <w:bottom w:val="none" w:sz="0" w:space="0" w:color="auto"/>
                        <w:right w:val="none" w:sz="0" w:space="0" w:color="auto"/>
                      </w:divBdr>
                    </w:div>
                  </w:divsChild>
                </w:div>
                <w:div w:id="1256552107">
                  <w:marLeft w:val="0"/>
                  <w:marRight w:val="0"/>
                  <w:marTop w:val="0"/>
                  <w:marBottom w:val="0"/>
                  <w:divBdr>
                    <w:top w:val="none" w:sz="0" w:space="0" w:color="auto"/>
                    <w:left w:val="none" w:sz="0" w:space="0" w:color="auto"/>
                    <w:bottom w:val="none" w:sz="0" w:space="0" w:color="auto"/>
                    <w:right w:val="none" w:sz="0" w:space="0" w:color="auto"/>
                  </w:divBdr>
                  <w:divsChild>
                    <w:div w:id="437481965">
                      <w:marLeft w:val="0"/>
                      <w:marRight w:val="0"/>
                      <w:marTop w:val="0"/>
                      <w:marBottom w:val="0"/>
                      <w:divBdr>
                        <w:top w:val="none" w:sz="0" w:space="0" w:color="auto"/>
                        <w:left w:val="none" w:sz="0" w:space="0" w:color="auto"/>
                        <w:bottom w:val="none" w:sz="0" w:space="0" w:color="auto"/>
                        <w:right w:val="none" w:sz="0" w:space="0" w:color="auto"/>
                      </w:divBdr>
                    </w:div>
                  </w:divsChild>
                </w:div>
                <w:div w:id="1257055519">
                  <w:marLeft w:val="0"/>
                  <w:marRight w:val="0"/>
                  <w:marTop w:val="0"/>
                  <w:marBottom w:val="0"/>
                  <w:divBdr>
                    <w:top w:val="none" w:sz="0" w:space="0" w:color="auto"/>
                    <w:left w:val="none" w:sz="0" w:space="0" w:color="auto"/>
                    <w:bottom w:val="none" w:sz="0" w:space="0" w:color="auto"/>
                    <w:right w:val="none" w:sz="0" w:space="0" w:color="auto"/>
                  </w:divBdr>
                  <w:divsChild>
                    <w:div w:id="2092777412">
                      <w:marLeft w:val="0"/>
                      <w:marRight w:val="0"/>
                      <w:marTop w:val="0"/>
                      <w:marBottom w:val="0"/>
                      <w:divBdr>
                        <w:top w:val="none" w:sz="0" w:space="0" w:color="auto"/>
                        <w:left w:val="none" w:sz="0" w:space="0" w:color="auto"/>
                        <w:bottom w:val="none" w:sz="0" w:space="0" w:color="auto"/>
                        <w:right w:val="none" w:sz="0" w:space="0" w:color="auto"/>
                      </w:divBdr>
                    </w:div>
                  </w:divsChild>
                </w:div>
                <w:div w:id="1269122927">
                  <w:marLeft w:val="0"/>
                  <w:marRight w:val="0"/>
                  <w:marTop w:val="0"/>
                  <w:marBottom w:val="0"/>
                  <w:divBdr>
                    <w:top w:val="none" w:sz="0" w:space="0" w:color="auto"/>
                    <w:left w:val="none" w:sz="0" w:space="0" w:color="auto"/>
                    <w:bottom w:val="none" w:sz="0" w:space="0" w:color="auto"/>
                    <w:right w:val="none" w:sz="0" w:space="0" w:color="auto"/>
                  </w:divBdr>
                  <w:divsChild>
                    <w:div w:id="1439721091">
                      <w:marLeft w:val="0"/>
                      <w:marRight w:val="0"/>
                      <w:marTop w:val="0"/>
                      <w:marBottom w:val="0"/>
                      <w:divBdr>
                        <w:top w:val="none" w:sz="0" w:space="0" w:color="auto"/>
                        <w:left w:val="none" w:sz="0" w:space="0" w:color="auto"/>
                        <w:bottom w:val="none" w:sz="0" w:space="0" w:color="auto"/>
                        <w:right w:val="none" w:sz="0" w:space="0" w:color="auto"/>
                      </w:divBdr>
                    </w:div>
                  </w:divsChild>
                </w:div>
                <w:div w:id="1301105859">
                  <w:marLeft w:val="0"/>
                  <w:marRight w:val="0"/>
                  <w:marTop w:val="0"/>
                  <w:marBottom w:val="0"/>
                  <w:divBdr>
                    <w:top w:val="none" w:sz="0" w:space="0" w:color="auto"/>
                    <w:left w:val="none" w:sz="0" w:space="0" w:color="auto"/>
                    <w:bottom w:val="none" w:sz="0" w:space="0" w:color="auto"/>
                    <w:right w:val="none" w:sz="0" w:space="0" w:color="auto"/>
                  </w:divBdr>
                  <w:divsChild>
                    <w:div w:id="1085489999">
                      <w:marLeft w:val="0"/>
                      <w:marRight w:val="0"/>
                      <w:marTop w:val="0"/>
                      <w:marBottom w:val="0"/>
                      <w:divBdr>
                        <w:top w:val="none" w:sz="0" w:space="0" w:color="auto"/>
                        <w:left w:val="none" w:sz="0" w:space="0" w:color="auto"/>
                        <w:bottom w:val="none" w:sz="0" w:space="0" w:color="auto"/>
                        <w:right w:val="none" w:sz="0" w:space="0" w:color="auto"/>
                      </w:divBdr>
                    </w:div>
                  </w:divsChild>
                </w:div>
                <w:div w:id="1330789155">
                  <w:marLeft w:val="0"/>
                  <w:marRight w:val="0"/>
                  <w:marTop w:val="0"/>
                  <w:marBottom w:val="0"/>
                  <w:divBdr>
                    <w:top w:val="none" w:sz="0" w:space="0" w:color="auto"/>
                    <w:left w:val="none" w:sz="0" w:space="0" w:color="auto"/>
                    <w:bottom w:val="none" w:sz="0" w:space="0" w:color="auto"/>
                    <w:right w:val="none" w:sz="0" w:space="0" w:color="auto"/>
                  </w:divBdr>
                  <w:divsChild>
                    <w:div w:id="418331794">
                      <w:marLeft w:val="0"/>
                      <w:marRight w:val="0"/>
                      <w:marTop w:val="0"/>
                      <w:marBottom w:val="0"/>
                      <w:divBdr>
                        <w:top w:val="none" w:sz="0" w:space="0" w:color="auto"/>
                        <w:left w:val="none" w:sz="0" w:space="0" w:color="auto"/>
                        <w:bottom w:val="none" w:sz="0" w:space="0" w:color="auto"/>
                        <w:right w:val="none" w:sz="0" w:space="0" w:color="auto"/>
                      </w:divBdr>
                    </w:div>
                  </w:divsChild>
                </w:div>
                <w:div w:id="1335766645">
                  <w:marLeft w:val="0"/>
                  <w:marRight w:val="0"/>
                  <w:marTop w:val="0"/>
                  <w:marBottom w:val="0"/>
                  <w:divBdr>
                    <w:top w:val="none" w:sz="0" w:space="0" w:color="auto"/>
                    <w:left w:val="none" w:sz="0" w:space="0" w:color="auto"/>
                    <w:bottom w:val="none" w:sz="0" w:space="0" w:color="auto"/>
                    <w:right w:val="none" w:sz="0" w:space="0" w:color="auto"/>
                  </w:divBdr>
                  <w:divsChild>
                    <w:div w:id="1898782421">
                      <w:marLeft w:val="0"/>
                      <w:marRight w:val="0"/>
                      <w:marTop w:val="0"/>
                      <w:marBottom w:val="0"/>
                      <w:divBdr>
                        <w:top w:val="none" w:sz="0" w:space="0" w:color="auto"/>
                        <w:left w:val="none" w:sz="0" w:space="0" w:color="auto"/>
                        <w:bottom w:val="none" w:sz="0" w:space="0" w:color="auto"/>
                        <w:right w:val="none" w:sz="0" w:space="0" w:color="auto"/>
                      </w:divBdr>
                    </w:div>
                  </w:divsChild>
                </w:div>
                <w:div w:id="1376268744">
                  <w:marLeft w:val="0"/>
                  <w:marRight w:val="0"/>
                  <w:marTop w:val="0"/>
                  <w:marBottom w:val="0"/>
                  <w:divBdr>
                    <w:top w:val="none" w:sz="0" w:space="0" w:color="auto"/>
                    <w:left w:val="none" w:sz="0" w:space="0" w:color="auto"/>
                    <w:bottom w:val="none" w:sz="0" w:space="0" w:color="auto"/>
                    <w:right w:val="none" w:sz="0" w:space="0" w:color="auto"/>
                  </w:divBdr>
                  <w:divsChild>
                    <w:div w:id="2100708836">
                      <w:marLeft w:val="0"/>
                      <w:marRight w:val="0"/>
                      <w:marTop w:val="0"/>
                      <w:marBottom w:val="0"/>
                      <w:divBdr>
                        <w:top w:val="none" w:sz="0" w:space="0" w:color="auto"/>
                        <w:left w:val="none" w:sz="0" w:space="0" w:color="auto"/>
                        <w:bottom w:val="none" w:sz="0" w:space="0" w:color="auto"/>
                        <w:right w:val="none" w:sz="0" w:space="0" w:color="auto"/>
                      </w:divBdr>
                    </w:div>
                  </w:divsChild>
                </w:div>
                <w:div w:id="1467234240">
                  <w:marLeft w:val="0"/>
                  <w:marRight w:val="0"/>
                  <w:marTop w:val="0"/>
                  <w:marBottom w:val="0"/>
                  <w:divBdr>
                    <w:top w:val="none" w:sz="0" w:space="0" w:color="auto"/>
                    <w:left w:val="none" w:sz="0" w:space="0" w:color="auto"/>
                    <w:bottom w:val="none" w:sz="0" w:space="0" w:color="auto"/>
                    <w:right w:val="none" w:sz="0" w:space="0" w:color="auto"/>
                  </w:divBdr>
                  <w:divsChild>
                    <w:div w:id="1833982494">
                      <w:marLeft w:val="0"/>
                      <w:marRight w:val="0"/>
                      <w:marTop w:val="0"/>
                      <w:marBottom w:val="0"/>
                      <w:divBdr>
                        <w:top w:val="none" w:sz="0" w:space="0" w:color="auto"/>
                        <w:left w:val="none" w:sz="0" w:space="0" w:color="auto"/>
                        <w:bottom w:val="none" w:sz="0" w:space="0" w:color="auto"/>
                        <w:right w:val="none" w:sz="0" w:space="0" w:color="auto"/>
                      </w:divBdr>
                    </w:div>
                  </w:divsChild>
                </w:div>
                <w:div w:id="1485927086">
                  <w:marLeft w:val="0"/>
                  <w:marRight w:val="0"/>
                  <w:marTop w:val="0"/>
                  <w:marBottom w:val="0"/>
                  <w:divBdr>
                    <w:top w:val="none" w:sz="0" w:space="0" w:color="auto"/>
                    <w:left w:val="none" w:sz="0" w:space="0" w:color="auto"/>
                    <w:bottom w:val="none" w:sz="0" w:space="0" w:color="auto"/>
                    <w:right w:val="none" w:sz="0" w:space="0" w:color="auto"/>
                  </w:divBdr>
                  <w:divsChild>
                    <w:div w:id="320350180">
                      <w:marLeft w:val="0"/>
                      <w:marRight w:val="0"/>
                      <w:marTop w:val="0"/>
                      <w:marBottom w:val="0"/>
                      <w:divBdr>
                        <w:top w:val="none" w:sz="0" w:space="0" w:color="auto"/>
                        <w:left w:val="none" w:sz="0" w:space="0" w:color="auto"/>
                        <w:bottom w:val="none" w:sz="0" w:space="0" w:color="auto"/>
                        <w:right w:val="none" w:sz="0" w:space="0" w:color="auto"/>
                      </w:divBdr>
                    </w:div>
                  </w:divsChild>
                </w:div>
                <w:div w:id="1524443751">
                  <w:marLeft w:val="0"/>
                  <w:marRight w:val="0"/>
                  <w:marTop w:val="0"/>
                  <w:marBottom w:val="0"/>
                  <w:divBdr>
                    <w:top w:val="none" w:sz="0" w:space="0" w:color="auto"/>
                    <w:left w:val="none" w:sz="0" w:space="0" w:color="auto"/>
                    <w:bottom w:val="none" w:sz="0" w:space="0" w:color="auto"/>
                    <w:right w:val="none" w:sz="0" w:space="0" w:color="auto"/>
                  </w:divBdr>
                  <w:divsChild>
                    <w:div w:id="1659109468">
                      <w:marLeft w:val="0"/>
                      <w:marRight w:val="0"/>
                      <w:marTop w:val="0"/>
                      <w:marBottom w:val="0"/>
                      <w:divBdr>
                        <w:top w:val="none" w:sz="0" w:space="0" w:color="auto"/>
                        <w:left w:val="none" w:sz="0" w:space="0" w:color="auto"/>
                        <w:bottom w:val="none" w:sz="0" w:space="0" w:color="auto"/>
                        <w:right w:val="none" w:sz="0" w:space="0" w:color="auto"/>
                      </w:divBdr>
                    </w:div>
                  </w:divsChild>
                </w:div>
                <w:div w:id="1719434013">
                  <w:marLeft w:val="0"/>
                  <w:marRight w:val="0"/>
                  <w:marTop w:val="0"/>
                  <w:marBottom w:val="0"/>
                  <w:divBdr>
                    <w:top w:val="none" w:sz="0" w:space="0" w:color="auto"/>
                    <w:left w:val="none" w:sz="0" w:space="0" w:color="auto"/>
                    <w:bottom w:val="none" w:sz="0" w:space="0" w:color="auto"/>
                    <w:right w:val="none" w:sz="0" w:space="0" w:color="auto"/>
                  </w:divBdr>
                  <w:divsChild>
                    <w:div w:id="466633265">
                      <w:marLeft w:val="0"/>
                      <w:marRight w:val="0"/>
                      <w:marTop w:val="0"/>
                      <w:marBottom w:val="0"/>
                      <w:divBdr>
                        <w:top w:val="none" w:sz="0" w:space="0" w:color="auto"/>
                        <w:left w:val="none" w:sz="0" w:space="0" w:color="auto"/>
                        <w:bottom w:val="none" w:sz="0" w:space="0" w:color="auto"/>
                        <w:right w:val="none" w:sz="0" w:space="0" w:color="auto"/>
                      </w:divBdr>
                    </w:div>
                  </w:divsChild>
                </w:div>
                <w:div w:id="1748845495">
                  <w:marLeft w:val="0"/>
                  <w:marRight w:val="0"/>
                  <w:marTop w:val="0"/>
                  <w:marBottom w:val="0"/>
                  <w:divBdr>
                    <w:top w:val="none" w:sz="0" w:space="0" w:color="auto"/>
                    <w:left w:val="none" w:sz="0" w:space="0" w:color="auto"/>
                    <w:bottom w:val="none" w:sz="0" w:space="0" w:color="auto"/>
                    <w:right w:val="none" w:sz="0" w:space="0" w:color="auto"/>
                  </w:divBdr>
                  <w:divsChild>
                    <w:div w:id="725297407">
                      <w:marLeft w:val="0"/>
                      <w:marRight w:val="0"/>
                      <w:marTop w:val="0"/>
                      <w:marBottom w:val="0"/>
                      <w:divBdr>
                        <w:top w:val="none" w:sz="0" w:space="0" w:color="auto"/>
                        <w:left w:val="none" w:sz="0" w:space="0" w:color="auto"/>
                        <w:bottom w:val="none" w:sz="0" w:space="0" w:color="auto"/>
                        <w:right w:val="none" w:sz="0" w:space="0" w:color="auto"/>
                      </w:divBdr>
                    </w:div>
                    <w:div w:id="1183318235">
                      <w:marLeft w:val="0"/>
                      <w:marRight w:val="0"/>
                      <w:marTop w:val="0"/>
                      <w:marBottom w:val="0"/>
                      <w:divBdr>
                        <w:top w:val="none" w:sz="0" w:space="0" w:color="auto"/>
                        <w:left w:val="none" w:sz="0" w:space="0" w:color="auto"/>
                        <w:bottom w:val="none" w:sz="0" w:space="0" w:color="auto"/>
                        <w:right w:val="none" w:sz="0" w:space="0" w:color="auto"/>
                      </w:divBdr>
                    </w:div>
                  </w:divsChild>
                </w:div>
                <w:div w:id="1752779161">
                  <w:marLeft w:val="0"/>
                  <w:marRight w:val="0"/>
                  <w:marTop w:val="0"/>
                  <w:marBottom w:val="0"/>
                  <w:divBdr>
                    <w:top w:val="none" w:sz="0" w:space="0" w:color="auto"/>
                    <w:left w:val="none" w:sz="0" w:space="0" w:color="auto"/>
                    <w:bottom w:val="none" w:sz="0" w:space="0" w:color="auto"/>
                    <w:right w:val="none" w:sz="0" w:space="0" w:color="auto"/>
                  </w:divBdr>
                  <w:divsChild>
                    <w:div w:id="1149977737">
                      <w:marLeft w:val="0"/>
                      <w:marRight w:val="0"/>
                      <w:marTop w:val="0"/>
                      <w:marBottom w:val="0"/>
                      <w:divBdr>
                        <w:top w:val="none" w:sz="0" w:space="0" w:color="auto"/>
                        <w:left w:val="none" w:sz="0" w:space="0" w:color="auto"/>
                        <w:bottom w:val="none" w:sz="0" w:space="0" w:color="auto"/>
                        <w:right w:val="none" w:sz="0" w:space="0" w:color="auto"/>
                      </w:divBdr>
                    </w:div>
                  </w:divsChild>
                </w:div>
                <w:div w:id="1778870517">
                  <w:marLeft w:val="0"/>
                  <w:marRight w:val="0"/>
                  <w:marTop w:val="0"/>
                  <w:marBottom w:val="0"/>
                  <w:divBdr>
                    <w:top w:val="none" w:sz="0" w:space="0" w:color="auto"/>
                    <w:left w:val="none" w:sz="0" w:space="0" w:color="auto"/>
                    <w:bottom w:val="none" w:sz="0" w:space="0" w:color="auto"/>
                    <w:right w:val="none" w:sz="0" w:space="0" w:color="auto"/>
                  </w:divBdr>
                  <w:divsChild>
                    <w:div w:id="542906719">
                      <w:marLeft w:val="0"/>
                      <w:marRight w:val="0"/>
                      <w:marTop w:val="0"/>
                      <w:marBottom w:val="0"/>
                      <w:divBdr>
                        <w:top w:val="none" w:sz="0" w:space="0" w:color="auto"/>
                        <w:left w:val="none" w:sz="0" w:space="0" w:color="auto"/>
                        <w:bottom w:val="none" w:sz="0" w:space="0" w:color="auto"/>
                        <w:right w:val="none" w:sz="0" w:space="0" w:color="auto"/>
                      </w:divBdr>
                    </w:div>
                  </w:divsChild>
                </w:div>
                <w:div w:id="1784224082">
                  <w:marLeft w:val="0"/>
                  <w:marRight w:val="0"/>
                  <w:marTop w:val="0"/>
                  <w:marBottom w:val="0"/>
                  <w:divBdr>
                    <w:top w:val="none" w:sz="0" w:space="0" w:color="auto"/>
                    <w:left w:val="none" w:sz="0" w:space="0" w:color="auto"/>
                    <w:bottom w:val="none" w:sz="0" w:space="0" w:color="auto"/>
                    <w:right w:val="none" w:sz="0" w:space="0" w:color="auto"/>
                  </w:divBdr>
                  <w:divsChild>
                    <w:div w:id="1564026525">
                      <w:marLeft w:val="0"/>
                      <w:marRight w:val="0"/>
                      <w:marTop w:val="0"/>
                      <w:marBottom w:val="0"/>
                      <w:divBdr>
                        <w:top w:val="none" w:sz="0" w:space="0" w:color="auto"/>
                        <w:left w:val="none" w:sz="0" w:space="0" w:color="auto"/>
                        <w:bottom w:val="none" w:sz="0" w:space="0" w:color="auto"/>
                        <w:right w:val="none" w:sz="0" w:space="0" w:color="auto"/>
                      </w:divBdr>
                    </w:div>
                  </w:divsChild>
                </w:div>
                <w:div w:id="1838810187">
                  <w:marLeft w:val="0"/>
                  <w:marRight w:val="0"/>
                  <w:marTop w:val="0"/>
                  <w:marBottom w:val="0"/>
                  <w:divBdr>
                    <w:top w:val="none" w:sz="0" w:space="0" w:color="auto"/>
                    <w:left w:val="none" w:sz="0" w:space="0" w:color="auto"/>
                    <w:bottom w:val="none" w:sz="0" w:space="0" w:color="auto"/>
                    <w:right w:val="none" w:sz="0" w:space="0" w:color="auto"/>
                  </w:divBdr>
                  <w:divsChild>
                    <w:div w:id="1628126902">
                      <w:marLeft w:val="0"/>
                      <w:marRight w:val="0"/>
                      <w:marTop w:val="0"/>
                      <w:marBottom w:val="0"/>
                      <w:divBdr>
                        <w:top w:val="none" w:sz="0" w:space="0" w:color="auto"/>
                        <w:left w:val="none" w:sz="0" w:space="0" w:color="auto"/>
                        <w:bottom w:val="none" w:sz="0" w:space="0" w:color="auto"/>
                        <w:right w:val="none" w:sz="0" w:space="0" w:color="auto"/>
                      </w:divBdr>
                    </w:div>
                  </w:divsChild>
                </w:div>
                <w:div w:id="1855997280">
                  <w:marLeft w:val="0"/>
                  <w:marRight w:val="0"/>
                  <w:marTop w:val="0"/>
                  <w:marBottom w:val="0"/>
                  <w:divBdr>
                    <w:top w:val="none" w:sz="0" w:space="0" w:color="auto"/>
                    <w:left w:val="none" w:sz="0" w:space="0" w:color="auto"/>
                    <w:bottom w:val="none" w:sz="0" w:space="0" w:color="auto"/>
                    <w:right w:val="none" w:sz="0" w:space="0" w:color="auto"/>
                  </w:divBdr>
                  <w:divsChild>
                    <w:div w:id="1127822452">
                      <w:marLeft w:val="0"/>
                      <w:marRight w:val="0"/>
                      <w:marTop w:val="0"/>
                      <w:marBottom w:val="0"/>
                      <w:divBdr>
                        <w:top w:val="none" w:sz="0" w:space="0" w:color="auto"/>
                        <w:left w:val="none" w:sz="0" w:space="0" w:color="auto"/>
                        <w:bottom w:val="none" w:sz="0" w:space="0" w:color="auto"/>
                        <w:right w:val="none" w:sz="0" w:space="0" w:color="auto"/>
                      </w:divBdr>
                    </w:div>
                  </w:divsChild>
                </w:div>
                <w:div w:id="1913853556">
                  <w:marLeft w:val="0"/>
                  <w:marRight w:val="0"/>
                  <w:marTop w:val="0"/>
                  <w:marBottom w:val="0"/>
                  <w:divBdr>
                    <w:top w:val="none" w:sz="0" w:space="0" w:color="auto"/>
                    <w:left w:val="none" w:sz="0" w:space="0" w:color="auto"/>
                    <w:bottom w:val="none" w:sz="0" w:space="0" w:color="auto"/>
                    <w:right w:val="none" w:sz="0" w:space="0" w:color="auto"/>
                  </w:divBdr>
                  <w:divsChild>
                    <w:div w:id="1915041118">
                      <w:marLeft w:val="0"/>
                      <w:marRight w:val="0"/>
                      <w:marTop w:val="0"/>
                      <w:marBottom w:val="0"/>
                      <w:divBdr>
                        <w:top w:val="none" w:sz="0" w:space="0" w:color="auto"/>
                        <w:left w:val="none" w:sz="0" w:space="0" w:color="auto"/>
                        <w:bottom w:val="none" w:sz="0" w:space="0" w:color="auto"/>
                        <w:right w:val="none" w:sz="0" w:space="0" w:color="auto"/>
                      </w:divBdr>
                    </w:div>
                  </w:divsChild>
                </w:div>
                <w:div w:id="1979725215">
                  <w:marLeft w:val="0"/>
                  <w:marRight w:val="0"/>
                  <w:marTop w:val="0"/>
                  <w:marBottom w:val="0"/>
                  <w:divBdr>
                    <w:top w:val="none" w:sz="0" w:space="0" w:color="auto"/>
                    <w:left w:val="none" w:sz="0" w:space="0" w:color="auto"/>
                    <w:bottom w:val="none" w:sz="0" w:space="0" w:color="auto"/>
                    <w:right w:val="none" w:sz="0" w:space="0" w:color="auto"/>
                  </w:divBdr>
                  <w:divsChild>
                    <w:div w:id="1837527862">
                      <w:marLeft w:val="0"/>
                      <w:marRight w:val="0"/>
                      <w:marTop w:val="0"/>
                      <w:marBottom w:val="0"/>
                      <w:divBdr>
                        <w:top w:val="none" w:sz="0" w:space="0" w:color="auto"/>
                        <w:left w:val="none" w:sz="0" w:space="0" w:color="auto"/>
                        <w:bottom w:val="none" w:sz="0" w:space="0" w:color="auto"/>
                        <w:right w:val="none" w:sz="0" w:space="0" w:color="auto"/>
                      </w:divBdr>
                    </w:div>
                  </w:divsChild>
                </w:div>
                <w:div w:id="1995639112">
                  <w:marLeft w:val="0"/>
                  <w:marRight w:val="0"/>
                  <w:marTop w:val="0"/>
                  <w:marBottom w:val="0"/>
                  <w:divBdr>
                    <w:top w:val="none" w:sz="0" w:space="0" w:color="auto"/>
                    <w:left w:val="none" w:sz="0" w:space="0" w:color="auto"/>
                    <w:bottom w:val="none" w:sz="0" w:space="0" w:color="auto"/>
                    <w:right w:val="none" w:sz="0" w:space="0" w:color="auto"/>
                  </w:divBdr>
                  <w:divsChild>
                    <w:div w:id="12652455">
                      <w:marLeft w:val="0"/>
                      <w:marRight w:val="0"/>
                      <w:marTop w:val="0"/>
                      <w:marBottom w:val="0"/>
                      <w:divBdr>
                        <w:top w:val="none" w:sz="0" w:space="0" w:color="auto"/>
                        <w:left w:val="none" w:sz="0" w:space="0" w:color="auto"/>
                        <w:bottom w:val="none" w:sz="0" w:space="0" w:color="auto"/>
                        <w:right w:val="none" w:sz="0" w:space="0" w:color="auto"/>
                      </w:divBdr>
                    </w:div>
                  </w:divsChild>
                </w:div>
                <w:div w:id="1995839152">
                  <w:marLeft w:val="0"/>
                  <w:marRight w:val="0"/>
                  <w:marTop w:val="0"/>
                  <w:marBottom w:val="0"/>
                  <w:divBdr>
                    <w:top w:val="none" w:sz="0" w:space="0" w:color="auto"/>
                    <w:left w:val="none" w:sz="0" w:space="0" w:color="auto"/>
                    <w:bottom w:val="none" w:sz="0" w:space="0" w:color="auto"/>
                    <w:right w:val="none" w:sz="0" w:space="0" w:color="auto"/>
                  </w:divBdr>
                  <w:divsChild>
                    <w:div w:id="1358118973">
                      <w:marLeft w:val="0"/>
                      <w:marRight w:val="0"/>
                      <w:marTop w:val="0"/>
                      <w:marBottom w:val="0"/>
                      <w:divBdr>
                        <w:top w:val="none" w:sz="0" w:space="0" w:color="auto"/>
                        <w:left w:val="none" w:sz="0" w:space="0" w:color="auto"/>
                        <w:bottom w:val="none" w:sz="0" w:space="0" w:color="auto"/>
                        <w:right w:val="none" w:sz="0" w:space="0" w:color="auto"/>
                      </w:divBdr>
                    </w:div>
                  </w:divsChild>
                </w:div>
                <w:div w:id="2013336309">
                  <w:marLeft w:val="0"/>
                  <w:marRight w:val="0"/>
                  <w:marTop w:val="0"/>
                  <w:marBottom w:val="0"/>
                  <w:divBdr>
                    <w:top w:val="none" w:sz="0" w:space="0" w:color="auto"/>
                    <w:left w:val="none" w:sz="0" w:space="0" w:color="auto"/>
                    <w:bottom w:val="none" w:sz="0" w:space="0" w:color="auto"/>
                    <w:right w:val="none" w:sz="0" w:space="0" w:color="auto"/>
                  </w:divBdr>
                  <w:divsChild>
                    <w:div w:id="1077822699">
                      <w:marLeft w:val="0"/>
                      <w:marRight w:val="0"/>
                      <w:marTop w:val="0"/>
                      <w:marBottom w:val="0"/>
                      <w:divBdr>
                        <w:top w:val="none" w:sz="0" w:space="0" w:color="auto"/>
                        <w:left w:val="none" w:sz="0" w:space="0" w:color="auto"/>
                        <w:bottom w:val="none" w:sz="0" w:space="0" w:color="auto"/>
                        <w:right w:val="none" w:sz="0" w:space="0" w:color="auto"/>
                      </w:divBdr>
                    </w:div>
                  </w:divsChild>
                </w:div>
                <w:div w:id="2073236555">
                  <w:marLeft w:val="0"/>
                  <w:marRight w:val="0"/>
                  <w:marTop w:val="0"/>
                  <w:marBottom w:val="0"/>
                  <w:divBdr>
                    <w:top w:val="none" w:sz="0" w:space="0" w:color="auto"/>
                    <w:left w:val="none" w:sz="0" w:space="0" w:color="auto"/>
                    <w:bottom w:val="none" w:sz="0" w:space="0" w:color="auto"/>
                    <w:right w:val="none" w:sz="0" w:space="0" w:color="auto"/>
                  </w:divBdr>
                  <w:divsChild>
                    <w:div w:id="1549489441">
                      <w:marLeft w:val="0"/>
                      <w:marRight w:val="0"/>
                      <w:marTop w:val="0"/>
                      <w:marBottom w:val="0"/>
                      <w:divBdr>
                        <w:top w:val="none" w:sz="0" w:space="0" w:color="auto"/>
                        <w:left w:val="none" w:sz="0" w:space="0" w:color="auto"/>
                        <w:bottom w:val="none" w:sz="0" w:space="0" w:color="auto"/>
                        <w:right w:val="none" w:sz="0" w:space="0" w:color="auto"/>
                      </w:divBdr>
                    </w:div>
                  </w:divsChild>
                </w:div>
                <w:div w:id="2077429518">
                  <w:marLeft w:val="0"/>
                  <w:marRight w:val="0"/>
                  <w:marTop w:val="0"/>
                  <w:marBottom w:val="0"/>
                  <w:divBdr>
                    <w:top w:val="none" w:sz="0" w:space="0" w:color="auto"/>
                    <w:left w:val="none" w:sz="0" w:space="0" w:color="auto"/>
                    <w:bottom w:val="none" w:sz="0" w:space="0" w:color="auto"/>
                    <w:right w:val="none" w:sz="0" w:space="0" w:color="auto"/>
                  </w:divBdr>
                  <w:divsChild>
                    <w:div w:id="493451029">
                      <w:marLeft w:val="0"/>
                      <w:marRight w:val="0"/>
                      <w:marTop w:val="0"/>
                      <w:marBottom w:val="0"/>
                      <w:divBdr>
                        <w:top w:val="none" w:sz="0" w:space="0" w:color="auto"/>
                        <w:left w:val="none" w:sz="0" w:space="0" w:color="auto"/>
                        <w:bottom w:val="none" w:sz="0" w:space="0" w:color="auto"/>
                        <w:right w:val="none" w:sz="0" w:space="0" w:color="auto"/>
                      </w:divBdr>
                    </w:div>
                  </w:divsChild>
                </w:div>
                <w:div w:id="2134781761">
                  <w:marLeft w:val="0"/>
                  <w:marRight w:val="0"/>
                  <w:marTop w:val="0"/>
                  <w:marBottom w:val="0"/>
                  <w:divBdr>
                    <w:top w:val="none" w:sz="0" w:space="0" w:color="auto"/>
                    <w:left w:val="none" w:sz="0" w:space="0" w:color="auto"/>
                    <w:bottom w:val="none" w:sz="0" w:space="0" w:color="auto"/>
                    <w:right w:val="none" w:sz="0" w:space="0" w:color="auto"/>
                  </w:divBdr>
                  <w:divsChild>
                    <w:div w:id="179031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43546417">
      <w:bodyDiv w:val="1"/>
      <w:marLeft w:val="0"/>
      <w:marRight w:val="0"/>
      <w:marTop w:val="0"/>
      <w:marBottom w:val="0"/>
      <w:divBdr>
        <w:top w:val="none" w:sz="0" w:space="0" w:color="auto"/>
        <w:left w:val="none" w:sz="0" w:space="0" w:color="auto"/>
        <w:bottom w:val="none" w:sz="0" w:space="0" w:color="auto"/>
        <w:right w:val="none" w:sz="0" w:space="0" w:color="auto"/>
      </w:divBdr>
    </w:div>
    <w:div w:id="874191537">
      <w:bodyDiv w:val="1"/>
      <w:marLeft w:val="0"/>
      <w:marRight w:val="0"/>
      <w:marTop w:val="0"/>
      <w:marBottom w:val="0"/>
      <w:divBdr>
        <w:top w:val="none" w:sz="0" w:space="0" w:color="auto"/>
        <w:left w:val="none" w:sz="0" w:space="0" w:color="auto"/>
        <w:bottom w:val="none" w:sz="0" w:space="0" w:color="auto"/>
        <w:right w:val="none" w:sz="0" w:space="0" w:color="auto"/>
      </w:divBdr>
    </w:div>
    <w:div w:id="884562736">
      <w:bodyDiv w:val="1"/>
      <w:marLeft w:val="0"/>
      <w:marRight w:val="0"/>
      <w:marTop w:val="0"/>
      <w:marBottom w:val="0"/>
      <w:divBdr>
        <w:top w:val="none" w:sz="0" w:space="0" w:color="auto"/>
        <w:left w:val="none" w:sz="0" w:space="0" w:color="auto"/>
        <w:bottom w:val="none" w:sz="0" w:space="0" w:color="auto"/>
        <w:right w:val="none" w:sz="0" w:space="0" w:color="auto"/>
      </w:divBdr>
    </w:div>
    <w:div w:id="906915352">
      <w:bodyDiv w:val="1"/>
      <w:marLeft w:val="0"/>
      <w:marRight w:val="0"/>
      <w:marTop w:val="0"/>
      <w:marBottom w:val="0"/>
      <w:divBdr>
        <w:top w:val="none" w:sz="0" w:space="0" w:color="auto"/>
        <w:left w:val="none" w:sz="0" w:space="0" w:color="auto"/>
        <w:bottom w:val="none" w:sz="0" w:space="0" w:color="auto"/>
        <w:right w:val="none" w:sz="0" w:space="0" w:color="auto"/>
      </w:divBdr>
    </w:div>
    <w:div w:id="943654780">
      <w:bodyDiv w:val="1"/>
      <w:marLeft w:val="0"/>
      <w:marRight w:val="0"/>
      <w:marTop w:val="0"/>
      <w:marBottom w:val="0"/>
      <w:divBdr>
        <w:top w:val="none" w:sz="0" w:space="0" w:color="auto"/>
        <w:left w:val="none" w:sz="0" w:space="0" w:color="auto"/>
        <w:bottom w:val="none" w:sz="0" w:space="0" w:color="auto"/>
        <w:right w:val="none" w:sz="0" w:space="0" w:color="auto"/>
      </w:divBdr>
      <w:divsChild>
        <w:div w:id="1482887315">
          <w:marLeft w:val="0"/>
          <w:marRight w:val="0"/>
          <w:marTop w:val="0"/>
          <w:marBottom w:val="0"/>
          <w:divBdr>
            <w:top w:val="none" w:sz="0" w:space="0" w:color="auto"/>
            <w:left w:val="none" w:sz="0" w:space="0" w:color="auto"/>
            <w:bottom w:val="none" w:sz="0" w:space="0" w:color="auto"/>
            <w:right w:val="none" w:sz="0" w:space="0" w:color="auto"/>
          </w:divBdr>
        </w:div>
      </w:divsChild>
    </w:div>
    <w:div w:id="1019356290">
      <w:bodyDiv w:val="1"/>
      <w:marLeft w:val="0"/>
      <w:marRight w:val="0"/>
      <w:marTop w:val="0"/>
      <w:marBottom w:val="0"/>
      <w:divBdr>
        <w:top w:val="none" w:sz="0" w:space="0" w:color="auto"/>
        <w:left w:val="none" w:sz="0" w:space="0" w:color="auto"/>
        <w:bottom w:val="none" w:sz="0" w:space="0" w:color="auto"/>
        <w:right w:val="none" w:sz="0" w:space="0" w:color="auto"/>
      </w:divBdr>
      <w:divsChild>
        <w:div w:id="1197737546">
          <w:marLeft w:val="0"/>
          <w:marRight w:val="0"/>
          <w:marTop w:val="0"/>
          <w:marBottom w:val="0"/>
          <w:divBdr>
            <w:top w:val="none" w:sz="0" w:space="0" w:color="auto"/>
            <w:left w:val="none" w:sz="0" w:space="0" w:color="auto"/>
            <w:bottom w:val="none" w:sz="0" w:space="0" w:color="auto"/>
            <w:right w:val="none" w:sz="0" w:space="0" w:color="auto"/>
          </w:divBdr>
        </w:div>
      </w:divsChild>
    </w:div>
    <w:div w:id="1060132531">
      <w:bodyDiv w:val="1"/>
      <w:marLeft w:val="0"/>
      <w:marRight w:val="0"/>
      <w:marTop w:val="0"/>
      <w:marBottom w:val="0"/>
      <w:divBdr>
        <w:top w:val="none" w:sz="0" w:space="0" w:color="auto"/>
        <w:left w:val="none" w:sz="0" w:space="0" w:color="auto"/>
        <w:bottom w:val="none" w:sz="0" w:space="0" w:color="auto"/>
        <w:right w:val="none" w:sz="0" w:space="0" w:color="auto"/>
      </w:divBdr>
    </w:div>
    <w:div w:id="1083334870">
      <w:bodyDiv w:val="1"/>
      <w:marLeft w:val="0"/>
      <w:marRight w:val="0"/>
      <w:marTop w:val="0"/>
      <w:marBottom w:val="0"/>
      <w:divBdr>
        <w:top w:val="none" w:sz="0" w:space="0" w:color="auto"/>
        <w:left w:val="none" w:sz="0" w:space="0" w:color="auto"/>
        <w:bottom w:val="none" w:sz="0" w:space="0" w:color="auto"/>
        <w:right w:val="none" w:sz="0" w:space="0" w:color="auto"/>
      </w:divBdr>
    </w:div>
    <w:div w:id="1085029991">
      <w:bodyDiv w:val="1"/>
      <w:marLeft w:val="0"/>
      <w:marRight w:val="0"/>
      <w:marTop w:val="0"/>
      <w:marBottom w:val="0"/>
      <w:divBdr>
        <w:top w:val="none" w:sz="0" w:space="0" w:color="auto"/>
        <w:left w:val="none" w:sz="0" w:space="0" w:color="auto"/>
        <w:bottom w:val="none" w:sz="0" w:space="0" w:color="auto"/>
        <w:right w:val="none" w:sz="0" w:space="0" w:color="auto"/>
      </w:divBdr>
    </w:div>
    <w:div w:id="1098676484">
      <w:bodyDiv w:val="1"/>
      <w:marLeft w:val="0"/>
      <w:marRight w:val="0"/>
      <w:marTop w:val="0"/>
      <w:marBottom w:val="0"/>
      <w:divBdr>
        <w:top w:val="none" w:sz="0" w:space="0" w:color="auto"/>
        <w:left w:val="none" w:sz="0" w:space="0" w:color="auto"/>
        <w:bottom w:val="none" w:sz="0" w:space="0" w:color="auto"/>
        <w:right w:val="none" w:sz="0" w:space="0" w:color="auto"/>
      </w:divBdr>
    </w:div>
    <w:div w:id="1103457098">
      <w:bodyDiv w:val="1"/>
      <w:marLeft w:val="0"/>
      <w:marRight w:val="0"/>
      <w:marTop w:val="0"/>
      <w:marBottom w:val="0"/>
      <w:divBdr>
        <w:top w:val="none" w:sz="0" w:space="0" w:color="auto"/>
        <w:left w:val="none" w:sz="0" w:space="0" w:color="auto"/>
        <w:bottom w:val="none" w:sz="0" w:space="0" w:color="auto"/>
        <w:right w:val="none" w:sz="0" w:space="0" w:color="auto"/>
      </w:divBdr>
    </w:div>
    <w:div w:id="1132208252">
      <w:bodyDiv w:val="1"/>
      <w:marLeft w:val="0"/>
      <w:marRight w:val="0"/>
      <w:marTop w:val="0"/>
      <w:marBottom w:val="0"/>
      <w:divBdr>
        <w:top w:val="none" w:sz="0" w:space="0" w:color="auto"/>
        <w:left w:val="none" w:sz="0" w:space="0" w:color="auto"/>
        <w:bottom w:val="none" w:sz="0" w:space="0" w:color="auto"/>
        <w:right w:val="none" w:sz="0" w:space="0" w:color="auto"/>
      </w:divBdr>
    </w:div>
    <w:div w:id="1149833406">
      <w:bodyDiv w:val="1"/>
      <w:marLeft w:val="0"/>
      <w:marRight w:val="0"/>
      <w:marTop w:val="0"/>
      <w:marBottom w:val="0"/>
      <w:divBdr>
        <w:top w:val="none" w:sz="0" w:space="0" w:color="auto"/>
        <w:left w:val="none" w:sz="0" w:space="0" w:color="auto"/>
        <w:bottom w:val="none" w:sz="0" w:space="0" w:color="auto"/>
        <w:right w:val="none" w:sz="0" w:space="0" w:color="auto"/>
      </w:divBdr>
      <w:divsChild>
        <w:div w:id="588348782">
          <w:marLeft w:val="0"/>
          <w:marRight w:val="0"/>
          <w:marTop w:val="0"/>
          <w:marBottom w:val="0"/>
          <w:divBdr>
            <w:top w:val="none" w:sz="0" w:space="0" w:color="auto"/>
            <w:left w:val="none" w:sz="0" w:space="0" w:color="auto"/>
            <w:bottom w:val="none" w:sz="0" w:space="0" w:color="auto"/>
            <w:right w:val="none" w:sz="0" w:space="0" w:color="auto"/>
          </w:divBdr>
        </w:div>
      </w:divsChild>
    </w:div>
    <w:div w:id="1238437122">
      <w:bodyDiv w:val="1"/>
      <w:marLeft w:val="0"/>
      <w:marRight w:val="0"/>
      <w:marTop w:val="0"/>
      <w:marBottom w:val="0"/>
      <w:divBdr>
        <w:top w:val="none" w:sz="0" w:space="0" w:color="auto"/>
        <w:left w:val="none" w:sz="0" w:space="0" w:color="auto"/>
        <w:bottom w:val="none" w:sz="0" w:space="0" w:color="auto"/>
        <w:right w:val="none" w:sz="0" w:space="0" w:color="auto"/>
      </w:divBdr>
    </w:div>
    <w:div w:id="1255672594">
      <w:bodyDiv w:val="1"/>
      <w:marLeft w:val="0"/>
      <w:marRight w:val="0"/>
      <w:marTop w:val="0"/>
      <w:marBottom w:val="0"/>
      <w:divBdr>
        <w:top w:val="none" w:sz="0" w:space="0" w:color="auto"/>
        <w:left w:val="none" w:sz="0" w:space="0" w:color="auto"/>
        <w:bottom w:val="none" w:sz="0" w:space="0" w:color="auto"/>
        <w:right w:val="none" w:sz="0" w:space="0" w:color="auto"/>
      </w:divBdr>
    </w:div>
    <w:div w:id="1288122975">
      <w:bodyDiv w:val="1"/>
      <w:marLeft w:val="0"/>
      <w:marRight w:val="0"/>
      <w:marTop w:val="0"/>
      <w:marBottom w:val="0"/>
      <w:divBdr>
        <w:top w:val="none" w:sz="0" w:space="0" w:color="auto"/>
        <w:left w:val="none" w:sz="0" w:space="0" w:color="auto"/>
        <w:bottom w:val="none" w:sz="0" w:space="0" w:color="auto"/>
        <w:right w:val="none" w:sz="0" w:space="0" w:color="auto"/>
      </w:divBdr>
      <w:divsChild>
        <w:div w:id="595787921">
          <w:marLeft w:val="0"/>
          <w:marRight w:val="0"/>
          <w:marTop w:val="0"/>
          <w:marBottom w:val="0"/>
          <w:divBdr>
            <w:top w:val="none" w:sz="0" w:space="0" w:color="auto"/>
            <w:left w:val="none" w:sz="0" w:space="0" w:color="auto"/>
            <w:bottom w:val="none" w:sz="0" w:space="0" w:color="auto"/>
            <w:right w:val="none" w:sz="0" w:space="0" w:color="auto"/>
          </w:divBdr>
        </w:div>
        <w:div w:id="854999897">
          <w:marLeft w:val="0"/>
          <w:marRight w:val="0"/>
          <w:marTop w:val="0"/>
          <w:marBottom w:val="0"/>
          <w:divBdr>
            <w:top w:val="none" w:sz="0" w:space="0" w:color="auto"/>
            <w:left w:val="none" w:sz="0" w:space="0" w:color="auto"/>
            <w:bottom w:val="none" w:sz="0" w:space="0" w:color="auto"/>
            <w:right w:val="none" w:sz="0" w:space="0" w:color="auto"/>
          </w:divBdr>
        </w:div>
      </w:divsChild>
    </w:div>
    <w:div w:id="1291012717">
      <w:bodyDiv w:val="1"/>
      <w:marLeft w:val="0"/>
      <w:marRight w:val="0"/>
      <w:marTop w:val="0"/>
      <w:marBottom w:val="0"/>
      <w:divBdr>
        <w:top w:val="none" w:sz="0" w:space="0" w:color="auto"/>
        <w:left w:val="none" w:sz="0" w:space="0" w:color="auto"/>
        <w:bottom w:val="none" w:sz="0" w:space="0" w:color="auto"/>
        <w:right w:val="none" w:sz="0" w:space="0" w:color="auto"/>
      </w:divBdr>
    </w:div>
    <w:div w:id="1405495283">
      <w:bodyDiv w:val="1"/>
      <w:marLeft w:val="0"/>
      <w:marRight w:val="0"/>
      <w:marTop w:val="0"/>
      <w:marBottom w:val="0"/>
      <w:divBdr>
        <w:top w:val="none" w:sz="0" w:space="0" w:color="auto"/>
        <w:left w:val="none" w:sz="0" w:space="0" w:color="auto"/>
        <w:bottom w:val="none" w:sz="0" w:space="0" w:color="auto"/>
        <w:right w:val="none" w:sz="0" w:space="0" w:color="auto"/>
      </w:divBdr>
      <w:divsChild>
        <w:div w:id="915942538">
          <w:marLeft w:val="0"/>
          <w:marRight w:val="0"/>
          <w:marTop w:val="0"/>
          <w:marBottom w:val="0"/>
          <w:divBdr>
            <w:top w:val="none" w:sz="0" w:space="0" w:color="auto"/>
            <w:left w:val="none" w:sz="0" w:space="0" w:color="auto"/>
            <w:bottom w:val="none" w:sz="0" w:space="0" w:color="auto"/>
            <w:right w:val="none" w:sz="0" w:space="0" w:color="auto"/>
          </w:divBdr>
        </w:div>
        <w:div w:id="941038433">
          <w:marLeft w:val="0"/>
          <w:marRight w:val="0"/>
          <w:marTop w:val="0"/>
          <w:marBottom w:val="0"/>
          <w:divBdr>
            <w:top w:val="none" w:sz="0" w:space="0" w:color="auto"/>
            <w:left w:val="none" w:sz="0" w:space="0" w:color="auto"/>
            <w:bottom w:val="none" w:sz="0" w:space="0" w:color="auto"/>
            <w:right w:val="none" w:sz="0" w:space="0" w:color="auto"/>
          </w:divBdr>
        </w:div>
        <w:div w:id="955328254">
          <w:marLeft w:val="0"/>
          <w:marRight w:val="0"/>
          <w:marTop w:val="0"/>
          <w:marBottom w:val="0"/>
          <w:divBdr>
            <w:top w:val="none" w:sz="0" w:space="0" w:color="auto"/>
            <w:left w:val="none" w:sz="0" w:space="0" w:color="auto"/>
            <w:bottom w:val="none" w:sz="0" w:space="0" w:color="auto"/>
            <w:right w:val="none" w:sz="0" w:space="0" w:color="auto"/>
          </w:divBdr>
        </w:div>
        <w:div w:id="1691292519">
          <w:marLeft w:val="0"/>
          <w:marRight w:val="0"/>
          <w:marTop w:val="0"/>
          <w:marBottom w:val="0"/>
          <w:divBdr>
            <w:top w:val="none" w:sz="0" w:space="0" w:color="auto"/>
            <w:left w:val="none" w:sz="0" w:space="0" w:color="auto"/>
            <w:bottom w:val="none" w:sz="0" w:space="0" w:color="auto"/>
            <w:right w:val="none" w:sz="0" w:space="0" w:color="auto"/>
          </w:divBdr>
        </w:div>
        <w:div w:id="2115712127">
          <w:marLeft w:val="0"/>
          <w:marRight w:val="0"/>
          <w:marTop w:val="0"/>
          <w:marBottom w:val="0"/>
          <w:divBdr>
            <w:top w:val="none" w:sz="0" w:space="0" w:color="auto"/>
            <w:left w:val="none" w:sz="0" w:space="0" w:color="auto"/>
            <w:bottom w:val="none" w:sz="0" w:space="0" w:color="auto"/>
            <w:right w:val="none" w:sz="0" w:space="0" w:color="auto"/>
          </w:divBdr>
        </w:div>
        <w:div w:id="2121027030">
          <w:marLeft w:val="0"/>
          <w:marRight w:val="0"/>
          <w:marTop w:val="0"/>
          <w:marBottom w:val="0"/>
          <w:divBdr>
            <w:top w:val="none" w:sz="0" w:space="0" w:color="auto"/>
            <w:left w:val="none" w:sz="0" w:space="0" w:color="auto"/>
            <w:bottom w:val="none" w:sz="0" w:space="0" w:color="auto"/>
            <w:right w:val="none" w:sz="0" w:space="0" w:color="auto"/>
          </w:divBdr>
        </w:div>
      </w:divsChild>
    </w:div>
    <w:div w:id="1433352556">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52156181">
      <w:bodyDiv w:val="1"/>
      <w:marLeft w:val="0"/>
      <w:marRight w:val="0"/>
      <w:marTop w:val="0"/>
      <w:marBottom w:val="0"/>
      <w:divBdr>
        <w:top w:val="none" w:sz="0" w:space="0" w:color="auto"/>
        <w:left w:val="none" w:sz="0" w:space="0" w:color="auto"/>
        <w:bottom w:val="none" w:sz="0" w:space="0" w:color="auto"/>
        <w:right w:val="none" w:sz="0" w:space="0" w:color="auto"/>
      </w:divBdr>
    </w:div>
    <w:div w:id="1558468254">
      <w:bodyDiv w:val="1"/>
      <w:marLeft w:val="0"/>
      <w:marRight w:val="0"/>
      <w:marTop w:val="0"/>
      <w:marBottom w:val="0"/>
      <w:divBdr>
        <w:top w:val="none" w:sz="0" w:space="0" w:color="auto"/>
        <w:left w:val="none" w:sz="0" w:space="0" w:color="auto"/>
        <w:bottom w:val="none" w:sz="0" w:space="0" w:color="auto"/>
        <w:right w:val="none" w:sz="0" w:space="0" w:color="auto"/>
      </w:divBdr>
    </w:div>
    <w:div w:id="1616714120">
      <w:bodyDiv w:val="1"/>
      <w:marLeft w:val="0"/>
      <w:marRight w:val="0"/>
      <w:marTop w:val="0"/>
      <w:marBottom w:val="0"/>
      <w:divBdr>
        <w:top w:val="none" w:sz="0" w:space="0" w:color="auto"/>
        <w:left w:val="none" w:sz="0" w:space="0" w:color="auto"/>
        <w:bottom w:val="none" w:sz="0" w:space="0" w:color="auto"/>
        <w:right w:val="none" w:sz="0" w:space="0" w:color="auto"/>
      </w:divBdr>
    </w:div>
    <w:div w:id="1650355130">
      <w:bodyDiv w:val="1"/>
      <w:marLeft w:val="0"/>
      <w:marRight w:val="0"/>
      <w:marTop w:val="0"/>
      <w:marBottom w:val="0"/>
      <w:divBdr>
        <w:top w:val="none" w:sz="0" w:space="0" w:color="auto"/>
        <w:left w:val="none" w:sz="0" w:space="0" w:color="auto"/>
        <w:bottom w:val="none" w:sz="0" w:space="0" w:color="auto"/>
        <w:right w:val="none" w:sz="0" w:space="0" w:color="auto"/>
      </w:divBdr>
    </w:div>
    <w:div w:id="1702591241">
      <w:bodyDiv w:val="1"/>
      <w:marLeft w:val="0"/>
      <w:marRight w:val="0"/>
      <w:marTop w:val="0"/>
      <w:marBottom w:val="0"/>
      <w:divBdr>
        <w:top w:val="none" w:sz="0" w:space="0" w:color="auto"/>
        <w:left w:val="none" w:sz="0" w:space="0" w:color="auto"/>
        <w:bottom w:val="none" w:sz="0" w:space="0" w:color="auto"/>
        <w:right w:val="none" w:sz="0" w:space="0" w:color="auto"/>
      </w:divBdr>
    </w:div>
    <w:div w:id="1752386134">
      <w:bodyDiv w:val="1"/>
      <w:marLeft w:val="0"/>
      <w:marRight w:val="0"/>
      <w:marTop w:val="0"/>
      <w:marBottom w:val="0"/>
      <w:divBdr>
        <w:top w:val="none" w:sz="0" w:space="0" w:color="auto"/>
        <w:left w:val="none" w:sz="0" w:space="0" w:color="auto"/>
        <w:bottom w:val="none" w:sz="0" w:space="0" w:color="auto"/>
        <w:right w:val="none" w:sz="0" w:space="0" w:color="auto"/>
      </w:divBdr>
    </w:div>
    <w:div w:id="1769426900">
      <w:bodyDiv w:val="1"/>
      <w:marLeft w:val="0"/>
      <w:marRight w:val="0"/>
      <w:marTop w:val="0"/>
      <w:marBottom w:val="0"/>
      <w:divBdr>
        <w:top w:val="none" w:sz="0" w:space="0" w:color="auto"/>
        <w:left w:val="none" w:sz="0" w:space="0" w:color="auto"/>
        <w:bottom w:val="none" w:sz="0" w:space="0" w:color="auto"/>
        <w:right w:val="none" w:sz="0" w:space="0" w:color="auto"/>
      </w:divBdr>
    </w:div>
    <w:div w:id="1831941743">
      <w:bodyDiv w:val="1"/>
      <w:marLeft w:val="0"/>
      <w:marRight w:val="0"/>
      <w:marTop w:val="0"/>
      <w:marBottom w:val="0"/>
      <w:divBdr>
        <w:top w:val="none" w:sz="0" w:space="0" w:color="auto"/>
        <w:left w:val="none" w:sz="0" w:space="0" w:color="auto"/>
        <w:bottom w:val="none" w:sz="0" w:space="0" w:color="auto"/>
        <w:right w:val="none" w:sz="0" w:space="0" w:color="auto"/>
      </w:divBdr>
    </w:div>
    <w:div w:id="1855266823">
      <w:bodyDiv w:val="1"/>
      <w:marLeft w:val="0"/>
      <w:marRight w:val="0"/>
      <w:marTop w:val="0"/>
      <w:marBottom w:val="0"/>
      <w:divBdr>
        <w:top w:val="none" w:sz="0" w:space="0" w:color="auto"/>
        <w:left w:val="none" w:sz="0" w:space="0" w:color="auto"/>
        <w:bottom w:val="none" w:sz="0" w:space="0" w:color="auto"/>
        <w:right w:val="none" w:sz="0" w:space="0" w:color="auto"/>
      </w:divBdr>
    </w:div>
    <w:div w:id="1911186282">
      <w:bodyDiv w:val="1"/>
      <w:marLeft w:val="0"/>
      <w:marRight w:val="0"/>
      <w:marTop w:val="0"/>
      <w:marBottom w:val="0"/>
      <w:divBdr>
        <w:top w:val="none" w:sz="0" w:space="0" w:color="auto"/>
        <w:left w:val="none" w:sz="0" w:space="0" w:color="auto"/>
        <w:bottom w:val="none" w:sz="0" w:space="0" w:color="auto"/>
        <w:right w:val="none" w:sz="0" w:space="0" w:color="auto"/>
      </w:divBdr>
      <w:divsChild>
        <w:div w:id="884944542">
          <w:marLeft w:val="0"/>
          <w:marRight w:val="0"/>
          <w:marTop w:val="0"/>
          <w:marBottom w:val="0"/>
          <w:divBdr>
            <w:top w:val="none" w:sz="0" w:space="0" w:color="auto"/>
            <w:left w:val="none" w:sz="0" w:space="0" w:color="auto"/>
            <w:bottom w:val="none" w:sz="0" w:space="0" w:color="auto"/>
            <w:right w:val="none" w:sz="0" w:space="0" w:color="auto"/>
          </w:divBdr>
        </w:div>
      </w:divsChild>
    </w:div>
    <w:div w:id="1993243661">
      <w:bodyDiv w:val="1"/>
      <w:marLeft w:val="0"/>
      <w:marRight w:val="0"/>
      <w:marTop w:val="0"/>
      <w:marBottom w:val="0"/>
      <w:divBdr>
        <w:top w:val="none" w:sz="0" w:space="0" w:color="auto"/>
        <w:left w:val="none" w:sz="0" w:space="0" w:color="auto"/>
        <w:bottom w:val="none" w:sz="0" w:space="0" w:color="auto"/>
        <w:right w:val="none" w:sz="0" w:space="0" w:color="auto"/>
      </w:divBdr>
      <w:divsChild>
        <w:div w:id="250159905">
          <w:marLeft w:val="0"/>
          <w:marRight w:val="0"/>
          <w:marTop w:val="0"/>
          <w:marBottom w:val="0"/>
          <w:divBdr>
            <w:top w:val="none" w:sz="0" w:space="0" w:color="auto"/>
            <w:left w:val="none" w:sz="0" w:space="0" w:color="auto"/>
            <w:bottom w:val="none" w:sz="0" w:space="0" w:color="auto"/>
            <w:right w:val="none" w:sz="0" w:space="0" w:color="auto"/>
          </w:divBdr>
        </w:div>
        <w:div w:id="904728100">
          <w:marLeft w:val="0"/>
          <w:marRight w:val="0"/>
          <w:marTop w:val="0"/>
          <w:marBottom w:val="0"/>
          <w:divBdr>
            <w:top w:val="none" w:sz="0" w:space="0" w:color="auto"/>
            <w:left w:val="none" w:sz="0" w:space="0" w:color="auto"/>
            <w:bottom w:val="none" w:sz="0" w:space="0" w:color="auto"/>
            <w:right w:val="none" w:sz="0" w:space="0" w:color="auto"/>
          </w:divBdr>
        </w:div>
        <w:div w:id="1084838239">
          <w:marLeft w:val="0"/>
          <w:marRight w:val="0"/>
          <w:marTop w:val="0"/>
          <w:marBottom w:val="0"/>
          <w:divBdr>
            <w:top w:val="none" w:sz="0" w:space="0" w:color="auto"/>
            <w:left w:val="none" w:sz="0" w:space="0" w:color="auto"/>
            <w:bottom w:val="none" w:sz="0" w:space="0" w:color="auto"/>
            <w:right w:val="none" w:sz="0" w:space="0" w:color="auto"/>
          </w:divBdr>
        </w:div>
        <w:div w:id="1198466189">
          <w:marLeft w:val="0"/>
          <w:marRight w:val="0"/>
          <w:marTop w:val="0"/>
          <w:marBottom w:val="0"/>
          <w:divBdr>
            <w:top w:val="none" w:sz="0" w:space="0" w:color="auto"/>
            <w:left w:val="none" w:sz="0" w:space="0" w:color="auto"/>
            <w:bottom w:val="none" w:sz="0" w:space="0" w:color="auto"/>
            <w:right w:val="none" w:sz="0" w:space="0" w:color="auto"/>
          </w:divBdr>
        </w:div>
        <w:div w:id="1241330324">
          <w:marLeft w:val="0"/>
          <w:marRight w:val="0"/>
          <w:marTop w:val="0"/>
          <w:marBottom w:val="0"/>
          <w:divBdr>
            <w:top w:val="none" w:sz="0" w:space="0" w:color="auto"/>
            <w:left w:val="none" w:sz="0" w:space="0" w:color="auto"/>
            <w:bottom w:val="none" w:sz="0" w:space="0" w:color="auto"/>
            <w:right w:val="none" w:sz="0" w:space="0" w:color="auto"/>
          </w:divBdr>
        </w:div>
        <w:div w:id="1249457958">
          <w:marLeft w:val="0"/>
          <w:marRight w:val="0"/>
          <w:marTop w:val="0"/>
          <w:marBottom w:val="0"/>
          <w:divBdr>
            <w:top w:val="none" w:sz="0" w:space="0" w:color="auto"/>
            <w:left w:val="none" w:sz="0" w:space="0" w:color="auto"/>
            <w:bottom w:val="none" w:sz="0" w:space="0" w:color="auto"/>
            <w:right w:val="none" w:sz="0" w:space="0" w:color="auto"/>
          </w:divBdr>
        </w:div>
        <w:div w:id="1387341816">
          <w:marLeft w:val="0"/>
          <w:marRight w:val="0"/>
          <w:marTop w:val="0"/>
          <w:marBottom w:val="0"/>
          <w:divBdr>
            <w:top w:val="none" w:sz="0" w:space="0" w:color="auto"/>
            <w:left w:val="none" w:sz="0" w:space="0" w:color="auto"/>
            <w:bottom w:val="none" w:sz="0" w:space="0" w:color="auto"/>
            <w:right w:val="none" w:sz="0" w:space="0" w:color="auto"/>
          </w:divBdr>
        </w:div>
        <w:div w:id="1500340566">
          <w:marLeft w:val="0"/>
          <w:marRight w:val="0"/>
          <w:marTop w:val="0"/>
          <w:marBottom w:val="0"/>
          <w:divBdr>
            <w:top w:val="none" w:sz="0" w:space="0" w:color="auto"/>
            <w:left w:val="none" w:sz="0" w:space="0" w:color="auto"/>
            <w:bottom w:val="none" w:sz="0" w:space="0" w:color="auto"/>
            <w:right w:val="none" w:sz="0" w:space="0" w:color="auto"/>
          </w:divBdr>
        </w:div>
        <w:div w:id="1515917667">
          <w:marLeft w:val="0"/>
          <w:marRight w:val="0"/>
          <w:marTop w:val="0"/>
          <w:marBottom w:val="0"/>
          <w:divBdr>
            <w:top w:val="none" w:sz="0" w:space="0" w:color="auto"/>
            <w:left w:val="none" w:sz="0" w:space="0" w:color="auto"/>
            <w:bottom w:val="none" w:sz="0" w:space="0" w:color="auto"/>
            <w:right w:val="none" w:sz="0" w:space="0" w:color="auto"/>
          </w:divBdr>
          <w:divsChild>
            <w:div w:id="184559184">
              <w:marLeft w:val="0"/>
              <w:marRight w:val="0"/>
              <w:marTop w:val="0"/>
              <w:marBottom w:val="0"/>
              <w:divBdr>
                <w:top w:val="none" w:sz="0" w:space="0" w:color="auto"/>
                <w:left w:val="none" w:sz="0" w:space="0" w:color="auto"/>
                <w:bottom w:val="none" w:sz="0" w:space="0" w:color="auto"/>
                <w:right w:val="none" w:sz="0" w:space="0" w:color="auto"/>
              </w:divBdr>
            </w:div>
            <w:div w:id="871501906">
              <w:marLeft w:val="0"/>
              <w:marRight w:val="0"/>
              <w:marTop w:val="0"/>
              <w:marBottom w:val="0"/>
              <w:divBdr>
                <w:top w:val="none" w:sz="0" w:space="0" w:color="auto"/>
                <w:left w:val="none" w:sz="0" w:space="0" w:color="auto"/>
                <w:bottom w:val="none" w:sz="0" w:space="0" w:color="auto"/>
                <w:right w:val="none" w:sz="0" w:space="0" w:color="auto"/>
              </w:divBdr>
            </w:div>
            <w:div w:id="1852139665">
              <w:marLeft w:val="0"/>
              <w:marRight w:val="0"/>
              <w:marTop w:val="0"/>
              <w:marBottom w:val="0"/>
              <w:divBdr>
                <w:top w:val="none" w:sz="0" w:space="0" w:color="auto"/>
                <w:left w:val="none" w:sz="0" w:space="0" w:color="auto"/>
                <w:bottom w:val="none" w:sz="0" w:space="0" w:color="auto"/>
                <w:right w:val="none" w:sz="0" w:space="0" w:color="auto"/>
              </w:divBdr>
            </w:div>
          </w:divsChild>
        </w:div>
        <w:div w:id="1518884959">
          <w:marLeft w:val="0"/>
          <w:marRight w:val="0"/>
          <w:marTop w:val="0"/>
          <w:marBottom w:val="0"/>
          <w:divBdr>
            <w:top w:val="none" w:sz="0" w:space="0" w:color="auto"/>
            <w:left w:val="none" w:sz="0" w:space="0" w:color="auto"/>
            <w:bottom w:val="none" w:sz="0" w:space="0" w:color="auto"/>
            <w:right w:val="none" w:sz="0" w:space="0" w:color="auto"/>
          </w:divBdr>
          <w:divsChild>
            <w:div w:id="1246568719">
              <w:marLeft w:val="0"/>
              <w:marRight w:val="0"/>
              <w:marTop w:val="0"/>
              <w:marBottom w:val="0"/>
              <w:divBdr>
                <w:top w:val="none" w:sz="0" w:space="0" w:color="auto"/>
                <w:left w:val="none" w:sz="0" w:space="0" w:color="auto"/>
                <w:bottom w:val="none" w:sz="0" w:space="0" w:color="auto"/>
                <w:right w:val="none" w:sz="0" w:space="0" w:color="auto"/>
              </w:divBdr>
            </w:div>
          </w:divsChild>
        </w:div>
        <w:div w:id="1946037563">
          <w:marLeft w:val="0"/>
          <w:marRight w:val="0"/>
          <w:marTop w:val="0"/>
          <w:marBottom w:val="0"/>
          <w:divBdr>
            <w:top w:val="none" w:sz="0" w:space="0" w:color="auto"/>
            <w:left w:val="none" w:sz="0" w:space="0" w:color="auto"/>
            <w:bottom w:val="none" w:sz="0" w:space="0" w:color="auto"/>
            <w:right w:val="none" w:sz="0" w:space="0" w:color="auto"/>
          </w:divBdr>
        </w:div>
      </w:divsChild>
    </w:div>
    <w:div w:id="2020307366">
      <w:bodyDiv w:val="1"/>
      <w:marLeft w:val="0"/>
      <w:marRight w:val="0"/>
      <w:marTop w:val="0"/>
      <w:marBottom w:val="0"/>
      <w:divBdr>
        <w:top w:val="none" w:sz="0" w:space="0" w:color="auto"/>
        <w:left w:val="none" w:sz="0" w:space="0" w:color="auto"/>
        <w:bottom w:val="none" w:sz="0" w:space="0" w:color="auto"/>
        <w:right w:val="none" w:sz="0" w:space="0" w:color="auto"/>
      </w:divBdr>
      <w:divsChild>
        <w:div w:id="58335263">
          <w:marLeft w:val="0"/>
          <w:marRight w:val="0"/>
          <w:marTop w:val="0"/>
          <w:marBottom w:val="0"/>
          <w:divBdr>
            <w:top w:val="none" w:sz="0" w:space="0" w:color="auto"/>
            <w:left w:val="none" w:sz="0" w:space="0" w:color="auto"/>
            <w:bottom w:val="none" w:sz="0" w:space="0" w:color="auto"/>
            <w:right w:val="none" w:sz="0" w:space="0" w:color="auto"/>
          </w:divBdr>
        </w:div>
        <w:div w:id="1129787158">
          <w:marLeft w:val="0"/>
          <w:marRight w:val="0"/>
          <w:marTop w:val="0"/>
          <w:marBottom w:val="0"/>
          <w:divBdr>
            <w:top w:val="none" w:sz="0" w:space="0" w:color="auto"/>
            <w:left w:val="none" w:sz="0" w:space="0" w:color="auto"/>
            <w:bottom w:val="none" w:sz="0" w:space="0" w:color="auto"/>
            <w:right w:val="none" w:sz="0" w:space="0" w:color="auto"/>
          </w:divBdr>
        </w:div>
        <w:div w:id="1138567711">
          <w:marLeft w:val="0"/>
          <w:marRight w:val="0"/>
          <w:marTop w:val="0"/>
          <w:marBottom w:val="0"/>
          <w:divBdr>
            <w:top w:val="none" w:sz="0" w:space="0" w:color="auto"/>
            <w:left w:val="none" w:sz="0" w:space="0" w:color="auto"/>
            <w:bottom w:val="none" w:sz="0" w:space="0" w:color="auto"/>
            <w:right w:val="none" w:sz="0" w:space="0" w:color="auto"/>
          </w:divBdr>
        </w:div>
        <w:div w:id="1300963258">
          <w:marLeft w:val="0"/>
          <w:marRight w:val="0"/>
          <w:marTop w:val="0"/>
          <w:marBottom w:val="0"/>
          <w:divBdr>
            <w:top w:val="none" w:sz="0" w:space="0" w:color="auto"/>
            <w:left w:val="none" w:sz="0" w:space="0" w:color="auto"/>
            <w:bottom w:val="none" w:sz="0" w:space="0" w:color="auto"/>
            <w:right w:val="none" w:sz="0" w:space="0" w:color="auto"/>
          </w:divBdr>
        </w:div>
        <w:div w:id="2006201277">
          <w:marLeft w:val="0"/>
          <w:marRight w:val="0"/>
          <w:marTop w:val="0"/>
          <w:marBottom w:val="0"/>
          <w:divBdr>
            <w:top w:val="none" w:sz="0" w:space="0" w:color="auto"/>
            <w:left w:val="none" w:sz="0" w:space="0" w:color="auto"/>
            <w:bottom w:val="none" w:sz="0" w:space="0" w:color="auto"/>
            <w:right w:val="none" w:sz="0" w:space="0" w:color="auto"/>
          </w:divBdr>
          <w:divsChild>
            <w:div w:id="471597900">
              <w:marLeft w:val="0"/>
              <w:marRight w:val="0"/>
              <w:marTop w:val="0"/>
              <w:marBottom w:val="0"/>
              <w:divBdr>
                <w:top w:val="none" w:sz="0" w:space="0" w:color="auto"/>
                <w:left w:val="none" w:sz="0" w:space="0" w:color="auto"/>
                <w:bottom w:val="none" w:sz="0" w:space="0" w:color="auto"/>
                <w:right w:val="none" w:sz="0" w:space="0" w:color="auto"/>
              </w:divBdr>
            </w:div>
            <w:div w:id="636567437">
              <w:marLeft w:val="0"/>
              <w:marRight w:val="0"/>
              <w:marTop w:val="0"/>
              <w:marBottom w:val="0"/>
              <w:divBdr>
                <w:top w:val="none" w:sz="0" w:space="0" w:color="auto"/>
                <w:left w:val="none" w:sz="0" w:space="0" w:color="auto"/>
                <w:bottom w:val="none" w:sz="0" w:space="0" w:color="auto"/>
                <w:right w:val="none" w:sz="0" w:space="0" w:color="auto"/>
              </w:divBdr>
            </w:div>
            <w:div w:id="80670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186801">
      <w:bodyDiv w:val="1"/>
      <w:marLeft w:val="0"/>
      <w:marRight w:val="0"/>
      <w:marTop w:val="0"/>
      <w:marBottom w:val="0"/>
      <w:divBdr>
        <w:top w:val="none" w:sz="0" w:space="0" w:color="auto"/>
        <w:left w:val="none" w:sz="0" w:space="0" w:color="auto"/>
        <w:bottom w:val="none" w:sz="0" w:space="0" w:color="auto"/>
        <w:right w:val="none" w:sz="0" w:space="0" w:color="auto"/>
      </w:divBdr>
    </w:div>
    <w:div w:id="2138336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11/j.1365-2427.2006.01701.x" TargetMode="External"/><Relationship Id="rId21" Type="http://schemas.openxmlformats.org/officeDocument/2006/relationships/footer" Target="footer3.xml"/><Relationship Id="rId42" Type="http://schemas.openxmlformats.org/officeDocument/2006/relationships/image" Target="media/image7.png"/><Relationship Id="rId63" Type="http://schemas.openxmlformats.org/officeDocument/2006/relationships/image" Target="media/image19.png"/><Relationship Id="rId84" Type="http://schemas.openxmlformats.org/officeDocument/2006/relationships/image" Target="media/image40.png"/><Relationship Id="rId138" Type="http://schemas.openxmlformats.org/officeDocument/2006/relationships/theme" Target="theme/theme1.xml"/><Relationship Id="rId16" Type="http://schemas.openxmlformats.org/officeDocument/2006/relationships/header" Target="header1.xml"/><Relationship Id="rId107" Type="http://schemas.openxmlformats.org/officeDocument/2006/relationships/header" Target="header23.xml"/><Relationship Id="rId11" Type="http://schemas.openxmlformats.org/officeDocument/2006/relationships/endnotes" Target="endnotes.xml"/><Relationship Id="rId32" Type="http://schemas.openxmlformats.org/officeDocument/2006/relationships/footer" Target="footer6.xml"/><Relationship Id="rId37" Type="http://schemas.openxmlformats.org/officeDocument/2006/relationships/header" Target="header11.xml"/><Relationship Id="rId53" Type="http://schemas.openxmlformats.org/officeDocument/2006/relationships/image" Target="media/image13.png"/><Relationship Id="rId58" Type="http://schemas.openxmlformats.org/officeDocument/2006/relationships/image" Target="media/image18.png"/><Relationship Id="rId74" Type="http://schemas.openxmlformats.org/officeDocument/2006/relationships/image" Target="media/image30.png"/><Relationship Id="rId79" Type="http://schemas.openxmlformats.org/officeDocument/2006/relationships/image" Target="media/image35.png"/><Relationship Id="rId102" Type="http://schemas.openxmlformats.org/officeDocument/2006/relationships/header" Target="header19.xml"/><Relationship Id="rId123" Type="http://schemas.openxmlformats.org/officeDocument/2006/relationships/hyperlink" Target="https://doi.org/10.1111/j.1365-2427.2000.00620.x" TargetMode="External"/><Relationship Id="rId128" Type="http://schemas.openxmlformats.org/officeDocument/2006/relationships/header" Target="header27.xml"/><Relationship Id="rId5" Type="http://schemas.openxmlformats.org/officeDocument/2006/relationships/customXml" Target="../customXml/item5.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header" Target="header4.xml"/><Relationship Id="rId27" Type="http://schemas.openxmlformats.org/officeDocument/2006/relationships/hyperlink" Target="https://www.mdba.gov.au/publications/mdba-reports/basin-wide-environmental-watering-strategy" TargetMode="External"/><Relationship Id="rId43" Type="http://schemas.openxmlformats.org/officeDocument/2006/relationships/image" Target="media/image8.png"/><Relationship Id="rId48" Type="http://schemas.openxmlformats.org/officeDocument/2006/relationships/hyperlink" Target="http://www.bom.gov.au/lam/glossary/deciled.htm" TargetMode="External"/><Relationship Id="rId64" Type="http://schemas.openxmlformats.org/officeDocument/2006/relationships/image" Target="media/image20.png"/><Relationship Id="rId69" Type="http://schemas.openxmlformats.org/officeDocument/2006/relationships/image" Target="media/image25.png"/><Relationship Id="rId113" Type="http://schemas.openxmlformats.org/officeDocument/2006/relationships/hyperlink" Target="http://dx.doi.org/10.1071/MF09043" TargetMode="External"/><Relationship Id="rId118" Type="http://schemas.openxmlformats.org/officeDocument/2006/relationships/hyperlink" Target="https://doi.org/10.1029/2011WR011488" TargetMode="External"/><Relationship Id="rId134" Type="http://schemas.openxmlformats.org/officeDocument/2006/relationships/footer" Target="footer15.xml"/><Relationship Id="rId80" Type="http://schemas.openxmlformats.org/officeDocument/2006/relationships/image" Target="media/image36.png"/><Relationship Id="rId85" Type="http://schemas.openxmlformats.org/officeDocument/2006/relationships/image" Target="media/image41.png"/><Relationship Id="rId12" Type="http://schemas.openxmlformats.org/officeDocument/2006/relationships/image" Target="media/image1.png"/><Relationship Id="rId17" Type="http://schemas.openxmlformats.org/officeDocument/2006/relationships/header" Target="header2.xml"/><Relationship Id="rId33" Type="http://schemas.openxmlformats.org/officeDocument/2006/relationships/header" Target="header9.xml"/><Relationship Id="rId38" Type="http://schemas.openxmlformats.org/officeDocument/2006/relationships/footer" Target="footer7.xml"/><Relationship Id="rId59" Type="http://schemas.openxmlformats.org/officeDocument/2006/relationships/header" Target="header16.xml"/><Relationship Id="rId103" Type="http://schemas.openxmlformats.org/officeDocument/2006/relationships/header" Target="header20.xml"/><Relationship Id="rId108" Type="http://schemas.openxmlformats.org/officeDocument/2006/relationships/footer" Target="footer12.xml"/><Relationship Id="rId124" Type="http://schemas.openxmlformats.org/officeDocument/2006/relationships/hyperlink" Target="https://doi.org/10.1002/rra.3396" TargetMode="External"/><Relationship Id="rId129" Type="http://schemas.openxmlformats.org/officeDocument/2006/relationships/hyperlink" Target="https://flow-mer.org.au" TargetMode="External"/><Relationship Id="rId54" Type="http://schemas.openxmlformats.org/officeDocument/2006/relationships/image" Target="media/image14.tiff"/><Relationship Id="rId70" Type="http://schemas.openxmlformats.org/officeDocument/2006/relationships/image" Target="media/image26.png"/><Relationship Id="rId75" Type="http://schemas.openxmlformats.org/officeDocument/2006/relationships/image" Target="media/image31.png"/><Relationship Id="rId91" Type="http://schemas.openxmlformats.org/officeDocument/2006/relationships/image" Target="media/image47.png"/><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5.xml"/><Relationship Id="rId28" Type="http://schemas.openxmlformats.org/officeDocument/2006/relationships/image" Target="media/image4.png"/><Relationship Id="rId49" Type="http://schemas.openxmlformats.org/officeDocument/2006/relationships/image" Target="media/image9.png"/><Relationship Id="rId114" Type="http://schemas.openxmlformats.org/officeDocument/2006/relationships/hyperlink" Target="https://doi.org/10.1111/j.1654-1103.2003.tb02228.x" TargetMode="External"/><Relationship Id="rId119" Type="http://schemas.openxmlformats.org/officeDocument/2006/relationships/hyperlink" Target="https://doi.org/10.1126/science.aaw2087" TargetMode="External"/><Relationship Id="rId44" Type="http://schemas.openxmlformats.org/officeDocument/2006/relationships/header" Target="header13.xml"/><Relationship Id="rId60" Type="http://schemas.openxmlformats.org/officeDocument/2006/relationships/header" Target="header17.xml"/><Relationship Id="rId65" Type="http://schemas.openxmlformats.org/officeDocument/2006/relationships/image" Target="media/image21.png"/><Relationship Id="rId81" Type="http://schemas.openxmlformats.org/officeDocument/2006/relationships/image" Target="media/image37.png"/><Relationship Id="rId86" Type="http://schemas.openxmlformats.org/officeDocument/2006/relationships/image" Target="media/image42.png"/><Relationship Id="rId130" Type="http://schemas.openxmlformats.org/officeDocument/2006/relationships/image" Target="media/image58.png"/><Relationship Id="rId135" Type="http://schemas.openxmlformats.org/officeDocument/2006/relationships/header" Target="header30.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header" Target="header12.xml"/><Relationship Id="rId109" Type="http://schemas.openxmlformats.org/officeDocument/2006/relationships/header" Target="header24.xml"/><Relationship Id="rId34" Type="http://schemas.openxmlformats.org/officeDocument/2006/relationships/hyperlink" Target="https://www.dcceew.gov.au/cewh/resources-media/publications" TargetMode="External"/><Relationship Id="rId50" Type="http://schemas.openxmlformats.org/officeDocument/2006/relationships/image" Target="media/image10.png"/><Relationship Id="rId55" Type="http://schemas.openxmlformats.org/officeDocument/2006/relationships/image" Target="media/image15.tiff"/><Relationship Id="rId76" Type="http://schemas.openxmlformats.org/officeDocument/2006/relationships/image" Target="media/image32.png"/><Relationship Id="rId97" Type="http://schemas.openxmlformats.org/officeDocument/2006/relationships/image" Target="media/image53.png"/><Relationship Id="rId104" Type="http://schemas.openxmlformats.org/officeDocument/2006/relationships/footer" Target="footer11.xml"/><Relationship Id="rId120" Type="http://schemas.openxmlformats.org/officeDocument/2006/relationships/hyperlink" Target="https://doi.org/10.1002/ecs2.1776" TargetMode="External"/><Relationship Id="rId125" Type="http://schemas.openxmlformats.org/officeDocument/2006/relationships/header" Target="header25.xml"/><Relationship Id="rId7" Type="http://schemas.openxmlformats.org/officeDocument/2006/relationships/styles" Target="styles.xml"/><Relationship Id="rId71" Type="http://schemas.openxmlformats.org/officeDocument/2006/relationships/image" Target="media/image27.png"/><Relationship Id="rId92"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footer" Target="footer4.xml"/><Relationship Id="rId40" Type="http://schemas.openxmlformats.org/officeDocument/2006/relationships/image" Target="media/image6.png"/><Relationship Id="rId45" Type="http://schemas.openxmlformats.org/officeDocument/2006/relationships/header" Target="header14.xml"/><Relationship Id="rId66" Type="http://schemas.openxmlformats.org/officeDocument/2006/relationships/image" Target="media/image22.png"/><Relationship Id="rId87" Type="http://schemas.openxmlformats.org/officeDocument/2006/relationships/image" Target="media/image43.png"/><Relationship Id="rId110" Type="http://schemas.openxmlformats.org/officeDocument/2006/relationships/hyperlink" Target="https://doi.org/10.1002/lno.10726" TargetMode="External"/><Relationship Id="rId115" Type="http://schemas.openxmlformats.org/officeDocument/2006/relationships/hyperlink" Target="https://doi.org/10.1007/s10021-024-00945-6" TargetMode="External"/><Relationship Id="rId131" Type="http://schemas.openxmlformats.org/officeDocument/2006/relationships/header" Target="header28.xml"/><Relationship Id="rId136" Type="http://schemas.openxmlformats.org/officeDocument/2006/relationships/fontTable" Target="fontTable.xml"/><Relationship Id="rId61" Type="http://schemas.openxmlformats.org/officeDocument/2006/relationships/footer" Target="footer10.xml"/><Relationship Id="rId82" Type="http://schemas.openxmlformats.org/officeDocument/2006/relationships/image" Target="media/image38.png"/><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header" Target="header7.xml"/><Relationship Id="rId35" Type="http://schemas.openxmlformats.org/officeDocument/2006/relationships/hyperlink" Target="https://www.dcceew.gov.au/cewh/manage-water/science-monitoring/science-programs" TargetMode="External"/><Relationship Id="rId56" Type="http://schemas.openxmlformats.org/officeDocument/2006/relationships/image" Target="media/image16.png"/><Relationship Id="rId77" Type="http://schemas.openxmlformats.org/officeDocument/2006/relationships/image" Target="media/image33.png"/><Relationship Id="rId100" Type="http://schemas.openxmlformats.org/officeDocument/2006/relationships/image" Target="media/image56.png"/><Relationship Id="rId105" Type="http://schemas.openxmlformats.org/officeDocument/2006/relationships/header" Target="header21.xml"/><Relationship Id="rId126" Type="http://schemas.openxmlformats.org/officeDocument/2006/relationships/header" Target="header26.xml"/><Relationship Id="rId8" Type="http://schemas.openxmlformats.org/officeDocument/2006/relationships/settings" Target="settings.xml"/><Relationship Id="rId51" Type="http://schemas.openxmlformats.org/officeDocument/2006/relationships/image" Target="media/image11.png"/><Relationship Id="rId72" Type="http://schemas.openxmlformats.org/officeDocument/2006/relationships/image" Target="media/image28.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hyperlink" Target="https://doi.org/10.2307/1467300" TargetMode="External"/><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footer" Target="footer9.xml"/><Relationship Id="rId67" Type="http://schemas.openxmlformats.org/officeDocument/2006/relationships/image" Target="media/image23.png"/><Relationship Id="rId116" Type="http://schemas.openxmlformats.org/officeDocument/2006/relationships/hyperlink" Target="https://doi.org/10.1007/s10021-024-00945-6" TargetMode="External"/><Relationship Id="rId137" Type="http://schemas.openxmlformats.org/officeDocument/2006/relationships/glossaryDocument" Target="glossary/document.xml"/><Relationship Id="rId20" Type="http://schemas.openxmlformats.org/officeDocument/2006/relationships/header" Target="header3.xml"/><Relationship Id="rId41" Type="http://schemas.openxmlformats.org/officeDocument/2006/relationships/footer" Target="footer8.xml"/><Relationship Id="rId62" Type="http://schemas.openxmlformats.org/officeDocument/2006/relationships/header" Target="header18.xml"/><Relationship Id="rId83" Type="http://schemas.openxmlformats.org/officeDocument/2006/relationships/image" Target="media/image39.png"/><Relationship Id="rId88" Type="http://schemas.openxmlformats.org/officeDocument/2006/relationships/image" Target="media/image44.png"/><Relationship Id="rId111" Type="http://schemas.openxmlformats.org/officeDocument/2006/relationships/hyperlink" Target="https://doi.org/10.1073/pnas.2121976119" TargetMode="External"/><Relationship Id="rId132" Type="http://schemas.openxmlformats.org/officeDocument/2006/relationships/header" Target="header29.xml"/><Relationship Id="rId15" Type="http://schemas.openxmlformats.org/officeDocument/2006/relationships/hyperlink" Target="https://creativecommons.org/licenses/by/4.0/" TargetMode="External"/><Relationship Id="rId36" Type="http://schemas.openxmlformats.org/officeDocument/2006/relationships/header" Target="header10.xml"/><Relationship Id="rId57" Type="http://schemas.openxmlformats.org/officeDocument/2006/relationships/image" Target="media/image17.png"/><Relationship Id="rId106" Type="http://schemas.openxmlformats.org/officeDocument/2006/relationships/header" Target="header22.xml"/><Relationship Id="rId127" Type="http://schemas.openxmlformats.org/officeDocument/2006/relationships/footer" Target="footer13.xml"/><Relationship Id="rId10" Type="http://schemas.openxmlformats.org/officeDocument/2006/relationships/footnotes" Target="footnotes.xml"/><Relationship Id="rId31" Type="http://schemas.openxmlformats.org/officeDocument/2006/relationships/header" Target="header8.xml"/><Relationship Id="rId52" Type="http://schemas.openxmlformats.org/officeDocument/2006/relationships/image" Target="media/image12.png"/><Relationship Id="rId73" Type="http://schemas.openxmlformats.org/officeDocument/2006/relationships/image" Target="media/image29.png"/><Relationship Id="rId78" Type="http://schemas.openxmlformats.org/officeDocument/2006/relationships/image" Target="media/image34.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hyperlink" Target="https://doi.org/10.1002/lol2.10172" TargetMode="External"/><Relationship Id="rId9" Type="http://schemas.openxmlformats.org/officeDocument/2006/relationships/webSettings" Target="webSettings.xml"/><Relationship Id="rId26" Type="http://schemas.openxmlformats.org/officeDocument/2006/relationships/header" Target="header6.xml"/><Relationship Id="rId47" Type="http://schemas.openxmlformats.org/officeDocument/2006/relationships/header" Target="header15.xml"/><Relationship Id="rId68" Type="http://schemas.openxmlformats.org/officeDocument/2006/relationships/image" Target="media/image24.png"/><Relationship Id="rId89" Type="http://schemas.openxmlformats.org/officeDocument/2006/relationships/image" Target="media/image45.png"/><Relationship Id="rId112" Type="http://schemas.openxmlformats.org/officeDocument/2006/relationships/hyperlink" Target="https://doi.org/10.2166/ws.2007.044" TargetMode="External"/><Relationship Id="rId133" Type="http://schemas.openxmlformats.org/officeDocument/2006/relationships/footer" Target="footer14.xml"/></Relationships>
</file>

<file path=word/_rels/footnotes.xml.rels><?xml version="1.0" encoding="UTF-8" standalone="yes"?>
<Relationships xmlns="http://schemas.openxmlformats.org/package/2006/relationships"><Relationship Id="rId2" Type="http://schemas.openxmlformats.org/officeDocument/2006/relationships/hyperlink" Target="https://www.dcceew.gov.au/water/cewo/monitoring/ewkr" TargetMode="External"/><Relationship Id="rId1" Type="http://schemas.openxmlformats.org/officeDocument/2006/relationships/hyperlink" Target="https://www.dcceew.gov.au/water/cewo/monitoring/ltim-projec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D0D47506AC8434898E0A6600976AA75"/>
        <w:category>
          <w:name w:val="General"/>
          <w:gallery w:val="placeholder"/>
        </w:category>
        <w:types>
          <w:type w:val="bbPlcHdr"/>
        </w:types>
        <w:behaviors>
          <w:behavior w:val="content"/>
        </w:behaviors>
        <w:guid w:val="{BD0B01E0-3C47-46FB-BF26-2A42ADC395FA}"/>
      </w:docPartPr>
      <w:docPartBody>
        <w:p w:rsidR="00196663" w:rsidRDefault="00D11AEF">
          <w:r w:rsidRPr="00CA6BFD">
            <w:rPr>
              <w:rStyle w:val="PlaceholderText"/>
            </w:rPr>
            <w:t>[Title]</w:t>
          </w:r>
        </w:p>
      </w:docPartBody>
    </w:docPart>
    <w:docPart>
      <w:docPartPr>
        <w:name w:val="453E085EB6CF413AB0702B10126AAEDD"/>
        <w:category>
          <w:name w:val="General"/>
          <w:gallery w:val="placeholder"/>
        </w:category>
        <w:types>
          <w:type w:val="bbPlcHdr"/>
        </w:types>
        <w:behaviors>
          <w:behavior w:val="content"/>
        </w:behaviors>
        <w:guid w:val="{E71B7FE7-9629-4E65-B187-5B28EFC8033E}"/>
      </w:docPartPr>
      <w:docPartBody>
        <w:p w:rsidR="007300EE" w:rsidRDefault="00196663">
          <w:r w:rsidRPr="0036642A">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altName w:val="メイリオ"/>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Mangal">
    <w:panose1 w:val="02040503050203030202"/>
    <w:charset w:val="00"/>
    <w:family w:val="roman"/>
    <w:pitch w:val="variable"/>
    <w:sig w:usb0="00008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1AEF"/>
    <w:rsid w:val="0008401C"/>
    <w:rsid w:val="00084FDE"/>
    <w:rsid w:val="000C2A0E"/>
    <w:rsid w:val="000E5A12"/>
    <w:rsid w:val="00132D05"/>
    <w:rsid w:val="00196663"/>
    <w:rsid w:val="001B035A"/>
    <w:rsid w:val="001F68EC"/>
    <w:rsid w:val="002507C6"/>
    <w:rsid w:val="00263B4D"/>
    <w:rsid w:val="00264151"/>
    <w:rsid w:val="00273D55"/>
    <w:rsid w:val="00281B0C"/>
    <w:rsid w:val="002E745F"/>
    <w:rsid w:val="002F0DF4"/>
    <w:rsid w:val="003126A5"/>
    <w:rsid w:val="00316A20"/>
    <w:rsid w:val="00325F2C"/>
    <w:rsid w:val="0035058C"/>
    <w:rsid w:val="00351616"/>
    <w:rsid w:val="00356DB9"/>
    <w:rsid w:val="00367863"/>
    <w:rsid w:val="00383833"/>
    <w:rsid w:val="003878E9"/>
    <w:rsid w:val="003919E5"/>
    <w:rsid w:val="00393CF6"/>
    <w:rsid w:val="003C3072"/>
    <w:rsid w:val="003D21BC"/>
    <w:rsid w:val="003D3F39"/>
    <w:rsid w:val="003D5C70"/>
    <w:rsid w:val="003E7FB7"/>
    <w:rsid w:val="003F790C"/>
    <w:rsid w:val="00430566"/>
    <w:rsid w:val="004A3F2C"/>
    <w:rsid w:val="004A520B"/>
    <w:rsid w:val="004C18D4"/>
    <w:rsid w:val="004D0F37"/>
    <w:rsid w:val="004F5B11"/>
    <w:rsid w:val="0057148A"/>
    <w:rsid w:val="005A67DA"/>
    <w:rsid w:val="005C1A7F"/>
    <w:rsid w:val="005D486F"/>
    <w:rsid w:val="006242DA"/>
    <w:rsid w:val="006549DC"/>
    <w:rsid w:val="00683B09"/>
    <w:rsid w:val="007061B8"/>
    <w:rsid w:val="007300EE"/>
    <w:rsid w:val="00742552"/>
    <w:rsid w:val="00750BBC"/>
    <w:rsid w:val="007601C1"/>
    <w:rsid w:val="007774E3"/>
    <w:rsid w:val="00781CD5"/>
    <w:rsid w:val="00793A84"/>
    <w:rsid w:val="0080052E"/>
    <w:rsid w:val="00801EFE"/>
    <w:rsid w:val="008241A2"/>
    <w:rsid w:val="00861FF7"/>
    <w:rsid w:val="00893E03"/>
    <w:rsid w:val="008A1D13"/>
    <w:rsid w:val="008C2BB2"/>
    <w:rsid w:val="008C7394"/>
    <w:rsid w:val="008E0BD6"/>
    <w:rsid w:val="008E1D94"/>
    <w:rsid w:val="00915BBD"/>
    <w:rsid w:val="00994276"/>
    <w:rsid w:val="009F607F"/>
    <w:rsid w:val="00A05543"/>
    <w:rsid w:val="00A15189"/>
    <w:rsid w:val="00A26BB6"/>
    <w:rsid w:val="00A60C24"/>
    <w:rsid w:val="00B64B25"/>
    <w:rsid w:val="00BA33C7"/>
    <w:rsid w:val="00BB5CFF"/>
    <w:rsid w:val="00BC622B"/>
    <w:rsid w:val="00BE404C"/>
    <w:rsid w:val="00C05933"/>
    <w:rsid w:val="00C56AA7"/>
    <w:rsid w:val="00C81FEF"/>
    <w:rsid w:val="00CF1772"/>
    <w:rsid w:val="00D07ECB"/>
    <w:rsid w:val="00D11AEF"/>
    <w:rsid w:val="00D13B0D"/>
    <w:rsid w:val="00D7216C"/>
    <w:rsid w:val="00D733B1"/>
    <w:rsid w:val="00DA773B"/>
    <w:rsid w:val="00DC6E34"/>
    <w:rsid w:val="00DF3377"/>
    <w:rsid w:val="00E41A95"/>
    <w:rsid w:val="00E962FD"/>
    <w:rsid w:val="00EC3EB4"/>
    <w:rsid w:val="00ED5D34"/>
    <w:rsid w:val="00EF31D1"/>
    <w:rsid w:val="00F10AEF"/>
    <w:rsid w:val="00F649E4"/>
    <w:rsid w:val="00FA6F28"/>
  </w:rsids>
  <m:mathPr>
    <m:mathFont m:val="Cambria Math"/>
    <m:brkBin m:val="before"/>
    <m:brkBinSub m:val="--"/>
    <m:smallFrac m:val="0"/>
    <m:dispDef/>
    <m:lMargin m:val="0"/>
    <m:rMargin m:val="0"/>
    <m:defJc m:val="centerGroup"/>
    <m:wrapIndent m:val="1440"/>
    <m:intLim m:val="subSup"/>
    <m:naryLim m:val="undOvr"/>
  </m:mathPr>
  <w:themeFontLang w:val="en-AU" w:eastAsia="ja-JP" w:bidi="ne-N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9666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low-MER">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9E0CFEE6500EF4B8EC71B95C80DA73E" ma:contentTypeVersion="22" ma:contentTypeDescription="Create a new document." ma:contentTypeScope="" ma:versionID="e85e87d59445c95c929ccaecd71fb7e9">
  <xsd:schema xmlns:xsd="http://www.w3.org/2001/XMLSchema" xmlns:xs="http://www.w3.org/2001/XMLSchema" xmlns:p="http://schemas.microsoft.com/office/2006/metadata/properties" xmlns:ns2="cef064d9-833a-4371-be14-d32f389c9492" xmlns:ns3="f25e6db3-c0af-4f7c-83bb-9421085d09c1" targetNamespace="http://schemas.microsoft.com/office/2006/metadata/properties" ma:root="true" ma:fieldsID="ddaf19e4c92ed0cea9a2684a314c79c7" ns2:_="" ns3:_="">
    <xsd:import namespace="cef064d9-833a-4371-be14-d32f389c9492"/>
    <xsd:import namespace="f25e6db3-c0af-4f7c-83bb-9421085d09c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_dlc_DocId" minOccurs="0"/>
                <xsd:element ref="ns3:_dlc_DocIdUrl" minOccurs="0"/>
                <xsd:element ref="ns3:_dlc_DocIdPersistId"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Comment" minOccurs="0"/>
                <xsd:element ref="ns2:MediaServiceLocation" minOccurs="0"/>
                <xsd:element ref="ns2:Note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f064d9-833a-4371-be14-d32f389c94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Comment" ma:index="22" nillable="true" ma:displayName="Comment" ma:format="Dropdown" ma:internalName="Comment">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element name="Notes" ma:index="24" nillable="true" ma:displayName="Notes" ma:format="Dropdown" ma:internalName="Notes">
      <xsd:simpleType>
        <xsd:restriction base="dms:Note">
          <xsd:maxLength value="255"/>
        </xsd:restriction>
      </xsd:simpleType>
    </xsd:element>
    <xsd:element name="MediaLengthInSeconds" ma:index="25" nillable="true" ma:displayName="Length (seconds)"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c9513c6f-d7d3-4bba-9430-ae33811478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25e6db3-c0af-4f7c-83bb-9421085d09c1"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e291bb25-a7f3-4a0e-ab6c-7eec5fe6ed70}" ma:internalName="TaxCatchAll" ma:showField="CatchAllData" ma:web="f25e6db3-c0af-4f7c-83bb-9421085d09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Props1.xml><?xml version="1.0" encoding="utf-8"?>
<ds:datastoreItem xmlns:ds="http://schemas.openxmlformats.org/officeDocument/2006/customXml" ds:itemID="{94D873A1-056B-4D1B-966F-2D60031F54CE}">
  <ds:schemaRefs>
    <ds:schemaRef ds:uri="http://schemas.openxmlformats.org/officeDocument/2006/bibliography"/>
  </ds:schemaRefs>
</ds:datastoreItem>
</file>

<file path=customXml/itemProps2.xml><?xml version="1.0" encoding="utf-8"?>
<ds:datastoreItem xmlns:ds="http://schemas.openxmlformats.org/officeDocument/2006/customXml" ds:itemID="{692607E1-6ECD-414E-BE5B-D6A8E054D178}"/>
</file>

<file path=customXml/itemProps3.xml><?xml version="1.0" encoding="utf-8"?>
<ds:datastoreItem xmlns:ds="http://schemas.openxmlformats.org/officeDocument/2006/customXml" ds:itemID="{E3544B3B-B42A-4CA9-87CD-FDDEB27EFC52}">
  <ds:schemaRefs>
    <ds:schemaRef ds:uri="http://schemas.microsoft.com/sharepoint/v3/contenttype/forms"/>
  </ds:schemaRefs>
</ds:datastoreItem>
</file>

<file path=customXml/itemProps4.xml><?xml version="1.0" encoding="utf-8"?>
<ds:datastoreItem xmlns:ds="http://schemas.openxmlformats.org/officeDocument/2006/customXml" ds:itemID="{A7F3F25B-06F2-40B9-8489-973DAE7955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f064d9-833a-4371-be14-d32f389c9492"/>
    <ds:schemaRef ds:uri="f25e6db3-c0af-4f7c-83bb-9421085d09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A86A39E-852A-4EB3-97B0-BC56495FFC13}">
  <ds:schemaRefs>
    <ds:schemaRef ds:uri="http://schemas.microsoft.com/office/2006/metadata/properties"/>
    <ds:schemaRef ds:uri="http://schemas.microsoft.com/office/infopath/2007/PartnerControls"/>
    <ds:schemaRef ds:uri="cef064d9-833a-4371-be14-d32f389c9492"/>
    <ds:schemaRef ds:uri="f25e6db3-c0af-4f7c-83bb-9421085d09c1"/>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78</Pages>
  <Words>22213</Words>
  <Characters>126617</Characters>
  <Application>Microsoft Office Word</Application>
  <DocSecurity>0</DocSecurity>
  <Lines>1055</Lines>
  <Paragraphs>297</Paragraphs>
  <ScaleCrop>false</ScaleCrop>
  <HeadingPairs>
    <vt:vector size="2" baseType="variant">
      <vt:variant>
        <vt:lpstr>Title</vt:lpstr>
      </vt:variant>
      <vt:variant>
        <vt:i4>1</vt:i4>
      </vt:variant>
    </vt:vector>
  </HeadingPairs>
  <TitlesOfParts>
    <vt:vector size="1" baseType="lpstr">
      <vt:lpstr>Basin-scale evaluation of 2023–24 Commonwealth environmental water: Food Webs and Water Quality</vt:lpstr>
    </vt:vector>
  </TitlesOfParts>
  <Company/>
  <LinksUpToDate>false</LinksUpToDate>
  <CharactersWithSpaces>148533</CharactersWithSpaces>
  <SharedDoc>false</SharedDoc>
  <HLinks>
    <vt:vector size="942" baseType="variant">
      <vt:variant>
        <vt:i4>5439494</vt:i4>
      </vt:variant>
      <vt:variant>
        <vt:i4>1404</vt:i4>
      </vt:variant>
      <vt:variant>
        <vt:i4>0</vt:i4>
      </vt:variant>
      <vt:variant>
        <vt:i4>5</vt:i4>
      </vt:variant>
      <vt:variant>
        <vt:lpwstr>https://flow-mer.org.au/</vt:lpwstr>
      </vt:variant>
      <vt:variant>
        <vt:lpwstr/>
      </vt:variant>
      <vt:variant>
        <vt:i4>4849729</vt:i4>
      </vt:variant>
      <vt:variant>
        <vt:i4>1401</vt:i4>
      </vt:variant>
      <vt:variant>
        <vt:i4>0</vt:i4>
      </vt:variant>
      <vt:variant>
        <vt:i4>5</vt:i4>
      </vt:variant>
      <vt:variant>
        <vt:lpwstr>https://doi.org/10.1002/rra.3396</vt:lpwstr>
      </vt:variant>
      <vt:variant>
        <vt:lpwstr/>
      </vt:variant>
      <vt:variant>
        <vt:i4>5898265</vt:i4>
      </vt:variant>
      <vt:variant>
        <vt:i4>1398</vt:i4>
      </vt:variant>
      <vt:variant>
        <vt:i4>0</vt:i4>
      </vt:variant>
      <vt:variant>
        <vt:i4>5</vt:i4>
      </vt:variant>
      <vt:variant>
        <vt:lpwstr>https://doi.org/10.1111/j.1365-2427.2000.00620.x</vt:lpwstr>
      </vt:variant>
      <vt:variant>
        <vt:lpwstr/>
      </vt:variant>
      <vt:variant>
        <vt:i4>8126577</vt:i4>
      </vt:variant>
      <vt:variant>
        <vt:i4>1395</vt:i4>
      </vt:variant>
      <vt:variant>
        <vt:i4>0</vt:i4>
      </vt:variant>
      <vt:variant>
        <vt:i4>5</vt:i4>
      </vt:variant>
      <vt:variant>
        <vt:lpwstr>https://doi.org/10.1002/lol2.10172</vt:lpwstr>
      </vt:variant>
      <vt:variant>
        <vt:lpwstr/>
      </vt:variant>
      <vt:variant>
        <vt:i4>2293866</vt:i4>
      </vt:variant>
      <vt:variant>
        <vt:i4>1392</vt:i4>
      </vt:variant>
      <vt:variant>
        <vt:i4>0</vt:i4>
      </vt:variant>
      <vt:variant>
        <vt:i4>5</vt:i4>
      </vt:variant>
      <vt:variant>
        <vt:lpwstr>https://doi.org/10.2307/1467300</vt:lpwstr>
      </vt:variant>
      <vt:variant>
        <vt:lpwstr/>
      </vt:variant>
      <vt:variant>
        <vt:i4>4456535</vt:i4>
      </vt:variant>
      <vt:variant>
        <vt:i4>1389</vt:i4>
      </vt:variant>
      <vt:variant>
        <vt:i4>0</vt:i4>
      </vt:variant>
      <vt:variant>
        <vt:i4>5</vt:i4>
      </vt:variant>
      <vt:variant>
        <vt:lpwstr>https://doi.org/10.1002/ecs2.1776</vt:lpwstr>
      </vt:variant>
      <vt:variant>
        <vt:lpwstr/>
      </vt:variant>
      <vt:variant>
        <vt:i4>3211370</vt:i4>
      </vt:variant>
      <vt:variant>
        <vt:i4>1386</vt:i4>
      </vt:variant>
      <vt:variant>
        <vt:i4>0</vt:i4>
      </vt:variant>
      <vt:variant>
        <vt:i4>5</vt:i4>
      </vt:variant>
      <vt:variant>
        <vt:lpwstr>https://doi.org/10.1126/science.aaw2087</vt:lpwstr>
      </vt:variant>
      <vt:variant>
        <vt:lpwstr/>
      </vt:variant>
      <vt:variant>
        <vt:i4>6225950</vt:i4>
      </vt:variant>
      <vt:variant>
        <vt:i4>1383</vt:i4>
      </vt:variant>
      <vt:variant>
        <vt:i4>0</vt:i4>
      </vt:variant>
      <vt:variant>
        <vt:i4>5</vt:i4>
      </vt:variant>
      <vt:variant>
        <vt:lpwstr>https://doi.org/10.1029/2011WR011488</vt:lpwstr>
      </vt:variant>
      <vt:variant>
        <vt:lpwstr/>
      </vt:variant>
      <vt:variant>
        <vt:i4>6029338</vt:i4>
      </vt:variant>
      <vt:variant>
        <vt:i4>1380</vt:i4>
      </vt:variant>
      <vt:variant>
        <vt:i4>0</vt:i4>
      </vt:variant>
      <vt:variant>
        <vt:i4>5</vt:i4>
      </vt:variant>
      <vt:variant>
        <vt:lpwstr>https://doi.org/10.1111/j.1365-2427.2006.01701.x</vt:lpwstr>
      </vt:variant>
      <vt:variant>
        <vt:lpwstr/>
      </vt:variant>
      <vt:variant>
        <vt:i4>2949175</vt:i4>
      </vt:variant>
      <vt:variant>
        <vt:i4>1377</vt:i4>
      </vt:variant>
      <vt:variant>
        <vt:i4>0</vt:i4>
      </vt:variant>
      <vt:variant>
        <vt:i4>5</vt:i4>
      </vt:variant>
      <vt:variant>
        <vt:lpwstr>https://doi.org/10.1007/s10021-024-00945-6</vt:lpwstr>
      </vt:variant>
      <vt:variant>
        <vt:lpwstr/>
      </vt:variant>
      <vt:variant>
        <vt:i4>2949175</vt:i4>
      </vt:variant>
      <vt:variant>
        <vt:i4>1374</vt:i4>
      </vt:variant>
      <vt:variant>
        <vt:i4>0</vt:i4>
      </vt:variant>
      <vt:variant>
        <vt:i4>5</vt:i4>
      </vt:variant>
      <vt:variant>
        <vt:lpwstr>https://doi.org/10.1007/s10021-024-00945-6</vt:lpwstr>
      </vt:variant>
      <vt:variant>
        <vt:lpwstr/>
      </vt:variant>
      <vt:variant>
        <vt:i4>2359419</vt:i4>
      </vt:variant>
      <vt:variant>
        <vt:i4>1371</vt:i4>
      </vt:variant>
      <vt:variant>
        <vt:i4>0</vt:i4>
      </vt:variant>
      <vt:variant>
        <vt:i4>5</vt:i4>
      </vt:variant>
      <vt:variant>
        <vt:lpwstr>https://doi.org/10.1111/j.1654-1103.2003.tb02228.x</vt:lpwstr>
      </vt:variant>
      <vt:variant>
        <vt:lpwstr/>
      </vt:variant>
      <vt:variant>
        <vt:i4>983047</vt:i4>
      </vt:variant>
      <vt:variant>
        <vt:i4>1368</vt:i4>
      </vt:variant>
      <vt:variant>
        <vt:i4>0</vt:i4>
      </vt:variant>
      <vt:variant>
        <vt:i4>5</vt:i4>
      </vt:variant>
      <vt:variant>
        <vt:lpwstr>http://dx.doi.org/10.1071/MF09043</vt:lpwstr>
      </vt:variant>
      <vt:variant>
        <vt:lpwstr/>
      </vt:variant>
      <vt:variant>
        <vt:i4>8192051</vt:i4>
      </vt:variant>
      <vt:variant>
        <vt:i4>1365</vt:i4>
      </vt:variant>
      <vt:variant>
        <vt:i4>0</vt:i4>
      </vt:variant>
      <vt:variant>
        <vt:i4>5</vt:i4>
      </vt:variant>
      <vt:variant>
        <vt:lpwstr>https://doi.org/10.2166/ws.2007.044</vt:lpwstr>
      </vt:variant>
      <vt:variant>
        <vt:lpwstr/>
      </vt:variant>
      <vt:variant>
        <vt:i4>3604576</vt:i4>
      </vt:variant>
      <vt:variant>
        <vt:i4>1362</vt:i4>
      </vt:variant>
      <vt:variant>
        <vt:i4>0</vt:i4>
      </vt:variant>
      <vt:variant>
        <vt:i4>5</vt:i4>
      </vt:variant>
      <vt:variant>
        <vt:lpwstr>https://doi.org/10.1073/pnas.2121976119</vt:lpwstr>
      </vt:variant>
      <vt:variant>
        <vt:lpwstr/>
      </vt:variant>
      <vt:variant>
        <vt:i4>5308509</vt:i4>
      </vt:variant>
      <vt:variant>
        <vt:i4>1359</vt:i4>
      </vt:variant>
      <vt:variant>
        <vt:i4>0</vt:i4>
      </vt:variant>
      <vt:variant>
        <vt:i4>5</vt:i4>
      </vt:variant>
      <vt:variant>
        <vt:lpwstr>https://doi.org/10.1002/lno.10726</vt:lpwstr>
      </vt:variant>
      <vt:variant>
        <vt:lpwstr/>
      </vt:variant>
      <vt:variant>
        <vt:i4>3670065</vt:i4>
      </vt:variant>
      <vt:variant>
        <vt:i4>810</vt:i4>
      </vt:variant>
      <vt:variant>
        <vt:i4>0</vt:i4>
      </vt:variant>
      <vt:variant>
        <vt:i4>5</vt:i4>
      </vt:variant>
      <vt:variant>
        <vt:lpwstr>http://www.bom.gov.au/lam/glossary/deciled.htm</vt:lpwstr>
      </vt:variant>
      <vt:variant>
        <vt:lpwstr/>
      </vt:variant>
      <vt:variant>
        <vt:i4>1245233</vt:i4>
      </vt:variant>
      <vt:variant>
        <vt:i4>713</vt:i4>
      </vt:variant>
      <vt:variant>
        <vt:i4>0</vt:i4>
      </vt:variant>
      <vt:variant>
        <vt:i4>5</vt:i4>
      </vt:variant>
      <vt:variant>
        <vt:lpwstr/>
      </vt:variant>
      <vt:variant>
        <vt:lpwstr>_Toc202186939</vt:lpwstr>
      </vt:variant>
      <vt:variant>
        <vt:i4>1245233</vt:i4>
      </vt:variant>
      <vt:variant>
        <vt:i4>707</vt:i4>
      </vt:variant>
      <vt:variant>
        <vt:i4>0</vt:i4>
      </vt:variant>
      <vt:variant>
        <vt:i4>5</vt:i4>
      </vt:variant>
      <vt:variant>
        <vt:lpwstr/>
      </vt:variant>
      <vt:variant>
        <vt:lpwstr>_Toc202186938</vt:lpwstr>
      </vt:variant>
      <vt:variant>
        <vt:i4>1245233</vt:i4>
      </vt:variant>
      <vt:variant>
        <vt:i4>701</vt:i4>
      </vt:variant>
      <vt:variant>
        <vt:i4>0</vt:i4>
      </vt:variant>
      <vt:variant>
        <vt:i4>5</vt:i4>
      </vt:variant>
      <vt:variant>
        <vt:lpwstr/>
      </vt:variant>
      <vt:variant>
        <vt:lpwstr>_Toc202186937</vt:lpwstr>
      </vt:variant>
      <vt:variant>
        <vt:i4>1245233</vt:i4>
      </vt:variant>
      <vt:variant>
        <vt:i4>695</vt:i4>
      </vt:variant>
      <vt:variant>
        <vt:i4>0</vt:i4>
      </vt:variant>
      <vt:variant>
        <vt:i4>5</vt:i4>
      </vt:variant>
      <vt:variant>
        <vt:lpwstr/>
      </vt:variant>
      <vt:variant>
        <vt:lpwstr>_Toc202186936</vt:lpwstr>
      </vt:variant>
      <vt:variant>
        <vt:i4>1245233</vt:i4>
      </vt:variant>
      <vt:variant>
        <vt:i4>689</vt:i4>
      </vt:variant>
      <vt:variant>
        <vt:i4>0</vt:i4>
      </vt:variant>
      <vt:variant>
        <vt:i4>5</vt:i4>
      </vt:variant>
      <vt:variant>
        <vt:lpwstr/>
      </vt:variant>
      <vt:variant>
        <vt:lpwstr>_Toc202186935</vt:lpwstr>
      </vt:variant>
      <vt:variant>
        <vt:i4>1245233</vt:i4>
      </vt:variant>
      <vt:variant>
        <vt:i4>683</vt:i4>
      </vt:variant>
      <vt:variant>
        <vt:i4>0</vt:i4>
      </vt:variant>
      <vt:variant>
        <vt:i4>5</vt:i4>
      </vt:variant>
      <vt:variant>
        <vt:lpwstr/>
      </vt:variant>
      <vt:variant>
        <vt:lpwstr>_Toc202186934</vt:lpwstr>
      </vt:variant>
      <vt:variant>
        <vt:i4>1245233</vt:i4>
      </vt:variant>
      <vt:variant>
        <vt:i4>677</vt:i4>
      </vt:variant>
      <vt:variant>
        <vt:i4>0</vt:i4>
      </vt:variant>
      <vt:variant>
        <vt:i4>5</vt:i4>
      </vt:variant>
      <vt:variant>
        <vt:lpwstr/>
      </vt:variant>
      <vt:variant>
        <vt:lpwstr>_Toc202186933</vt:lpwstr>
      </vt:variant>
      <vt:variant>
        <vt:i4>1245233</vt:i4>
      </vt:variant>
      <vt:variant>
        <vt:i4>671</vt:i4>
      </vt:variant>
      <vt:variant>
        <vt:i4>0</vt:i4>
      </vt:variant>
      <vt:variant>
        <vt:i4>5</vt:i4>
      </vt:variant>
      <vt:variant>
        <vt:lpwstr/>
      </vt:variant>
      <vt:variant>
        <vt:lpwstr>_Toc202186932</vt:lpwstr>
      </vt:variant>
      <vt:variant>
        <vt:i4>1245233</vt:i4>
      </vt:variant>
      <vt:variant>
        <vt:i4>665</vt:i4>
      </vt:variant>
      <vt:variant>
        <vt:i4>0</vt:i4>
      </vt:variant>
      <vt:variant>
        <vt:i4>5</vt:i4>
      </vt:variant>
      <vt:variant>
        <vt:lpwstr/>
      </vt:variant>
      <vt:variant>
        <vt:lpwstr>_Toc202186931</vt:lpwstr>
      </vt:variant>
      <vt:variant>
        <vt:i4>1245233</vt:i4>
      </vt:variant>
      <vt:variant>
        <vt:i4>656</vt:i4>
      </vt:variant>
      <vt:variant>
        <vt:i4>0</vt:i4>
      </vt:variant>
      <vt:variant>
        <vt:i4>5</vt:i4>
      </vt:variant>
      <vt:variant>
        <vt:lpwstr/>
      </vt:variant>
      <vt:variant>
        <vt:lpwstr>_Toc202186930</vt:lpwstr>
      </vt:variant>
      <vt:variant>
        <vt:i4>1179697</vt:i4>
      </vt:variant>
      <vt:variant>
        <vt:i4>650</vt:i4>
      </vt:variant>
      <vt:variant>
        <vt:i4>0</vt:i4>
      </vt:variant>
      <vt:variant>
        <vt:i4>5</vt:i4>
      </vt:variant>
      <vt:variant>
        <vt:lpwstr/>
      </vt:variant>
      <vt:variant>
        <vt:lpwstr>_Toc202186929</vt:lpwstr>
      </vt:variant>
      <vt:variant>
        <vt:i4>1179697</vt:i4>
      </vt:variant>
      <vt:variant>
        <vt:i4>644</vt:i4>
      </vt:variant>
      <vt:variant>
        <vt:i4>0</vt:i4>
      </vt:variant>
      <vt:variant>
        <vt:i4>5</vt:i4>
      </vt:variant>
      <vt:variant>
        <vt:lpwstr/>
      </vt:variant>
      <vt:variant>
        <vt:lpwstr>_Toc202186928</vt:lpwstr>
      </vt:variant>
      <vt:variant>
        <vt:i4>1179697</vt:i4>
      </vt:variant>
      <vt:variant>
        <vt:i4>638</vt:i4>
      </vt:variant>
      <vt:variant>
        <vt:i4>0</vt:i4>
      </vt:variant>
      <vt:variant>
        <vt:i4>5</vt:i4>
      </vt:variant>
      <vt:variant>
        <vt:lpwstr/>
      </vt:variant>
      <vt:variant>
        <vt:lpwstr>_Toc202186927</vt:lpwstr>
      </vt:variant>
      <vt:variant>
        <vt:i4>1179697</vt:i4>
      </vt:variant>
      <vt:variant>
        <vt:i4>632</vt:i4>
      </vt:variant>
      <vt:variant>
        <vt:i4>0</vt:i4>
      </vt:variant>
      <vt:variant>
        <vt:i4>5</vt:i4>
      </vt:variant>
      <vt:variant>
        <vt:lpwstr/>
      </vt:variant>
      <vt:variant>
        <vt:lpwstr>_Toc202186926</vt:lpwstr>
      </vt:variant>
      <vt:variant>
        <vt:i4>1179697</vt:i4>
      </vt:variant>
      <vt:variant>
        <vt:i4>626</vt:i4>
      </vt:variant>
      <vt:variant>
        <vt:i4>0</vt:i4>
      </vt:variant>
      <vt:variant>
        <vt:i4>5</vt:i4>
      </vt:variant>
      <vt:variant>
        <vt:lpwstr/>
      </vt:variant>
      <vt:variant>
        <vt:lpwstr>_Toc202186925</vt:lpwstr>
      </vt:variant>
      <vt:variant>
        <vt:i4>1179697</vt:i4>
      </vt:variant>
      <vt:variant>
        <vt:i4>620</vt:i4>
      </vt:variant>
      <vt:variant>
        <vt:i4>0</vt:i4>
      </vt:variant>
      <vt:variant>
        <vt:i4>5</vt:i4>
      </vt:variant>
      <vt:variant>
        <vt:lpwstr/>
      </vt:variant>
      <vt:variant>
        <vt:lpwstr>_Toc202186924</vt:lpwstr>
      </vt:variant>
      <vt:variant>
        <vt:i4>1179697</vt:i4>
      </vt:variant>
      <vt:variant>
        <vt:i4>614</vt:i4>
      </vt:variant>
      <vt:variant>
        <vt:i4>0</vt:i4>
      </vt:variant>
      <vt:variant>
        <vt:i4>5</vt:i4>
      </vt:variant>
      <vt:variant>
        <vt:lpwstr/>
      </vt:variant>
      <vt:variant>
        <vt:lpwstr>_Toc202186923</vt:lpwstr>
      </vt:variant>
      <vt:variant>
        <vt:i4>1179697</vt:i4>
      </vt:variant>
      <vt:variant>
        <vt:i4>608</vt:i4>
      </vt:variant>
      <vt:variant>
        <vt:i4>0</vt:i4>
      </vt:variant>
      <vt:variant>
        <vt:i4>5</vt:i4>
      </vt:variant>
      <vt:variant>
        <vt:lpwstr/>
      </vt:variant>
      <vt:variant>
        <vt:lpwstr>_Toc202186922</vt:lpwstr>
      </vt:variant>
      <vt:variant>
        <vt:i4>1179697</vt:i4>
      </vt:variant>
      <vt:variant>
        <vt:i4>602</vt:i4>
      </vt:variant>
      <vt:variant>
        <vt:i4>0</vt:i4>
      </vt:variant>
      <vt:variant>
        <vt:i4>5</vt:i4>
      </vt:variant>
      <vt:variant>
        <vt:lpwstr/>
      </vt:variant>
      <vt:variant>
        <vt:lpwstr>_Toc202186921</vt:lpwstr>
      </vt:variant>
      <vt:variant>
        <vt:i4>1179697</vt:i4>
      </vt:variant>
      <vt:variant>
        <vt:i4>596</vt:i4>
      </vt:variant>
      <vt:variant>
        <vt:i4>0</vt:i4>
      </vt:variant>
      <vt:variant>
        <vt:i4>5</vt:i4>
      </vt:variant>
      <vt:variant>
        <vt:lpwstr/>
      </vt:variant>
      <vt:variant>
        <vt:lpwstr>_Toc202186920</vt:lpwstr>
      </vt:variant>
      <vt:variant>
        <vt:i4>1114161</vt:i4>
      </vt:variant>
      <vt:variant>
        <vt:i4>590</vt:i4>
      </vt:variant>
      <vt:variant>
        <vt:i4>0</vt:i4>
      </vt:variant>
      <vt:variant>
        <vt:i4>5</vt:i4>
      </vt:variant>
      <vt:variant>
        <vt:lpwstr/>
      </vt:variant>
      <vt:variant>
        <vt:lpwstr>_Toc202186919</vt:lpwstr>
      </vt:variant>
      <vt:variant>
        <vt:i4>1114161</vt:i4>
      </vt:variant>
      <vt:variant>
        <vt:i4>584</vt:i4>
      </vt:variant>
      <vt:variant>
        <vt:i4>0</vt:i4>
      </vt:variant>
      <vt:variant>
        <vt:i4>5</vt:i4>
      </vt:variant>
      <vt:variant>
        <vt:lpwstr/>
      </vt:variant>
      <vt:variant>
        <vt:lpwstr>_Toc202186918</vt:lpwstr>
      </vt:variant>
      <vt:variant>
        <vt:i4>1114161</vt:i4>
      </vt:variant>
      <vt:variant>
        <vt:i4>578</vt:i4>
      </vt:variant>
      <vt:variant>
        <vt:i4>0</vt:i4>
      </vt:variant>
      <vt:variant>
        <vt:i4>5</vt:i4>
      </vt:variant>
      <vt:variant>
        <vt:lpwstr/>
      </vt:variant>
      <vt:variant>
        <vt:lpwstr>_Toc202186917</vt:lpwstr>
      </vt:variant>
      <vt:variant>
        <vt:i4>1114161</vt:i4>
      </vt:variant>
      <vt:variant>
        <vt:i4>572</vt:i4>
      </vt:variant>
      <vt:variant>
        <vt:i4>0</vt:i4>
      </vt:variant>
      <vt:variant>
        <vt:i4>5</vt:i4>
      </vt:variant>
      <vt:variant>
        <vt:lpwstr/>
      </vt:variant>
      <vt:variant>
        <vt:lpwstr>_Toc202186916</vt:lpwstr>
      </vt:variant>
      <vt:variant>
        <vt:i4>1114161</vt:i4>
      </vt:variant>
      <vt:variant>
        <vt:i4>566</vt:i4>
      </vt:variant>
      <vt:variant>
        <vt:i4>0</vt:i4>
      </vt:variant>
      <vt:variant>
        <vt:i4>5</vt:i4>
      </vt:variant>
      <vt:variant>
        <vt:lpwstr/>
      </vt:variant>
      <vt:variant>
        <vt:lpwstr>_Toc202186915</vt:lpwstr>
      </vt:variant>
      <vt:variant>
        <vt:i4>1114161</vt:i4>
      </vt:variant>
      <vt:variant>
        <vt:i4>560</vt:i4>
      </vt:variant>
      <vt:variant>
        <vt:i4>0</vt:i4>
      </vt:variant>
      <vt:variant>
        <vt:i4>5</vt:i4>
      </vt:variant>
      <vt:variant>
        <vt:lpwstr/>
      </vt:variant>
      <vt:variant>
        <vt:lpwstr>_Toc202186914</vt:lpwstr>
      </vt:variant>
      <vt:variant>
        <vt:i4>1114161</vt:i4>
      </vt:variant>
      <vt:variant>
        <vt:i4>554</vt:i4>
      </vt:variant>
      <vt:variant>
        <vt:i4>0</vt:i4>
      </vt:variant>
      <vt:variant>
        <vt:i4>5</vt:i4>
      </vt:variant>
      <vt:variant>
        <vt:lpwstr/>
      </vt:variant>
      <vt:variant>
        <vt:lpwstr>_Toc202186913</vt:lpwstr>
      </vt:variant>
      <vt:variant>
        <vt:i4>1114161</vt:i4>
      </vt:variant>
      <vt:variant>
        <vt:i4>548</vt:i4>
      </vt:variant>
      <vt:variant>
        <vt:i4>0</vt:i4>
      </vt:variant>
      <vt:variant>
        <vt:i4>5</vt:i4>
      </vt:variant>
      <vt:variant>
        <vt:lpwstr/>
      </vt:variant>
      <vt:variant>
        <vt:lpwstr>_Toc202186912</vt:lpwstr>
      </vt:variant>
      <vt:variant>
        <vt:i4>1114161</vt:i4>
      </vt:variant>
      <vt:variant>
        <vt:i4>542</vt:i4>
      </vt:variant>
      <vt:variant>
        <vt:i4>0</vt:i4>
      </vt:variant>
      <vt:variant>
        <vt:i4>5</vt:i4>
      </vt:variant>
      <vt:variant>
        <vt:lpwstr/>
      </vt:variant>
      <vt:variant>
        <vt:lpwstr>_Toc202186911</vt:lpwstr>
      </vt:variant>
      <vt:variant>
        <vt:i4>1114161</vt:i4>
      </vt:variant>
      <vt:variant>
        <vt:i4>536</vt:i4>
      </vt:variant>
      <vt:variant>
        <vt:i4>0</vt:i4>
      </vt:variant>
      <vt:variant>
        <vt:i4>5</vt:i4>
      </vt:variant>
      <vt:variant>
        <vt:lpwstr/>
      </vt:variant>
      <vt:variant>
        <vt:lpwstr>_Toc202186910</vt:lpwstr>
      </vt:variant>
      <vt:variant>
        <vt:i4>1048625</vt:i4>
      </vt:variant>
      <vt:variant>
        <vt:i4>530</vt:i4>
      </vt:variant>
      <vt:variant>
        <vt:i4>0</vt:i4>
      </vt:variant>
      <vt:variant>
        <vt:i4>5</vt:i4>
      </vt:variant>
      <vt:variant>
        <vt:lpwstr/>
      </vt:variant>
      <vt:variant>
        <vt:lpwstr>_Toc202186909</vt:lpwstr>
      </vt:variant>
      <vt:variant>
        <vt:i4>1048625</vt:i4>
      </vt:variant>
      <vt:variant>
        <vt:i4>524</vt:i4>
      </vt:variant>
      <vt:variant>
        <vt:i4>0</vt:i4>
      </vt:variant>
      <vt:variant>
        <vt:i4>5</vt:i4>
      </vt:variant>
      <vt:variant>
        <vt:lpwstr/>
      </vt:variant>
      <vt:variant>
        <vt:lpwstr>_Toc202186908</vt:lpwstr>
      </vt:variant>
      <vt:variant>
        <vt:i4>1048625</vt:i4>
      </vt:variant>
      <vt:variant>
        <vt:i4>518</vt:i4>
      </vt:variant>
      <vt:variant>
        <vt:i4>0</vt:i4>
      </vt:variant>
      <vt:variant>
        <vt:i4>5</vt:i4>
      </vt:variant>
      <vt:variant>
        <vt:lpwstr/>
      </vt:variant>
      <vt:variant>
        <vt:lpwstr>_Toc202186907</vt:lpwstr>
      </vt:variant>
      <vt:variant>
        <vt:i4>1048625</vt:i4>
      </vt:variant>
      <vt:variant>
        <vt:i4>512</vt:i4>
      </vt:variant>
      <vt:variant>
        <vt:i4>0</vt:i4>
      </vt:variant>
      <vt:variant>
        <vt:i4>5</vt:i4>
      </vt:variant>
      <vt:variant>
        <vt:lpwstr/>
      </vt:variant>
      <vt:variant>
        <vt:lpwstr>_Toc202186906</vt:lpwstr>
      </vt:variant>
      <vt:variant>
        <vt:i4>1048625</vt:i4>
      </vt:variant>
      <vt:variant>
        <vt:i4>506</vt:i4>
      </vt:variant>
      <vt:variant>
        <vt:i4>0</vt:i4>
      </vt:variant>
      <vt:variant>
        <vt:i4>5</vt:i4>
      </vt:variant>
      <vt:variant>
        <vt:lpwstr/>
      </vt:variant>
      <vt:variant>
        <vt:lpwstr>_Toc202186905</vt:lpwstr>
      </vt:variant>
      <vt:variant>
        <vt:i4>1048625</vt:i4>
      </vt:variant>
      <vt:variant>
        <vt:i4>500</vt:i4>
      </vt:variant>
      <vt:variant>
        <vt:i4>0</vt:i4>
      </vt:variant>
      <vt:variant>
        <vt:i4>5</vt:i4>
      </vt:variant>
      <vt:variant>
        <vt:lpwstr/>
      </vt:variant>
      <vt:variant>
        <vt:lpwstr>_Toc202186904</vt:lpwstr>
      </vt:variant>
      <vt:variant>
        <vt:i4>1048625</vt:i4>
      </vt:variant>
      <vt:variant>
        <vt:i4>494</vt:i4>
      </vt:variant>
      <vt:variant>
        <vt:i4>0</vt:i4>
      </vt:variant>
      <vt:variant>
        <vt:i4>5</vt:i4>
      </vt:variant>
      <vt:variant>
        <vt:lpwstr/>
      </vt:variant>
      <vt:variant>
        <vt:lpwstr>_Toc202186903</vt:lpwstr>
      </vt:variant>
      <vt:variant>
        <vt:i4>1048625</vt:i4>
      </vt:variant>
      <vt:variant>
        <vt:i4>488</vt:i4>
      </vt:variant>
      <vt:variant>
        <vt:i4>0</vt:i4>
      </vt:variant>
      <vt:variant>
        <vt:i4>5</vt:i4>
      </vt:variant>
      <vt:variant>
        <vt:lpwstr/>
      </vt:variant>
      <vt:variant>
        <vt:lpwstr>_Toc202186902</vt:lpwstr>
      </vt:variant>
      <vt:variant>
        <vt:i4>1048625</vt:i4>
      </vt:variant>
      <vt:variant>
        <vt:i4>482</vt:i4>
      </vt:variant>
      <vt:variant>
        <vt:i4>0</vt:i4>
      </vt:variant>
      <vt:variant>
        <vt:i4>5</vt:i4>
      </vt:variant>
      <vt:variant>
        <vt:lpwstr/>
      </vt:variant>
      <vt:variant>
        <vt:lpwstr>_Toc202186901</vt:lpwstr>
      </vt:variant>
      <vt:variant>
        <vt:i4>1048625</vt:i4>
      </vt:variant>
      <vt:variant>
        <vt:i4>476</vt:i4>
      </vt:variant>
      <vt:variant>
        <vt:i4>0</vt:i4>
      </vt:variant>
      <vt:variant>
        <vt:i4>5</vt:i4>
      </vt:variant>
      <vt:variant>
        <vt:lpwstr/>
      </vt:variant>
      <vt:variant>
        <vt:lpwstr>_Toc202186900</vt:lpwstr>
      </vt:variant>
      <vt:variant>
        <vt:i4>1638448</vt:i4>
      </vt:variant>
      <vt:variant>
        <vt:i4>470</vt:i4>
      </vt:variant>
      <vt:variant>
        <vt:i4>0</vt:i4>
      </vt:variant>
      <vt:variant>
        <vt:i4>5</vt:i4>
      </vt:variant>
      <vt:variant>
        <vt:lpwstr/>
      </vt:variant>
      <vt:variant>
        <vt:lpwstr>_Toc202186899</vt:lpwstr>
      </vt:variant>
      <vt:variant>
        <vt:i4>1638448</vt:i4>
      </vt:variant>
      <vt:variant>
        <vt:i4>464</vt:i4>
      </vt:variant>
      <vt:variant>
        <vt:i4>0</vt:i4>
      </vt:variant>
      <vt:variant>
        <vt:i4>5</vt:i4>
      </vt:variant>
      <vt:variant>
        <vt:lpwstr/>
      </vt:variant>
      <vt:variant>
        <vt:lpwstr>_Toc202186898</vt:lpwstr>
      </vt:variant>
      <vt:variant>
        <vt:i4>1638448</vt:i4>
      </vt:variant>
      <vt:variant>
        <vt:i4>458</vt:i4>
      </vt:variant>
      <vt:variant>
        <vt:i4>0</vt:i4>
      </vt:variant>
      <vt:variant>
        <vt:i4>5</vt:i4>
      </vt:variant>
      <vt:variant>
        <vt:lpwstr/>
      </vt:variant>
      <vt:variant>
        <vt:lpwstr>_Toc202186897</vt:lpwstr>
      </vt:variant>
      <vt:variant>
        <vt:i4>1638448</vt:i4>
      </vt:variant>
      <vt:variant>
        <vt:i4>452</vt:i4>
      </vt:variant>
      <vt:variant>
        <vt:i4>0</vt:i4>
      </vt:variant>
      <vt:variant>
        <vt:i4>5</vt:i4>
      </vt:variant>
      <vt:variant>
        <vt:lpwstr/>
      </vt:variant>
      <vt:variant>
        <vt:lpwstr>_Toc202186896</vt:lpwstr>
      </vt:variant>
      <vt:variant>
        <vt:i4>1638448</vt:i4>
      </vt:variant>
      <vt:variant>
        <vt:i4>446</vt:i4>
      </vt:variant>
      <vt:variant>
        <vt:i4>0</vt:i4>
      </vt:variant>
      <vt:variant>
        <vt:i4>5</vt:i4>
      </vt:variant>
      <vt:variant>
        <vt:lpwstr/>
      </vt:variant>
      <vt:variant>
        <vt:lpwstr>_Toc202186895</vt:lpwstr>
      </vt:variant>
      <vt:variant>
        <vt:i4>1638448</vt:i4>
      </vt:variant>
      <vt:variant>
        <vt:i4>440</vt:i4>
      </vt:variant>
      <vt:variant>
        <vt:i4>0</vt:i4>
      </vt:variant>
      <vt:variant>
        <vt:i4>5</vt:i4>
      </vt:variant>
      <vt:variant>
        <vt:lpwstr/>
      </vt:variant>
      <vt:variant>
        <vt:lpwstr>_Toc202186894</vt:lpwstr>
      </vt:variant>
      <vt:variant>
        <vt:i4>1638448</vt:i4>
      </vt:variant>
      <vt:variant>
        <vt:i4>434</vt:i4>
      </vt:variant>
      <vt:variant>
        <vt:i4>0</vt:i4>
      </vt:variant>
      <vt:variant>
        <vt:i4>5</vt:i4>
      </vt:variant>
      <vt:variant>
        <vt:lpwstr/>
      </vt:variant>
      <vt:variant>
        <vt:lpwstr>_Toc202186893</vt:lpwstr>
      </vt:variant>
      <vt:variant>
        <vt:i4>1638448</vt:i4>
      </vt:variant>
      <vt:variant>
        <vt:i4>428</vt:i4>
      </vt:variant>
      <vt:variant>
        <vt:i4>0</vt:i4>
      </vt:variant>
      <vt:variant>
        <vt:i4>5</vt:i4>
      </vt:variant>
      <vt:variant>
        <vt:lpwstr/>
      </vt:variant>
      <vt:variant>
        <vt:lpwstr>_Toc202186892</vt:lpwstr>
      </vt:variant>
      <vt:variant>
        <vt:i4>1638448</vt:i4>
      </vt:variant>
      <vt:variant>
        <vt:i4>422</vt:i4>
      </vt:variant>
      <vt:variant>
        <vt:i4>0</vt:i4>
      </vt:variant>
      <vt:variant>
        <vt:i4>5</vt:i4>
      </vt:variant>
      <vt:variant>
        <vt:lpwstr/>
      </vt:variant>
      <vt:variant>
        <vt:lpwstr>_Toc202186891</vt:lpwstr>
      </vt:variant>
      <vt:variant>
        <vt:i4>1638448</vt:i4>
      </vt:variant>
      <vt:variant>
        <vt:i4>416</vt:i4>
      </vt:variant>
      <vt:variant>
        <vt:i4>0</vt:i4>
      </vt:variant>
      <vt:variant>
        <vt:i4>5</vt:i4>
      </vt:variant>
      <vt:variant>
        <vt:lpwstr/>
      </vt:variant>
      <vt:variant>
        <vt:lpwstr>_Toc202186890</vt:lpwstr>
      </vt:variant>
      <vt:variant>
        <vt:i4>1572912</vt:i4>
      </vt:variant>
      <vt:variant>
        <vt:i4>407</vt:i4>
      </vt:variant>
      <vt:variant>
        <vt:i4>0</vt:i4>
      </vt:variant>
      <vt:variant>
        <vt:i4>5</vt:i4>
      </vt:variant>
      <vt:variant>
        <vt:lpwstr/>
      </vt:variant>
      <vt:variant>
        <vt:lpwstr>_Toc202186889</vt:lpwstr>
      </vt:variant>
      <vt:variant>
        <vt:i4>1572912</vt:i4>
      </vt:variant>
      <vt:variant>
        <vt:i4>401</vt:i4>
      </vt:variant>
      <vt:variant>
        <vt:i4>0</vt:i4>
      </vt:variant>
      <vt:variant>
        <vt:i4>5</vt:i4>
      </vt:variant>
      <vt:variant>
        <vt:lpwstr/>
      </vt:variant>
      <vt:variant>
        <vt:lpwstr>_Toc202186888</vt:lpwstr>
      </vt:variant>
      <vt:variant>
        <vt:i4>1572912</vt:i4>
      </vt:variant>
      <vt:variant>
        <vt:i4>395</vt:i4>
      </vt:variant>
      <vt:variant>
        <vt:i4>0</vt:i4>
      </vt:variant>
      <vt:variant>
        <vt:i4>5</vt:i4>
      </vt:variant>
      <vt:variant>
        <vt:lpwstr/>
      </vt:variant>
      <vt:variant>
        <vt:lpwstr>_Toc202186887</vt:lpwstr>
      </vt:variant>
      <vt:variant>
        <vt:i4>1572912</vt:i4>
      </vt:variant>
      <vt:variant>
        <vt:i4>389</vt:i4>
      </vt:variant>
      <vt:variant>
        <vt:i4>0</vt:i4>
      </vt:variant>
      <vt:variant>
        <vt:i4>5</vt:i4>
      </vt:variant>
      <vt:variant>
        <vt:lpwstr/>
      </vt:variant>
      <vt:variant>
        <vt:lpwstr>_Toc202186886</vt:lpwstr>
      </vt:variant>
      <vt:variant>
        <vt:i4>1572912</vt:i4>
      </vt:variant>
      <vt:variant>
        <vt:i4>383</vt:i4>
      </vt:variant>
      <vt:variant>
        <vt:i4>0</vt:i4>
      </vt:variant>
      <vt:variant>
        <vt:i4>5</vt:i4>
      </vt:variant>
      <vt:variant>
        <vt:lpwstr/>
      </vt:variant>
      <vt:variant>
        <vt:lpwstr>_Toc202186885</vt:lpwstr>
      </vt:variant>
      <vt:variant>
        <vt:i4>1572912</vt:i4>
      </vt:variant>
      <vt:variant>
        <vt:i4>377</vt:i4>
      </vt:variant>
      <vt:variant>
        <vt:i4>0</vt:i4>
      </vt:variant>
      <vt:variant>
        <vt:i4>5</vt:i4>
      </vt:variant>
      <vt:variant>
        <vt:lpwstr/>
      </vt:variant>
      <vt:variant>
        <vt:lpwstr>_Toc202186884</vt:lpwstr>
      </vt:variant>
      <vt:variant>
        <vt:i4>1572912</vt:i4>
      </vt:variant>
      <vt:variant>
        <vt:i4>371</vt:i4>
      </vt:variant>
      <vt:variant>
        <vt:i4>0</vt:i4>
      </vt:variant>
      <vt:variant>
        <vt:i4>5</vt:i4>
      </vt:variant>
      <vt:variant>
        <vt:lpwstr/>
      </vt:variant>
      <vt:variant>
        <vt:lpwstr>_Toc202186883</vt:lpwstr>
      </vt:variant>
      <vt:variant>
        <vt:i4>1572912</vt:i4>
      </vt:variant>
      <vt:variant>
        <vt:i4>365</vt:i4>
      </vt:variant>
      <vt:variant>
        <vt:i4>0</vt:i4>
      </vt:variant>
      <vt:variant>
        <vt:i4>5</vt:i4>
      </vt:variant>
      <vt:variant>
        <vt:lpwstr/>
      </vt:variant>
      <vt:variant>
        <vt:lpwstr>_Toc202186882</vt:lpwstr>
      </vt:variant>
      <vt:variant>
        <vt:i4>1572912</vt:i4>
      </vt:variant>
      <vt:variant>
        <vt:i4>359</vt:i4>
      </vt:variant>
      <vt:variant>
        <vt:i4>0</vt:i4>
      </vt:variant>
      <vt:variant>
        <vt:i4>5</vt:i4>
      </vt:variant>
      <vt:variant>
        <vt:lpwstr/>
      </vt:variant>
      <vt:variant>
        <vt:lpwstr>_Toc202186881</vt:lpwstr>
      </vt:variant>
      <vt:variant>
        <vt:i4>1572912</vt:i4>
      </vt:variant>
      <vt:variant>
        <vt:i4>353</vt:i4>
      </vt:variant>
      <vt:variant>
        <vt:i4>0</vt:i4>
      </vt:variant>
      <vt:variant>
        <vt:i4>5</vt:i4>
      </vt:variant>
      <vt:variant>
        <vt:lpwstr/>
      </vt:variant>
      <vt:variant>
        <vt:lpwstr>_Toc202186880</vt:lpwstr>
      </vt:variant>
      <vt:variant>
        <vt:i4>1507376</vt:i4>
      </vt:variant>
      <vt:variant>
        <vt:i4>347</vt:i4>
      </vt:variant>
      <vt:variant>
        <vt:i4>0</vt:i4>
      </vt:variant>
      <vt:variant>
        <vt:i4>5</vt:i4>
      </vt:variant>
      <vt:variant>
        <vt:lpwstr/>
      </vt:variant>
      <vt:variant>
        <vt:lpwstr>_Toc202186879</vt:lpwstr>
      </vt:variant>
      <vt:variant>
        <vt:i4>1507376</vt:i4>
      </vt:variant>
      <vt:variant>
        <vt:i4>341</vt:i4>
      </vt:variant>
      <vt:variant>
        <vt:i4>0</vt:i4>
      </vt:variant>
      <vt:variant>
        <vt:i4>5</vt:i4>
      </vt:variant>
      <vt:variant>
        <vt:lpwstr/>
      </vt:variant>
      <vt:variant>
        <vt:lpwstr>_Toc202186878</vt:lpwstr>
      </vt:variant>
      <vt:variant>
        <vt:i4>1507376</vt:i4>
      </vt:variant>
      <vt:variant>
        <vt:i4>335</vt:i4>
      </vt:variant>
      <vt:variant>
        <vt:i4>0</vt:i4>
      </vt:variant>
      <vt:variant>
        <vt:i4>5</vt:i4>
      </vt:variant>
      <vt:variant>
        <vt:lpwstr/>
      </vt:variant>
      <vt:variant>
        <vt:lpwstr>_Toc202186877</vt:lpwstr>
      </vt:variant>
      <vt:variant>
        <vt:i4>1507376</vt:i4>
      </vt:variant>
      <vt:variant>
        <vt:i4>329</vt:i4>
      </vt:variant>
      <vt:variant>
        <vt:i4>0</vt:i4>
      </vt:variant>
      <vt:variant>
        <vt:i4>5</vt:i4>
      </vt:variant>
      <vt:variant>
        <vt:lpwstr/>
      </vt:variant>
      <vt:variant>
        <vt:lpwstr>_Toc202186876</vt:lpwstr>
      </vt:variant>
      <vt:variant>
        <vt:i4>1507376</vt:i4>
      </vt:variant>
      <vt:variant>
        <vt:i4>323</vt:i4>
      </vt:variant>
      <vt:variant>
        <vt:i4>0</vt:i4>
      </vt:variant>
      <vt:variant>
        <vt:i4>5</vt:i4>
      </vt:variant>
      <vt:variant>
        <vt:lpwstr/>
      </vt:variant>
      <vt:variant>
        <vt:lpwstr>_Toc202186875</vt:lpwstr>
      </vt:variant>
      <vt:variant>
        <vt:i4>1507376</vt:i4>
      </vt:variant>
      <vt:variant>
        <vt:i4>314</vt:i4>
      </vt:variant>
      <vt:variant>
        <vt:i4>0</vt:i4>
      </vt:variant>
      <vt:variant>
        <vt:i4>5</vt:i4>
      </vt:variant>
      <vt:variant>
        <vt:lpwstr/>
      </vt:variant>
      <vt:variant>
        <vt:lpwstr>_Toc202186874</vt:lpwstr>
      </vt:variant>
      <vt:variant>
        <vt:i4>1507376</vt:i4>
      </vt:variant>
      <vt:variant>
        <vt:i4>308</vt:i4>
      </vt:variant>
      <vt:variant>
        <vt:i4>0</vt:i4>
      </vt:variant>
      <vt:variant>
        <vt:i4>5</vt:i4>
      </vt:variant>
      <vt:variant>
        <vt:lpwstr/>
      </vt:variant>
      <vt:variant>
        <vt:lpwstr>_Toc202186873</vt:lpwstr>
      </vt:variant>
      <vt:variant>
        <vt:i4>1507376</vt:i4>
      </vt:variant>
      <vt:variant>
        <vt:i4>302</vt:i4>
      </vt:variant>
      <vt:variant>
        <vt:i4>0</vt:i4>
      </vt:variant>
      <vt:variant>
        <vt:i4>5</vt:i4>
      </vt:variant>
      <vt:variant>
        <vt:lpwstr/>
      </vt:variant>
      <vt:variant>
        <vt:lpwstr>_Toc202186872</vt:lpwstr>
      </vt:variant>
      <vt:variant>
        <vt:i4>1507376</vt:i4>
      </vt:variant>
      <vt:variant>
        <vt:i4>296</vt:i4>
      </vt:variant>
      <vt:variant>
        <vt:i4>0</vt:i4>
      </vt:variant>
      <vt:variant>
        <vt:i4>5</vt:i4>
      </vt:variant>
      <vt:variant>
        <vt:lpwstr/>
      </vt:variant>
      <vt:variant>
        <vt:lpwstr>_Toc202186871</vt:lpwstr>
      </vt:variant>
      <vt:variant>
        <vt:i4>1507376</vt:i4>
      </vt:variant>
      <vt:variant>
        <vt:i4>290</vt:i4>
      </vt:variant>
      <vt:variant>
        <vt:i4>0</vt:i4>
      </vt:variant>
      <vt:variant>
        <vt:i4>5</vt:i4>
      </vt:variant>
      <vt:variant>
        <vt:lpwstr/>
      </vt:variant>
      <vt:variant>
        <vt:lpwstr>_Toc202186870</vt:lpwstr>
      </vt:variant>
      <vt:variant>
        <vt:i4>1441840</vt:i4>
      </vt:variant>
      <vt:variant>
        <vt:i4>284</vt:i4>
      </vt:variant>
      <vt:variant>
        <vt:i4>0</vt:i4>
      </vt:variant>
      <vt:variant>
        <vt:i4>5</vt:i4>
      </vt:variant>
      <vt:variant>
        <vt:lpwstr/>
      </vt:variant>
      <vt:variant>
        <vt:lpwstr>_Toc202186869</vt:lpwstr>
      </vt:variant>
      <vt:variant>
        <vt:i4>1441840</vt:i4>
      </vt:variant>
      <vt:variant>
        <vt:i4>278</vt:i4>
      </vt:variant>
      <vt:variant>
        <vt:i4>0</vt:i4>
      </vt:variant>
      <vt:variant>
        <vt:i4>5</vt:i4>
      </vt:variant>
      <vt:variant>
        <vt:lpwstr/>
      </vt:variant>
      <vt:variant>
        <vt:lpwstr>_Toc202186868</vt:lpwstr>
      </vt:variant>
      <vt:variant>
        <vt:i4>1441840</vt:i4>
      </vt:variant>
      <vt:variant>
        <vt:i4>272</vt:i4>
      </vt:variant>
      <vt:variant>
        <vt:i4>0</vt:i4>
      </vt:variant>
      <vt:variant>
        <vt:i4>5</vt:i4>
      </vt:variant>
      <vt:variant>
        <vt:lpwstr/>
      </vt:variant>
      <vt:variant>
        <vt:lpwstr>_Toc202186867</vt:lpwstr>
      </vt:variant>
      <vt:variant>
        <vt:i4>1441840</vt:i4>
      </vt:variant>
      <vt:variant>
        <vt:i4>266</vt:i4>
      </vt:variant>
      <vt:variant>
        <vt:i4>0</vt:i4>
      </vt:variant>
      <vt:variant>
        <vt:i4>5</vt:i4>
      </vt:variant>
      <vt:variant>
        <vt:lpwstr/>
      </vt:variant>
      <vt:variant>
        <vt:lpwstr>_Toc202186866</vt:lpwstr>
      </vt:variant>
      <vt:variant>
        <vt:i4>1441840</vt:i4>
      </vt:variant>
      <vt:variant>
        <vt:i4>260</vt:i4>
      </vt:variant>
      <vt:variant>
        <vt:i4>0</vt:i4>
      </vt:variant>
      <vt:variant>
        <vt:i4>5</vt:i4>
      </vt:variant>
      <vt:variant>
        <vt:lpwstr/>
      </vt:variant>
      <vt:variant>
        <vt:lpwstr>_Toc202186865</vt:lpwstr>
      </vt:variant>
      <vt:variant>
        <vt:i4>1441840</vt:i4>
      </vt:variant>
      <vt:variant>
        <vt:i4>254</vt:i4>
      </vt:variant>
      <vt:variant>
        <vt:i4>0</vt:i4>
      </vt:variant>
      <vt:variant>
        <vt:i4>5</vt:i4>
      </vt:variant>
      <vt:variant>
        <vt:lpwstr/>
      </vt:variant>
      <vt:variant>
        <vt:lpwstr>_Toc202186864</vt:lpwstr>
      </vt:variant>
      <vt:variant>
        <vt:i4>1441840</vt:i4>
      </vt:variant>
      <vt:variant>
        <vt:i4>248</vt:i4>
      </vt:variant>
      <vt:variant>
        <vt:i4>0</vt:i4>
      </vt:variant>
      <vt:variant>
        <vt:i4>5</vt:i4>
      </vt:variant>
      <vt:variant>
        <vt:lpwstr/>
      </vt:variant>
      <vt:variant>
        <vt:lpwstr>_Toc202186863</vt:lpwstr>
      </vt:variant>
      <vt:variant>
        <vt:i4>1441840</vt:i4>
      </vt:variant>
      <vt:variant>
        <vt:i4>242</vt:i4>
      </vt:variant>
      <vt:variant>
        <vt:i4>0</vt:i4>
      </vt:variant>
      <vt:variant>
        <vt:i4>5</vt:i4>
      </vt:variant>
      <vt:variant>
        <vt:lpwstr/>
      </vt:variant>
      <vt:variant>
        <vt:lpwstr>_Toc202186862</vt:lpwstr>
      </vt:variant>
      <vt:variant>
        <vt:i4>1441840</vt:i4>
      </vt:variant>
      <vt:variant>
        <vt:i4>236</vt:i4>
      </vt:variant>
      <vt:variant>
        <vt:i4>0</vt:i4>
      </vt:variant>
      <vt:variant>
        <vt:i4>5</vt:i4>
      </vt:variant>
      <vt:variant>
        <vt:lpwstr/>
      </vt:variant>
      <vt:variant>
        <vt:lpwstr>_Toc202186861</vt:lpwstr>
      </vt:variant>
      <vt:variant>
        <vt:i4>1441840</vt:i4>
      </vt:variant>
      <vt:variant>
        <vt:i4>230</vt:i4>
      </vt:variant>
      <vt:variant>
        <vt:i4>0</vt:i4>
      </vt:variant>
      <vt:variant>
        <vt:i4>5</vt:i4>
      </vt:variant>
      <vt:variant>
        <vt:lpwstr/>
      </vt:variant>
      <vt:variant>
        <vt:lpwstr>_Toc202186860</vt:lpwstr>
      </vt:variant>
      <vt:variant>
        <vt:i4>1376304</vt:i4>
      </vt:variant>
      <vt:variant>
        <vt:i4>224</vt:i4>
      </vt:variant>
      <vt:variant>
        <vt:i4>0</vt:i4>
      </vt:variant>
      <vt:variant>
        <vt:i4>5</vt:i4>
      </vt:variant>
      <vt:variant>
        <vt:lpwstr/>
      </vt:variant>
      <vt:variant>
        <vt:lpwstr>_Toc202186859</vt:lpwstr>
      </vt:variant>
      <vt:variant>
        <vt:i4>1376304</vt:i4>
      </vt:variant>
      <vt:variant>
        <vt:i4>218</vt:i4>
      </vt:variant>
      <vt:variant>
        <vt:i4>0</vt:i4>
      </vt:variant>
      <vt:variant>
        <vt:i4>5</vt:i4>
      </vt:variant>
      <vt:variant>
        <vt:lpwstr/>
      </vt:variant>
      <vt:variant>
        <vt:lpwstr>_Toc202186858</vt:lpwstr>
      </vt:variant>
      <vt:variant>
        <vt:i4>1376304</vt:i4>
      </vt:variant>
      <vt:variant>
        <vt:i4>212</vt:i4>
      </vt:variant>
      <vt:variant>
        <vt:i4>0</vt:i4>
      </vt:variant>
      <vt:variant>
        <vt:i4>5</vt:i4>
      </vt:variant>
      <vt:variant>
        <vt:lpwstr/>
      </vt:variant>
      <vt:variant>
        <vt:lpwstr>_Toc202186857</vt:lpwstr>
      </vt:variant>
      <vt:variant>
        <vt:i4>1376304</vt:i4>
      </vt:variant>
      <vt:variant>
        <vt:i4>206</vt:i4>
      </vt:variant>
      <vt:variant>
        <vt:i4>0</vt:i4>
      </vt:variant>
      <vt:variant>
        <vt:i4>5</vt:i4>
      </vt:variant>
      <vt:variant>
        <vt:lpwstr/>
      </vt:variant>
      <vt:variant>
        <vt:lpwstr>_Toc202186856</vt:lpwstr>
      </vt:variant>
      <vt:variant>
        <vt:i4>1376304</vt:i4>
      </vt:variant>
      <vt:variant>
        <vt:i4>200</vt:i4>
      </vt:variant>
      <vt:variant>
        <vt:i4>0</vt:i4>
      </vt:variant>
      <vt:variant>
        <vt:i4>5</vt:i4>
      </vt:variant>
      <vt:variant>
        <vt:lpwstr/>
      </vt:variant>
      <vt:variant>
        <vt:lpwstr>_Toc202186855</vt:lpwstr>
      </vt:variant>
      <vt:variant>
        <vt:i4>1376304</vt:i4>
      </vt:variant>
      <vt:variant>
        <vt:i4>194</vt:i4>
      </vt:variant>
      <vt:variant>
        <vt:i4>0</vt:i4>
      </vt:variant>
      <vt:variant>
        <vt:i4>5</vt:i4>
      </vt:variant>
      <vt:variant>
        <vt:lpwstr/>
      </vt:variant>
      <vt:variant>
        <vt:lpwstr>_Toc202186854</vt:lpwstr>
      </vt:variant>
      <vt:variant>
        <vt:i4>1376304</vt:i4>
      </vt:variant>
      <vt:variant>
        <vt:i4>188</vt:i4>
      </vt:variant>
      <vt:variant>
        <vt:i4>0</vt:i4>
      </vt:variant>
      <vt:variant>
        <vt:i4>5</vt:i4>
      </vt:variant>
      <vt:variant>
        <vt:lpwstr/>
      </vt:variant>
      <vt:variant>
        <vt:lpwstr>_Toc202186853</vt:lpwstr>
      </vt:variant>
      <vt:variant>
        <vt:i4>1376304</vt:i4>
      </vt:variant>
      <vt:variant>
        <vt:i4>182</vt:i4>
      </vt:variant>
      <vt:variant>
        <vt:i4>0</vt:i4>
      </vt:variant>
      <vt:variant>
        <vt:i4>5</vt:i4>
      </vt:variant>
      <vt:variant>
        <vt:lpwstr/>
      </vt:variant>
      <vt:variant>
        <vt:lpwstr>_Toc202186852</vt:lpwstr>
      </vt:variant>
      <vt:variant>
        <vt:i4>1376304</vt:i4>
      </vt:variant>
      <vt:variant>
        <vt:i4>176</vt:i4>
      </vt:variant>
      <vt:variant>
        <vt:i4>0</vt:i4>
      </vt:variant>
      <vt:variant>
        <vt:i4>5</vt:i4>
      </vt:variant>
      <vt:variant>
        <vt:lpwstr/>
      </vt:variant>
      <vt:variant>
        <vt:lpwstr>_Toc202186851</vt:lpwstr>
      </vt:variant>
      <vt:variant>
        <vt:i4>1376304</vt:i4>
      </vt:variant>
      <vt:variant>
        <vt:i4>170</vt:i4>
      </vt:variant>
      <vt:variant>
        <vt:i4>0</vt:i4>
      </vt:variant>
      <vt:variant>
        <vt:i4>5</vt:i4>
      </vt:variant>
      <vt:variant>
        <vt:lpwstr/>
      </vt:variant>
      <vt:variant>
        <vt:lpwstr>_Toc202186850</vt:lpwstr>
      </vt:variant>
      <vt:variant>
        <vt:i4>1310768</vt:i4>
      </vt:variant>
      <vt:variant>
        <vt:i4>164</vt:i4>
      </vt:variant>
      <vt:variant>
        <vt:i4>0</vt:i4>
      </vt:variant>
      <vt:variant>
        <vt:i4>5</vt:i4>
      </vt:variant>
      <vt:variant>
        <vt:lpwstr/>
      </vt:variant>
      <vt:variant>
        <vt:lpwstr>_Toc202186849</vt:lpwstr>
      </vt:variant>
      <vt:variant>
        <vt:i4>1310768</vt:i4>
      </vt:variant>
      <vt:variant>
        <vt:i4>158</vt:i4>
      </vt:variant>
      <vt:variant>
        <vt:i4>0</vt:i4>
      </vt:variant>
      <vt:variant>
        <vt:i4>5</vt:i4>
      </vt:variant>
      <vt:variant>
        <vt:lpwstr/>
      </vt:variant>
      <vt:variant>
        <vt:lpwstr>_Toc202186848</vt:lpwstr>
      </vt:variant>
      <vt:variant>
        <vt:i4>1310768</vt:i4>
      </vt:variant>
      <vt:variant>
        <vt:i4>152</vt:i4>
      </vt:variant>
      <vt:variant>
        <vt:i4>0</vt:i4>
      </vt:variant>
      <vt:variant>
        <vt:i4>5</vt:i4>
      </vt:variant>
      <vt:variant>
        <vt:lpwstr/>
      </vt:variant>
      <vt:variant>
        <vt:lpwstr>_Toc202186847</vt:lpwstr>
      </vt:variant>
      <vt:variant>
        <vt:i4>1310768</vt:i4>
      </vt:variant>
      <vt:variant>
        <vt:i4>146</vt:i4>
      </vt:variant>
      <vt:variant>
        <vt:i4>0</vt:i4>
      </vt:variant>
      <vt:variant>
        <vt:i4>5</vt:i4>
      </vt:variant>
      <vt:variant>
        <vt:lpwstr/>
      </vt:variant>
      <vt:variant>
        <vt:lpwstr>_Toc202186846</vt:lpwstr>
      </vt:variant>
      <vt:variant>
        <vt:i4>1310768</vt:i4>
      </vt:variant>
      <vt:variant>
        <vt:i4>140</vt:i4>
      </vt:variant>
      <vt:variant>
        <vt:i4>0</vt:i4>
      </vt:variant>
      <vt:variant>
        <vt:i4>5</vt:i4>
      </vt:variant>
      <vt:variant>
        <vt:lpwstr/>
      </vt:variant>
      <vt:variant>
        <vt:lpwstr>_Toc202186845</vt:lpwstr>
      </vt:variant>
      <vt:variant>
        <vt:i4>1310768</vt:i4>
      </vt:variant>
      <vt:variant>
        <vt:i4>134</vt:i4>
      </vt:variant>
      <vt:variant>
        <vt:i4>0</vt:i4>
      </vt:variant>
      <vt:variant>
        <vt:i4>5</vt:i4>
      </vt:variant>
      <vt:variant>
        <vt:lpwstr/>
      </vt:variant>
      <vt:variant>
        <vt:lpwstr>_Toc202186844</vt:lpwstr>
      </vt:variant>
      <vt:variant>
        <vt:i4>1310768</vt:i4>
      </vt:variant>
      <vt:variant>
        <vt:i4>128</vt:i4>
      </vt:variant>
      <vt:variant>
        <vt:i4>0</vt:i4>
      </vt:variant>
      <vt:variant>
        <vt:i4>5</vt:i4>
      </vt:variant>
      <vt:variant>
        <vt:lpwstr/>
      </vt:variant>
      <vt:variant>
        <vt:lpwstr>_Toc202186843</vt:lpwstr>
      </vt:variant>
      <vt:variant>
        <vt:i4>1310768</vt:i4>
      </vt:variant>
      <vt:variant>
        <vt:i4>122</vt:i4>
      </vt:variant>
      <vt:variant>
        <vt:i4>0</vt:i4>
      </vt:variant>
      <vt:variant>
        <vt:i4>5</vt:i4>
      </vt:variant>
      <vt:variant>
        <vt:lpwstr/>
      </vt:variant>
      <vt:variant>
        <vt:lpwstr>_Toc202186842</vt:lpwstr>
      </vt:variant>
      <vt:variant>
        <vt:i4>1310768</vt:i4>
      </vt:variant>
      <vt:variant>
        <vt:i4>116</vt:i4>
      </vt:variant>
      <vt:variant>
        <vt:i4>0</vt:i4>
      </vt:variant>
      <vt:variant>
        <vt:i4>5</vt:i4>
      </vt:variant>
      <vt:variant>
        <vt:lpwstr/>
      </vt:variant>
      <vt:variant>
        <vt:lpwstr>_Toc202186841</vt:lpwstr>
      </vt:variant>
      <vt:variant>
        <vt:i4>1310768</vt:i4>
      </vt:variant>
      <vt:variant>
        <vt:i4>110</vt:i4>
      </vt:variant>
      <vt:variant>
        <vt:i4>0</vt:i4>
      </vt:variant>
      <vt:variant>
        <vt:i4>5</vt:i4>
      </vt:variant>
      <vt:variant>
        <vt:lpwstr/>
      </vt:variant>
      <vt:variant>
        <vt:lpwstr>_Toc202186840</vt:lpwstr>
      </vt:variant>
      <vt:variant>
        <vt:i4>1245232</vt:i4>
      </vt:variant>
      <vt:variant>
        <vt:i4>104</vt:i4>
      </vt:variant>
      <vt:variant>
        <vt:i4>0</vt:i4>
      </vt:variant>
      <vt:variant>
        <vt:i4>5</vt:i4>
      </vt:variant>
      <vt:variant>
        <vt:lpwstr/>
      </vt:variant>
      <vt:variant>
        <vt:lpwstr>_Toc202186839</vt:lpwstr>
      </vt:variant>
      <vt:variant>
        <vt:i4>1245232</vt:i4>
      </vt:variant>
      <vt:variant>
        <vt:i4>98</vt:i4>
      </vt:variant>
      <vt:variant>
        <vt:i4>0</vt:i4>
      </vt:variant>
      <vt:variant>
        <vt:i4>5</vt:i4>
      </vt:variant>
      <vt:variant>
        <vt:lpwstr/>
      </vt:variant>
      <vt:variant>
        <vt:lpwstr>_Toc202186838</vt:lpwstr>
      </vt:variant>
      <vt:variant>
        <vt:i4>1245232</vt:i4>
      </vt:variant>
      <vt:variant>
        <vt:i4>92</vt:i4>
      </vt:variant>
      <vt:variant>
        <vt:i4>0</vt:i4>
      </vt:variant>
      <vt:variant>
        <vt:i4>5</vt:i4>
      </vt:variant>
      <vt:variant>
        <vt:lpwstr/>
      </vt:variant>
      <vt:variant>
        <vt:lpwstr>_Toc202186837</vt:lpwstr>
      </vt:variant>
      <vt:variant>
        <vt:i4>1245232</vt:i4>
      </vt:variant>
      <vt:variant>
        <vt:i4>86</vt:i4>
      </vt:variant>
      <vt:variant>
        <vt:i4>0</vt:i4>
      </vt:variant>
      <vt:variant>
        <vt:i4>5</vt:i4>
      </vt:variant>
      <vt:variant>
        <vt:lpwstr/>
      </vt:variant>
      <vt:variant>
        <vt:lpwstr>_Toc202186836</vt:lpwstr>
      </vt:variant>
      <vt:variant>
        <vt:i4>1245232</vt:i4>
      </vt:variant>
      <vt:variant>
        <vt:i4>80</vt:i4>
      </vt:variant>
      <vt:variant>
        <vt:i4>0</vt:i4>
      </vt:variant>
      <vt:variant>
        <vt:i4>5</vt:i4>
      </vt:variant>
      <vt:variant>
        <vt:lpwstr/>
      </vt:variant>
      <vt:variant>
        <vt:lpwstr>_Toc202186835</vt:lpwstr>
      </vt:variant>
      <vt:variant>
        <vt:i4>1245232</vt:i4>
      </vt:variant>
      <vt:variant>
        <vt:i4>74</vt:i4>
      </vt:variant>
      <vt:variant>
        <vt:i4>0</vt:i4>
      </vt:variant>
      <vt:variant>
        <vt:i4>5</vt:i4>
      </vt:variant>
      <vt:variant>
        <vt:lpwstr/>
      </vt:variant>
      <vt:variant>
        <vt:lpwstr>_Toc202186834</vt:lpwstr>
      </vt:variant>
      <vt:variant>
        <vt:i4>1245232</vt:i4>
      </vt:variant>
      <vt:variant>
        <vt:i4>68</vt:i4>
      </vt:variant>
      <vt:variant>
        <vt:i4>0</vt:i4>
      </vt:variant>
      <vt:variant>
        <vt:i4>5</vt:i4>
      </vt:variant>
      <vt:variant>
        <vt:lpwstr/>
      </vt:variant>
      <vt:variant>
        <vt:lpwstr>_Toc202186833</vt:lpwstr>
      </vt:variant>
      <vt:variant>
        <vt:i4>1245232</vt:i4>
      </vt:variant>
      <vt:variant>
        <vt:i4>62</vt:i4>
      </vt:variant>
      <vt:variant>
        <vt:i4>0</vt:i4>
      </vt:variant>
      <vt:variant>
        <vt:i4>5</vt:i4>
      </vt:variant>
      <vt:variant>
        <vt:lpwstr/>
      </vt:variant>
      <vt:variant>
        <vt:lpwstr>_Toc202186832</vt:lpwstr>
      </vt:variant>
      <vt:variant>
        <vt:i4>1245232</vt:i4>
      </vt:variant>
      <vt:variant>
        <vt:i4>56</vt:i4>
      </vt:variant>
      <vt:variant>
        <vt:i4>0</vt:i4>
      </vt:variant>
      <vt:variant>
        <vt:i4>5</vt:i4>
      </vt:variant>
      <vt:variant>
        <vt:lpwstr/>
      </vt:variant>
      <vt:variant>
        <vt:lpwstr>_Toc202186831</vt:lpwstr>
      </vt:variant>
      <vt:variant>
        <vt:i4>1245232</vt:i4>
      </vt:variant>
      <vt:variant>
        <vt:i4>50</vt:i4>
      </vt:variant>
      <vt:variant>
        <vt:i4>0</vt:i4>
      </vt:variant>
      <vt:variant>
        <vt:i4>5</vt:i4>
      </vt:variant>
      <vt:variant>
        <vt:lpwstr/>
      </vt:variant>
      <vt:variant>
        <vt:lpwstr>_Toc202186830</vt:lpwstr>
      </vt:variant>
      <vt:variant>
        <vt:i4>1179696</vt:i4>
      </vt:variant>
      <vt:variant>
        <vt:i4>44</vt:i4>
      </vt:variant>
      <vt:variant>
        <vt:i4>0</vt:i4>
      </vt:variant>
      <vt:variant>
        <vt:i4>5</vt:i4>
      </vt:variant>
      <vt:variant>
        <vt:lpwstr/>
      </vt:variant>
      <vt:variant>
        <vt:lpwstr>_Toc202186829</vt:lpwstr>
      </vt:variant>
      <vt:variant>
        <vt:i4>1179696</vt:i4>
      </vt:variant>
      <vt:variant>
        <vt:i4>38</vt:i4>
      </vt:variant>
      <vt:variant>
        <vt:i4>0</vt:i4>
      </vt:variant>
      <vt:variant>
        <vt:i4>5</vt:i4>
      </vt:variant>
      <vt:variant>
        <vt:lpwstr/>
      </vt:variant>
      <vt:variant>
        <vt:lpwstr>_Toc202186828</vt:lpwstr>
      </vt:variant>
      <vt:variant>
        <vt:i4>3604606</vt:i4>
      </vt:variant>
      <vt:variant>
        <vt:i4>33</vt:i4>
      </vt:variant>
      <vt:variant>
        <vt:i4>0</vt:i4>
      </vt:variant>
      <vt:variant>
        <vt:i4>5</vt:i4>
      </vt:variant>
      <vt:variant>
        <vt:lpwstr>https://www.dcceew.gov.au/cewh/manage-water/science-monitoring/science-programs</vt:lpwstr>
      </vt:variant>
      <vt:variant>
        <vt:lpwstr/>
      </vt:variant>
      <vt:variant>
        <vt:i4>7995505</vt:i4>
      </vt:variant>
      <vt:variant>
        <vt:i4>30</vt:i4>
      </vt:variant>
      <vt:variant>
        <vt:i4>0</vt:i4>
      </vt:variant>
      <vt:variant>
        <vt:i4>5</vt:i4>
      </vt:variant>
      <vt:variant>
        <vt:lpwstr>https://www.dcceew.gov.au/cewh/resources-media/publications</vt:lpwstr>
      </vt:variant>
      <vt:variant>
        <vt:lpwstr/>
      </vt:variant>
      <vt:variant>
        <vt:i4>1245215</vt:i4>
      </vt:variant>
      <vt:variant>
        <vt:i4>6</vt:i4>
      </vt:variant>
      <vt:variant>
        <vt:i4>0</vt:i4>
      </vt:variant>
      <vt:variant>
        <vt:i4>5</vt:i4>
      </vt:variant>
      <vt:variant>
        <vt:lpwstr>https://www.mdba.gov.au/publications/mdba-reports/basin-wide-environmental-watering-strategy</vt:lpwstr>
      </vt:variant>
      <vt:variant>
        <vt:lpwstr/>
      </vt:variant>
      <vt:variant>
        <vt:i4>5308424</vt:i4>
      </vt:variant>
      <vt:variant>
        <vt:i4>3</vt:i4>
      </vt:variant>
      <vt:variant>
        <vt:i4>0</vt:i4>
      </vt:variant>
      <vt:variant>
        <vt:i4>5</vt:i4>
      </vt:variant>
      <vt:variant>
        <vt:lpwstr>https://creativecommons.org/licenses/by/4.0/</vt:lpwstr>
      </vt:variant>
      <vt:variant>
        <vt:lpwstr/>
      </vt:variant>
      <vt:variant>
        <vt:i4>393243</vt:i4>
      </vt:variant>
      <vt:variant>
        <vt:i4>3</vt:i4>
      </vt:variant>
      <vt:variant>
        <vt:i4>0</vt:i4>
      </vt:variant>
      <vt:variant>
        <vt:i4>5</vt:i4>
      </vt:variant>
      <vt:variant>
        <vt:lpwstr>https://www.dcceew.gov.au/water/cewo/monitoring/ewkr</vt:lpwstr>
      </vt:variant>
      <vt:variant>
        <vt:lpwstr/>
      </vt:variant>
      <vt:variant>
        <vt:i4>1310790</vt:i4>
      </vt:variant>
      <vt:variant>
        <vt:i4>0</vt:i4>
      </vt:variant>
      <vt:variant>
        <vt:i4>0</vt:i4>
      </vt:variant>
      <vt:variant>
        <vt:i4>5</vt:i4>
      </vt:variant>
      <vt:variant>
        <vt:lpwstr>https://www.dcceew.gov.au/water/cewo/monitoring/ltim-project</vt:lpwstr>
      </vt:variant>
      <vt:variant>
        <vt:lpwstr/>
      </vt:variant>
      <vt:variant>
        <vt:i4>4259876</vt:i4>
      </vt:variant>
      <vt:variant>
        <vt:i4>63</vt:i4>
      </vt:variant>
      <vt:variant>
        <vt:i4>0</vt:i4>
      </vt:variant>
      <vt:variant>
        <vt:i4>5</vt:i4>
      </vt:variant>
      <vt:variant>
        <vt:lpwstr>mailto:gil320@csiro.au</vt:lpwstr>
      </vt:variant>
      <vt:variant>
        <vt:lpwstr/>
      </vt:variant>
      <vt:variant>
        <vt:i4>4718633</vt:i4>
      </vt:variant>
      <vt:variant>
        <vt:i4>60</vt:i4>
      </vt:variant>
      <vt:variant>
        <vt:i4>0</vt:i4>
      </vt:variant>
      <vt:variant>
        <vt:i4>5</vt:i4>
      </vt:variant>
      <vt:variant>
        <vt:lpwstr>mailto:mci145@csiro.au</vt:lpwstr>
      </vt:variant>
      <vt:variant>
        <vt:lpwstr/>
      </vt:variant>
      <vt:variant>
        <vt:i4>4718633</vt:i4>
      </vt:variant>
      <vt:variant>
        <vt:i4>57</vt:i4>
      </vt:variant>
      <vt:variant>
        <vt:i4>0</vt:i4>
      </vt:variant>
      <vt:variant>
        <vt:i4>5</vt:i4>
      </vt:variant>
      <vt:variant>
        <vt:lpwstr>mailto:mci145@csiro.au</vt:lpwstr>
      </vt:variant>
      <vt:variant>
        <vt:lpwstr/>
      </vt:variant>
      <vt:variant>
        <vt:i4>4718633</vt:i4>
      </vt:variant>
      <vt:variant>
        <vt:i4>54</vt:i4>
      </vt:variant>
      <vt:variant>
        <vt:i4>0</vt:i4>
      </vt:variant>
      <vt:variant>
        <vt:i4>5</vt:i4>
      </vt:variant>
      <vt:variant>
        <vt:lpwstr>mailto:mci145@csiro.au</vt:lpwstr>
      </vt:variant>
      <vt:variant>
        <vt:lpwstr/>
      </vt:variant>
      <vt:variant>
        <vt:i4>4718633</vt:i4>
      </vt:variant>
      <vt:variant>
        <vt:i4>51</vt:i4>
      </vt:variant>
      <vt:variant>
        <vt:i4>0</vt:i4>
      </vt:variant>
      <vt:variant>
        <vt:i4>5</vt:i4>
      </vt:variant>
      <vt:variant>
        <vt:lpwstr>mailto:mci145@csiro.au</vt:lpwstr>
      </vt:variant>
      <vt:variant>
        <vt:lpwstr/>
      </vt:variant>
      <vt:variant>
        <vt:i4>4718633</vt:i4>
      </vt:variant>
      <vt:variant>
        <vt:i4>48</vt:i4>
      </vt:variant>
      <vt:variant>
        <vt:i4>0</vt:i4>
      </vt:variant>
      <vt:variant>
        <vt:i4>5</vt:i4>
      </vt:variant>
      <vt:variant>
        <vt:lpwstr>mailto:mci145@csiro.au</vt:lpwstr>
      </vt:variant>
      <vt:variant>
        <vt:lpwstr/>
      </vt:variant>
      <vt:variant>
        <vt:i4>5177407</vt:i4>
      </vt:variant>
      <vt:variant>
        <vt:i4>45</vt:i4>
      </vt:variant>
      <vt:variant>
        <vt:i4>0</vt:i4>
      </vt:variant>
      <vt:variant>
        <vt:i4>5</vt:i4>
      </vt:variant>
      <vt:variant>
        <vt:lpwstr>mailto:cud004@csiro.au</vt:lpwstr>
      </vt:variant>
      <vt:variant>
        <vt:lpwstr/>
      </vt:variant>
      <vt:variant>
        <vt:i4>5505065</vt:i4>
      </vt:variant>
      <vt:variant>
        <vt:i4>42</vt:i4>
      </vt:variant>
      <vt:variant>
        <vt:i4>0</vt:i4>
      </vt:variant>
      <vt:variant>
        <vt:i4>5</vt:i4>
      </vt:variant>
      <vt:variant>
        <vt:lpwstr>mailto:tho877@csiro.au</vt:lpwstr>
      </vt:variant>
      <vt:variant>
        <vt:lpwstr/>
      </vt:variant>
      <vt:variant>
        <vt:i4>5505065</vt:i4>
      </vt:variant>
      <vt:variant>
        <vt:i4>39</vt:i4>
      </vt:variant>
      <vt:variant>
        <vt:i4>0</vt:i4>
      </vt:variant>
      <vt:variant>
        <vt:i4>5</vt:i4>
      </vt:variant>
      <vt:variant>
        <vt:lpwstr>mailto:tho877@csiro.au</vt:lpwstr>
      </vt:variant>
      <vt:variant>
        <vt:lpwstr/>
      </vt:variant>
      <vt:variant>
        <vt:i4>4718633</vt:i4>
      </vt:variant>
      <vt:variant>
        <vt:i4>36</vt:i4>
      </vt:variant>
      <vt:variant>
        <vt:i4>0</vt:i4>
      </vt:variant>
      <vt:variant>
        <vt:i4>5</vt:i4>
      </vt:variant>
      <vt:variant>
        <vt:lpwstr>mailto:mci145@csiro.au</vt:lpwstr>
      </vt:variant>
      <vt:variant>
        <vt:lpwstr/>
      </vt:variant>
      <vt:variant>
        <vt:i4>4718633</vt:i4>
      </vt:variant>
      <vt:variant>
        <vt:i4>33</vt:i4>
      </vt:variant>
      <vt:variant>
        <vt:i4>0</vt:i4>
      </vt:variant>
      <vt:variant>
        <vt:i4>5</vt:i4>
      </vt:variant>
      <vt:variant>
        <vt:lpwstr>mailto:mci145@csiro.au</vt:lpwstr>
      </vt:variant>
      <vt:variant>
        <vt:lpwstr/>
      </vt:variant>
      <vt:variant>
        <vt:i4>5505065</vt:i4>
      </vt:variant>
      <vt:variant>
        <vt:i4>30</vt:i4>
      </vt:variant>
      <vt:variant>
        <vt:i4>0</vt:i4>
      </vt:variant>
      <vt:variant>
        <vt:i4>5</vt:i4>
      </vt:variant>
      <vt:variant>
        <vt:lpwstr>mailto:tho877@csiro.au</vt:lpwstr>
      </vt:variant>
      <vt:variant>
        <vt:lpwstr/>
      </vt:variant>
      <vt:variant>
        <vt:i4>4718633</vt:i4>
      </vt:variant>
      <vt:variant>
        <vt:i4>27</vt:i4>
      </vt:variant>
      <vt:variant>
        <vt:i4>0</vt:i4>
      </vt:variant>
      <vt:variant>
        <vt:i4>5</vt:i4>
      </vt:variant>
      <vt:variant>
        <vt:lpwstr>mailto:mci145@csiro.au</vt:lpwstr>
      </vt:variant>
      <vt:variant>
        <vt:lpwstr/>
      </vt:variant>
      <vt:variant>
        <vt:i4>4718633</vt:i4>
      </vt:variant>
      <vt:variant>
        <vt:i4>24</vt:i4>
      </vt:variant>
      <vt:variant>
        <vt:i4>0</vt:i4>
      </vt:variant>
      <vt:variant>
        <vt:i4>5</vt:i4>
      </vt:variant>
      <vt:variant>
        <vt:lpwstr>mailto:mci145@csiro.au</vt:lpwstr>
      </vt:variant>
      <vt:variant>
        <vt:lpwstr/>
      </vt:variant>
      <vt:variant>
        <vt:i4>4259876</vt:i4>
      </vt:variant>
      <vt:variant>
        <vt:i4>21</vt:i4>
      </vt:variant>
      <vt:variant>
        <vt:i4>0</vt:i4>
      </vt:variant>
      <vt:variant>
        <vt:i4>5</vt:i4>
      </vt:variant>
      <vt:variant>
        <vt:lpwstr>mailto:gil320@csiro.au</vt:lpwstr>
      </vt:variant>
      <vt:variant>
        <vt:lpwstr/>
      </vt:variant>
      <vt:variant>
        <vt:i4>4718633</vt:i4>
      </vt:variant>
      <vt:variant>
        <vt:i4>18</vt:i4>
      </vt:variant>
      <vt:variant>
        <vt:i4>0</vt:i4>
      </vt:variant>
      <vt:variant>
        <vt:i4>5</vt:i4>
      </vt:variant>
      <vt:variant>
        <vt:lpwstr>mailto:mci145@csiro.au</vt:lpwstr>
      </vt:variant>
      <vt:variant>
        <vt:lpwstr/>
      </vt:variant>
      <vt:variant>
        <vt:i4>3014745</vt:i4>
      </vt:variant>
      <vt:variant>
        <vt:i4>15</vt:i4>
      </vt:variant>
      <vt:variant>
        <vt:i4>0</vt:i4>
      </vt:variant>
      <vt:variant>
        <vt:i4>5</vt:i4>
      </vt:variant>
      <vt:variant>
        <vt:lpwstr>mailto:Martin.Nolan@csiro.au</vt:lpwstr>
      </vt:variant>
      <vt:variant>
        <vt:lpwstr/>
      </vt:variant>
      <vt:variant>
        <vt:i4>5177407</vt:i4>
      </vt:variant>
      <vt:variant>
        <vt:i4>12</vt:i4>
      </vt:variant>
      <vt:variant>
        <vt:i4>0</vt:i4>
      </vt:variant>
      <vt:variant>
        <vt:i4>5</vt:i4>
      </vt:variant>
      <vt:variant>
        <vt:lpwstr>mailto:cud004@csiro.au</vt:lpwstr>
      </vt:variant>
      <vt:variant>
        <vt:lpwstr/>
      </vt:variant>
      <vt:variant>
        <vt:i4>5177407</vt:i4>
      </vt:variant>
      <vt:variant>
        <vt:i4>9</vt:i4>
      </vt:variant>
      <vt:variant>
        <vt:i4>0</vt:i4>
      </vt:variant>
      <vt:variant>
        <vt:i4>5</vt:i4>
      </vt:variant>
      <vt:variant>
        <vt:lpwstr>mailto:cud004@csiro.au</vt:lpwstr>
      </vt:variant>
      <vt:variant>
        <vt:lpwstr/>
      </vt:variant>
      <vt:variant>
        <vt:i4>4259876</vt:i4>
      </vt:variant>
      <vt:variant>
        <vt:i4>6</vt:i4>
      </vt:variant>
      <vt:variant>
        <vt:i4>0</vt:i4>
      </vt:variant>
      <vt:variant>
        <vt:i4>5</vt:i4>
      </vt:variant>
      <vt:variant>
        <vt:lpwstr>mailto:gil320@csiro.au</vt:lpwstr>
      </vt:variant>
      <vt:variant>
        <vt:lpwstr/>
      </vt:variant>
      <vt:variant>
        <vt:i4>4718633</vt:i4>
      </vt:variant>
      <vt:variant>
        <vt:i4>3</vt:i4>
      </vt:variant>
      <vt:variant>
        <vt:i4>0</vt:i4>
      </vt:variant>
      <vt:variant>
        <vt:i4>5</vt:i4>
      </vt:variant>
      <vt:variant>
        <vt:lpwstr>mailto:mci145@csiro.au</vt:lpwstr>
      </vt:variant>
      <vt:variant>
        <vt:lpwstr/>
      </vt:variant>
      <vt:variant>
        <vt:i4>5505065</vt:i4>
      </vt:variant>
      <vt:variant>
        <vt:i4>0</vt:i4>
      </vt:variant>
      <vt:variant>
        <vt:i4>0</vt:i4>
      </vt:variant>
      <vt:variant>
        <vt:i4>5</vt:i4>
      </vt:variant>
      <vt:variant>
        <vt:lpwstr>mailto:tho877@csiro.au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Basin-scale evaluation of 2023–24 Commonwealth environmental water: Food Webs and Water Quality</dc:title>
  <dc:subject/>
  <dc:creator>Paul.Mcinerney@csiro.au;Darren.Giling@csiro.au;Susan.Cuddy@csiro.au</dc:creator>
  <cp:keywords/>
  <dc:description/>
  <cp:lastModifiedBy>Dianne Flett</cp:lastModifiedBy>
  <cp:revision>3</cp:revision>
  <dcterms:created xsi:type="dcterms:W3CDTF">2025-06-30T12:00:00Z</dcterms:created>
  <dcterms:modified xsi:type="dcterms:W3CDTF">2025-06-30T12:01:00Z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SubmissionDate">
    <vt:lpwstr/>
  </property>
  <property fmtid="{D5CDD505-2E9C-101B-9397-08002B2CF9AE}" pid="3" name="Order">
    <vt:lpwstr>804000.000000000</vt:lpwstr>
  </property>
  <property fmtid="{D5CDD505-2E9C-101B-9397-08002B2CF9AE}" pid="4" name="RecordPoint_RecordNumberSubmitted">
    <vt:lpwstr/>
  </property>
  <property fmtid="{D5CDD505-2E9C-101B-9397-08002B2CF9AE}" pid="5" name="xd_ProgID">
    <vt:lpwstr/>
  </property>
  <property fmtid="{D5CDD505-2E9C-101B-9397-08002B2CF9AE}" pid="6" name="MediaServiceImageTags">
    <vt:lpwstr/>
  </property>
  <property fmtid="{D5CDD505-2E9C-101B-9397-08002B2CF9AE}" pid="7" name="ContentTypeId">
    <vt:lpwstr>0x010100D001B2BE74D025469E1D0E28F10DD2C8</vt:lpwstr>
  </property>
  <property fmtid="{D5CDD505-2E9C-101B-9397-08002B2CF9AE}" pid="8" name="_ColorHex">
    <vt:lpwstr/>
  </property>
  <property fmtid="{D5CDD505-2E9C-101B-9397-08002B2CF9AE}" pid="9" name="CoverSubtitle">
    <vt:lpwstr>Cover Subtitle</vt:lpwstr>
  </property>
  <property fmtid="{D5CDD505-2E9C-101B-9397-08002B2CF9AE}" pid="10" name="ComplianceAssetId">
    <vt:lpwstr/>
  </property>
  <property fmtid="{D5CDD505-2E9C-101B-9397-08002B2CF9AE}" pid="11" name="RecordPoint_WorkflowType">
    <vt:lpwstr>ActiveSubmitStub</vt:lpwstr>
  </property>
  <property fmtid="{D5CDD505-2E9C-101B-9397-08002B2CF9AE}" pid="12" name="TemplateUrl">
    <vt:lpwstr/>
  </property>
  <property fmtid="{D5CDD505-2E9C-101B-9397-08002B2CF9AE}" pid="13" name="_dlc_DocIdItemGuid">
    <vt:lpwstr>31fca359-3999-490e-a4de-d5aee0154a97</vt:lpwstr>
  </property>
  <property fmtid="{D5CDD505-2E9C-101B-9397-08002B2CF9AE}" pid="14" name="RecordPoint_ActiveItemSiteId">
    <vt:lpwstr>{a8f0bc9d-7c61-4d87-8154-4194e40ae5d3}</vt:lpwstr>
  </property>
  <property fmtid="{D5CDD505-2E9C-101B-9397-08002B2CF9AE}" pid="15" name="_ExtendedDescription">
    <vt:lpwstr/>
  </property>
  <property fmtid="{D5CDD505-2E9C-101B-9397-08002B2CF9AE}" pid="16" name="_ColorTag">
    <vt:lpwstr/>
  </property>
  <property fmtid="{D5CDD505-2E9C-101B-9397-08002B2CF9AE}" pid="17" name="RecordPoint_ActiveItemListId">
    <vt:lpwstr>{05fc5c14-5593-4f15-97da-da4a441e1941}</vt:lpwstr>
  </property>
  <property fmtid="{D5CDD505-2E9C-101B-9397-08002B2CF9AE}" pid="18" name="TriggerFlowInfo">
    <vt:lpwstr/>
  </property>
  <property fmtid="{D5CDD505-2E9C-101B-9397-08002B2CF9AE}" pid="19" name="RecordPoint_ActiveItemMoved">
    <vt:lpwstr/>
  </property>
  <property fmtid="{D5CDD505-2E9C-101B-9397-08002B2CF9AE}" pid="20" name="RecordPoint_RecordFormat">
    <vt:lpwstr/>
  </property>
  <property fmtid="{D5CDD505-2E9C-101B-9397-08002B2CF9AE}" pid="21" name="RecordPoint_SubmissionCompleted">
    <vt:lpwstr/>
  </property>
  <property fmtid="{D5CDD505-2E9C-101B-9397-08002B2CF9AE}" pid="22" name="RecordPoint_ActiveItemUniqueId">
    <vt:lpwstr>{efd4bb05-d1ed-4826-b311-5ce631e23a18}</vt:lpwstr>
  </property>
  <property fmtid="{D5CDD505-2E9C-101B-9397-08002B2CF9AE}" pid="23" name="xd_Signature">
    <vt:lpwstr/>
  </property>
  <property fmtid="{D5CDD505-2E9C-101B-9397-08002B2CF9AE}" pid="24" name="RecordPoint_ActiveItemWebId">
    <vt:lpwstr>{3234329a-c2b3-4a00-a284-7f3d975eb87b}</vt:lpwstr>
  </property>
  <property fmtid="{D5CDD505-2E9C-101B-9397-08002B2CF9AE}" pid="25" name="GrammarlyDocumentId">
    <vt:lpwstr>c18b3e32072a1cdaa61db914ea8d802cc57eef5f5b8c276947fcbc6cf94eb0ba</vt:lpwstr>
  </property>
  <property fmtid="{D5CDD505-2E9C-101B-9397-08002B2CF9AE}" pid="26" name="CoverTitle">
    <vt:lpwstr>Report Title</vt:lpwstr>
  </property>
  <property fmtid="{D5CDD505-2E9C-101B-9397-08002B2CF9AE}" pid="27" name="_Emoji">
    <vt:lpwstr/>
  </property>
  <property fmtid="{D5CDD505-2E9C-101B-9397-08002B2CF9AE}" pid="28" name="_SourceUrl">
    <vt:lpwstr/>
  </property>
  <property fmtid="{D5CDD505-2E9C-101B-9397-08002B2CF9AE}" pid="29" name="_SharedFileIndex">
    <vt:lpwstr/>
  </property>
</Properties>
</file>